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86FFC" w14:textId="059EAC34" w:rsidR="008D7C0F" w:rsidRPr="008B0C0D" w:rsidRDefault="008D7C0F" w:rsidP="008D7C0F">
      <w:pPr>
        <w:spacing w:line="360" w:lineRule="auto"/>
        <w:jc w:val="both"/>
        <w:rPr>
          <w:rFonts w:ascii="Times New Roman" w:hAnsi="Times New Roman" w:cs="Times New Roman"/>
          <w:b/>
          <w:bCs/>
          <w:sz w:val="28"/>
          <w:szCs w:val="28"/>
          <w:lang w:val="en-US"/>
        </w:rPr>
      </w:pPr>
      <w:r w:rsidRPr="008B0C0D">
        <w:rPr>
          <w:rFonts w:ascii="Times New Roman" w:hAnsi="Times New Roman" w:cs="Times New Roman"/>
          <w:b/>
          <w:bCs/>
          <w:sz w:val="28"/>
          <w:szCs w:val="28"/>
          <w:lang w:val="en-US"/>
        </w:rPr>
        <w:t xml:space="preserve">The role of </w:t>
      </w:r>
      <w:r w:rsidR="00E81DE4" w:rsidRPr="008B0C0D">
        <w:rPr>
          <w:rFonts w:ascii="Times New Roman" w:hAnsi="Times New Roman" w:cs="Times New Roman"/>
          <w:b/>
          <w:bCs/>
          <w:sz w:val="28"/>
          <w:szCs w:val="28"/>
          <w:lang w:val="en-US"/>
        </w:rPr>
        <w:t>C</w:t>
      </w:r>
      <w:r w:rsidR="0059139D" w:rsidRPr="008B0C0D">
        <w:rPr>
          <w:rFonts w:ascii="Times New Roman" w:hAnsi="Times New Roman" w:cs="Times New Roman"/>
          <w:b/>
          <w:bCs/>
          <w:sz w:val="28"/>
          <w:szCs w:val="28"/>
          <w:lang w:val="en-US"/>
        </w:rPr>
        <w:t>ovid</w:t>
      </w:r>
      <w:r w:rsidRPr="008B0C0D">
        <w:rPr>
          <w:rFonts w:ascii="Times New Roman" w:hAnsi="Times New Roman" w:cs="Times New Roman"/>
          <w:b/>
          <w:bCs/>
          <w:sz w:val="28"/>
          <w:szCs w:val="28"/>
          <w:lang w:val="en-US"/>
        </w:rPr>
        <w:t xml:space="preserve">-19 for </w:t>
      </w:r>
      <w:r w:rsidR="00EC62CE" w:rsidRPr="008B0C0D">
        <w:rPr>
          <w:rFonts w:ascii="Times New Roman" w:hAnsi="Times New Roman" w:cs="Times New Roman"/>
          <w:b/>
          <w:bCs/>
          <w:sz w:val="28"/>
          <w:szCs w:val="28"/>
          <w:lang w:val="en-US"/>
        </w:rPr>
        <w:t>Chinese</w:t>
      </w:r>
      <w:r w:rsidRPr="008B0C0D">
        <w:rPr>
          <w:rFonts w:ascii="Times New Roman" w:hAnsi="Times New Roman" w:cs="Times New Roman"/>
          <w:b/>
          <w:bCs/>
          <w:sz w:val="28"/>
          <w:szCs w:val="28"/>
          <w:lang w:val="en-US"/>
        </w:rPr>
        <w:t xml:space="preserve"> stock </w:t>
      </w:r>
      <w:r w:rsidR="00024043" w:rsidRPr="008B0C0D">
        <w:rPr>
          <w:rFonts w:ascii="Times New Roman" w:hAnsi="Times New Roman" w:cs="Times New Roman"/>
          <w:b/>
          <w:bCs/>
          <w:sz w:val="28"/>
          <w:szCs w:val="28"/>
          <w:lang w:val="en-US"/>
        </w:rPr>
        <w:t>returns</w:t>
      </w:r>
      <w:r w:rsidR="00243A22" w:rsidRPr="008B0C0D">
        <w:rPr>
          <w:rFonts w:ascii="Times New Roman" w:hAnsi="Times New Roman" w:cs="Times New Roman"/>
          <w:b/>
          <w:bCs/>
          <w:sz w:val="28"/>
          <w:szCs w:val="28"/>
          <w:lang w:val="en-US"/>
        </w:rPr>
        <w:t xml:space="preserve">: evidence </w:t>
      </w:r>
      <w:r w:rsidR="00EC62CE" w:rsidRPr="008B0C0D">
        <w:rPr>
          <w:rFonts w:ascii="Times New Roman" w:hAnsi="Times New Roman" w:cs="Times New Roman"/>
          <w:b/>
          <w:bCs/>
          <w:sz w:val="28"/>
          <w:szCs w:val="28"/>
          <w:lang w:val="en-US"/>
        </w:rPr>
        <w:t>from</w:t>
      </w:r>
      <w:r w:rsidR="00243A22" w:rsidRPr="008B0C0D">
        <w:rPr>
          <w:rFonts w:ascii="Times New Roman" w:hAnsi="Times New Roman" w:cs="Times New Roman"/>
          <w:b/>
          <w:bCs/>
          <w:sz w:val="28"/>
          <w:szCs w:val="28"/>
          <w:lang w:val="en-US"/>
        </w:rPr>
        <w:t xml:space="preserve"> a GARCHX model</w:t>
      </w:r>
    </w:p>
    <w:p w14:paraId="67904E52" w14:textId="77777777" w:rsidR="004E7E7B" w:rsidRPr="00024043" w:rsidRDefault="004E7E7B" w:rsidP="00024043">
      <w:pPr>
        <w:spacing w:line="360" w:lineRule="auto"/>
        <w:jc w:val="both"/>
        <w:rPr>
          <w:rFonts w:ascii="Times New Roman" w:hAnsi="Times New Roman" w:cs="Times New Roman"/>
          <w:sz w:val="24"/>
          <w:szCs w:val="24"/>
          <w:lang w:val="en-US"/>
        </w:rPr>
      </w:pPr>
    </w:p>
    <w:p w14:paraId="13A594AC" w14:textId="39B81F2A" w:rsidR="008D7C0F" w:rsidRPr="008B0C0D" w:rsidRDefault="008D7C0F" w:rsidP="00024043">
      <w:pPr>
        <w:spacing w:line="360" w:lineRule="auto"/>
        <w:jc w:val="both"/>
        <w:rPr>
          <w:rFonts w:ascii="Times New Roman" w:hAnsi="Times New Roman" w:cs="Times New Roman"/>
          <w:sz w:val="24"/>
          <w:szCs w:val="24"/>
          <w:lang w:val="en-US"/>
        </w:rPr>
      </w:pPr>
      <w:r w:rsidRPr="008B0C0D">
        <w:rPr>
          <w:rFonts w:ascii="Times New Roman" w:hAnsi="Times New Roman" w:cs="Times New Roman"/>
          <w:sz w:val="24"/>
          <w:szCs w:val="24"/>
          <w:lang w:val="en-US"/>
        </w:rPr>
        <w:t xml:space="preserve">Nicholas Apergis, University of Derby, UK, </w:t>
      </w:r>
      <w:hyperlink r:id="rId8" w:history="1">
        <w:r w:rsidRPr="008B0C0D">
          <w:rPr>
            <w:rStyle w:val="Hyperlink"/>
            <w:rFonts w:ascii="Times New Roman" w:hAnsi="Times New Roman" w:cs="Times New Roman"/>
            <w:sz w:val="24"/>
            <w:szCs w:val="24"/>
            <w:lang w:val="en-US"/>
          </w:rPr>
          <w:t>n.apergis@derby.ac.uk</w:t>
        </w:r>
      </w:hyperlink>
    </w:p>
    <w:p w14:paraId="5DCE2E8D" w14:textId="34D02A0E" w:rsidR="008D7C0F" w:rsidRPr="008B0C0D" w:rsidRDefault="00E4350E" w:rsidP="00024043">
      <w:pPr>
        <w:spacing w:line="360" w:lineRule="auto"/>
        <w:jc w:val="both"/>
        <w:rPr>
          <w:rFonts w:ascii="Times New Roman" w:hAnsi="Times New Roman" w:cs="Times New Roman"/>
          <w:sz w:val="24"/>
          <w:szCs w:val="24"/>
          <w:lang w:val="en-US"/>
        </w:rPr>
      </w:pPr>
      <w:r w:rsidRPr="008B0C0D">
        <w:rPr>
          <w:rFonts w:ascii="Times New Roman" w:hAnsi="Times New Roman" w:cs="Times New Roman"/>
          <w:sz w:val="24"/>
          <w:szCs w:val="24"/>
          <w:lang w:val="en-US"/>
        </w:rPr>
        <w:t>Emmanuel Apergis</w:t>
      </w:r>
      <w:r w:rsidR="008D7C0F" w:rsidRPr="008B0C0D">
        <w:rPr>
          <w:rFonts w:ascii="Times New Roman" w:hAnsi="Times New Roman" w:cs="Times New Roman"/>
          <w:sz w:val="24"/>
          <w:szCs w:val="24"/>
          <w:lang w:val="en-US"/>
        </w:rPr>
        <w:t xml:space="preserve">, University of </w:t>
      </w:r>
      <w:r w:rsidRPr="008B0C0D">
        <w:rPr>
          <w:rFonts w:ascii="Times New Roman" w:hAnsi="Times New Roman" w:cs="Times New Roman"/>
          <w:sz w:val="24"/>
          <w:szCs w:val="24"/>
          <w:lang w:val="en-US"/>
        </w:rPr>
        <w:t>Huddersfield</w:t>
      </w:r>
      <w:r w:rsidR="008D7C0F" w:rsidRPr="008B0C0D">
        <w:rPr>
          <w:rFonts w:ascii="Times New Roman" w:hAnsi="Times New Roman" w:cs="Times New Roman"/>
          <w:sz w:val="24"/>
          <w:szCs w:val="24"/>
          <w:lang w:val="en-US"/>
        </w:rPr>
        <w:t>, UK</w:t>
      </w:r>
      <w:r w:rsidR="00A34041" w:rsidRPr="008B0C0D">
        <w:rPr>
          <w:rFonts w:ascii="Times New Roman" w:hAnsi="Times New Roman" w:cs="Times New Roman"/>
          <w:sz w:val="24"/>
          <w:szCs w:val="24"/>
          <w:lang w:val="en-US"/>
        </w:rPr>
        <w:t xml:space="preserve">, </w:t>
      </w:r>
      <w:hyperlink r:id="rId9" w:history="1">
        <w:r w:rsidRPr="008B0C0D">
          <w:rPr>
            <w:rStyle w:val="Hyperlink"/>
            <w:rFonts w:ascii="Times New Roman" w:hAnsi="Times New Roman" w:cs="Times New Roman"/>
            <w:sz w:val="24"/>
            <w:szCs w:val="24"/>
            <w:lang w:val="en-US"/>
          </w:rPr>
          <w:t>e.apergis@hud.ac.uk</w:t>
        </w:r>
      </w:hyperlink>
      <w:r w:rsidRPr="008B0C0D">
        <w:rPr>
          <w:rFonts w:ascii="Times New Roman" w:hAnsi="Times New Roman" w:cs="Times New Roman"/>
          <w:sz w:val="24"/>
          <w:szCs w:val="24"/>
          <w:lang w:val="en-US"/>
        </w:rPr>
        <w:t xml:space="preserve"> </w:t>
      </w:r>
    </w:p>
    <w:p w14:paraId="6CD46E09" w14:textId="17152E5F" w:rsidR="00A34041" w:rsidRPr="008B0C0D" w:rsidRDefault="00A34041" w:rsidP="007405BD">
      <w:pPr>
        <w:spacing w:line="360" w:lineRule="auto"/>
        <w:rPr>
          <w:rFonts w:ascii="Times New Roman" w:hAnsi="Times New Roman" w:cs="Times New Roman"/>
          <w:sz w:val="20"/>
          <w:szCs w:val="20"/>
          <w:lang w:val="en-US"/>
        </w:rPr>
      </w:pPr>
    </w:p>
    <w:p w14:paraId="22A0A23E" w14:textId="077CF30D" w:rsidR="007405BD" w:rsidRDefault="007405BD" w:rsidP="007405BD">
      <w:pPr>
        <w:spacing w:line="360" w:lineRule="auto"/>
        <w:rPr>
          <w:rFonts w:ascii="Times New Roman" w:hAnsi="Times New Roman" w:cs="Times New Roman"/>
          <w:sz w:val="20"/>
          <w:szCs w:val="20"/>
          <w:lang w:val="en-US"/>
        </w:rPr>
      </w:pPr>
    </w:p>
    <w:p w14:paraId="5F84FAFC" w14:textId="0B9D7768" w:rsidR="007405BD" w:rsidRDefault="007405BD" w:rsidP="007405BD">
      <w:pPr>
        <w:spacing w:line="360" w:lineRule="auto"/>
        <w:rPr>
          <w:rFonts w:ascii="Times New Roman" w:hAnsi="Times New Roman" w:cs="Times New Roman"/>
          <w:sz w:val="20"/>
          <w:szCs w:val="20"/>
          <w:lang w:val="en-US"/>
        </w:rPr>
      </w:pPr>
    </w:p>
    <w:p w14:paraId="32FA8CCD" w14:textId="50F85AE8" w:rsidR="007405BD" w:rsidRDefault="007405BD" w:rsidP="007405BD">
      <w:pPr>
        <w:spacing w:line="360" w:lineRule="auto"/>
        <w:rPr>
          <w:rFonts w:ascii="Times New Roman" w:hAnsi="Times New Roman" w:cs="Times New Roman"/>
          <w:sz w:val="20"/>
          <w:szCs w:val="20"/>
          <w:lang w:val="en-US"/>
        </w:rPr>
      </w:pPr>
    </w:p>
    <w:p w14:paraId="62C4463A" w14:textId="1EC71802" w:rsidR="007405BD" w:rsidRDefault="007405BD" w:rsidP="007405BD">
      <w:pPr>
        <w:spacing w:line="360" w:lineRule="auto"/>
        <w:rPr>
          <w:rFonts w:ascii="Times New Roman" w:hAnsi="Times New Roman" w:cs="Times New Roman"/>
          <w:sz w:val="20"/>
          <w:szCs w:val="20"/>
          <w:lang w:val="en-US"/>
        </w:rPr>
      </w:pPr>
    </w:p>
    <w:p w14:paraId="56F0BEA5" w14:textId="6CCEA970" w:rsidR="007405BD" w:rsidRDefault="007405BD" w:rsidP="007405BD">
      <w:pPr>
        <w:spacing w:line="360" w:lineRule="auto"/>
        <w:rPr>
          <w:rFonts w:ascii="Times New Roman" w:hAnsi="Times New Roman" w:cs="Times New Roman"/>
          <w:sz w:val="20"/>
          <w:szCs w:val="20"/>
          <w:lang w:val="en-US"/>
        </w:rPr>
      </w:pPr>
    </w:p>
    <w:p w14:paraId="4F47244C" w14:textId="77486620" w:rsidR="007405BD" w:rsidRDefault="007405BD" w:rsidP="007405BD">
      <w:pPr>
        <w:spacing w:line="360" w:lineRule="auto"/>
        <w:rPr>
          <w:rFonts w:ascii="Times New Roman" w:hAnsi="Times New Roman" w:cs="Times New Roman"/>
          <w:sz w:val="20"/>
          <w:szCs w:val="20"/>
          <w:lang w:val="en-US"/>
        </w:rPr>
      </w:pPr>
    </w:p>
    <w:p w14:paraId="2F82D6C2" w14:textId="49759124" w:rsidR="007405BD" w:rsidRDefault="007405BD" w:rsidP="007405BD">
      <w:pPr>
        <w:spacing w:line="360" w:lineRule="auto"/>
        <w:rPr>
          <w:rFonts w:ascii="Times New Roman" w:hAnsi="Times New Roman" w:cs="Times New Roman"/>
          <w:sz w:val="20"/>
          <w:szCs w:val="20"/>
          <w:lang w:val="en-US"/>
        </w:rPr>
      </w:pPr>
    </w:p>
    <w:p w14:paraId="3E4DE28D" w14:textId="4CF91835" w:rsidR="007405BD" w:rsidRDefault="007405BD" w:rsidP="007405BD">
      <w:pPr>
        <w:spacing w:line="360" w:lineRule="auto"/>
        <w:rPr>
          <w:rFonts w:ascii="Times New Roman" w:hAnsi="Times New Roman" w:cs="Times New Roman"/>
          <w:sz w:val="20"/>
          <w:szCs w:val="20"/>
          <w:lang w:val="en-US"/>
        </w:rPr>
      </w:pPr>
    </w:p>
    <w:p w14:paraId="0B22930E" w14:textId="487045D8" w:rsidR="007405BD" w:rsidRDefault="007405BD" w:rsidP="007405BD">
      <w:pPr>
        <w:spacing w:line="360" w:lineRule="auto"/>
        <w:rPr>
          <w:rFonts w:ascii="Times New Roman" w:hAnsi="Times New Roman" w:cs="Times New Roman"/>
          <w:sz w:val="20"/>
          <w:szCs w:val="20"/>
          <w:lang w:val="en-US"/>
        </w:rPr>
      </w:pPr>
    </w:p>
    <w:p w14:paraId="16344D6F" w14:textId="6F8B4641" w:rsidR="007405BD" w:rsidRDefault="007405BD" w:rsidP="007405BD">
      <w:pPr>
        <w:spacing w:line="360" w:lineRule="auto"/>
        <w:rPr>
          <w:rFonts w:ascii="Times New Roman" w:hAnsi="Times New Roman" w:cs="Times New Roman"/>
          <w:sz w:val="20"/>
          <w:szCs w:val="20"/>
          <w:lang w:val="en-US"/>
        </w:rPr>
      </w:pPr>
    </w:p>
    <w:p w14:paraId="4D132EE3" w14:textId="73FA9D4B" w:rsidR="007405BD" w:rsidRDefault="007405BD" w:rsidP="007405BD">
      <w:pPr>
        <w:spacing w:line="360" w:lineRule="auto"/>
        <w:rPr>
          <w:rFonts w:ascii="Times New Roman" w:hAnsi="Times New Roman" w:cs="Times New Roman"/>
          <w:sz w:val="20"/>
          <w:szCs w:val="20"/>
          <w:lang w:val="en-US"/>
        </w:rPr>
      </w:pPr>
    </w:p>
    <w:p w14:paraId="7071367C" w14:textId="42443725" w:rsidR="007405BD" w:rsidRDefault="007405BD" w:rsidP="007405BD">
      <w:pPr>
        <w:spacing w:line="360" w:lineRule="auto"/>
        <w:rPr>
          <w:rFonts w:ascii="Times New Roman" w:hAnsi="Times New Roman" w:cs="Times New Roman"/>
          <w:sz w:val="20"/>
          <w:szCs w:val="20"/>
          <w:lang w:val="en-US"/>
        </w:rPr>
      </w:pPr>
    </w:p>
    <w:p w14:paraId="4E046945" w14:textId="1A476C50" w:rsidR="007405BD" w:rsidRDefault="007405BD" w:rsidP="007405BD">
      <w:pPr>
        <w:spacing w:line="360" w:lineRule="auto"/>
        <w:rPr>
          <w:rFonts w:ascii="Times New Roman" w:hAnsi="Times New Roman" w:cs="Times New Roman"/>
          <w:sz w:val="20"/>
          <w:szCs w:val="20"/>
          <w:lang w:val="en-US"/>
        </w:rPr>
      </w:pPr>
    </w:p>
    <w:p w14:paraId="4112F049" w14:textId="0E98F557" w:rsidR="007405BD" w:rsidRDefault="007405BD" w:rsidP="007405BD">
      <w:pPr>
        <w:spacing w:line="360" w:lineRule="auto"/>
        <w:rPr>
          <w:rFonts w:ascii="Times New Roman" w:hAnsi="Times New Roman" w:cs="Times New Roman"/>
          <w:sz w:val="20"/>
          <w:szCs w:val="20"/>
          <w:lang w:val="en-US"/>
        </w:rPr>
      </w:pPr>
    </w:p>
    <w:p w14:paraId="1D08D5C3" w14:textId="76FD546E" w:rsidR="007405BD" w:rsidRDefault="007405BD" w:rsidP="007405BD">
      <w:pPr>
        <w:spacing w:line="360" w:lineRule="auto"/>
        <w:rPr>
          <w:rFonts w:ascii="Times New Roman" w:hAnsi="Times New Roman" w:cs="Times New Roman"/>
          <w:sz w:val="20"/>
          <w:szCs w:val="20"/>
          <w:lang w:val="en-US"/>
        </w:rPr>
      </w:pPr>
    </w:p>
    <w:p w14:paraId="6F9D01CF" w14:textId="755B5A28" w:rsidR="007405BD" w:rsidRDefault="007405BD" w:rsidP="007405BD">
      <w:pPr>
        <w:spacing w:line="360" w:lineRule="auto"/>
        <w:rPr>
          <w:rFonts w:ascii="Times New Roman" w:hAnsi="Times New Roman" w:cs="Times New Roman"/>
          <w:sz w:val="20"/>
          <w:szCs w:val="20"/>
          <w:lang w:val="en-US"/>
        </w:rPr>
      </w:pPr>
    </w:p>
    <w:p w14:paraId="4C9EA964" w14:textId="7DD53AB7" w:rsidR="007405BD" w:rsidRPr="00650F82" w:rsidRDefault="007405BD" w:rsidP="007405BD">
      <w:pPr>
        <w:spacing w:line="360" w:lineRule="auto"/>
        <w:rPr>
          <w:rFonts w:ascii="Times New Roman" w:hAnsi="Times New Roman" w:cs="Times New Roman"/>
          <w:sz w:val="24"/>
          <w:szCs w:val="24"/>
          <w:lang w:val="en-US"/>
        </w:rPr>
      </w:pPr>
    </w:p>
    <w:p w14:paraId="783A7311" w14:textId="125DE80F" w:rsidR="007405BD" w:rsidRPr="00650F82" w:rsidRDefault="00650F82" w:rsidP="007405BD">
      <w:pPr>
        <w:spacing w:line="360" w:lineRule="auto"/>
        <w:rPr>
          <w:rFonts w:ascii="Times New Roman" w:hAnsi="Times New Roman" w:cs="Times New Roman"/>
          <w:sz w:val="24"/>
          <w:szCs w:val="24"/>
          <w:lang w:val="en-US"/>
        </w:rPr>
      </w:pPr>
      <w:r w:rsidRPr="00650F82">
        <w:rPr>
          <w:rFonts w:ascii="Times New Roman" w:hAnsi="Times New Roman" w:cs="Times New Roman"/>
          <w:b/>
          <w:bCs/>
          <w:sz w:val="24"/>
          <w:szCs w:val="24"/>
          <w:lang w:val="en-US"/>
        </w:rPr>
        <w:t>Word count</w:t>
      </w:r>
      <w:r w:rsidRPr="00650F82">
        <w:rPr>
          <w:rFonts w:ascii="Times New Roman" w:hAnsi="Times New Roman" w:cs="Times New Roman"/>
          <w:sz w:val="24"/>
          <w:szCs w:val="24"/>
          <w:lang w:val="en-US"/>
        </w:rPr>
        <w:t xml:space="preserve">: </w:t>
      </w:r>
      <w:r>
        <w:rPr>
          <w:rFonts w:ascii="Times New Roman" w:hAnsi="Times New Roman" w:cs="Times New Roman"/>
          <w:sz w:val="24"/>
          <w:szCs w:val="24"/>
          <w:lang w:val="en-US"/>
        </w:rPr>
        <w:t>4</w:t>
      </w:r>
      <w:r w:rsidR="00804054">
        <w:rPr>
          <w:rFonts w:ascii="Times New Roman" w:hAnsi="Times New Roman" w:cs="Times New Roman"/>
          <w:sz w:val="24"/>
          <w:szCs w:val="24"/>
          <w:lang w:val="en-US"/>
        </w:rPr>
        <w:t>90</w:t>
      </w:r>
      <w:r w:rsidR="00823BE5">
        <w:rPr>
          <w:rFonts w:ascii="Times New Roman" w:hAnsi="Times New Roman" w:cs="Times New Roman"/>
          <w:sz w:val="24"/>
          <w:szCs w:val="24"/>
          <w:lang w:val="en-US"/>
        </w:rPr>
        <w:t>9</w:t>
      </w:r>
      <w:r>
        <w:rPr>
          <w:rFonts w:ascii="Times New Roman" w:hAnsi="Times New Roman" w:cs="Times New Roman"/>
          <w:sz w:val="24"/>
          <w:szCs w:val="24"/>
          <w:lang w:val="en-US"/>
        </w:rPr>
        <w:t xml:space="preserve"> words</w:t>
      </w:r>
    </w:p>
    <w:p w14:paraId="16381A4D" w14:textId="0155BD8A" w:rsidR="007405BD" w:rsidRDefault="007405BD" w:rsidP="007405BD">
      <w:pPr>
        <w:spacing w:line="360" w:lineRule="auto"/>
        <w:rPr>
          <w:rFonts w:ascii="Times New Roman" w:hAnsi="Times New Roman" w:cs="Times New Roman"/>
          <w:sz w:val="20"/>
          <w:szCs w:val="20"/>
          <w:lang w:val="en-US"/>
        </w:rPr>
      </w:pPr>
    </w:p>
    <w:p w14:paraId="51550823" w14:textId="4625F89D" w:rsidR="007405BD" w:rsidRDefault="007405BD" w:rsidP="007405BD">
      <w:pPr>
        <w:spacing w:line="360" w:lineRule="auto"/>
        <w:rPr>
          <w:rFonts w:ascii="Times New Roman" w:hAnsi="Times New Roman" w:cs="Times New Roman"/>
          <w:sz w:val="20"/>
          <w:szCs w:val="20"/>
          <w:lang w:val="en-US"/>
        </w:rPr>
      </w:pPr>
    </w:p>
    <w:p w14:paraId="39BF726E" w14:textId="0095C62C" w:rsidR="007405BD" w:rsidRDefault="007405BD" w:rsidP="007405BD">
      <w:pPr>
        <w:spacing w:line="360" w:lineRule="auto"/>
        <w:rPr>
          <w:rFonts w:ascii="Times New Roman" w:hAnsi="Times New Roman" w:cs="Times New Roman"/>
          <w:sz w:val="20"/>
          <w:szCs w:val="20"/>
          <w:lang w:val="en-US"/>
        </w:rPr>
      </w:pPr>
    </w:p>
    <w:p w14:paraId="16D38D4A" w14:textId="77777777" w:rsidR="00E4350E" w:rsidRPr="008B0C0D" w:rsidRDefault="00E4350E" w:rsidP="00E4350E">
      <w:pPr>
        <w:spacing w:line="360" w:lineRule="auto"/>
        <w:jc w:val="both"/>
        <w:rPr>
          <w:rFonts w:ascii="Times New Roman" w:hAnsi="Times New Roman" w:cs="Times New Roman"/>
          <w:b/>
          <w:bCs/>
          <w:sz w:val="28"/>
          <w:szCs w:val="28"/>
          <w:lang w:val="en-US"/>
        </w:rPr>
      </w:pPr>
      <w:r w:rsidRPr="008B0C0D">
        <w:rPr>
          <w:rFonts w:ascii="Times New Roman" w:hAnsi="Times New Roman" w:cs="Times New Roman"/>
          <w:b/>
          <w:bCs/>
          <w:sz w:val="28"/>
          <w:szCs w:val="28"/>
          <w:lang w:val="en-US"/>
        </w:rPr>
        <w:lastRenderedPageBreak/>
        <w:t>The role of Covid-19 for Chinese stock returns: evidence from a GARCHX model</w:t>
      </w:r>
    </w:p>
    <w:p w14:paraId="0CE04228" w14:textId="77777777" w:rsidR="007405BD" w:rsidRPr="00F71AF0" w:rsidRDefault="007405BD" w:rsidP="007405BD">
      <w:pPr>
        <w:spacing w:line="360" w:lineRule="auto"/>
        <w:rPr>
          <w:rFonts w:ascii="Times New Roman" w:hAnsi="Times New Roman" w:cs="Times New Roman"/>
          <w:sz w:val="20"/>
          <w:szCs w:val="20"/>
          <w:lang w:val="en-US"/>
        </w:rPr>
      </w:pPr>
    </w:p>
    <w:p w14:paraId="0DC6C7F8" w14:textId="4BC226C5" w:rsidR="008D7C0F" w:rsidRPr="008B0C0D" w:rsidRDefault="008D7C0F" w:rsidP="00024043">
      <w:pPr>
        <w:spacing w:line="360" w:lineRule="auto"/>
        <w:rPr>
          <w:rFonts w:ascii="Times New Roman" w:hAnsi="Times New Roman" w:cs="Times New Roman"/>
          <w:b/>
          <w:bCs/>
          <w:sz w:val="24"/>
          <w:szCs w:val="24"/>
          <w:lang w:val="en-US"/>
        </w:rPr>
      </w:pPr>
      <w:r w:rsidRPr="008B0C0D">
        <w:rPr>
          <w:rFonts w:ascii="Times New Roman" w:hAnsi="Times New Roman" w:cs="Times New Roman"/>
          <w:b/>
          <w:bCs/>
          <w:sz w:val="24"/>
          <w:szCs w:val="24"/>
          <w:lang w:val="en-US"/>
        </w:rPr>
        <w:t>A</w:t>
      </w:r>
      <w:r w:rsidR="004D0FDA" w:rsidRPr="008B0C0D">
        <w:rPr>
          <w:rFonts w:ascii="Times New Roman" w:hAnsi="Times New Roman" w:cs="Times New Roman"/>
          <w:b/>
          <w:bCs/>
          <w:sz w:val="24"/>
          <w:szCs w:val="24"/>
          <w:lang w:val="en-US"/>
        </w:rPr>
        <w:t>BSTRACT</w:t>
      </w:r>
    </w:p>
    <w:p w14:paraId="7158B265" w14:textId="5F5607D7" w:rsidR="0094243D" w:rsidRPr="00046CFF" w:rsidRDefault="00F71AF0" w:rsidP="00024043">
      <w:pPr>
        <w:spacing w:line="360" w:lineRule="auto"/>
        <w:jc w:val="both"/>
        <w:rPr>
          <w:rFonts w:ascii="Times New Roman" w:hAnsi="Times New Roman" w:cs="Times New Roman"/>
          <w:sz w:val="24"/>
          <w:szCs w:val="24"/>
          <w:lang w:val="en-US"/>
        </w:rPr>
      </w:pPr>
      <w:r w:rsidRPr="00046CFF">
        <w:rPr>
          <w:rFonts w:ascii="Times New Roman" w:hAnsi="Times New Roman" w:cs="Times New Roman"/>
          <w:sz w:val="24"/>
          <w:szCs w:val="24"/>
          <w:lang w:val="en-US"/>
        </w:rPr>
        <w:t>Th</w:t>
      </w:r>
      <w:r w:rsidR="00594CB9" w:rsidRPr="00046CFF">
        <w:rPr>
          <w:rFonts w:ascii="Times New Roman" w:hAnsi="Times New Roman" w:cs="Times New Roman"/>
          <w:sz w:val="24"/>
          <w:szCs w:val="24"/>
          <w:lang w:val="en-US"/>
        </w:rPr>
        <w:t xml:space="preserve">is paper examines the effect of </w:t>
      </w:r>
      <w:r w:rsidR="00E81DE4" w:rsidRPr="00046CFF">
        <w:rPr>
          <w:rFonts w:ascii="Times New Roman" w:hAnsi="Times New Roman" w:cs="Times New Roman"/>
          <w:sz w:val="24"/>
          <w:szCs w:val="24"/>
          <w:lang w:val="en-US"/>
        </w:rPr>
        <w:t>C</w:t>
      </w:r>
      <w:r w:rsidR="00024043" w:rsidRPr="00046CFF">
        <w:rPr>
          <w:rFonts w:ascii="Times New Roman" w:hAnsi="Times New Roman" w:cs="Times New Roman"/>
          <w:sz w:val="24"/>
          <w:szCs w:val="24"/>
          <w:lang w:val="en-US"/>
        </w:rPr>
        <w:t>ovid</w:t>
      </w:r>
      <w:r w:rsidR="00594CB9" w:rsidRPr="00046CFF">
        <w:rPr>
          <w:rFonts w:ascii="Times New Roman" w:hAnsi="Times New Roman" w:cs="Times New Roman"/>
          <w:sz w:val="24"/>
          <w:szCs w:val="24"/>
          <w:lang w:val="en-US"/>
        </w:rPr>
        <w:t xml:space="preserve">-19 pandemic on the </w:t>
      </w:r>
      <w:r w:rsidR="00E4350E">
        <w:rPr>
          <w:rFonts w:ascii="Times New Roman" w:hAnsi="Times New Roman" w:cs="Times New Roman"/>
          <w:sz w:val="24"/>
          <w:szCs w:val="24"/>
          <w:lang w:val="en-US"/>
        </w:rPr>
        <w:t xml:space="preserve">Chinese </w:t>
      </w:r>
      <w:r w:rsidR="00594CB9" w:rsidRPr="00046CFF">
        <w:rPr>
          <w:rFonts w:ascii="Times New Roman" w:hAnsi="Times New Roman" w:cs="Times New Roman"/>
          <w:sz w:val="24"/>
          <w:szCs w:val="24"/>
          <w:lang w:val="en-US"/>
        </w:rPr>
        <w:t xml:space="preserve">stock </w:t>
      </w:r>
      <w:r w:rsidR="0066407B" w:rsidRPr="00046CFF">
        <w:rPr>
          <w:rFonts w:ascii="Times New Roman" w:hAnsi="Times New Roman" w:cs="Times New Roman"/>
          <w:sz w:val="24"/>
          <w:szCs w:val="24"/>
          <w:lang w:val="en-US"/>
        </w:rPr>
        <w:t xml:space="preserve">market </w:t>
      </w:r>
      <w:r w:rsidR="00594CB9" w:rsidRPr="00046CFF">
        <w:rPr>
          <w:rFonts w:ascii="Times New Roman" w:hAnsi="Times New Roman" w:cs="Times New Roman"/>
          <w:sz w:val="24"/>
          <w:szCs w:val="24"/>
          <w:lang w:val="en-US"/>
        </w:rPr>
        <w:t>returns</w:t>
      </w:r>
      <w:r w:rsidRPr="00046CFF">
        <w:rPr>
          <w:rFonts w:ascii="Times New Roman" w:hAnsi="Times New Roman" w:cs="Times New Roman"/>
          <w:sz w:val="24"/>
          <w:szCs w:val="24"/>
          <w:lang w:val="en-US"/>
        </w:rPr>
        <w:t xml:space="preserve"> and the</w:t>
      </w:r>
      <w:r w:rsidR="0066407B" w:rsidRPr="00046CFF">
        <w:rPr>
          <w:rFonts w:ascii="Times New Roman" w:hAnsi="Times New Roman" w:cs="Times New Roman"/>
          <w:sz w:val="24"/>
          <w:szCs w:val="24"/>
          <w:lang w:val="en-US"/>
        </w:rPr>
        <w:t>ir</w:t>
      </w:r>
      <w:r w:rsidRPr="00046CFF">
        <w:rPr>
          <w:rFonts w:ascii="Times New Roman" w:hAnsi="Times New Roman" w:cs="Times New Roman"/>
          <w:sz w:val="24"/>
          <w:szCs w:val="24"/>
          <w:lang w:val="en-US"/>
        </w:rPr>
        <w:t xml:space="preserve"> volatility </w:t>
      </w:r>
      <w:r w:rsidR="007347D5" w:rsidRPr="00046CFF">
        <w:rPr>
          <w:rFonts w:ascii="Times New Roman" w:hAnsi="Times New Roman" w:cs="Times New Roman"/>
          <w:sz w:val="24"/>
          <w:szCs w:val="24"/>
          <w:lang w:val="en-US"/>
        </w:rPr>
        <w:t xml:space="preserve">using the </w:t>
      </w:r>
      <w:r w:rsidR="005E0E3E" w:rsidRPr="00046CFF">
        <w:rPr>
          <w:rFonts w:ascii="Times New Roman" w:hAnsi="Times New Roman" w:cs="Times New Roman"/>
          <w:sz w:val="24"/>
          <w:szCs w:val="24"/>
          <w:lang w:val="en-US"/>
        </w:rPr>
        <w:t xml:space="preserve">generalized autoregressive conditionally heteroskedastic </w:t>
      </w:r>
      <w:r w:rsidR="007347D5" w:rsidRPr="00046CFF">
        <w:rPr>
          <w:rFonts w:ascii="Times New Roman" w:hAnsi="Times New Roman" w:cs="Times New Roman"/>
          <w:sz w:val="24"/>
          <w:szCs w:val="24"/>
          <w:lang w:val="en-US"/>
        </w:rPr>
        <w:t>GARCHX model</w:t>
      </w:r>
      <w:r w:rsidR="00594CB9" w:rsidRPr="00046CFF">
        <w:rPr>
          <w:rFonts w:ascii="Times New Roman" w:hAnsi="Times New Roman" w:cs="Times New Roman"/>
          <w:sz w:val="24"/>
          <w:szCs w:val="24"/>
          <w:lang w:val="en-US"/>
        </w:rPr>
        <w:t>.</w:t>
      </w:r>
      <w:r w:rsidR="0066407B" w:rsidRPr="00046CFF">
        <w:rPr>
          <w:rFonts w:ascii="Times New Roman" w:hAnsi="Times New Roman" w:cs="Times New Roman"/>
          <w:sz w:val="24"/>
          <w:szCs w:val="24"/>
          <w:lang w:val="en-US"/>
        </w:rPr>
        <w:t xml:space="preserve"> </w:t>
      </w:r>
      <w:r w:rsidR="00C674B6" w:rsidRPr="00046CFF">
        <w:rPr>
          <w:rFonts w:ascii="Times New Roman" w:hAnsi="Times New Roman" w:cs="Times New Roman"/>
          <w:sz w:val="24"/>
          <w:szCs w:val="24"/>
          <w:lang w:val="en-US"/>
        </w:rPr>
        <w:t>The GA</w:t>
      </w:r>
      <w:r w:rsidR="00C674B6" w:rsidRPr="00BE5B44">
        <w:rPr>
          <w:rFonts w:ascii="Times New Roman" w:hAnsi="Times New Roman" w:cs="Times New Roman"/>
          <w:color w:val="000000" w:themeColor="text1"/>
          <w:sz w:val="24"/>
          <w:szCs w:val="24"/>
          <w:lang w:val="en-US"/>
        </w:rPr>
        <w:t xml:space="preserve">RCHX model allows </w:t>
      </w:r>
      <w:r w:rsidR="00BE5B44" w:rsidRPr="00BE5B44">
        <w:rPr>
          <w:rFonts w:ascii="Times New Roman" w:hAnsi="Times New Roman" w:cs="Times New Roman"/>
          <w:color w:val="000000" w:themeColor="text1"/>
          <w:sz w:val="24"/>
          <w:szCs w:val="24"/>
          <w:lang w:val="en-US"/>
        </w:rPr>
        <w:t xml:space="preserve">us </w:t>
      </w:r>
      <w:r w:rsidR="00C674B6" w:rsidRPr="00BE5B44">
        <w:rPr>
          <w:rFonts w:ascii="Times New Roman" w:hAnsi="Times New Roman" w:cs="Times New Roman"/>
          <w:color w:val="000000" w:themeColor="text1"/>
          <w:sz w:val="24"/>
          <w:szCs w:val="24"/>
          <w:lang w:val="en-US"/>
        </w:rPr>
        <w:t>to include C</w:t>
      </w:r>
      <w:r w:rsidR="00024043" w:rsidRPr="00BE5B44">
        <w:rPr>
          <w:rFonts w:ascii="Times New Roman" w:hAnsi="Times New Roman" w:cs="Times New Roman"/>
          <w:color w:val="000000" w:themeColor="text1"/>
          <w:sz w:val="24"/>
          <w:szCs w:val="24"/>
          <w:lang w:val="en-US"/>
        </w:rPr>
        <w:t>ovid</w:t>
      </w:r>
      <w:r w:rsidR="00C674B6" w:rsidRPr="00BE5B44">
        <w:rPr>
          <w:rFonts w:ascii="Times New Roman" w:hAnsi="Times New Roman" w:cs="Times New Roman"/>
          <w:color w:val="000000" w:themeColor="text1"/>
          <w:sz w:val="24"/>
          <w:szCs w:val="24"/>
          <w:lang w:val="en-US"/>
        </w:rPr>
        <w:t xml:space="preserve">-19 </w:t>
      </w:r>
      <w:r w:rsidR="00024043" w:rsidRPr="00BE5B44">
        <w:rPr>
          <w:rFonts w:ascii="Times New Roman" w:hAnsi="Times New Roman" w:cs="Times New Roman"/>
          <w:color w:val="000000" w:themeColor="text1"/>
          <w:sz w:val="24"/>
          <w:szCs w:val="24"/>
          <w:lang w:val="en-US"/>
        </w:rPr>
        <w:t>information</w:t>
      </w:r>
      <w:r w:rsidR="00C674B6" w:rsidRPr="00BE5B44">
        <w:rPr>
          <w:rFonts w:ascii="Times New Roman" w:hAnsi="Times New Roman" w:cs="Times New Roman"/>
          <w:color w:val="000000" w:themeColor="text1"/>
          <w:sz w:val="24"/>
          <w:szCs w:val="24"/>
          <w:lang w:val="en-US"/>
        </w:rPr>
        <w:t xml:space="preserve"> within the GARCH </w:t>
      </w:r>
      <w:r w:rsidR="00024043" w:rsidRPr="00BE5B44">
        <w:rPr>
          <w:rFonts w:ascii="Times New Roman" w:hAnsi="Times New Roman" w:cs="Times New Roman"/>
          <w:color w:val="000000" w:themeColor="text1"/>
          <w:sz w:val="24"/>
          <w:szCs w:val="24"/>
          <w:lang w:val="en-US"/>
        </w:rPr>
        <w:t>framework</w:t>
      </w:r>
      <w:r w:rsidR="00C674B6" w:rsidRPr="00BE5B44">
        <w:rPr>
          <w:rFonts w:ascii="Times New Roman" w:hAnsi="Times New Roman" w:cs="Times New Roman"/>
          <w:color w:val="000000" w:themeColor="text1"/>
          <w:sz w:val="24"/>
          <w:szCs w:val="24"/>
          <w:lang w:val="en-US"/>
        </w:rPr>
        <w:t xml:space="preserve">. </w:t>
      </w:r>
      <w:r w:rsidR="00024043" w:rsidRPr="00BE5B44">
        <w:rPr>
          <w:rFonts w:ascii="Times New Roman" w:hAnsi="Times New Roman" w:cs="Times New Roman"/>
          <w:color w:val="000000" w:themeColor="text1"/>
          <w:sz w:val="24"/>
          <w:szCs w:val="24"/>
          <w:lang w:val="en-US"/>
        </w:rPr>
        <w:t>The</w:t>
      </w:r>
      <w:r w:rsidR="007347D5" w:rsidRPr="00BE5B44">
        <w:rPr>
          <w:rFonts w:ascii="Times New Roman" w:hAnsi="Times New Roman" w:cs="Times New Roman"/>
          <w:color w:val="000000" w:themeColor="text1"/>
          <w:sz w:val="24"/>
          <w:szCs w:val="24"/>
          <w:lang w:val="en-US"/>
        </w:rPr>
        <w:t xml:space="preserve"> findings </w:t>
      </w:r>
      <w:r w:rsidR="00BE5B44" w:rsidRPr="00BE5B44">
        <w:rPr>
          <w:rFonts w:ascii="Times New Roman" w:hAnsi="Times New Roman" w:cs="Times New Roman"/>
          <w:color w:val="000000" w:themeColor="text1"/>
          <w:sz w:val="24"/>
          <w:szCs w:val="24"/>
          <w:lang w:val="en-US"/>
        </w:rPr>
        <w:t>document</w:t>
      </w:r>
      <w:r w:rsidR="007347D5" w:rsidRPr="00BE5B44">
        <w:rPr>
          <w:rFonts w:ascii="Times New Roman" w:hAnsi="Times New Roman" w:cs="Times New Roman"/>
          <w:color w:val="000000" w:themeColor="text1"/>
          <w:sz w:val="24"/>
          <w:szCs w:val="24"/>
          <w:lang w:val="en-US"/>
        </w:rPr>
        <w:t xml:space="preserve"> that daily increase</w:t>
      </w:r>
      <w:r w:rsidR="00024043" w:rsidRPr="00BE5B44">
        <w:rPr>
          <w:rFonts w:ascii="Times New Roman" w:hAnsi="Times New Roman" w:cs="Times New Roman"/>
          <w:color w:val="000000" w:themeColor="text1"/>
          <w:sz w:val="24"/>
          <w:szCs w:val="24"/>
          <w:lang w:val="en-US"/>
        </w:rPr>
        <w:t>s</w:t>
      </w:r>
      <w:r w:rsidR="007347D5" w:rsidRPr="00BE5B44">
        <w:rPr>
          <w:rFonts w:ascii="Times New Roman" w:hAnsi="Times New Roman" w:cs="Times New Roman"/>
          <w:color w:val="000000" w:themeColor="text1"/>
          <w:sz w:val="24"/>
          <w:szCs w:val="24"/>
          <w:lang w:val="en-US"/>
        </w:rPr>
        <w:t xml:space="preserve"> in total confirmed </w:t>
      </w:r>
      <w:r w:rsidR="00024043" w:rsidRPr="00BE5B44">
        <w:rPr>
          <w:rFonts w:ascii="Times New Roman" w:hAnsi="Times New Roman" w:cs="Times New Roman"/>
          <w:color w:val="000000" w:themeColor="text1"/>
          <w:sz w:val="24"/>
          <w:szCs w:val="24"/>
          <w:lang w:val="en-US"/>
        </w:rPr>
        <w:t xml:space="preserve">Covid-19 </w:t>
      </w:r>
      <w:r w:rsidR="007347D5" w:rsidRPr="00BE5B44">
        <w:rPr>
          <w:rFonts w:ascii="Times New Roman" w:hAnsi="Times New Roman" w:cs="Times New Roman"/>
          <w:color w:val="000000" w:themeColor="text1"/>
          <w:sz w:val="24"/>
          <w:szCs w:val="24"/>
          <w:lang w:val="en-US"/>
        </w:rPr>
        <w:t>cases in C</w:t>
      </w:r>
      <w:r w:rsidR="00E4350E">
        <w:rPr>
          <w:rFonts w:ascii="Times New Roman" w:hAnsi="Times New Roman" w:cs="Times New Roman"/>
          <w:color w:val="000000" w:themeColor="text1"/>
          <w:sz w:val="24"/>
          <w:szCs w:val="24"/>
          <w:lang w:val="en-US"/>
        </w:rPr>
        <w:t>hina</w:t>
      </w:r>
      <w:r w:rsidR="007347D5" w:rsidRPr="00BE5B44">
        <w:rPr>
          <w:rFonts w:ascii="Times New Roman" w:hAnsi="Times New Roman" w:cs="Times New Roman"/>
          <w:color w:val="000000" w:themeColor="text1"/>
          <w:sz w:val="24"/>
          <w:szCs w:val="24"/>
          <w:lang w:val="en-US"/>
        </w:rPr>
        <w:t xml:space="preserve">, </w:t>
      </w:r>
      <w:r w:rsidR="00024043" w:rsidRPr="00BE5B44">
        <w:rPr>
          <w:rFonts w:ascii="Times New Roman" w:hAnsi="Times New Roman" w:cs="Times New Roman"/>
          <w:color w:val="000000" w:themeColor="text1"/>
          <w:sz w:val="24"/>
          <w:szCs w:val="24"/>
          <w:lang w:val="en-US"/>
        </w:rPr>
        <w:t xml:space="preserve">measured as </w:t>
      </w:r>
      <w:r w:rsidR="0094243D" w:rsidRPr="00BE5B44">
        <w:rPr>
          <w:rFonts w:ascii="Times New Roman" w:hAnsi="Times New Roman" w:cs="Times New Roman"/>
          <w:color w:val="000000" w:themeColor="text1"/>
          <w:sz w:val="24"/>
          <w:szCs w:val="24"/>
          <w:lang w:val="en-US"/>
        </w:rPr>
        <w:t xml:space="preserve">total </w:t>
      </w:r>
      <w:r w:rsidR="009F255E" w:rsidRPr="00BE5B44">
        <w:rPr>
          <w:rFonts w:ascii="Times New Roman" w:hAnsi="Times New Roman" w:cs="Times New Roman"/>
          <w:color w:val="000000" w:themeColor="text1"/>
          <w:sz w:val="24"/>
          <w:szCs w:val="24"/>
          <w:lang w:val="en-US"/>
        </w:rPr>
        <w:t xml:space="preserve">daily </w:t>
      </w:r>
      <w:r w:rsidR="0094243D" w:rsidRPr="00BE5B44">
        <w:rPr>
          <w:rFonts w:ascii="Times New Roman" w:hAnsi="Times New Roman" w:cs="Times New Roman"/>
          <w:color w:val="000000" w:themeColor="text1"/>
          <w:sz w:val="24"/>
          <w:szCs w:val="24"/>
          <w:lang w:val="en-US"/>
        </w:rPr>
        <w:t>death</w:t>
      </w:r>
      <w:r w:rsidR="007347D5" w:rsidRPr="00BE5B44">
        <w:rPr>
          <w:rFonts w:ascii="Times New Roman" w:hAnsi="Times New Roman" w:cs="Times New Roman"/>
          <w:color w:val="000000" w:themeColor="text1"/>
          <w:sz w:val="24"/>
          <w:szCs w:val="24"/>
          <w:lang w:val="en-US"/>
        </w:rPr>
        <w:t>s</w:t>
      </w:r>
      <w:r w:rsidR="00024043" w:rsidRPr="00BE5B44">
        <w:rPr>
          <w:rFonts w:ascii="Times New Roman" w:hAnsi="Times New Roman" w:cs="Times New Roman"/>
          <w:color w:val="000000" w:themeColor="text1"/>
          <w:sz w:val="24"/>
          <w:szCs w:val="24"/>
          <w:lang w:val="en-US"/>
        </w:rPr>
        <w:t xml:space="preserve"> and</w:t>
      </w:r>
      <w:r w:rsidR="0094243D" w:rsidRPr="00BE5B44">
        <w:rPr>
          <w:rFonts w:ascii="Times New Roman" w:hAnsi="Times New Roman" w:cs="Times New Roman"/>
          <w:color w:val="000000" w:themeColor="text1"/>
          <w:sz w:val="24"/>
          <w:szCs w:val="24"/>
          <w:lang w:val="en-US"/>
        </w:rPr>
        <w:t xml:space="preserve"> </w:t>
      </w:r>
      <w:r w:rsidR="00E4350E">
        <w:rPr>
          <w:rFonts w:ascii="Times New Roman" w:hAnsi="Times New Roman" w:cs="Times New Roman"/>
          <w:color w:val="000000" w:themeColor="text1"/>
          <w:sz w:val="24"/>
          <w:szCs w:val="24"/>
          <w:lang w:val="en-US"/>
        </w:rPr>
        <w:t>cases</w:t>
      </w:r>
      <w:r w:rsidR="00024043" w:rsidRPr="00BE5B44">
        <w:rPr>
          <w:rFonts w:ascii="Times New Roman" w:hAnsi="Times New Roman" w:cs="Times New Roman"/>
          <w:color w:val="000000" w:themeColor="text1"/>
          <w:sz w:val="24"/>
          <w:szCs w:val="24"/>
          <w:lang w:val="en-US"/>
        </w:rPr>
        <w:t xml:space="preserve">, </w:t>
      </w:r>
      <w:r w:rsidR="007347D5" w:rsidRPr="00BE5B44">
        <w:rPr>
          <w:rFonts w:ascii="Times New Roman" w:hAnsi="Times New Roman" w:cs="Times New Roman"/>
          <w:color w:val="000000" w:themeColor="text1"/>
          <w:sz w:val="24"/>
          <w:szCs w:val="24"/>
          <w:lang w:val="en-US"/>
        </w:rPr>
        <w:t xml:space="preserve">have </w:t>
      </w:r>
      <w:r w:rsidR="00024043" w:rsidRPr="00BE5B44">
        <w:rPr>
          <w:rFonts w:ascii="Times New Roman" w:hAnsi="Times New Roman" w:cs="Times New Roman"/>
          <w:color w:val="000000" w:themeColor="text1"/>
          <w:sz w:val="24"/>
          <w:szCs w:val="24"/>
          <w:lang w:val="en-US"/>
        </w:rPr>
        <w:t xml:space="preserve">a </w:t>
      </w:r>
      <w:r w:rsidR="007347D5" w:rsidRPr="00BE5B44">
        <w:rPr>
          <w:rFonts w:ascii="Times New Roman" w:hAnsi="Times New Roman" w:cs="Times New Roman"/>
          <w:color w:val="000000" w:themeColor="text1"/>
          <w:sz w:val="24"/>
          <w:szCs w:val="24"/>
          <w:lang w:val="en-US"/>
        </w:rPr>
        <w:t xml:space="preserve">significant negative impact on </w:t>
      </w:r>
      <w:r w:rsidR="0094243D" w:rsidRPr="00BE5B44">
        <w:rPr>
          <w:rFonts w:ascii="Times New Roman" w:hAnsi="Times New Roman" w:cs="Times New Roman"/>
          <w:color w:val="000000" w:themeColor="text1"/>
          <w:sz w:val="24"/>
          <w:szCs w:val="24"/>
          <w:lang w:val="en-US"/>
        </w:rPr>
        <w:t>stock returns</w:t>
      </w:r>
      <w:r w:rsidR="00BE5B44" w:rsidRPr="00BE5B44">
        <w:rPr>
          <w:rFonts w:ascii="Times New Roman" w:hAnsi="Times New Roman" w:cs="Times New Roman"/>
          <w:color w:val="000000" w:themeColor="text1"/>
          <w:sz w:val="24"/>
          <w:szCs w:val="24"/>
          <w:lang w:val="en-US"/>
        </w:rPr>
        <w:t>, with</w:t>
      </w:r>
      <w:r w:rsidR="00DF1CB7" w:rsidRPr="00BE5B44">
        <w:rPr>
          <w:rFonts w:ascii="Times New Roman" w:hAnsi="Times New Roman" w:cs="Times New Roman"/>
          <w:color w:val="000000" w:themeColor="text1"/>
          <w:sz w:val="24"/>
          <w:szCs w:val="24"/>
          <w:lang w:val="en-US"/>
        </w:rPr>
        <w:t xml:space="preserve"> the negative impact of the C</w:t>
      </w:r>
      <w:r w:rsidR="00024043" w:rsidRPr="00BE5B44">
        <w:rPr>
          <w:rFonts w:ascii="Times New Roman" w:hAnsi="Times New Roman" w:cs="Times New Roman"/>
          <w:color w:val="000000" w:themeColor="text1"/>
          <w:sz w:val="24"/>
          <w:szCs w:val="24"/>
          <w:lang w:val="en-US"/>
        </w:rPr>
        <w:t>ovid</w:t>
      </w:r>
      <w:r w:rsidR="00DF1CB7" w:rsidRPr="00BE5B44">
        <w:rPr>
          <w:rFonts w:ascii="Times New Roman" w:hAnsi="Times New Roman" w:cs="Times New Roman"/>
          <w:color w:val="000000" w:themeColor="text1"/>
          <w:sz w:val="24"/>
          <w:szCs w:val="24"/>
          <w:lang w:val="en-US"/>
        </w:rPr>
        <w:t xml:space="preserve">-19 on stock returns </w:t>
      </w:r>
      <w:r w:rsidR="00BE5B44" w:rsidRPr="00BE5B44">
        <w:rPr>
          <w:rFonts w:ascii="Times New Roman" w:hAnsi="Times New Roman" w:cs="Times New Roman"/>
          <w:color w:val="000000" w:themeColor="text1"/>
          <w:sz w:val="24"/>
          <w:szCs w:val="24"/>
          <w:lang w:val="en-US"/>
        </w:rPr>
        <w:t>being</w:t>
      </w:r>
      <w:r w:rsidR="00DF1CB7" w:rsidRPr="00BE5B44">
        <w:rPr>
          <w:rFonts w:ascii="Times New Roman" w:hAnsi="Times New Roman" w:cs="Times New Roman"/>
          <w:color w:val="000000" w:themeColor="text1"/>
          <w:sz w:val="24"/>
          <w:szCs w:val="24"/>
          <w:lang w:val="en-US"/>
        </w:rPr>
        <w:t xml:space="preserve"> more pronounced when total deaths proxy the effect of this infectious disease. </w:t>
      </w:r>
      <w:r w:rsidR="00024043" w:rsidRPr="00BE5B44">
        <w:rPr>
          <w:rFonts w:ascii="Times New Roman" w:hAnsi="Times New Roman" w:cs="Times New Roman"/>
          <w:color w:val="000000" w:themeColor="text1"/>
          <w:sz w:val="24"/>
          <w:szCs w:val="24"/>
          <w:lang w:val="en-US"/>
        </w:rPr>
        <w:t>The</w:t>
      </w:r>
      <w:r w:rsidR="006D61E8" w:rsidRPr="00BE5B44">
        <w:rPr>
          <w:rFonts w:ascii="Times New Roman" w:hAnsi="Times New Roman" w:cs="Times New Roman"/>
          <w:color w:val="000000" w:themeColor="text1"/>
          <w:sz w:val="24"/>
          <w:szCs w:val="24"/>
          <w:lang w:val="en-US"/>
        </w:rPr>
        <w:t xml:space="preserve"> </w:t>
      </w:r>
      <w:r w:rsidR="006D61E8" w:rsidRPr="00046CFF">
        <w:rPr>
          <w:rFonts w:ascii="Times New Roman" w:hAnsi="Times New Roman" w:cs="Times New Roman"/>
          <w:sz w:val="24"/>
          <w:szCs w:val="24"/>
          <w:lang w:val="en-US"/>
        </w:rPr>
        <w:t>results also document that C</w:t>
      </w:r>
      <w:r w:rsidR="00024043" w:rsidRPr="00046CFF">
        <w:rPr>
          <w:rFonts w:ascii="Times New Roman" w:hAnsi="Times New Roman" w:cs="Times New Roman"/>
          <w:sz w:val="24"/>
          <w:szCs w:val="24"/>
          <w:lang w:val="en-US"/>
        </w:rPr>
        <w:t>ovid</w:t>
      </w:r>
      <w:r w:rsidR="006D61E8" w:rsidRPr="00046CFF">
        <w:rPr>
          <w:rFonts w:ascii="Times New Roman" w:hAnsi="Times New Roman" w:cs="Times New Roman"/>
          <w:sz w:val="24"/>
          <w:szCs w:val="24"/>
          <w:lang w:val="en-US"/>
        </w:rPr>
        <w:t xml:space="preserve">-19 has a positive and statistically significant effect on </w:t>
      </w:r>
      <w:r w:rsidR="00024043" w:rsidRPr="00046CFF">
        <w:rPr>
          <w:rFonts w:ascii="Times New Roman" w:hAnsi="Times New Roman" w:cs="Times New Roman"/>
          <w:sz w:val="24"/>
          <w:szCs w:val="24"/>
          <w:lang w:val="en-US"/>
        </w:rPr>
        <w:t xml:space="preserve">the </w:t>
      </w:r>
      <w:r w:rsidR="006D61E8" w:rsidRPr="00046CFF">
        <w:rPr>
          <w:rFonts w:ascii="Times New Roman" w:hAnsi="Times New Roman" w:cs="Times New Roman"/>
          <w:sz w:val="24"/>
          <w:szCs w:val="24"/>
          <w:lang w:val="en-US"/>
        </w:rPr>
        <w:t xml:space="preserve">volatility of </w:t>
      </w:r>
      <w:r w:rsidR="00E4350E">
        <w:rPr>
          <w:rFonts w:ascii="Times New Roman" w:hAnsi="Times New Roman" w:cs="Times New Roman"/>
          <w:sz w:val="24"/>
          <w:szCs w:val="24"/>
          <w:lang w:val="en-US"/>
        </w:rPr>
        <w:t xml:space="preserve">these </w:t>
      </w:r>
      <w:r w:rsidR="006D61E8" w:rsidRPr="00046CFF">
        <w:rPr>
          <w:rFonts w:ascii="Times New Roman" w:hAnsi="Times New Roman" w:cs="Times New Roman"/>
          <w:sz w:val="24"/>
          <w:szCs w:val="24"/>
          <w:lang w:val="en-US"/>
        </w:rPr>
        <w:t xml:space="preserve">market returns. </w:t>
      </w:r>
      <w:r w:rsidR="00024043" w:rsidRPr="00046CFF">
        <w:rPr>
          <w:rFonts w:ascii="Times New Roman" w:hAnsi="Times New Roman" w:cs="Times New Roman"/>
          <w:sz w:val="24"/>
          <w:szCs w:val="24"/>
          <w:lang w:val="en-US"/>
        </w:rPr>
        <w:t xml:space="preserve">Overall, </w:t>
      </w:r>
      <w:r w:rsidR="00EA78F0" w:rsidRPr="00046CFF">
        <w:rPr>
          <w:rFonts w:ascii="Times New Roman" w:hAnsi="Times New Roman" w:cs="Times New Roman"/>
          <w:sz w:val="24"/>
          <w:szCs w:val="24"/>
          <w:lang w:val="en-US"/>
        </w:rPr>
        <w:t xml:space="preserve">new evidence </w:t>
      </w:r>
      <w:r w:rsidR="00024043" w:rsidRPr="00046CFF">
        <w:rPr>
          <w:rFonts w:ascii="Times New Roman" w:hAnsi="Times New Roman" w:cs="Times New Roman"/>
          <w:sz w:val="24"/>
          <w:szCs w:val="24"/>
          <w:lang w:val="en-US"/>
        </w:rPr>
        <w:t xml:space="preserve">is offered that </w:t>
      </w:r>
      <w:r w:rsidR="00EA78F0" w:rsidRPr="00046CFF">
        <w:rPr>
          <w:rFonts w:ascii="Times New Roman" w:hAnsi="Times New Roman" w:cs="Times New Roman"/>
          <w:sz w:val="24"/>
          <w:szCs w:val="24"/>
          <w:lang w:val="en-US"/>
        </w:rPr>
        <w:t>infectious disease</w:t>
      </w:r>
      <w:r w:rsidR="00024043" w:rsidRPr="00046CFF">
        <w:rPr>
          <w:rFonts w:ascii="Times New Roman" w:hAnsi="Times New Roman" w:cs="Times New Roman"/>
          <w:sz w:val="24"/>
          <w:szCs w:val="24"/>
          <w:lang w:val="en-US"/>
        </w:rPr>
        <w:t>s,</w:t>
      </w:r>
      <w:r w:rsidR="00EA78F0" w:rsidRPr="00046CFF">
        <w:rPr>
          <w:rFonts w:ascii="Times New Roman" w:hAnsi="Times New Roman" w:cs="Times New Roman"/>
          <w:sz w:val="24"/>
          <w:szCs w:val="24"/>
          <w:lang w:val="en-US"/>
        </w:rPr>
        <w:t xml:space="preserve"> such as C</w:t>
      </w:r>
      <w:r w:rsidR="00024043" w:rsidRPr="00046CFF">
        <w:rPr>
          <w:rFonts w:ascii="Times New Roman" w:hAnsi="Times New Roman" w:cs="Times New Roman"/>
          <w:sz w:val="24"/>
          <w:szCs w:val="24"/>
          <w:lang w:val="en-US"/>
        </w:rPr>
        <w:t>ovid</w:t>
      </w:r>
      <w:r w:rsidR="00EA78F0" w:rsidRPr="00046CFF">
        <w:rPr>
          <w:rFonts w:ascii="Times New Roman" w:hAnsi="Times New Roman" w:cs="Times New Roman"/>
          <w:sz w:val="24"/>
          <w:szCs w:val="24"/>
          <w:lang w:val="en-US"/>
        </w:rPr>
        <w:t>-19</w:t>
      </w:r>
      <w:r w:rsidR="00024043" w:rsidRPr="00046CFF">
        <w:rPr>
          <w:rFonts w:ascii="Times New Roman" w:hAnsi="Times New Roman" w:cs="Times New Roman"/>
          <w:sz w:val="24"/>
          <w:szCs w:val="24"/>
          <w:lang w:val="en-US"/>
        </w:rPr>
        <w:t>,</w:t>
      </w:r>
      <w:r w:rsidR="00EA78F0" w:rsidRPr="00046CFF">
        <w:rPr>
          <w:rFonts w:ascii="Times New Roman" w:hAnsi="Times New Roman" w:cs="Times New Roman"/>
          <w:sz w:val="24"/>
          <w:szCs w:val="24"/>
          <w:lang w:val="en-US"/>
        </w:rPr>
        <w:t xml:space="preserve"> can seriously impact market returns</w:t>
      </w:r>
      <w:r w:rsidR="00024043" w:rsidRPr="00046CFF">
        <w:rPr>
          <w:rFonts w:ascii="Times New Roman" w:hAnsi="Times New Roman" w:cs="Times New Roman"/>
          <w:sz w:val="24"/>
          <w:szCs w:val="24"/>
          <w:lang w:val="en-US"/>
        </w:rPr>
        <w:t>, as well as their</w:t>
      </w:r>
      <w:r w:rsidR="00EA78F0" w:rsidRPr="00046CFF">
        <w:rPr>
          <w:rFonts w:ascii="Times New Roman" w:hAnsi="Times New Roman" w:cs="Times New Roman"/>
          <w:sz w:val="24"/>
          <w:szCs w:val="24"/>
          <w:lang w:val="en-US"/>
        </w:rPr>
        <w:t xml:space="preserve"> volatility. </w:t>
      </w:r>
      <w:r w:rsidR="00024043" w:rsidRPr="00046CFF">
        <w:rPr>
          <w:rFonts w:ascii="Times New Roman" w:hAnsi="Times New Roman" w:cs="Times New Roman"/>
          <w:sz w:val="24"/>
          <w:szCs w:val="24"/>
          <w:lang w:val="en-US"/>
        </w:rPr>
        <w:t>The</w:t>
      </w:r>
      <w:r w:rsidR="00EA78F0" w:rsidRPr="00046CFF">
        <w:rPr>
          <w:rFonts w:ascii="Times New Roman" w:hAnsi="Times New Roman" w:cs="Times New Roman"/>
          <w:sz w:val="24"/>
          <w:szCs w:val="24"/>
          <w:lang w:val="en-US"/>
        </w:rPr>
        <w:t xml:space="preserve"> findings </w:t>
      </w:r>
      <w:r w:rsidR="00024043" w:rsidRPr="00046CFF">
        <w:rPr>
          <w:rFonts w:ascii="Times New Roman" w:hAnsi="Times New Roman" w:cs="Times New Roman"/>
          <w:sz w:val="24"/>
          <w:szCs w:val="24"/>
          <w:lang w:val="en-US"/>
        </w:rPr>
        <w:t>could be essential</w:t>
      </w:r>
      <w:r w:rsidR="00EA78F0" w:rsidRPr="00046CFF">
        <w:rPr>
          <w:rFonts w:ascii="Times New Roman" w:hAnsi="Times New Roman" w:cs="Times New Roman"/>
          <w:sz w:val="24"/>
          <w:szCs w:val="24"/>
          <w:lang w:val="en-US"/>
        </w:rPr>
        <w:t xml:space="preserve"> in understanding the implications of C</w:t>
      </w:r>
      <w:r w:rsidR="00024043" w:rsidRPr="00046CFF">
        <w:rPr>
          <w:rFonts w:ascii="Times New Roman" w:hAnsi="Times New Roman" w:cs="Times New Roman"/>
          <w:sz w:val="24"/>
          <w:szCs w:val="24"/>
          <w:lang w:val="en-US"/>
        </w:rPr>
        <w:t>ovid</w:t>
      </w:r>
      <w:r w:rsidR="00EA78F0" w:rsidRPr="00046CFF">
        <w:rPr>
          <w:rFonts w:ascii="Times New Roman" w:hAnsi="Times New Roman" w:cs="Times New Roman"/>
          <w:sz w:val="24"/>
          <w:szCs w:val="24"/>
          <w:lang w:val="en-US"/>
        </w:rPr>
        <w:t xml:space="preserve">-19 for the </w:t>
      </w:r>
      <w:r w:rsidR="00024043" w:rsidRPr="00046CFF">
        <w:rPr>
          <w:rFonts w:ascii="Times New Roman" w:hAnsi="Times New Roman" w:cs="Times New Roman"/>
          <w:sz w:val="24"/>
          <w:szCs w:val="24"/>
          <w:lang w:val="en-US"/>
        </w:rPr>
        <w:t xml:space="preserve">stock </w:t>
      </w:r>
      <w:r w:rsidR="00EA78F0" w:rsidRPr="00046CFF">
        <w:rPr>
          <w:rFonts w:ascii="Times New Roman" w:hAnsi="Times New Roman" w:cs="Times New Roman"/>
          <w:sz w:val="24"/>
          <w:szCs w:val="24"/>
          <w:lang w:val="en-US"/>
        </w:rPr>
        <w:t>market in C</w:t>
      </w:r>
      <w:r w:rsidR="00E4350E">
        <w:rPr>
          <w:rFonts w:ascii="Times New Roman" w:hAnsi="Times New Roman" w:cs="Times New Roman"/>
          <w:sz w:val="24"/>
          <w:szCs w:val="24"/>
          <w:lang w:val="en-US"/>
        </w:rPr>
        <w:t>hina</w:t>
      </w:r>
      <w:r w:rsidR="00EA78F0" w:rsidRPr="00046CFF">
        <w:rPr>
          <w:rFonts w:ascii="Times New Roman" w:hAnsi="Times New Roman" w:cs="Times New Roman"/>
          <w:sz w:val="24"/>
          <w:szCs w:val="24"/>
          <w:lang w:val="en-US"/>
        </w:rPr>
        <w:t xml:space="preserve">. </w:t>
      </w:r>
    </w:p>
    <w:p w14:paraId="7FCB616C" w14:textId="67D1BDA2" w:rsidR="008D7C0F" w:rsidRDefault="008D7C0F" w:rsidP="008D7C0F">
      <w:pPr>
        <w:spacing w:line="360" w:lineRule="auto"/>
        <w:jc w:val="both"/>
        <w:rPr>
          <w:rFonts w:ascii="Times New Roman" w:hAnsi="Times New Roman" w:cs="Times New Roman"/>
          <w:sz w:val="24"/>
          <w:szCs w:val="24"/>
          <w:lang w:val="en-US"/>
        </w:rPr>
      </w:pPr>
      <w:r w:rsidRPr="008B0C0D">
        <w:rPr>
          <w:rFonts w:ascii="Times New Roman" w:hAnsi="Times New Roman" w:cs="Times New Roman"/>
          <w:b/>
          <w:bCs/>
          <w:sz w:val="24"/>
          <w:szCs w:val="24"/>
          <w:lang w:val="en-US"/>
        </w:rPr>
        <w:t>Keywords</w:t>
      </w:r>
      <w:r>
        <w:rPr>
          <w:rFonts w:ascii="Times New Roman" w:hAnsi="Times New Roman" w:cs="Times New Roman"/>
          <w:sz w:val="24"/>
          <w:szCs w:val="24"/>
          <w:lang w:val="en-US"/>
        </w:rPr>
        <w:t>:</w:t>
      </w:r>
      <w:r w:rsidR="00F36275">
        <w:rPr>
          <w:rFonts w:ascii="Times New Roman" w:hAnsi="Times New Roman" w:cs="Times New Roman"/>
          <w:sz w:val="24"/>
          <w:szCs w:val="24"/>
          <w:lang w:val="en-US"/>
        </w:rPr>
        <w:t xml:space="preserve"> stock market returns; </w:t>
      </w:r>
      <w:r w:rsidR="00E81DE4">
        <w:rPr>
          <w:rFonts w:ascii="Times New Roman" w:hAnsi="Times New Roman" w:cs="Times New Roman"/>
          <w:sz w:val="24"/>
          <w:szCs w:val="24"/>
          <w:lang w:val="en-US"/>
        </w:rPr>
        <w:t>C</w:t>
      </w:r>
      <w:r w:rsidR="00024043">
        <w:rPr>
          <w:rFonts w:ascii="Times New Roman" w:hAnsi="Times New Roman" w:cs="Times New Roman"/>
          <w:sz w:val="24"/>
          <w:szCs w:val="24"/>
          <w:lang w:val="en-US"/>
        </w:rPr>
        <w:t>ovid</w:t>
      </w:r>
      <w:r w:rsidR="00F36275">
        <w:rPr>
          <w:rFonts w:ascii="Times New Roman" w:hAnsi="Times New Roman" w:cs="Times New Roman"/>
          <w:sz w:val="24"/>
          <w:szCs w:val="24"/>
          <w:lang w:val="en-US"/>
        </w:rPr>
        <w:t>-19; C</w:t>
      </w:r>
      <w:r w:rsidR="00E4350E">
        <w:rPr>
          <w:rFonts w:ascii="Times New Roman" w:hAnsi="Times New Roman" w:cs="Times New Roman"/>
          <w:sz w:val="24"/>
          <w:szCs w:val="24"/>
          <w:lang w:val="en-US"/>
        </w:rPr>
        <w:t>hina</w:t>
      </w:r>
      <w:r w:rsidR="00F36275">
        <w:rPr>
          <w:rFonts w:ascii="Times New Roman" w:hAnsi="Times New Roman" w:cs="Times New Roman"/>
          <w:sz w:val="24"/>
          <w:szCs w:val="24"/>
          <w:lang w:val="en-US"/>
        </w:rPr>
        <w:t>; GARCHX</w:t>
      </w:r>
      <w:r w:rsidR="00E969AD">
        <w:rPr>
          <w:rFonts w:ascii="Times New Roman" w:hAnsi="Times New Roman" w:cs="Times New Roman"/>
          <w:sz w:val="24"/>
          <w:szCs w:val="24"/>
          <w:lang w:val="en-US"/>
        </w:rPr>
        <w:t xml:space="preserve"> model</w:t>
      </w:r>
    </w:p>
    <w:p w14:paraId="23F55B75" w14:textId="23E1EBA1" w:rsidR="008D7C0F" w:rsidRDefault="008D7C0F" w:rsidP="008D7C0F">
      <w:pPr>
        <w:spacing w:line="360" w:lineRule="auto"/>
        <w:jc w:val="both"/>
        <w:rPr>
          <w:rFonts w:ascii="Times New Roman" w:hAnsi="Times New Roman" w:cs="Times New Roman"/>
          <w:sz w:val="24"/>
          <w:szCs w:val="24"/>
          <w:lang w:val="en-US"/>
        </w:rPr>
      </w:pPr>
      <w:r w:rsidRPr="008B0C0D">
        <w:rPr>
          <w:rFonts w:ascii="Times New Roman" w:hAnsi="Times New Roman" w:cs="Times New Roman"/>
          <w:b/>
          <w:bCs/>
          <w:sz w:val="24"/>
          <w:szCs w:val="24"/>
          <w:lang w:val="en-US"/>
        </w:rPr>
        <w:t>JEL Classification</w:t>
      </w:r>
      <w:r>
        <w:rPr>
          <w:rFonts w:ascii="Times New Roman" w:hAnsi="Times New Roman" w:cs="Times New Roman"/>
          <w:sz w:val="24"/>
          <w:szCs w:val="24"/>
          <w:lang w:val="en-US"/>
        </w:rPr>
        <w:t>:</w:t>
      </w:r>
      <w:r w:rsidR="00DB27AE">
        <w:rPr>
          <w:rFonts w:ascii="Times New Roman" w:hAnsi="Times New Roman" w:cs="Times New Roman"/>
          <w:sz w:val="24"/>
          <w:szCs w:val="24"/>
          <w:lang w:val="en-US"/>
        </w:rPr>
        <w:t xml:space="preserve"> G12; Q54</w:t>
      </w:r>
      <w:r w:rsidR="007405BD">
        <w:rPr>
          <w:rFonts w:ascii="Times New Roman" w:hAnsi="Times New Roman" w:cs="Times New Roman"/>
          <w:sz w:val="24"/>
          <w:szCs w:val="24"/>
          <w:lang w:val="en-US"/>
        </w:rPr>
        <w:t xml:space="preserve"> </w:t>
      </w:r>
    </w:p>
    <w:p w14:paraId="42600493" w14:textId="7256374C" w:rsidR="00F53415" w:rsidRDefault="00F53415">
      <w:pPr>
        <w:rPr>
          <w:rFonts w:ascii="Times New Roman" w:eastAsiaTheme="majorEastAsia" w:hAnsi="Times New Roman" w:cstheme="majorBidi"/>
          <w:b/>
          <w:bCs/>
          <w:sz w:val="24"/>
          <w:szCs w:val="24"/>
          <w:lang w:val="en-US"/>
        </w:rPr>
      </w:pPr>
    </w:p>
    <w:p w14:paraId="5300F214" w14:textId="29787F43" w:rsidR="008D7C0F" w:rsidRPr="00024043" w:rsidRDefault="008B0C0D" w:rsidP="004D0FDA">
      <w:pPr>
        <w:pStyle w:val="Heading1"/>
        <w:numPr>
          <w:ilvl w:val="0"/>
          <w:numId w:val="0"/>
        </w:numPr>
      </w:pPr>
      <w:r>
        <w:t>I</w:t>
      </w:r>
      <w:r w:rsidR="004D0FDA">
        <w:t xml:space="preserve">. </w:t>
      </w:r>
      <w:r w:rsidR="008D7C0F" w:rsidRPr="00024043">
        <w:t>Introduction</w:t>
      </w:r>
    </w:p>
    <w:p w14:paraId="5FBE2535" w14:textId="39098E2B" w:rsidR="000F30D9" w:rsidRDefault="00252268" w:rsidP="008B0C0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Much of the current attention has shifted to </w:t>
      </w:r>
      <w:r w:rsidR="00024043">
        <w:rPr>
          <w:rFonts w:ascii="Times New Roman" w:hAnsi="Times New Roman" w:cs="Times New Roman"/>
          <w:sz w:val="24"/>
          <w:szCs w:val="24"/>
          <w:lang w:val="en-US"/>
        </w:rPr>
        <w:t xml:space="preserve">the </w:t>
      </w:r>
      <w:r w:rsidR="00C62494">
        <w:rPr>
          <w:rFonts w:ascii="Times New Roman" w:hAnsi="Times New Roman" w:cs="Times New Roman"/>
          <w:sz w:val="24"/>
          <w:szCs w:val="24"/>
          <w:lang w:val="en-US"/>
        </w:rPr>
        <w:t xml:space="preserve">global </w:t>
      </w:r>
      <w:r>
        <w:rPr>
          <w:rFonts w:ascii="Times New Roman" w:hAnsi="Times New Roman" w:cs="Times New Roman"/>
          <w:sz w:val="24"/>
          <w:szCs w:val="24"/>
          <w:lang w:val="en-US"/>
        </w:rPr>
        <w:t xml:space="preserve">coronavirus </w:t>
      </w:r>
      <w:r w:rsidR="00C62494">
        <w:rPr>
          <w:rFonts w:ascii="Times New Roman" w:hAnsi="Times New Roman" w:cs="Times New Roman"/>
          <w:sz w:val="24"/>
          <w:szCs w:val="24"/>
          <w:lang w:val="en-US"/>
        </w:rPr>
        <w:t>outbreak that commenced in</w:t>
      </w:r>
      <w:r w:rsidR="00C62494" w:rsidRPr="00C62494">
        <w:rPr>
          <w:rFonts w:ascii="Times New Roman" w:hAnsi="Times New Roman" w:cs="Times New Roman"/>
          <w:sz w:val="24"/>
          <w:szCs w:val="24"/>
          <w:lang w:val="en-US"/>
        </w:rPr>
        <w:t xml:space="preserve"> </w:t>
      </w:r>
      <w:r w:rsidR="00C62494">
        <w:rPr>
          <w:rFonts w:ascii="Times New Roman" w:hAnsi="Times New Roman" w:cs="Times New Roman"/>
          <w:sz w:val="24"/>
          <w:szCs w:val="24"/>
          <w:lang w:val="en-US"/>
        </w:rPr>
        <w:t>December</w:t>
      </w:r>
      <w:r w:rsidR="00C62494" w:rsidRPr="00902573">
        <w:rPr>
          <w:rFonts w:ascii="Times New Roman" w:hAnsi="Times New Roman" w:cs="Times New Roman"/>
          <w:sz w:val="24"/>
          <w:szCs w:val="24"/>
          <w:lang w:val="en-US"/>
        </w:rPr>
        <w:t xml:space="preserve"> 20</w:t>
      </w:r>
      <w:r w:rsidR="00C62494">
        <w:rPr>
          <w:rFonts w:ascii="Times New Roman" w:hAnsi="Times New Roman" w:cs="Times New Roman"/>
          <w:sz w:val="24"/>
          <w:szCs w:val="24"/>
          <w:lang w:val="en-US"/>
        </w:rPr>
        <w:t xml:space="preserve">19 from Wuhan, </w:t>
      </w:r>
      <w:r w:rsidR="00C62494" w:rsidRPr="00C62494">
        <w:rPr>
          <w:rFonts w:ascii="Times New Roman" w:hAnsi="Times New Roman" w:cs="Times New Roman"/>
          <w:sz w:val="24"/>
          <w:szCs w:val="24"/>
          <w:lang w:val="en-US"/>
        </w:rPr>
        <w:t>the capital city of Hubei province in China</w:t>
      </w:r>
      <w:r>
        <w:rPr>
          <w:rFonts w:ascii="Times New Roman" w:hAnsi="Times New Roman" w:cs="Times New Roman"/>
          <w:sz w:val="24"/>
          <w:szCs w:val="24"/>
          <w:lang w:val="en-US"/>
        </w:rPr>
        <w:t xml:space="preserve">. </w:t>
      </w:r>
      <w:r w:rsidR="005A20B3">
        <w:rPr>
          <w:rFonts w:ascii="Times New Roman" w:hAnsi="Times New Roman" w:cs="Times New Roman"/>
          <w:sz w:val="24"/>
          <w:szCs w:val="24"/>
          <w:lang w:val="en-US"/>
        </w:rPr>
        <w:t xml:space="preserve">The World Health Organization (WHO) officially declared </w:t>
      </w:r>
      <w:r w:rsidR="00E81DE4">
        <w:rPr>
          <w:rFonts w:ascii="Times New Roman" w:hAnsi="Times New Roman" w:cs="Times New Roman"/>
          <w:sz w:val="24"/>
          <w:szCs w:val="24"/>
          <w:lang w:val="en-US"/>
        </w:rPr>
        <w:t>C</w:t>
      </w:r>
      <w:r w:rsidR="00024043">
        <w:rPr>
          <w:rFonts w:ascii="Times New Roman" w:hAnsi="Times New Roman" w:cs="Times New Roman"/>
          <w:sz w:val="24"/>
          <w:szCs w:val="24"/>
          <w:lang w:val="en-US"/>
        </w:rPr>
        <w:t>ovid</w:t>
      </w:r>
      <w:r w:rsidR="005A20B3">
        <w:rPr>
          <w:rFonts w:ascii="Times New Roman" w:hAnsi="Times New Roman" w:cs="Times New Roman"/>
          <w:sz w:val="24"/>
          <w:szCs w:val="24"/>
          <w:lang w:val="en-US"/>
        </w:rPr>
        <w:t>-19</w:t>
      </w:r>
      <w:r w:rsidR="00CB5362">
        <w:rPr>
          <w:rFonts w:ascii="Times New Roman" w:hAnsi="Times New Roman" w:cs="Times New Roman"/>
          <w:sz w:val="24"/>
          <w:szCs w:val="24"/>
          <w:lang w:val="en-US"/>
        </w:rPr>
        <w:t xml:space="preserve"> </w:t>
      </w:r>
      <w:r w:rsidR="005A20B3">
        <w:rPr>
          <w:rFonts w:ascii="Times New Roman" w:hAnsi="Times New Roman" w:cs="Times New Roman"/>
          <w:sz w:val="24"/>
          <w:szCs w:val="24"/>
          <w:lang w:val="en-US"/>
        </w:rPr>
        <w:t xml:space="preserve">(an infectious disease caused by novel coronavirus) outbreak to be a global pandemic on March 11, 2020. </w:t>
      </w:r>
      <w:r w:rsidR="00245BBF">
        <w:rPr>
          <w:rFonts w:ascii="Times New Roman" w:hAnsi="Times New Roman" w:cs="Times New Roman"/>
          <w:sz w:val="24"/>
          <w:szCs w:val="24"/>
          <w:lang w:val="en-US"/>
        </w:rPr>
        <w:t>In particular, C</w:t>
      </w:r>
      <w:r w:rsidR="00024043">
        <w:rPr>
          <w:rFonts w:ascii="Times New Roman" w:hAnsi="Times New Roman" w:cs="Times New Roman"/>
          <w:sz w:val="24"/>
          <w:szCs w:val="24"/>
          <w:lang w:val="en-US"/>
        </w:rPr>
        <w:t>ovid</w:t>
      </w:r>
      <w:r w:rsidR="00245BBF">
        <w:rPr>
          <w:rFonts w:ascii="Times New Roman" w:hAnsi="Times New Roman" w:cs="Times New Roman"/>
          <w:sz w:val="24"/>
          <w:szCs w:val="24"/>
          <w:lang w:val="en-US"/>
        </w:rPr>
        <w:t xml:space="preserve">-19 has put significant pressure on financial and </w:t>
      </w:r>
      <w:proofErr w:type="spellStart"/>
      <w:r w:rsidR="00245BBF">
        <w:rPr>
          <w:rFonts w:ascii="Times New Roman" w:hAnsi="Times New Roman" w:cs="Times New Roman"/>
          <w:sz w:val="24"/>
          <w:szCs w:val="24"/>
          <w:lang w:val="en-US"/>
        </w:rPr>
        <w:t>labo</w:t>
      </w:r>
      <w:r w:rsidR="00024043">
        <w:rPr>
          <w:rFonts w:ascii="Times New Roman" w:hAnsi="Times New Roman" w:cs="Times New Roman"/>
          <w:sz w:val="24"/>
          <w:szCs w:val="24"/>
          <w:lang w:val="en-US"/>
        </w:rPr>
        <w:t>u</w:t>
      </w:r>
      <w:r w:rsidR="00245BBF">
        <w:rPr>
          <w:rFonts w:ascii="Times New Roman" w:hAnsi="Times New Roman" w:cs="Times New Roman"/>
          <w:sz w:val="24"/>
          <w:szCs w:val="24"/>
          <w:lang w:val="en-US"/>
        </w:rPr>
        <w:t>r</w:t>
      </w:r>
      <w:proofErr w:type="spellEnd"/>
      <w:r w:rsidR="00245BBF">
        <w:rPr>
          <w:rFonts w:ascii="Times New Roman" w:hAnsi="Times New Roman" w:cs="Times New Roman"/>
          <w:sz w:val="24"/>
          <w:szCs w:val="24"/>
          <w:lang w:val="en-US"/>
        </w:rPr>
        <w:t xml:space="preserve"> markets worldwide</w:t>
      </w:r>
      <w:r w:rsidR="00024043">
        <w:rPr>
          <w:rFonts w:ascii="Times New Roman" w:hAnsi="Times New Roman" w:cs="Times New Roman"/>
          <w:sz w:val="24"/>
          <w:szCs w:val="24"/>
          <w:lang w:val="en-US"/>
        </w:rPr>
        <w:t>,</w:t>
      </w:r>
      <w:r w:rsidR="00245BBF">
        <w:rPr>
          <w:rFonts w:ascii="Times New Roman" w:hAnsi="Times New Roman" w:cs="Times New Roman"/>
          <w:sz w:val="24"/>
          <w:szCs w:val="24"/>
          <w:lang w:val="en-US"/>
        </w:rPr>
        <w:t xml:space="preserve"> leading to an unprecedented financial and health crisis. </w:t>
      </w:r>
      <w:r w:rsidR="004D3958">
        <w:rPr>
          <w:rFonts w:ascii="Times New Roman" w:hAnsi="Times New Roman" w:cs="Times New Roman"/>
          <w:sz w:val="24"/>
          <w:szCs w:val="24"/>
          <w:lang w:val="en-US"/>
        </w:rPr>
        <w:t xml:space="preserve">It is expected </w:t>
      </w:r>
      <w:r w:rsidR="00245BBF">
        <w:rPr>
          <w:rFonts w:ascii="Times New Roman" w:hAnsi="Times New Roman" w:cs="Times New Roman"/>
          <w:sz w:val="24"/>
          <w:szCs w:val="24"/>
          <w:lang w:val="en-US"/>
        </w:rPr>
        <w:t xml:space="preserve">that the global economy will experience the worst coronavirus recession since the Great </w:t>
      </w:r>
      <w:r w:rsidR="00024043">
        <w:rPr>
          <w:rFonts w:ascii="Times New Roman" w:hAnsi="Times New Roman" w:cs="Times New Roman"/>
          <w:sz w:val="24"/>
          <w:szCs w:val="24"/>
          <w:lang w:val="en-US"/>
        </w:rPr>
        <w:t>D</w:t>
      </w:r>
      <w:r w:rsidR="00245BBF">
        <w:rPr>
          <w:rFonts w:ascii="Times New Roman" w:hAnsi="Times New Roman" w:cs="Times New Roman"/>
          <w:sz w:val="24"/>
          <w:szCs w:val="24"/>
          <w:lang w:val="en-US"/>
        </w:rPr>
        <w:t>epression</w:t>
      </w:r>
      <w:r w:rsidR="004D3958">
        <w:rPr>
          <w:rFonts w:ascii="Times New Roman" w:hAnsi="Times New Roman" w:cs="Times New Roman"/>
          <w:sz w:val="24"/>
          <w:szCs w:val="24"/>
          <w:lang w:val="en-US"/>
        </w:rPr>
        <w:t xml:space="preserve"> (</w:t>
      </w:r>
      <w:r w:rsidR="004E7E7B">
        <w:rPr>
          <w:rFonts w:ascii="Times New Roman" w:hAnsi="Times New Roman" w:cs="Times New Roman"/>
          <w:sz w:val="24"/>
          <w:szCs w:val="24"/>
          <w:lang w:val="en-US"/>
        </w:rPr>
        <w:t xml:space="preserve">IMF, </w:t>
      </w:r>
      <w:r w:rsidR="004D3958">
        <w:rPr>
          <w:rFonts w:ascii="Times New Roman" w:hAnsi="Times New Roman" w:cs="Times New Roman"/>
          <w:sz w:val="24"/>
          <w:szCs w:val="24"/>
          <w:lang w:val="en-US"/>
        </w:rPr>
        <w:t>2020)</w:t>
      </w:r>
      <w:r w:rsidR="004D3958" w:rsidRPr="004D3958">
        <w:rPr>
          <w:rStyle w:val="FootnoteReference"/>
          <w:rFonts w:ascii="Times New Roman" w:hAnsi="Times New Roman" w:cs="Times New Roman"/>
          <w:sz w:val="24"/>
          <w:szCs w:val="24"/>
          <w:lang w:val="en-US"/>
        </w:rPr>
        <w:t xml:space="preserve"> </w:t>
      </w:r>
      <w:r w:rsidR="004D3958">
        <w:rPr>
          <w:rStyle w:val="FootnoteReference"/>
          <w:rFonts w:ascii="Times New Roman" w:hAnsi="Times New Roman" w:cs="Times New Roman"/>
          <w:sz w:val="24"/>
          <w:szCs w:val="24"/>
          <w:lang w:val="en-US"/>
        </w:rPr>
        <w:footnoteReference w:id="1"/>
      </w:r>
      <w:r w:rsidR="004D3958">
        <w:rPr>
          <w:rFonts w:ascii="Times New Roman" w:hAnsi="Times New Roman" w:cs="Times New Roman"/>
          <w:sz w:val="24"/>
          <w:szCs w:val="24"/>
          <w:lang w:val="en-US"/>
        </w:rPr>
        <w:t xml:space="preserve">. </w:t>
      </w:r>
      <w:r w:rsidR="004E7E7B">
        <w:rPr>
          <w:rFonts w:ascii="Times New Roman" w:hAnsi="Times New Roman" w:cs="Times New Roman"/>
          <w:sz w:val="24"/>
          <w:szCs w:val="24"/>
          <w:lang w:val="en-US"/>
        </w:rPr>
        <w:t>It is noteworthy that the C</w:t>
      </w:r>
      <w:r w:rsidR="00E4350E">
        <w:rPr>
          <w:rFonts w:ascii="Times New Roman" w:hAnsi="Times New Roman" w:cs="Times New Roman"/>
          <w:sz w:val="24"/>
          <w:szCs w:val="24"/>
          <w:lang w:val="en-US"/>
        </w:rPr>
        <w:t>hinese</w:t>
      </w:r>
      <w:r w:rsidR="004E7E7B">
        <w:rPr>
          <w:rFonts w:ascii="Times New Roman" w:hAnsi="Times New Roman" w:cs="Times New Roman"/>
          <w:sz w:val="24"/>
          <w:szCs w:val="24"/>
          <w:lang w:val="en-US"/>
        </w:rPr>
        <w:t xml:space="preserve"> stock market is </w:t>
      </w:r>
      <w:r w:rsidR="004E7E7B">
        <w:rPr>
          <w:rFonts w:ascii="Times New Roman" w:hAnsi="Times New Roman" w:cs="Times New Roman"/>
          <w:sz w:val="24"/>
          <w:szCs w:val="24"/>
          <w:lang w:val="en-US"/>
        </w:rPr>
        <w:lastRenderedPageBreak/>
        <w:t xml:space="preserve">one of the largest markets worldwide. </w:t>
      </w:r>
      <w:r w:rsidR="00024043">
        <w:rPr>
          <w:rFonts w:ascii="Times New Roman" w:hAnsi="Times New Roman" w:cs="Times New Roman"/>
          <w:sz w:val="24"/>
          <w:szCs w:val="24"/>
          <w:lang w:val="en-US"/>
        </w:rPr>
        <w:t xml:space="preserve">This work </w:t>
      </w:r>
      <w:r w:rsidR="004E7E7B">
        <w:rPr>
          <w:rFonts w:ascii="Times New Roman" w:hAnsi="Times New Roman" w:cs="Times New Roman"/>
          <w:sz w:val="24"/>
          <w:szCs w:val="24"/>
          <w:lang w:val="en-US"/>
        </w:rPr>
        <w:t>address</w:t>
      </w:r>
      <w:r w:rsidR="00024043">
        <w:rPr>
          <w:rFonts w:ascii="Times New Roman" w:hAnsi="Times New Roman" w:cs="Times New Roman"/>
          <w:sz w:val="24"/>
          <w:szCs w:val="24"/>
          <w:lang w:val="en-US"/>
        </w:rPr>
        <w:t>es</w:t>
      </w:r>
      <w:r w:rsidR="004E7E7B">
        <w:rPr>
          <w:rFonts w:ascii="Times New Roman" w:hAnsi="Times New Roman" w:cs="Times New Roman"/>
          <w:sz w:val="24"/>
          <w:szCs w:val="24"/>
          <w:lang w:val="en-US"/>
        </w:rPr>
        <w:t xml:space="preserve"> </w:t>
      </w:r>
      <w:r w:rsidR="00046CFF">
        <w:rPr>
          <w:rFonts w:ascii="Times New Roman" w:hAnsi="Times New Roman" w:cs="Times New Roman"/>
          <w:sz w:val="24"/>
          <w:szCs w:val="24"/>
          <w:lang w:val="en-US"/>
        </w:rPr>
        <w:t>a new</w:t>
      </w:r>
      <w:r w:rsidR="004E7E7B">
        <w:rPr>
          <w:rFonts w:ascii="Times New Roman" w:hAnsi="Times New Roman" w:cs="Times New Roman"/>
          <w:sz w:val="24"/>
          <w:szCs w:val="24"/>
          <w:lang w:val="en-US"/>
        </w:rPr>
        <w:t xml:space="preserve"> very vital question</w:t>
      </w:r>
      <w:r w:rsidR="00024043">
        <w:rPr>
          <w:rFonts w:ascii="Times New Roman" w:hAnsi="Times New Roman" w:cs="Times New Roman"/>
          <w:sz w:val="24"/>
          <w:szCs w:val="24"/>
          <w:lang w:val="en-US"/>
        </w:rPr>
        <w:t>,</w:t>
      </w:r>
      <w:r w:rsidR="004E7E7B">
        <w:rPr>
          <w:rFonts w:ascii="Times New Roman" w:hAnsi="Times New Roman" w:cs="Times New Roman"/>
          <w:sz w:val="24"/>
          <w:szCs w:val="24"/>
          <w:lang w:val="en-US"/>
        </w:rPr>
        <w:t xml:space="preserve"> which </w:t>
      </w:r>
      <w:r w:rsidR="00024043">
        <w:rPr>
          <w:rFonts w:ascii="Times New Roman" w:hAnsi="Times New Roman" w:cs="Times New Roman"/>
          <w:sz w:val="24"/>
          <w:szCs w:val="24"/>
          <w:lang w:val="en-US"/>
        </w:rPr>
        <w:t xml:space="preserve">could </w:t>
      </w:r>
      <w:r w:rsidR="004E7E7B">
        <w:rPr>
          <w:rFonts w:ascii="Times New Roman" w:hAnsi="Times New Roman" w:cs="Times New Roman"/>
          <w:sz w:val="24"/>
          <w:szCs w:val="24"/>
          <w:lang w:val="en-US"/>
        </w:rPr>
        <w:t>shed light on C</w:t>
      </w:r>
      <w:r w:rsidR="00E4350E">
        <w:rPr>
          <w:rFonts w:ascii="Times New Roman" w:hAnsi="Times New Roman" w:cs="Times New Roman"/>
          <w:sz w:val="24"/>
          <w:szCs w:val="24"/>
          <w:lang w:val="en-US"/>
        </w:rPr>
        <w:t>hina</w:t>
      </w:r>
      <w:r w:rsidR="004E7E7B">
        <w:rPr>
          <w:rFonts w:ascii="Times New Roman" w:hAnsi="Times New Roman" w:cs="Times New Roman"/>
          <w:sz w:val="24"/>
          <w:szCs w:val="24"/>
          <w:lang w:val="en-US"/>
        </w:rPr>
        <w:t>’s current financial markets</w:t>
      </w:r>
      <w:r w:rsidR="00046CFF">
        <w:rPr>
          <w:rFonts w:ascii="Times New Roman" w:hAnsi="Times New Roman" w:cs="Times New Roman"/>
          <w:sz w:val="24"/>
          <w:szCs w:val="24"/>
          <w:lang w:val="en-US"/>
        </w:rPr>
        <w:t xml:space="preserve"> trends</w:t>
      </w:r>
      <w:r w:rsidR="00E82417">
        <w:rPr>
          <w:rFonts w:ascii="Times New Roman" w:hAnsi="Times New Roman" w:cs="Times New Roman"/>
          <w:sz w:val="24"/>
          <w:szCs w:val="24"/>
          <w:lang w:val="en-US"/>
        </w:rPr>
        <w:t>:</w:t>
      </w:r>
      <w:r w:rsidR="004E7E7B">
        <w:rPr>
          <w:rFonts w:ascii="Times New Roman" w:hAnsi="Times New Roman" w:cs="Times New Roman"/>
          <w:sz w:val="24"/>
          <w:szCs w:val="24"/>
          <w:lang w:val="en-US"/>
        </w:rPr>
        <w:t xml:space="preserve"> </w:t>
      </w:r>
      <w:r w:rsidR="00E82417">
        <w:rPr>
          <w:rFonts w:ascii="Times New Roman" w:hAnsi="Times New Roman" w:cs="Times New Roman"/>
          <w:sz w:val="24"/>
          <w:szCs w:val="24"/>
          <w:lang w:val="en-US"/>
        </w:rPr>
        <w:t>w</w:t>
      </w:r>
      <w:r w:rsidR="00024043">
        <w:rPr>
          <w:rFonts w:ascii="Times New Roman" w:hAnsi="Times New Roman" w:cs="Times New Roman"/>
          <w:sz w:val="24"/>
          <w:szCs w:val="24"/>
          <w:lang w:val="en-US"/>
        </w:rPr>
        <w:t>hether</w:t>
      </w:r>
      <w:r w:rsidR="004E7E7B">
        <w:rPr>
          <w:rFonts w:ascii="Times New Roman" w:hAnsi="Times New Roman" w:cs="Times New Roman"/>
          <w:sz w:val="24"/>
          <w:szCs w:val="24"/>
          <w:lang w:val="en-US"/>
        </w:rPr>
        <w:t xml:space="preserve"> the recent C</w:t>
      </w:r>
      <w:r w:rsidR="00024043">
        <w:rPr>
          <w:rFonts w:ascii="Times New Roman" w:hAnsi="Times New Roman" w:cs="Times New Roman"/>
          <w:sz w:val="24"/>
          <w:szCs w:val="24"/>
          <w:lang w:val="en-US"/>
        </w:rPr>
        <w:t>ovid</w:t>
      </w:r>
      <w:r w:rsidR="004E7E7B">
        <w:rPr>
          <w:rFonts w:ascii="Times New Roman" w:hAnsi="Times New Roman" w:cs="Times New Roman"/>
          <w:sz w:val="24"/>
          <w:szCs w:val="24"/>
          <w:lang w:val="en-US"/>
        </w:rPr>
        <w:t xml:space="preserve">-19 </w:t>
      </w:r>
      <w:r w:rsidR="00024043">
        <w:rPr>
          <w:rFonts w:ascii="Times New Roman" w:hAnsi="Times New Roman" w:cs="Times New Roman"/>
          <w:sz w:val="24"/>
          <w:szCs w:val="24"/>
          <w:lang w:val="en-US"/>
        </w:rPr>
        <w:t xml:space="preserve">pandemic </w:t>
      </w:r>
      <w:r w:rsidR="004E7E7B">
        <w:rPr>
          <w:rFonts w:ascii="Times New Roman" w:hAnsi="Times New Roman" w:cs="Times New Roman"/>
          <w:sz w:val="24"/>
          <w:szCs w:val="24"/>
          <w:lang w:val="en-US"/>
        </w:rPr>
        <w:t>le</w:t>
      </w:r>
      <w:r w:rsidR="00024043">
        <w:rPr>
          <w:rFonts w:ascii="Times New Roman" w:hAnsi="Times New Roman" w:cs="Times New Roman"/>
          <w:sz w:val="24"/>
          <w:szCs w:val="24"/>
          <w:lang w:val="en-US"/>
        </w:rPr>
        <w:t>a</w:t>
      </w:r>
      <w:r w:rsidR="004E7E7B">
        <w:rPr>
          <w:rFonts w:ascii="Times New Roman" w:hAnsi="Times New Roman" w:cs="Times New Roman"/>
          <w:sz w:val="24"/>
          <w:szCs w:val="24"/>
          <w:lang w:val="en-US"/>
        </w:rPr>
        <w:t>d</w:t>
      </w:r>
      <w:r w:rsidR="00024043">
        <w:rPr>
          <w:rFonts w:ascii="Times New Roman" w:hAnsi="Times New Roman" w:cs="Times New Roman"/>
          <w:sz w:val="24"/>
          <w:szCs w:val="24"/>
          <w:lang w:val="en-US"/>
        </w:rPr>
        <w:t>s</w:t>
      </w:r>
      <w:r w:rsidR="004E7E7B">
        <w:rPr>
          <w:rFonts w:ascii="Times New Roman" w:hAnsi="Times New Roman" w:cs="Times New Roman"/>
          <w:sz w:val="24"/>
          <w:szCs w:val="24"/>
          <w:lang w:val="en-US"/>
        </w:rPr>
        <w:t xml:space="preserve"> to significant adverse effects on stock market returns and </w:t>
      </w:r>
      <w:r w:rsidR="00024043">
        <w:rPr>
          <w:rFonts w:ascii="Times New Roman" w:hAnsi="Times New Roman" w:cs="Times New Roman"/>
          <w:sz w:val="24"/>
          <w:szCs w:val="24"/>
          <w:lang w:val="en-US"/>
        </w:rPr>
        <w:t xml:space="preserve">their associated </w:t>
      </w:r>
      <w:r w:rsidR="004E7E7B">
        <w:rPr>
          <w:rFonts w:ascii="Times New Roman" w:hAnsi="Times New Roman" w:cs="Times New Roman"/>
          <w:sz w:val="24"/>
          <w:szCs w:val="24"/>
          <w:lang w:val="en-US"/>
        </w:rPr>
        <w:t xml:space="preserve">volatility. </w:t>
      </w:r>
      <w:r w:rsidR="008613D1">
        <w:rPr>
          <w:rFonts w:ascii="Times New Roman" w:hAnsi="Times New Roman" w:cs="Times New Roman"/>
          <w:sz w:val="24"/>
          <w:szCs w:val="24"/>
          <w:lang w:val="en-US"/>
        </w:rPr>
        <w:t>The findings</w:t>
      </w:r>
      <w:r w:rsidR="00EA78F0">
        <w:rPr>
          <w:rFonts w:ascii="Times New Roman" w:hAnsi="Times New Roman" w:cs="Times New Roman"/>
          <w:sz w:val="24"/>
          <w:szCs w:val="24"/>
          <w:lang w:val="en-US"/>
        </w:rPr>
        <w:t xml:space="preserve"> provide new evidence that infectious disease</w:t>
      </w:r>
      <w:r w:rsidR="008613D1">
        <w:rPr>
          <w:rFonts w:ascii="Times New Roman" w:hAnsi="Times New Roman" w:cs="Times New Roman"/>
          <w:sz w:val="24"/>
          <w:szCs w:val="24"/>
          <w:lang w:val="en-US"/>
        </w:rPr>
        <w:t>s,</w:t>
      </w:r>
      <w:r w:rsidR="00EA78F0">
        <w:rPr>
          <w:rFonts w:ascii="Times New Roman" w:hAnsi="Times New Roman" w:cs="Times New Roman"/>
          <w:sz w:val="24"/>
          <w:szCs w:val="24"/>
          <w:lang w:val="en-US"/>
        </w:rPr>
        <w:t xml:space="preserve"> such as C</w:t>
      </w:r>
      <w:r w:rsidR="008613D1">
        <w:rPr>
          <w:rFonts w:ascii="Times New Roman" w:hAnsi="Times New Roman" w:cs="Times New Roman"/>
          <w:sz w:val="24"/>
          <w:szCs w:val="24"/>
          <w:lang w:val="en-US"/>
        </w:rPr>
        <w:t>ovid</w:t>
      </w:r>
      <w:r w:rsidR="00EA78F0">
        <w:rPr>
          <w:rFonts w:ascii="Times New Roman" w:hAnsi="Times New Roman" w:cs="Times New Roman"/>
          <w:sz w:val="24"/>
          <w:szCs w:val="24"/>
          <w:lang w:val="en-US"/>
        </w:rPr>
        <w:t>-19</w:t>
      </w:r>
      <w:r w:rsidR="008613D1">
        <w:rPr>
          <w:rFonts w:ascii="Times New Roman" w:hAnsi="Times New Roman" w:cs="Times New Roman"/>
          <w:sz w:val="24"/>
          <w:szCs w:val="24"/>
          <w:lang w:val="en-US"/>
        </w:rPr>
        <w:t>,</w:t>
      </w:r>
      <w:r w:rsidR="00EA78F0">
        <w:rPr>
          <w:rFonts w:ascii="Times New Roman" w:hAnsi="Times New Roman" w:cs="Times New Roman"/>
          <w:sz w:val="24"/>
          <w:szCs w:val="24"/>
          <w:lang w:val="en-US"/>
        </w:rPr>
        <w:t xml:space="preserve"> can seriously impact stock market returns and </w:t>
      </w:r>
      <w:r w:rsidR="008613D1">
        <w:rPr>
          <w:rFonts w:ascii="Times New Roman" w:hAnsi="Times New Roman" w:cs="Times New Roman"/>
          <w:sz w:val="24"/>
          <w:szCs w:val="24"/>
          <w:lang w:val="en-US"/>
        </w:rPr>
        <w:t xml:space="preserve">their </w:t>
      </w:r>
      <w:r w:rsidR="00EA78F0">
        <w:rPr>
          <w:rFonts w:ascii="Times New Roman" w:hAnsi="Times New Roman" w:cs="Times New Roman"/>
          <w:sz w:val="24"/>
          <w:szCs w:val="24"/>
          <w:lang w:val="en-US"/>
        </w:rPr>
        <w:t xml:space="preserve">volatility. </w:t>
      </w:r>
      <w:r w:rsidR="008613D1">
        <w:rPr>
          <w:rFonts w:ascii="Times New Roman" w:hAnsi="Times New Roman" w:cs="Times New Roman"/>
          <w:sz w:val="24"/>
          <w:szCs w:val="24"/>
          <w:lang w:val="en-US"/>
        </w:rPr>
        <w:t xml:space="preserve">The findings could be of substantial interest for certain stakeholders, such as market participants, portfolio and hedge managers, regulators, and policy makers. </w:t>
      </w:r>
    </w:p>
    <w:p w14:paraId="223480F3" w14:textId="182F5654" w:rsidR="000F30D9" w:rsidRPr="00B564AE" w:rsidRDefault="008613D1" w:rsidP="00C674B6">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0F30D9" w:rsidRPr="00B564AE">
        <w:rPr>
          <w:rFonts w:ascii="Times New Roman" w:hAnsi="Times New Roman" w:cs="Times New Roman"/>
          <w:sz w:val="24"/>
          <w:szCs w:val="24"/>
          <w:lang w:val="en-US"/>
        </w:rPr>
        <w:t xml:space="preserve"> study is mainly </w:t>
      </w:r>
      <w:r>
        <w:rPr>
          <w:rFonts w:ascii="Times New Roman" w:hAnsi="Times New Roman" w:cs="Times New Roman"/>
          <w:sz w:val="24"/>
          <w:szCs w:val="24"/>
          <w:lang w:val="en-US"/>
        </w:rPr>
        <w:t>associated with</w:t>
      </w:r>
      <w:r w:rsidR="000F30D9" w:rsidRPr="00B564AE">
        <w:rPr>
          <w:rFonts w:ascii="Times New Roman" w:hAnsi="Times New Roman" w:cs="Times New Roman"/>
          <w:sz w:val="24"/>
          <w:szCs w:val="24"/>
          <w:lang w:val="en-US"/>
        </w:rPr>
        <w:t xml:space="preserve"> </w:t>
      </w:r>
      <w:r w:rsidR="00046CFF">
        <w:rPr>
          <w:rFonts w:ascii="Times New Roman" w:hAnsi="Times New Roman" w:cs="Times New Roman"/>
          <w:sz w:val="24"/>
          <w:szCs w:val="24"/>
          <w:lang w:val="en-US"/>
        </w:rPr>
        <w:t>two</w:t>
      </w:r>
      <w:r w:rsidR="000F30D9" w:rsidRPr="00B564AE">
        <w:rPr>
          <w:rFonts w:ascii="Times New Roman" w:hAnsi="Times New Roman" w:cs="Times New Roman"/>
          <w:sz w:val="24"/>
          <w:szCs w:val="24"/>
          <w:lang w:val="en-US"/>
        </w:rPr>
        <w:t xml:space="preserve"> broad strands </w:t>
      </w:r>
      <w:r>
        <w:rPr>
          <w:rFonts w:ascii="Times New Roman" w:hAnsi="Times New Roman" w:cs="Times New Roman"/>
          <w:sz w:val="24"/>
          <w:szCs w:val="24"/>
          <w:lang w:val="en-US"/>
        </w:rPr>
        <w:t>in</w:t>
      </w:r>
      <w:r w:rsidR="000F30D9" w:rsidRPr="00B564AE">
        <w:rPr>
          <w:rFonts w:ascii="Times New Roman" w:hAnsi="Times New Roman" w:cs="Times New Roman"/>
          <w:sz w:val="24"/>
          <w:szCs w:val="24"/>
          <w:lang w:val="en-US"/>
        </w:rPr>
        <w:t xml:space="preserve"> the literature: studies on </w:t>
      </w:r>
      <w:r>
        <w:rPr>
          <w:rFonts w:ascii="Times New Roman" w:hAnsi="Times New Roman" w:cs="Times New Roman"/>
          <w:sz w:val="24"/>
          <w:szCs w:val="24"/>
          <w:lang w:val="en-US"/>
        </w:rPr>
        <w:t xml:space="preserve">the </w:t>
      </w:r>
      <w:r w:rsidR="000F30D9" w:rsidRPr="00B564AE">
        <w:rPr>
          <w:rFonts w:ascii="Times New Roman" w:hAnsi="Times New Roman" w:cs="Times New Roman"/>
          <w:sz w:val="24"/>
          <w:szCs w:val="24"/>
          <w:lang w:val="en-US"/>
        </w:rPr>
        <w:t>impact of pandemic and natural disasters on stock returns</w:t>
      </w:r>
      <w:r w:rsidR="00E82417">
        <w:rPr>
          <w:rFonts w:ascii="Times New Roman" w:hAnsi="Times New Roman" w:cs="Times New Roman"/>
          <w:sz w:val="24"/>
          <w:szCs w:val="24"/>
          <w:lang w:val="en-US"/>
        </w:rPr>
        <w:t>,</w:t>
      </w:r>
      <w:r w:rsidR="00046CFF">
        <w:rPr>
          <w:rFonts w:ascii="Times New Roman" w:hAnsi="Times New Roman" w:cs="Times New Roman"/>
          <w:sz w:val="24"/>
          <w:szCs w:val="24"/>
          <w:lang w:val="en-US"/>
        </w:rPr>
        <w:t xml:space="preserve"> and the role of</w:t>
      </w:r>
      <w:r w:rsidR="000F30D9" w:rsidRPr="00B564AE">
        <w:rPr>
          <w:rFonts w:ascii="Times New Roman" w:hAnsi="Times New Roman" w:cs="Times New Roman"/>
          <w:sz w:val="24"/>
          <w:szCs w:val="24"/>
          <w:lang w:val="en-US"/>
        </w:rPr>
        <w:t xml:space="preserve"> </w:t>
      </w:r>
      <w:r w:rsidR="00E82417">
        <w:rPr>
          <w:rFonts w:ascii="Times New Roman" w:hAnsi="Times New Roman" w:cs="Times New Roman"/>
          <w:sz w:val="24"/>
          <w:szCs w:val="24"/>
          <w:lang w:val="en-US"/>
        </w:rPr>
        <w:t>financial</w:t>
      </w:r>
      <w:r w:rsidR="000F30D9" w:rsidRPr="00B564AE">
        <w:rPr>
          <w:rFonts w:ascii="Times New Roman" w:hAnsi="Times New Roman" w:cs="Times New Roman"/>
          <w:sz w:val="24"/>
          <w:szCs w:val="24"/>
          <w:lang w:val="en-US"/>
        </w:rPr>
        <w:t xml:space="preserve"> crisis</w:t>
      </w:r>
      <w:r w:rsidR="00046CFF">
        <w:rPr>
          <w:rFonts w:ascii="Times New Roman" w:hAnsi="Times New Roman" w:cs="Times New Roman"/>
          <w:sz w:val="24"/>
          <w:szCs w:val="24"/>
          <w:lang w:val="en-US"/>
        </w:rPr>
        <w:t xml:space="preserve"> for stock market developments</w:t>
      </w:r>
      <w:r w:rsidR="000F30D9" w:rsidRPr="00B564AE">
        <w:rPr>
          <w:rFonts w:ascii="Times New Roman" w:hAnsi="Times New Roman" w:cs="Times New Roman"/>
          <w:sz w:val="24"/>
          <w:szCs w:val="24"/>
          <w:lang w:val="en-US"/>
        </w:rPr>
        <w:t xml:space="preserve">. The first strand </w:t>
      </w:r>
      <w:proofErr w:type="gramStart"/>
      <w:r w:rsidR="000F30D9" w:rsidRPr="00B564AE">
        <w:rPr>
          <w:rFonts w:ascii="Times New Roman" w:hAnsi="Times New Roman" w:cs="Times New Roman"/>
          <w:sz w:val="24"/>
          <w:szCs w:val="24"/>
          <w:lang w:val="en-US"/>
        </w:rPr>
        <w:t>examine</w:t>
      </w:r>
      <w:proofErr w:type="gramEnd"/>
      <w:r w:rsidR="000F30D9" w:rsidRPr="00B564AE">
        <w:rPr>
          <w:rFonts w:ascii="Times New Roman" w:hAnsi="Times New Roman" w:cs="Times New Roman"/>
          <w:sz w:val="24"/>
          <w:szCs w:val="24"/>
          <w:lang w:val="en-US"/>
        </w:rPr>
        <w:t xml:space="preserve"> the impact of pandemic</w:t>
      </w:r>
      <w:r>
        <w:rPr>
          <w:rFonts w:ascii="Times New Roman" w:hAnsi="Times New Roman" w:cs="Times New Roman"/>
          <w:sz w:val="24"/>
          <w:szCs w:val="24"/>
          <w:lang w:val="en-US"/>
        </w:rPr>
        <w:t>,</w:t>
      </w:r>
      <w:r w:rsidR="000F30D9" w:rsidRPr="00B564AE">
        <w:rPr>
          <w:rFonts w:ascii="Times New Roman" w:hAnsi="Times New Roman" w:cs="Times New Roman"/>
          <w:sz w:val="24"/>
          <w:szCs w:val="24"/>
          <w:lang w:val="en-US"/>
        </w:rPr>
        <w:t xml:space="preserve"> such as C</w:t>
      </w:r>
      <w:r>
        <w:rPr>
          <w:rFonts w:ascii="Times New Roman" w:hAnsi="Times New Roman" w:cs="Times New Roman"/>
          <w:sz w:val="24"/>
          <w:szCs w:val="24"/>
          <w:lang w:val="en-US"/>
        </w:rPr>
        <w:t>ovid</w:t>
      </w:r>
      <w:r w:rsidR="000F30D9" w:rsidRPr="00B564AE">
        <w:rPr>
          <w:rFonts w:ascii="Times New Roman" w:hAnsi="Times New Roman" w:cs="Times New Roman"/>
          <w:sz w:val="24"/>
          <w:szCs w:val="24"/>
          <w:lang w:val="en-US"/>
        </w:rPr>
        <w:t>-19</w:t>
      </w:r>
      <w:r>
        <w:rPr>
          <w:rFonts w:ascii="Times New Roman" w:hAnsi="Times New Roman" w:cs="Times New Roman"/>
          <w:sz w:val="24"/>
          <w:szCs w:val="24"/>
          <w:lang w:val="en-US"/>
        </w:rPr>
        <w:t>,</w:t>
      </w:r>
      <w:r w:rsidR="000F30D9" w:rsidRPr="00B564AE">
        <w:rPr>
          <w:rFonts w:ascii="Times New Roman" w:hAnsi="Times New Roman" w:cs="Times New Roman"/>
          <w:sz w:val="24"/>
          <w:szCs w:val="24"/>
          <w:lang w:val="en-US"/>
        </w:rPr>
        <w:t xml:space="preserve"> on stock prices. Given the time scale of </w:t>
      </w:r>
      <w:r>
        <w:rPr>
          <w:rFonts w:ascii="Times New Roman" w:hAnsi="Times New Roman" w:cs="Times New Roman"/>
          <w:sz w:val="24"/>
          <w:szCs w:val="24"/>
          <w:lang w:val="en-US"/>
        </w:rPr>
        <w:t>the</w:t>
      </w:r>
      <w:r w:rsidR="000F30D9" w:rsidRPr="00B564AE">
        <w:rPr>
          <w:rFonts w:ascii="Times New Roman" w:hAnsi="Times New Roman" w:cs="Times New Roman"/>
          <w:sz w:val="24"/>
          <w:szCs w:val="24"/>
          <w:lang w:val="en-US"/>
        </w:rPr>
        <w:t xml:space="preserve"> paper, limited papers have investigated the stock market reaction to </w:t>
      </w:r>
      <w:r>
        <w:rPr>
          <w:rFonts w:ascii="Times New Roman" w:hAnsi="Times New Roman" w:cs="Times New Roman"/>
          <w:sz w:val="24"/>
          <w:szCs w:val="24"/>
          <w:lang w:val="en-US"/>
        </w:rPr>
        <w:t xml:space="preserve">the </w:t>
      </w:r>
      <w:r w:rsidR="000F30D9" w:rsidRPr="00B564AE">
        <w:rPr>
          <w:rFonts w:ascii="Times New Roman" w:hAnsi="Times New Roman" w:cs="Times New Roman"/>
          <w:sz w:val="24"/>
          <w:szCs w:val="24"/>
          <w:lang w:val="en-US"/>
        </w:rPr>
        <w:t>C</w:t>
      </w:r>
      <w:r>
        <w:rPr>
          <w:rFonts w:ascii="Times New Roman" w:hAnsi="Times New Roman" w:cs="Times New Roman"/>
          <w:sz w:val="24"/>
          <w:szCs w:val="24"/>
          <w:lang w:val="en-US"/>
        </w:rPr>
        <w:t>ovid</w:t>
      </w:r>
      <w:r w:rsidR="000F30D9" w:rsidRPr="00B564AE">
        <w:rPr>
          <w:rFonts w:ascii="Times New Roman" w:hAnsi="Times New Roman" w:cs="Times New Roman"/>
          <w:sz w:val="24"/>
          <w:szCs w:val="24"/>
          <w:lang w:val="en-US"/>
        </w:rPr>
        <w:t>-19 pandemic (Al-Awadhi et al., 2020; Zhang et al., 2020)</w:t>
      </w:r>
      <w:r w:rsidR="000F30D9" w:rsidRPr="000F30D9">
        <w:rPr>
          <w:rFonts w:ascii="Times New Roman" w:hAnsi="Times New Roman" w:cs="Times New Roman"/>
          <w:sz w:val="24"/>
          <w:szCs w:val="24"/>
          <w:vertAlign w:val="superscript"/>
        </w:rPr>
        <w:footnoteReference w:id="2"/>
      </w:r>
      <w:r w:rsidR="000F30D9" w:rsidRPr="00B564AE">
        <w:rPr>
          <w:rFonts w:ascii="Times New Roman" w:hAnsi="Times New Roman" w:cs="Times New Roman"/>
          <w:sz w:val="24"/>
          <w:szCs w:val="24"/>
          <w:lang w:val="en-US"/>
        </w:rPr>
        <w:t>. Zhang et al. (2020) provide a simple analysis to describe the general patterns of country</w:t>
      </w:r>
      <w:r>
        <w:rPr>
          <w:rFonts w:ascii="Times New Roman" w:hAnsi="Times New Roman" w:cs="Times New Roman"/>
          <w:sz w:val="24"/>
          <w:szCs w:val="24"/>
          <w:lang w:val="en-US"/>
        </w:rPr>
        <w:t>-</w:t>
      </w:r>
      <w:r w:rsidR="000F30D9" w:rsidRPr="00B564AE">
        <w:rPr>
          <w:rFonts w:ascii="Times New Roman" w:hAnsi="Times New Roman" w:cs="Times New Roman"/>
          <w:sz w:val="24"/>
          <w:szCs w:val="24"/>
          <w:lang w:val="en-US"/>
        </w:rPr>
        <w:t>specific risks and systemic risks in the top</w:t>
      </w:r>
      <w:r>
        <w:rPr>
          <w:rFonts w:ascii="Times New Roman" w:hAnsi="Times New Roman" w:cs="Times New Roman"/>
          <w:sz w:val="24"/>
          <w:szCs w:val="24"/>
          <w:lang w:val="en-US"/>
        </w:rPr>
        <w:t xml:space="preserve"> ten</w:t>
      </w:r>
      <w:r w:rsidR="000F30D9" w:rsidRPr="00B564AE">
        <w:rPr>
          <w:rFonts w:ascii="Times New Roman" w:hAnsi="Times New Roman" w:cs="Times New Roman"/>
          <w:sz w:val="24"/>
          <w:szCs w:val="24"/>
          <w:lang w:val="en-US"/>
        </w:rPr>
        <w:t xml:space="preserve"> countries that have </w:t>
      </w:r>
      <w:r>
        <w:rPr>
          <w:rFonts w:ascii="Times New Roman" w:hAnsi="Times New Roman" w:cs="Times New Roman"/>
          <w:sz w:val="24"/>
          <w:szCs w:val="24"/>
          <w:lang w:val="en-US"/>
        </w:rPr>
        <w:t xml:space="preserve">the </w:t>
      </w:r>
      <w:r w:rsidR="000F30D9" w:rsidRPr="00B564AE">
        <w:rPr>
          <w:rFonts w:ascii="Times New Roman" w:hAnsi="Times New Roman" w:cs="Times New Roman"/>
          <w:sz w:val="24"/>
          <w:szCs w:val="24"/>
          <w:lang w:val="en-US"/>
        </w:rPr>
        <w:t xml:space="preserve">highest coronavirus cases as of March 27, 2020. Using </w:t>
      </w:r>
      <w:r>
        <w:rPr>
          <w:rFonts w:ascii="Times New Roman" w:hAnsi="Times New Roman" w:cs="Times New Roman"/>
          <w:sz w:val="24"/>
          <w:szCs w:val="24"/>
          <w:lang w:val="en-US"/>
        </w:rPr>
        <w:t xml:space="preserve">a </w:t>
      </w:r>
      <w:r w:rsidR="000F30D9" w:rsidRPr="00B564AE">
        <w:rPr>
          <w:rFonts w:ascii="Times New Roman" w:hAnsi="Times New Roman" w:cs="Times New Roman"/>
          <w:sz w:val="24"/>
          <w:szCs w:val="24"/>
          <w:lang w:val="en-US"/>
        </w:rPr>
        <w:t>minimum spanning tree</w:t>
      </w:r>
      <w:r>
        <w:rPr>
          <w:rFonts w:ascii="Times New Roman" w:hAnsi="Times New Roman" w:cs="Times New Roman"/>
          <w:sz w:val="24"/>
          <w:szCs w:val="24"/>
          <w:lang w:val="en-US"/>
        </w:rPr>
        <w:t xml:space="preserve"> analysis</w:t>
      </w:r>
      <w:r w:rsidR="000F30D9" w:rsidRPr="00B564AE">
        <w:rPr>
          <w:rFonts w:ascii="Times New Roman" w:hAnsi="Times New Roman" w:cs="Times New Roman"/>
          <w:sz w:val="24"/>
          <w:szCs w:val="24"/>
          <w:lang w:val="en-US"/>
        </w:rPr>
        <w:t>, the</w:t>
      </w:r>
      <w:r>
        <w:rPr>
          <w:rFonts w:ascii="Times New Roman" w:hAnsi="Times New Roman" w:cs="Times New Roman"/>
          <w:sz w:val="24"/>
          <w:szCs w:val="24"/>
          <w:lang w:val="en-US"/>
        </w:rPr>
        <w:t>ir work</w:t>
      </w:r>
      <w:r w:rsidR="000F30D9" w:rsidRPr="00B564AE">
        <w:rPr>
          <w:rFonts w:ascii="Times New Roman" w:hAnsi="Times New Roman" w:cs="Times New Roman"/>
          <w:sz w:val="24"/>
          <w:szCs w:val="24"/>
          <w:lang w:val="en-US"/>
        </w:rPr>
        <w:t xml:space="preserve"> suggests that stock market risks have significantly increased in sample economies. Further</w:t>
      </w:r>
      <w:r>
        <w:rPr>
          <w:rFonts w:ascii="Times New Roman" w:hAnsi="Times New Roman" w:cs="Times New Roman"/>
          <w:sz w:val="24"/>
          <w:szCs w:val="24"/>
          <w:lang w:val="en-US"/>
        </w:rPr>
        <w:t>more</w:t>
      </w:r>
      <w:r w:rsidR="000F30D9" w:rsidRPr="00B564AE">
        <w:rPr>
          <w:rFonts w:ascii="Times New Roman" w:hAnsi="Times New Roman" w:cs="Times New Roman"/>
          <w:sz w:val="24"/>
          <w:szCs w:val="24"/>
          <w:lang w:val="en-US"/>
        </w:rPr>
        <w:t>, the high uncertainty of C</w:t>
      </w:r>
      <w:r>
        <w:rPr>
          <w:rFonts w:ascii="Times New Roman" w:hAnsi="Times New Roman" w:cs="Times New Roman"/>
          <w:sz w:val="24"/>
          <w:szCs w:val="24"/>
          <w:lang w:val="en-US"/>
        </w:rPr>
        <w:t>ovid</w:t>
      </w:r>
      <w:r w:rsidR="000F30D9" w:rsidRPr="00B564AE">
        <w:rPr>
          <w:rFonts w:ascii="Times New Roman" w:hAnsi="Times New Roman" w:cs="Times New Roman"/>
          <w:sz w:val="24"/>
          <w:szCs w:val="24"/>
          <w:lang w:val="en-US"/>
        </w:rPr>
        <w:t>-19 and its negative impact o</w:t>
      </w:r>
      <w:r>
        <w:rPr>
          <w:rFonts w:ascii="Times New Roman" w:hAnsi="Times New Roman" w:cs="Times New Roman"/>
          <w:sz w:val="24"/>
          <w:szCs w:val="24"/>
          <w:lang w:val="en-US"/>
        </w:rPr>
        <w:t>n the real</w:t>
      </w:r>
      <w:r w:rsidR="000F30D9" w:rsidRPr="00B564AE">
        <w:rPr>
          <w:rFonts w:ascii="Times New Roman" w:hAnsi="Times New Roman" w:cs="Times New Roman"/>
          <w:sz w:val="24"/>
          <w:szCs w:val="24"/>
          <w:lang w:val="en-US"/>
        </w:rPr>
        <w:t xml:space="preserve"> economy have increased </w:t>
      </w:r>
      <w:r>
        <w:rPr>
          <w:rFonts w:ascii="Times New Roman" w:hAnsi="Times New Roman" w:cs="Times New Roman"/>
          <w:sz w:val="24"/>
          <w:szCs w:val="24"/>
          <w:lang w:val="en-US"/>
        </w:rPr>
        <w:t xml:space="preserve">the </w:t>
      </w:r>
      <w:r w:rsidR="000F30D9" w:rsidRPr="00B564AE">
        <w:rPr>
          <w:rFonts w:ascii="Times New Roman" w:hAnsi="Times New Roman" w:cs="Times New Roman"/>
          <w:sz w:val="24"/>
          <w:szCs w:val="24"/>
          <w:lang w:val="en-US"/>
        </w:rPr>
        <w:t xml:space="preserve">volatility in financial markets. Al-Awadhi et al. (2020) provide fresh evidence on the Chinese stock markets response to </w:t>
      </w:r>
      <w:r>
        <w:rPr>
          <w:rFonts w:ascii="Times New Roman" w:hAnsi="Times New Roman" w:cs="Times New Roman"/>
          <w:sz w:val="24"/>
          <w:szCs w:val="24"/>
          <w:lang w:val="en-US"/>
        </w:rPr>
        <w:t xml:space="preserve">the </w:t>
      </w:r>
      <w:r w:rsidR="000F30D9" w:rsidRPr="00B564AE">
        <w:rPr>
          <w:rFonts w:ascii="Times New Roman" w:hAnsi="Times New Roman" w:cs="Times New Roman"/>
          <w:sz w:val="24"/>
          <w:szCs w:val="24"/>
          <w:lang w:val="en-US"/>
        </w:rPr>
        <w:t>C</w:t>
      </w:r>
      <w:r>
        <w:rPr>
          <w:rFonts w:ascii="Times New Roman" w:hAnsi="Times New Roman" w:cs="Times New Roman"/>
          <w:sz w:val="24"/>
          <w:szCs w:val="24"/>
          <w:lang w:val="en-US"/>
        </w:rPr>
        <w:t>ovid</w:t>
      </w:r>
      <w:r w:rsidR="000F30D9" w:rsidRPr="00B564AE">
        <w:rPr>
          <w:rFonts w:ascii="Times New Roman" w:hAnsi="Times New Roman" w:cs="Times New Roman"/>
          <w:sz w:val="24"/>
          <w:szCs w:val="24"/>
          <w:lang w:val="en-US"/>
        </w:rPr>
        <w:t>-19 outbreak</w:t>
      </w:r>
      <w:r>
        <w:rPr>
          <w:rFonts w:ascii="Times New Roman" w:hAnsi="Times New Roman" w:cs="Times New Roman"/>
          <w:sz w:val="24"/>
          <w:szCs w:val="24"/>
          <w:lang w:val="en-US"/>
        </w:rPr>
        <w:t>, spanning the period</w:t>
      </w:r>
      <w:r w:rsidR="000F30D9" w:rsidRPr="00B564AE">
        <w:rPr>
          <w:rFonts w:ascii="Times New Roman" w:hAnsi="Times New Roman" w:cs="Times New Roman"/>
          <w:sz w:val="24"/>
          <w:szCs w:val="24"/>
          <w:lang w:val="en-US"/>
        </w:rPr>
        <w:t xml:space="preserve"> January 10, 2020 </w:t>
      </w:r>
      <w:r>
        <w:rPr>
          <w:rFonts w:ascii="Times New Roman" w:hAnsi="Times New Roman" w:cs="Times New Roman"/>
          <w:sz w:val="24"/>
          <w:szCs w:val="24"/>
          <w:lang w:val="en-US"/>
        </w:rPr>
        <w:t>to</w:t>
      </w:r>
      <w:r w:rsidR="000F30D9" w:rsidRPr="00B564AE">
        <w:rPr>
          <w:rFonts w:ascii="Times New Roman" w:hAnsi="Times New Roman" w:cs="Times New Roman"/>
          <w:sz w:val="24"/>
          <w:szCs w:val="24"/>
          <w:lang w:val="en-US"/>
        </w:rPr>
        <w:t xml:space="preserve"> March 16, 2020. </w:t>
      </w:r>
      <w:r>
        <w:rPr>
          <w:rFonts w:ascii="Times New Roman" w:hAnsi="Times New Roman" w:cs="Times New Roman"/>
          <w:sz w:val="24"/>
          <w:szCs w:val="24"/>
          <w:lang w:val="en-US"/>
        </w:rPr>
        <w:t>To this end</w:t>
      </w:r>
      <w:r w:rsidR="000F30D9" w:rsidRPr="00B564AE">
        <w:rPr>
          <w:rFonts w:ascii="Times New Roman" w:hAnsi="Times New Roman" w:cs="Times New Roman"/>
          <w:sz w:val="24"/>
          <w:szCs w:val="24"/>
          <w:lang w:val="en-US"/>
        </w:rPr>
        <w:t>, the</w:t>
      </w:r>
      <w:r>
        <w:rPr>
          <w:rFonts w:ascii="Times New Roman" w:hAnsi="Times New Roman" w:cs="Times New Roman"/>
          <w:sz w:val="24"/>
          <w:szCs w:val="24"/>
          <w:lang w:val="en-US"/>
        </w:rPr>
        <w:t>y</w:t>
      </w:r>
      <w:r w:rsidR="000F30D9" w:rsidRPr="00B564AE">
        <w:rPr>
          <w:rFonts w:ascii="Times New Roman" w:hAnsi="Times New Roman" w:cs="Times New Roman"/>
          <w:sz w:val="24"/>
          <w:szCs w:val="24"/>
          <w:lang w:val="en-US"/>
        </w:rPr>
        <w:t xml:space="preserve"> use panel data </w:t>
      </w:r>
      <w:r>
        <w:rPr>
          <w:rFonts w:ascii="Times New Roman" w:hAnsi="Times New Roman" w:cs="Times New Roman"/>
          <w:sz w:val="24"/>
          <w:szCs w:val="24"/>
          <w:lang w:val="en-US"/>
        </w:rPr>
        <w:t>methods</w:t>
      </w:r>
      <w:r w:rsidR="000F30D9" w:rsidRPr="00B564AE">
        <w:rPr>
          <w:rFonts w:ascii="Times New Roman" w:hAnsi="Times New Roman" w:cs="Times New Roman"/>
          <w:sz w:val="24"/>
          <w:szCs w:val="24"/>
          <w:lang w:val="en-US"/>
        </w:rPr>
        <w:t xml:space="preserve"> to examine the impact of C</w:t>
      </w:r>
      <w:r>
        <w:rPr>
          <w:rFonts w:ascii="Times New Roman" w:hAnsi="Times New Roman" w:cs="Times New Roman"/>
          <w:sz w:val="24"/>
          <w:szCs w:val="24"/>
          <w:lang w:val="en-US"/>
        </w:rPr>
        <w:t>ovid</w:t>
      </w:r>
      <w:r w:rsidR="000F30D9" w:rsidRPr="00B564AE">
        <w:rPr>
          <w:rFonts w:ascii="Times New Roman" w:hAnsi="Times New Roman" w:cs="Times New Roman"/>
          <w:sz w:val="24"/>
          <w:szCs w:val="24"/>
          <w:lang w:val="en-US"/>
        </w:rPr>
        <w:t xml:space="preserve">-19 on all stocks </w:t>
      </w:r>
      <w:r>
        <w:rPr>
          <w:rFonts w:ascii="Times New Roman" w:hAnsi="Times New Roman" w:cs="Times New Roman"/>
          <w:sz w:val="24"/>
          <w:szCs w:val="24"/>
          <w:lang w:val="en-US"/>
        </w:rPr>
        <w:t xml:space="preserve">traded </w:t>
      </w:r>
      <w:r w:rsidR="000F30D9" w:rsidRPr="00B564AE">
        <w:rPr>
          <w:rFonts w:ascii="Times New Roman" w:hAnsi="Times New Roman" w:cs="Times New Roman"/>
          <w:sz w:val="24"/>
          <w:szCs w:val="24"/>
          <w:lang w:val="en-US"/>
        </w:rPr>
        <w:t xml:space="preserve">on both </w:t>
      </w:r>
      <w:r>
        <w:rPr>
          <w:rFonts w:ascii="Times New Roman" w:hAnsi="Times New Roman" w:cs="Times New Roman"/>
          <w:sz w:val="24"/>
          <w:szCs w:val="24"/>
          <w:lang w:val="en-US"/>
        </w:rPr>
        <w:t xml:space="preserve">the </w:t>
      </w:r>
      <w:r w:rsidR="000F30D9" w:rsidRPr="00B564AE">
        <w:rPr>
          <w:rFonts w:ascii="Times New Roman" w:hAnsi="Times New Roman" w:cs="Times New Roman"/>
          <w:sz w:val="24"/>
          <w:szCs w:val="24"/>
          <w:lang w:val="en-US"/>
        </w:rPr>
        <w:t xml:space="preserve">Hang Seng and Shanghai Stock Exchange Composite </w:t>
      </w:r>
      <w:r>
        <w:rPr>
          <w:rFonts w:ascii="Times New Roman" w:hAnsi="Times New Roman" w:cs="Times New Roman"/>
          <w:sz w:val="24"/>
          <w:szCs w:val="24"/>
          <w:lang w:val="en-US"/>
        </w:rPr>
        <w:t>i</w:t>
      </w:r>
      <w:r w:rsidR="000F30D9" w:rsidRPr="00B564AE">
        <w:rPr>
          <w:rFonts w:ascii="Times New Roman" w:hAnsi="Times New Roman" w:cs="Times New Roman"/>
          <w:sz w:val="24"/>
          <w:szCs w:val="24"/>
          <w:lang w:val="en-US"/>
        </w:rPr>
        <w:t>ndex</w:t>
      </w:r>
      <w:r>
        <w:rPr>
          <w:rFonts w:ascii="Times New Roman" w:hAnsi="Times New Roman" w:cs="Times New Roman"/>
          <w:sz w:val="24"/>
          <w:szCs w:val="24"/>
          <w:lang w:val="en-US"/>
        </w:rPr>
        <w:t>es</w:t>
      </w:r>
      <w:r w:rsidR="000F30D9" w:rsidRPr="00B564AE">
        <w:rPr>
          <w:rFonts w:ascii="Times New Roman" w:hAnsi="Times New Roman" w:cs="Times New Roman"/>
          <w:sz w:val="24"/>
          <w:szCs w:val="24"/>
          <w:lang w:val="en-US"/>
        </w:rPr>
        <w:t>. The</w:t>
      </w:r>
      <w:r>
        <w:rPr>
          <w:rFonts w:ascii="Times New Roman" w:hAnsi="Times New Roman" w:cs="Times New Roman"/>
          <w:sz w:val="24"/>
          <w:szCs w:val="24"/>
          <w:lang w:val="en-US"/>
        </w:rPr>
        <w:t>ir</w:t>
      </w:r>
      <w:r w:rsidR="000F30D9" w:rsidRPr="00B564AE">
        <w:rPr>
          <w:rFonts w:ascii="Times New Roman" w:hAnsi="Times New Roman" w:cs="Times New Roman"/>
          <w:sz w:val="24"/>
          <w:szCs w:val="24"/>
          <w:lang w:val="en-US"/>
        </w:rPr>
        <w:t xml:space="preserve"> results </w:t>
      </w:r>
      <w:r>
        <w:rPr>
          <w:rFonts w:ascii="Times New Roman" w:hAnsi="Times New Roman" w:cs="Times New Roman"/>
          <w:sz w:val="24"/>
          <w:szCs w:val="24"/>
          <w:lang w:val="en-US"/>
        </w:rPr>
        <w:t>document</w:t>
      </w:r>
      <w:r w:rsidR="000F30D9" w:rsidRPr="00B564AE">
        <w:rPr>
          <w:rFonts w:ascii="Times New Roman" w:hAnsi="Times New Roman" w:cs="Times New Roman"/>
          <w:sz w:val="24"/>
          <w:szCs w:val="24"/>
          <w:lang w:val="en-US"/>
        </w:rPr>
        <w:t xml:space="preserve"> that </w:t>
      </w:r>
      <w:r>
        <w:rPr>
          <w:rFonts w:ascii="Times New Roman" w:hAnsi="Times New Roman" w:cs="Times New Roman"/>
          <w:sz w:val="24"/>
          <w:szCs w:val="24"/>
          <w:lang w:val="en-US"/>
        </w:rPr>
        <w:t xml:space="preserve">the </w:t>
      </w:r>
      <w:r w:rsidR="000F30D9" w:rsidRPr="00B564AE">
        <w:rPr>
          <w:rFonts w:ascii="Times New Roman" w:hAnsi="Times New Roman" w:cs="Times New Roman"/>
          <w:sz w:val="24"/>
          <w:szCs w:val="24"/>
          <w:lang w:val="en-US"/>
        </w:rPr>
        <w:t>C</w:t>
      </w:r>
      <w:r>
        <w:rPr>
          <w:rFonts w:ascii="Times New Roman" w:hAnsi="Times New Roman" w:cs="Times New Roman"/>
          <w:sz w:val="24"/>
          <w:szCs w:val="24"/>
          <w:lang w:val="en-US"/>
        </w:rPr>
        <w:t>ovid</w:t>
      </w:r>
      <w:r w:rsidR="000F30D9" w:rsidRPr="00B564AE">
        <w:rPr>
          <w:rFonts w:ascii="Times New Roman" w:hAnsi="Times New Roman" w:cs="Times New Roman"/>
          <w:sz w:val="24"/>
          <w:szCs w:val="24"/>
          <w:lang w:val="en-US"/>
        </w:rPr>
        <w:t xml:space="preserve">-19 outbreak (measured </w:t>
      </w:r>
      <w:r>
        <w:rPr>
          <w:rFonts w:ascii="Times New Roman" w:hAnsi="Times New Roman" w:cs="Times New Roman"/>
          <w:sz w:val="24"/>
          <w:szCs w:val="24"/>
          <w:lang w:val="en-US"/>
        </w:rPr>
        <w:t>as</w:t>
      </w:r>
      <w:r w:rsidR="000F30D9" w:rsidRPr="00B564AE">
        <w:rPr>
          <w:rFonts w:ascii="Times New Roman" w:hAnsi="Times New Roman" w:cs="Times New Roman"/>
          <w:sz w:val="24"/>
          <w:szCs w:val="24"/>
          <w:lang w:val="en-US"/>
        </w:rPr>
        <w:t xml:space="preserve"> the daily growth in total confirmed cases</w:t>
      </w:r>
      <w:r>
        <w:rPr>
          <w:rFonts w:ascii="Times New Roman" w:hAnsi="Times New Roman" w:cs="Times New Roman"/>
          <w:sz w:val="24"/>
          <w:szCs w:val="24"/>
          <w:lang w:val="en-US"/>
        </w:rPr>
        <w:t>, or</w:t>
      </w:r>
      <w:r w:rsidR="000F30D9" w:rsidRPr="00B564AE">
        <w:rPr>
          <w:rFonts w:ascii="Times New Roman" w:hAnsi="Times New Roman" w:cs="Times New Roman"/>
          <w:sz w:val="24"/>
          <w:szCs w:val="24"/>
          <w:lang w:val="en-US"/>
        </w:rPr>
        <w:t xml:space="preserve"> </w:t>
      </w:r>
      <w:r>
        <w:rPr>
          <w:rFonts w:ascii="Times New Roman" w:hAnsi="Times New Roman" w:cs="Times New Roman"/>
          <w:sz w:val="24"/>
          <w:szCs w:val="24"/>
          <w:lang w:val="en-US"/>
        </w:rPr>
        <w:t>as</w:t>
      </w:r>
      <w:r w:rsidR="000F30D9" w:rsidRPr="00B564AE">
        <w:rPr>
          <w:rFonts w:ascii="Times New Roman" w:hAnsi="Times New Roman" w:cs="Times New Roman"/>
          <w:sz w:val="24"/>
          <w:szCs w:val="24"/>
          <w:lang w:val="en-US"/>
        </w:rPr>
        <w:t xml:space="preserve"> total </w:t>
      </w:r>
      <w:r>
        <w:rPr>
          <w:rFonts w:ascii="Times New Roman" w:hAnsi="Times New Roman" w:cs="Times New Roman"/>
          <w:sz w:val="24"/>
          <w:szCs w:val="24"/>
          <w:lang w:val="en-US"/>
        </w:rPr>
        <w:t xml:space="preserve">daily </w:t>
      </w:r>
      <w:r w:rsidR="000F30D9" w:rsidRPr="00B564AE">
        <w:rPr>
          <w:rFonts w:ascii="Times New Roman" w:hAnsi="Times New Roman" w:cs="Times New Roman"/>
          <w:sz w:val="24"/>
          <w:szCs w:val="24"/>
          <w:lang w:val="en-US"/>
        </w:rPr>
        <w:t>cases of death</w:t>
      </w:r>
      <w:r w:rsidR="00E82417">
        <w:rPr>
          <w:rFonts w:ascii="Times New Roman" w:hAnsi="Times New Roman" w:cs="Times New Roman"/>
          <w:sz w:val="24"/>
          <w:szCs w:val="24"/>
          <w:lang w:val="en-US"/>
        </w:rPr>
        <w:t>s</w:t>
      </w:r>
      <w:r w:rsidR="000F30D9" w:rsidRPr="00B564AE">
        <w:rPr>
          <w:rFonts w:ascii="Times New Roman" w:hAnsi="Times New Roman" w:cs="Times New Roman"/>
          <w:sz w:val="24"/>
          <w:szCs w:val="24"/>
          <w:lang w:val="en-US"/>
        </w:rPr>
        <w:t>) has a significant negative impact on stock returns in China.</w:t>
      </w:r>
      <w:r w:rsidR="00E4350E">
        <w:rPr>
          <w:rFonts w:ascii="Times New Roman" w:hAnsi="Times New Roman" w:cs="Times New Roman"/>
          <w:sz w:val="24"/>
          <w:szCs w:val="24"/>
          <w:lang w:val="en-US"/>
        </w:rPr>
        <w:t xml:space="preserve"> Our study, however, extends their analysis by considering a methodology that accounts for the simultaneous effect of the pandemic on both the mean and the volatility of Chinese stock returns directly through the structure of the model.</w:t>
      </w:r>
    </w:p>
    <w:p w14:paraId="5343BC8C" w14:textId="7CE3CD65" w:rsidR="000F30D9" w:rsidRPr="00B564AE" w:rsidRDefault="008613D1" w:rsidP="00C674B6">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terms of the </w:t>
      </w:r>
      <w:r w:rsidR="00BB1181">
        <w:rPr>
          <w:rFonts w:ascii="Times New Roman" w:hAnsi="Times New Roman" w:cs="Times New Roman"/>
          <w:sz w:val="24"/>
          <w:szCs w:val="24"/>
          <w:lang w:val="en-US"/>
        </w:rPr>
        <w:t xml:space="preserve">literature </w:t>
      </w:r>
      <w:r w:rsidR="00421B9C">
        <w:rPr>
          <w:rFonts w:ascii="Times New Roman" w:hAnsi="Times New Roman" w:cs="Times New Roman"/>
          <w:sz w:val="24"/>
          <w:szCs w:val="24"/>
          <w:lang w:val="en-US"/>
        </w:rPr>
        <w:t>o</w:t>
      </w:r>
      <w:r w:rsidR="00BB1181">
        <w:rPr>
          <w:rFonts w:ascii="Times New Roman" w:hAnsi="Times New Roman" w:cs="Times New Roman"/>
          <w:sz w:val="24"/>
          <w:szCs w:val="24"/>
          <w:lang w:val="en-US"/>
        </w:rPr>
        <w:t xml:space="preserve">n </w:t>
      </w:r>
      <w:r>
        <w:rPr>
          <w:rFonts w:ascii="Times New Roman" w:hAnsi="Times New Roman" w:cs="Times New Roman"/>
          <w:sz w:val="24"/>
          <w:szCs w:val="24"/>
          <w:lang w:val="en-US"/>
        </w:rPr>
        <w:t>natural</w:t>
      </w:r>
      <w:r w:rsidR="000F30D9" w:rsidRPr="00B564AE">
        <w:rPr>
          <w:rFonts w:ascii="Times New Roman" w:hAnsi="Times New Roman" w:cs="Times New Roman"/>
          <w:sz w:val="24"/>
          <w:szCs w:val="24"/>
          <w:lang w:val="en-US"/>
        </w:rPr>
        <w:t xml:space="preserve"> disasters, the impact of disaster</w:t>
      </w:r>
      <w:r>
        <w:rPr>
          <w:rFonts w:ascii="Times New Roman" w:hAnsi="Times New Roman" w:cs="Times New Roman"/>
          <w:sz w:val="24"/>
          <w:szCs w:val="24"/>
          <w:lang w:val="en-US"/>
        </w:rPr>
        <w:t>s</w:t>
      </w:r>
      <w:r w:rsidR="000F30D9" w:rsidRPr="00B564AE">
        <w:rPr>
          <w:rFonts w:ascii="Times New Roman" w:hAnsi="Times New Roman" w:cs="Times New Roman"/>
          <w:sz w:val="24"/>
          <w:szCs w:val="24"/>
          <w:lang w:val="en-US"/>
        </w:rPr>
        <w:t xml:space="preserve"> on stock returns is conditional on the type of business activity of a firm. As a result, there is no consensus in </w:t>
      </w:r>
      <w:r>
        <w:rPr>
          <w:rFonts w:ascii="Times New Roman" w:hAnsi="Times New Roman" w:cs="Times New Roman"/>
          <w:sz w:val="24"/>
          <w:szCs w:val="24"/>
          <w:lang w:val="en-US"/>
        </w:rPr>
        <w:t xml:space="preserve">the </w:t>
      </w:r>
      <w:r w:rsidR="000F30D9" w:rsidRPr="00B564AE">
        <w:rPr>
          <w:rFonts w:ascii="Times New Roman" w:hAnsi="Times New Roman" w:cs="Times New Roman"/>
          <w:sz w:val="24"/>
          <w:szCs w:val="24"/>
          <w:lang w:val="en-US"/>
        </w:rPr>
        <w:t xml:space="preserve">literature on how stock returns respond to </w:t>
      </w:r>
      <w:r>
        <w:rPr>
          <w:rFonts w:ascii="Times New Roman" w:hAnsi="Times New Roman" w:cs="Times New Roman"/>
          <w:sz w:val="24"/>
          <w:szCs w:val="24"/>
          <w:lang w:val="en-US"/>
        </w:rPr>
        <w:t>such</w:t>
      </w:r>
      <w:r w:rsidR="000F30D9" w:rsidRPr="00B564AE">
        <w:rPr>
          <w:rFonts w:ascii="Times New Roman" w:hAnsi="Times New Roman" w:cs="Times New Roman"/>
          <w:sz w:val="24"/>
          <w:szCs w:val="24"/>
          <w:lang w:val="en-US"/>
        </w:rPr>
        <w:t xml:space="preserve"> disaster</w:t>
      </w:r>
      <w:r>
        <w:rPr>
          <w:rFonts w:ascii="Times New Roman" w:hAnsi="Times New Roman" w:cs="Times New Roman"/>
          <w:sz w:val="24"/>
          <w:szCs w:val="24"/>
          <w:lang w:val="en-US"/>
        </w:rPr>
        <w:t>s</w:t>
      </w:r>
      <w:r w:rsidR="000F30D9" w:rsidRPr="00B564AE">
        <w:rPr>
          <w:rFonts w:ascii="Times New Roman" w:hAnsi="Times New Roman" w:cs="Times New Roman"/>
          <w:sz w:val="24"/>
          <w:szCs w:val="24"/>
          <w:lang w:val="en-US"/>
        </w:rPr>
        <w:t xml:space="preserve">. Previous </w:t>
      </w:r>
      <w:r w:rsidR="000F30D9" w:rsidRPr="00B564AE">
        <w:rPr>
          <w:rFonts w:ascii="Times New Roman" w:hAnsi="Times New Roman" w:cs="Times New Roman"/>
          <w:sz w:val="24"/>
          <w:szCs w:val="24"/>
          <w:lang w:val="en-US"/>
        </w:rPr>
        <w:lastRenderedPageBreak/>
        <w:t xml:space="preserve">studies have </w:t>
      </w:r>
      <w:r>
        <w:rPr>
          <w:rFonts w:ascii="Times New Roman" w:hAnsi="Times New Roman" w:cs="Times New Roman"/>
          <w:sz w:val="24"/>
          <w:szCs w:val="24"/>
          <w:lang w:val="en-US"/>
        </w:rPr>
        <w:t>extensively</w:t>
      </w:r>
      <w:r w:rsidR="000F30D9" w:rsidRPr="00B564AE">
        <w:rPr>
          <w:rFonts w:ascii="Times New Roman" w:hAnsi="Times New Roman" w:cs="Times New Roman"/>
          <w:sz w:val="24"/>
          <w:szCs w:val="24"/>
          <w:lang w:val="en-US"/>
        </w:rPr>
        <w:t xml:space="preserve"> examined the effects of disasters on stock prices (</w:t>
      </w:r>
      <w:proofErr w:type="spellStart"/>
      <w:r w:rsidR="000F30D9" w:rsidRPr="00B564AE">
        <w:rPr>
          <w:rFonts w:ascii="Times New Roman" w:hAnsi="Times New Roman" w:cs="Times New Roman"/>
          <w:sz w:val="24"/>
          <w:szCs w:val="24"/>
          <w:lang w:val="en-US"/>
        </w:rPr>
        <w:t>Kowalewski</w:t>
      </w:r>
      <w:proofErr w:type="spellEnd"/>
      <w:r w:rsidR="000F30D9" w:rsidRPr="00B564AE">
        <w:rPr>
          <w:rFonts w:ascii="Times New Roman" w:hAnsi="Times New Roman" w:cs="Times New Roman"/>
          <w:sz w:val="24"/>
          <w:szCs w:val="24"/>
          <w:lang w:val="en-US"/>
        </w:rPr>
        <w:t xml:space="preserve"> and </w:t>
      </w:r>
      <w:proofErr w:type="spellStart"/>
      <w:r w:rsidR="000F30D9" w:rsidRPr="00B564AE">
        <w:rPr>
          <w:rFonts w:ascii="Times New Roman" w:hAnsi="Times New Roman" w:cs="Times New Roman"/>
          <w:sz w:val="24"/>
          <w:szCs w:val="24"/>
          <w:lang w:val="en-US"/>
        </w:rPr>
        <w:t>Śpiewanowski</w:t>
      </w:r>
      <w:proofErr w:type="spellEnd"/>
      <w:r w:rsidR="000F30D9" w:rsidRPr="00B564AE">
        <w:rPr>
          <w:rFonts w:ascii="Times New Roman" w:hAnsi="Times New Roman" w:cs="Times New Roman"/>
          <w:sz w:val="24"/>
          <w:szCs w:val="24"/>
          <w:lang w:val="en-US"/>
        </w:rPr>
        <w:t xml:space="preserve">, 2020; </w:t>
      </w:r>
      <w:proofErr w:type="spellStart"/>
      <w:r w:rsidR="000F30D9" w:rsidRPr="00B564AE">
        <w:rPr>
          <w:rFonts w:ascii="Times New Roman" w:hAnsi="Times New Roman" w:cs="Times New Roman"/>
          <w:sz w:val="24"/>
          <w:szCs w:val="24"/>
          <w:lang w:val="en-US"/>
        </w:rPr>
        <w:t>Donadelli</w:t>
      </w:r>
      <w:proofErr w:type="spellEnd"/>
      <w:r w:rsidR="000F30D9" w:rsidRPr="00B564AE">
        <w:rPr>
          <w:rFonts w:ascii="Times New Roman" w:hAnsi="Times New Roman" w:cs="Times New Roman"/>
          <w:sz w:val="24"/>
          <w:szCs w:val="24"/>
          <w:lang w:val="en-US"/>
        </w:rPr>
        <w:t xml:space="preserve"> et al., 2020; </w:t>
      </w:r>
      <w:proofErr w:type="spellStart"/>
      <w:r w:rsidR="000F30D9" w:rsidRPr="00B564AE">
        <w:rPr>
          <w:rFonts w:ascii="Times New Roman" w:hAnsi="Times New Roman" w:cs="Times New Roman"/>
          <w:sz w:val="24"/>
          <w:szCs w:val="24"/>
          <w:lang w:val="en-US"/>
        </w:rPr>
        <w:t>Shelor</w:t>
      </w:r>
      <w:proofErr w:type="spellEnd"/>
      <w:r w:rsidR="000F30D9" w:rsidRPr="00B564AE">
        <w:rPr>
          <w:rFonts w:ascii="Times New Roman" w:hAnsi="Times New Roman" w:cs="Times New Roman"/>
          <w:sz w:val="24"/>
          <w:szCs w:val="24"/>
          <w:lang w:val="en-US"/>
        </w:rPr>
        <w:t xml:space="preserve"> et al., 1992</w:t>
      </w:r>
      <w:r>
        <w:rPr>
          <w:rFonts w:ascii="Times New Roman" w:hAnsi="Times New Roman" w:cs="Times New Roman"/>
          <w:sz w:val="24"/>
          <w:szCs w:val="24"/>
          <w:lang w:val="en-US"/>
        </w:rPr>
        <w:t xml:space="preserve">; </w:t>
      </w:r>
      <w:proofErr w:type="spellStart"/>
      <w:r w:rsidRPr="00B564AE">
        <w:rPr>
          <w:rFonts w:ascii="Times New Roman" w:hAnsi="Times New Roman" w:cs="Times New Roman"/>
          <w:sz w:val="24"/>
          <w:szCs w:val="24"/>
          <w:lang w:val="en-US"/>
        </w:rPr>
        <w:t>Shelor</w:t>
      </w:r>
      <w:proofErr w:type="spellEnd"/>
      <w:r w:rsidRPr="00B564AE">
        <w:rPr>
          <w:rFonts w:ascii="Times New Roman" w:hAnsi="Times New Roman" w:cs="Times New Roman"/>
          <w:sz w:val="24"/>
          <w:szCs w:val="24"/>
          <w:lang w:val="en-US"/>
        </w:rPr>
        <w:t xml:space="preserve"> et al., 1990</w:t>
      </w:r>
      <w:r w:rsidR="000F30D9" w:rsidRPr="00B564AE">
        <w:rPr>
          <w:rFonts w:ascii="Times New Roman" w:hAnsi="Times New Roman" w:cs="Times New Roman"/>
          <w:sz w:val="24"/>
          <w:szCs w:val="24"/>
          <w:lang w:val="en-US"/>
        </w:rPr>
        <w:t xml:space="preserve">). </w:t>
      </w:r>
      <w:proofErr w:type="spellStart"/>
      <w:r w:rsidR="000F30D9" w:rsidRPr="00B564AE">
        <w:rPr>
          <w:rFonts w:ascii="Times New Roman" w:hAnsi="Times New Roman" w:cs="Times New Roman"/>
          <w:sz w:val="24"/>
          <w:szCs w:val="24"/>
          <w:lang w:val="en-US"/>
        </w:rPr>
        <w:t>Shelor</w:t>
      </w:r>
      <w:proofErr w:type="spellEnd"/>
      <w:r w:rsidR="000F30D9" w:rsidRPr="00B564AE">
        <w:rPr>
          <w:rFonts w:ascii="Times New Roman" w:hAnsi="Times New Roman" w:cs="Times New Roman"/>
          <w:sz w:val="24"/>
          <w:szCs w:val="24"/>
          <w:lang w:val="en-US"/>
        </w:rPr>
        <w:t xml:space="preserve"> et al. (1990</w:t>
      </w:r>
      <w:r w:rsidR="00046CFF">
        <w:rPr>
          <w:rFonts w:ascii="Times New Roman" w:hAnsi="Times New Roman" w:cs="Times New Roman"/>
          <w:sz w:val="24"/>
          <w:szCs w:val="24"/>
          <w:lang w:val="en-US"/>
        </w:rPr>
        <w:t>, 1992</w:t>
      </w:r>
      <w:r w:rsidR="000F30D9" w:rsidRPr="00B564AE">
        <w:rPr>
          <w:rFonts w:ascii="Times New Roman" w:hAnsi="Times New Roman" w:cs="Times New Roman"/>
          <w:sz w:val="24"/>
          <w:szCs w:val="24"/>
          <w:lang w:val="en-US"/>
        </w:rPr>
        <w:t>) f</w:t>
      </w:r>
      <w:r w:rsidR="00046CFF">
        <w:rPr>
          <w:rFonts w:ascii="Times New Roman" w:hAnsi="Times New Roman" w:cs="Times New Roman"/>
          <w:sz w:val="24"/>
          <w:szCs w:val="24"/>
          <w:lang w:val="en-US"/>
        </w:rPr>
        <w:t>ind</w:t>
      </w:r>
      <w:r w:rsidR="000F30D9" w:rsidRPr="00B564AE">
        <w:rPr>
          <w:rFonts w:ascii="Times New Roman" w:hAnsi="Times New Roman" w:cs="Times New Roman"/>
          <w:sz w:val="24"/>
          <w:szCs w:val="24"/>
          <w:lang w:val="en-US"/>
        </w:rPr>
        <w:t xml:space="preserve"> </w:t>
      </w:r>
      <w:r w:rsidR="00046CFF">
        <w:rPr>
          <w:rFonts w:ascii="Times New Roman" w:hAnsi="Times New Roman" w:cs="Times New Roman"/>
          <w:sz w:val="24"/>
          <w:szCs w:val="24"/>
          <w:lang w:val="en-US"/>
        </w:rPr>
        <w:t xml:space="preserve">a </w:t>
      </w:r>
      <w:r w:rsidR="000F30D9" w:rsidRPr="00B564AE">
        <w:rPr>
          <w:rFonts w:ascii="Times New Roman" w:hAnsi="Times New Roman" w:cs="Times New Roman"/>
          <w:sz w:val="24"/>
          <w:szCs w:val="24"/>
          <w:lang w:val="en-US"/>
        </w:rPr>
        <w:t xml:space="preserve">negative impact on stock returns of real estate firms due to an earthquake in California. Wang and </w:t>
      </w:r>
      <w:proofErr w:type="spellStart"/>
      <w:r w:rsidR="000F30D9" w:rsidRPr="00B564AE">
        <w:rPr>
          <w:rFonts w:ascii="Times New Roman" w:hAnsi="Times New Roman" w:cs="Times New Roman"/>
          <w:sz w:val="24"/>
          <w:szCs w:val="24"/>
          <w:lang w:val="en-US"/>
        </w:rPr>
        <w:t>Kutan</w:t>
      </w:r>
      <w:proofErr w:type="spellEnd"/>
      <w:r w:rsidR="000F30D9" w:rsidRPr="00B564AE">
        <w:rPr>
          <w:rFonts w:ascii="Times New Roman" w:hAnsi="Times New Roman" w:cs="Times New Roman"/>
          <w:sz w:val="24"/>
          <w:szCs w:val="24"/>
          <w:lang w:val="en-US"/>
        </w:rPr>
        <w:t xml:space="preserve"> (2013) show that natural disaster</w:t>
      </w:r>
      <w:r w:rsidR="00046CFF">
        <w:rPr>
          <w:rFonts w:ascii="Times New Roman" w:hAnsi="Times New Roman" w:cs="Times New Roman"/>
          <w:sz w:val="24"/>
          <w:szCs w:val="24"/>
          <w:lang w:val="en-US"/>
        </w:rPr>
        <w:t>s</w:t>
      </w:r>
      <w:r w:rsidR="000F30D9" w:rsidRPr="00B564AE">
        <w:rPr>
          <w:rFonts w:ascii="Times New Roman" w:hAnsi="Times New Roman" w:cs="Times New Roman"/>
          <w:sz w:val="24"/>
          <w:szCs w:val="24"/>
          <w:lang w:val="en-US"/>
        </w:rPr>
        <w:t xml:space="preserve"> result in a little change in </w:t>
      </w:r>
      <w:r w:rsidR="00046CFF">
        <w:rPr>
          <w:rFonts w:ascii="Times New Roman" w:hAnsi="Times New Roman" w:cs="Times New Roman"/>
          <w:sz w:val="24"/>
          <w:szCs w:val="24"/>
          <w:lang w:val="en-US"/>
        </w:rPr>
        <w:t xml:space="preserve">the </w:t>
      </w:r>
      <w:r w:rsidR="000F30D9" w:rsidRPr="00B564AE">
        <w:rPr>
          <w:rFonts w:ascii="Times New Roman" w:hAnsi="Times New Roman" w:cs="Times New Roman"/>
          <w:sz w:val="24"/>
          <w:szCs w:val="24"/>
          <w:lang w:val="en-US"/>
        </w:rPr>
        <w:t xml:space="preserve">volatility of US equity returns. Using granular analysis, </w:t>
      </w:r>
      <w:proofErr w:type="spellStart"/>
      <w:r w:rsidR="000F30D9" w:rsidRPr="00B564AE">
        <w:rPr>
          <w:rFonts w:ascii="Times New Roman" w:hAnsi="Times New Roman" w:cs="Times New Roman"/>
          <w:sz w:val="24"/>
          <w:szCs w:val="24"/>
          <w:lang w:val="en-US"/>
        </w:rPr>
        <w:t>Donadelli</w:t>
      </w:r>
      <w:proofErr w:type="spellEnd"/>
      <w:r w:rsidR="000F30D9" w:rsidRPr="00B564AE">
        <w:rPr>
          <w:rFonts w:ascii="Times New Roman" w:hAnsi="Times New Roman" w:cs="Times New Roman"/>
          <w:sz w:val="24"/>
          <w:szCs w:val="24"/>
          <w:lang w:val="en-US"/>
        </w:rPr>
        <w:t xml:space="preserve"> et al. (2020) show that tornados have a negative effect on stock returns in the US. In a recent paper, </w:t>
      </w:r>
      <w:proofErr w:type="spellStart"/>
      <w:r w:rsidR="000F30D9" w:rsidRPr="00B564AE">
        <w:rPr>
          <w:rFonts w:ascii="Times New Roman" w:hAnsi="Times New Roman" w:cs="Times New Roman"/>
          <w:sz w:val="24"/>
          <w:szCs w:val="24"/>
          <w:lang w:val="en-US"/>
        </w:rPr>
        <w:t>Kowalewski</w:t>
      </w:r>
      <w:proofErr w:type="spellEnd"/>
      <w:r w:rsidR="000F30D9" w:rsidRPr="00B564AE">
        <w:rPr>
          <w:rFonts w:ascii="Times New Roman" w:hAnsi="Times New Roman" w:cs="Times New Roman"/>
          <w:sz w:val="24"/>
          <w:szCs w:val="24"/>
          <w:lang w:val="en-US"/>
        </w:rPr>
        <w:t xml:space="preserve"> and </w:t>
      </w:r>
      <w:proofErr w:type="spellStart"/>
      <w:r w:rsidR="000F30D9" w:rsidRPr="00B564AE">
        <w:rPr>
          <w:rFonts w:ascii="Times New Roman" w:hAnsi="Times New Roman" w:cs="Times New Roman"/>
          <w:sz w:val="24"/>
          <w:szCs w:val="24"/>
          <w:lang w:val="en-US"/>
        </w:rPr>
        <w:t>Śpiewanowski</w:t>
      </w:r>
      <w:proofErr w:type="spellEnd"/>
      <w:r w:rsidR="000F30D9" w:rsidRPr="00B564AE">
        <w:rPr>
          <w:rFonts w:ascii="Times New Roman" w:hAnsi="Times New Roman" w:cs="Times New Roman"/>
          <w:sz w:val="24"/>
          <w:szCs w:val="24"/>
          <w:lang w:val="en-US"/>
        </w:rPr>
        <w:t xml:space="preserve"> (2020) investigate how stock market</w:t>
      </w:r>
      <w:r w:rsidR="00046CFF">
        <w:rPr>
          <w:rFonts w:ascii="Times New Roman" w:hAnsi="Times New Roman" w:cs="Times New Roman"/>
          <w:sz w:val="24"/>
          <w:szCs w:val="24"/>
          <w:lang w:val="en-US"/>
        </w:rPr>
        <w:t>s</w:t>
      </w:r>
      <w:r w:rsidR="000F30D9" w:rsidRPr="00B564AE">
        <w:rPr>
          <w:rFonts w:ascii="Times New Roman" w:hAnsi="Times New Roman" w:cs="Times New Roman"/>
          <w:sz w:val="24"/>
          <w:szCs w:val="24"/>
          <w:lang w:val="en-US"/>
        </w:rPr>
        <w:t xml:space="preserve"> respond to disasters in potash mines</w:t>
      </w:r>
      <w:r w:rsidR="00046CFF">
        <w:rPr>
          <w:rFonts w:ascii="Times New Roman" w:hAnsi="Times New Roman" w:cs="Times New Roman"/>
          <w:sz w:val="24"/>
          <w:szCs w:val="24"/>
          <w:lang w:val="en-US"/>
        </w:rPr>
        <w:t>,</w:t>
      </w:r>
      <w:r w:rsidR="000F30D9" w:rsidRPr="00B564AE">
        <w:rPr>
          <w:rFonts w:ascii="Times New Roman" w:hAnsi="Times New Roman" w:cs="Times New Roman"/>
          <w:sz w:val="24"/>
          <w:szCs w:val="24"/>
          <w:lang w:val="en-US"/>
        </w:rPr>
        <w:t xml:space="preserve"> using data on 55 mining accidents worldwide between 1986 and 2019. The</w:t>
      </w:r>
      <w:r w:rsidR="00046CFF">
        <w:rPr>
          <w:rFonts w:ascii="Times New Roman" w:hAnsi="Times New Roman" w:cs="Times New Roman"/>
          <w:sz w:val="24"/>
          <w:szCs w:val="24"/>
          <w:lang w:val="en-US"/>
        </w:rPr>
        <w:t>y illustrate</w:t>
      </w:r>
      <w:r w:rsidR="000F30D9" w:rsidRPr="00B564AE">
        <w:rPr>
          <w:rFonts w:ascii="Times New Roman" w:hAnsi="Times New Roman" w:cs="Times New Roman"/>
          <w:sz w:val="24"/>
          <w:szCs w:val="24"/>
          <w:lang w:val="en-US"/>
        </w:rPr>
        <w:t xml:space="preserve"> that </w:t>
      </w:r>
      <w:r w:rsidR="00046CFF">
        <w:rPr>
          <w:rFonts w:ascii="Times New Roman" w:hAnsi="Times New Roman" w:cs="Times New Roman"/>
          <w:sz w:val="24"/>
          <w:szCs w:val="24"/>
          <w:lang w:val="en-US"/>
        </w:rPr>
        <w:t xml:space="preserve">the </w:t>
      </w:r>
      <w:r w:rsidR="000F30D9" w:rsidRPr="00B564AE">
        <w:rPr>
          <w:rFonts w:ascii="Times New Roman" w:hAnsi="Times New Roman" w:cs="Times New Roman"/>
          <w:sz w:val="24"/>
          <w:szCs w:val="24"/>
          <w:lang w:val="en-US"/>
        </w:rPr>
        <w:t xml:space="preserve">market value of these mining firms drops by 1.15% </w:t>
      </w:r>
      <w:r w:rsidR="00046CFF">
        <w:rPr>
          <w:rFonts w:ascii="Times New Roman" w:hAnsi="Times New Roman" w:cs="Times New Roman"/>
          <w:sz w:val="24"/>
          <w:szCs w:val="24"/>
          <w:lang w:val="en-US"/>
        </w:rPr>
        <w:t>over</w:t>
      </w:r>
      <w:r w:rsidR="000F30D9" w:rsidRPr="00B564AE">
        <w:rPr>
          <w:rFonts w:ascii="Times New Roman" w:hAnsi="Times New Roman" w:cs="Times New Roman"/>
          <w:sz w:val="24"/>
          <w:szCs w:val="24"/>
          <w:lang w:val="en-US"/>
        </w:rPr>
        <w:t xml:space="preserve"> the first two days of the accident. </w:t>
      </w:r>
    </w:p>
    <w:p w14:paraId="68A531A1" w14:textId="1757A3B0" w:rsidR="000F30D9" w:rsidRPr="00421B9C" w:rsidRDefault="000F30D9" w:rsidP="00421B9C">
      <w:pPr>
        <w:spacing w:line="360" w:lineRule="auto"/>
        <w:ind w:firstLine="720"/>
        <w:jc w:val="both"/>
        <w:rPr>
          <w:rFonts w:ascii="Times New Roman" w:hAnsi="Times New Roman" w:cs="Times New Roman"/>
          <w:color w:val="000000"/>
          <w:sz w:val="24"/>
          <w:szCs w:val="24"/>
          <w:shd w:val="clear" w:color="auto" w:fill="FFFFFF"/>
          <w:lang w:val="en-GB"/>
        </w:rPr>
      </w:pPr>
      <w:r w:rsidRPr="00B564AE">
        <w:rPr>
          <w:rFonts w:ascii="Times New Roman" w:hAnsi="Times New Roman" w:cs="Times New Roman"/>
          <w:sz w:val="24"/>
          <w:szCs w:val="24"/>
          <w:lang w:val="en-US"/>
        </w:rPr>
        <w:t>The second strand of literature address how financial markets respond to financial cris</w:t>
      </w:r>
      <w:r w:rsidR="00046CFF">
        <w:rPr>
          <w:rFonts w:ascii="Times New Roman" w:hAnsi="Times New Roman" w:cs="Times New Roman"/>
          <w:sz w:val="24"/>
          <w:szCs w:val="24"/>
          <w:lang w:val="en-US"/>
        </w:rPr>
        <w:t>e</w:t>
      </w:r>
      <w:r w:rsidRPr="00B564AE">
        <w:rPr>
          <w:rFonts w:ascii="Times New Roman" w:hAnsi="Times New Roman" w:cs="Times New Roman"/>
          <w:sz w:val="24"/>
          <w:szCs w:val="24"/>
          <w:lang w:val="en-US"/>
        </w:rPr>
        <w:t>s. Naturally, stock markets respond differently to bear and bull markets</w:t>
      </w:r>
      <w:r w:rsidR="00046CFF">
        <w:rPr>
          <w:rFonts w:ascii="Times New Roman" w:hAnsi="Times New Roman" w:cs="Times New Roman"/>
          <w:sz w:val="24"/>
          <w:szCs w:val="24"/>
          <w:lang w:val="en-US"/>
        </w:rPr>
        <w:t>,</w:t>
      </w:r>
      <w:r w:rsidRPr="00B564AE">
        <w:rPr>
          <w:rFonts w:ascii="Times New Roman" w:hAnsi="Times New Roman" w:cs="Times New Roman"/>
          <w:sz w:val="24"/>
          <w:szCs w:val="24"/>
          <w:lang w:val="en-US"/>
        </w:rPr>
        <w:t xml:space="preserve"> given their typical complex system. In principle, the specific time period</w:t>
      </w:r>
      <w:r w:rsidR="00046CFF">
        <w:rPr>
          <w:rFonts w:ascii="Times New Roman" w:hAnsi="Times New Roman" w:cs="Times New Roman"/>
          <w:sz w:val="24"/>
          <w:szCs w:val="24"/>
          <w:lang w:val="en-US"/>
        </w:rPr>
        <w:t>,</w:t>
      </w:r>
      <w:r w:rsidRPr="00B564AE">
        <w:rPr>
          <w:rFonts w:ascii="Times New Roman" w:hAnsi="Times New Roman" w:cs="Times New Roman"/>
          <w:sz w:val="24"/>
          <w:szCs w:val="24"/>
          <w:lang w:val="en-US"/>
        </w:rPr>
        <w:t xml:space="preserve"> such as financial crisis or a market crash can have significant impact on stock returns and volatility. The Global Financial Crisis </w:t>
      </w:r>
      <w:r w:rsidR="00046CFF">
        <w:rPr>
          <w:rFonts w:ascii="Times New Roman" w:hAnsi="Times New Roman" w:cs="Times New Roman"/>
          <w:sz w:val="24"/>
          <w:szCs w:val="24"/>
          <w:lang w:val="en-US"/>
        </w:rPr>
        <w:t xml:space="preserve">in </w:t>
      </w:r>
      <w:r w:rsidRPr="00B564AE">
        <w:rPr>
          <w:rFonts w:ascii="Times New Roman" w:hAnsi="Times New Roman" w:cs="Times New Roman"/>
          <w:sz w:val="24"/>
          <w:szCs w:val="24"/>
          <w:lang w:val="en-US"/>
        </w:rPr>
        <w:t xml:space="preserve">2007-2009 has been continuously labelled as the worst financial and economic crisis since the Great Depression </w:t>
      </w:r>
      <w:r w:rsidR="00046CFF">
        <w:rPr>
          <w:rFonts w:ascii="Times New Roman" w:hAnsi="Times New Roman" w:cs="Times New Roman"/>
          <w:sz w:val="24"/>
          <w:szCs w:val="24"/>
          <w:lang w:val="en-US"/>
        </w:rPr>
        <w:t>in the</w:t>
      </w:r>
      <w:r w:rsidRPr="00B564AE">
        <w:rPr>
          <w:rFonts w:ascii="Times New Roman" w:hAnsi="Times New Roman" w:cs="Times New Roman"/>
          <w:sz w:val="24"/>
          <w:szCs w:val="24"/>
          <w:lang w:val="en-US"/>
        </w:rPr>
        <w:t xml:space="preserve"> 1930s. This crisis severely affected stock markets and macroeconomic indicators worldwide (</w:t>
      </w:r>
      <w:proofErr w:type="spellStart"/>
      <w:r w:rsidRPr="00B564AE">
        <w:rPr>
          <w:rFonts w:ascii="Times New Roman" w:hAnsi="Times New Roman" w:cs="Times New Roman"/>
          <w:sz w:val="24"/>
          <w:szCs w:val="24"/>
          <w:lang w:val="en-US"/>
        </w:rPr>
        <w:t>Eichengreen</w:t>
      </w:r>
      <w:proofErr w:type="spellEnd"/>
      <w:r w:rsidRPr="00B564AE">
        <w:rPr>
          <w:rFonts w:ascii="Times New Roman" w:hAnsi="Times New Roman" w:cs="Times New Roman"/>
          <w:sz w:val="24"/>
          <w:szCs w:val="24"/>
          <w:lang w:val="en-US"/>
        </w:rPr>
        <w:t xml:space="preserve"> and O’Rourke, 2009). </w:t>
      </w:r>
      <w:r>
        <w:rPr>
          <w:rFonts w:ascii="Times New Roman" w:hAnsi="Times New Roman" w:cs="Times New Roman"/>
          <w:color w:val="000000"/>
          <w:sz w:val="24"/>
          <w:szCs w:val="24"/>
          <w:shd w:val="clear" w:color="auto" w:fill="FFFFFF"/>
          <w:lang w:val="en-GB"/>
        </w:rPr>
        <w:t>In general, there is a consensus among economists that international stock markets respond strongly during the high volatility periods</w:t>
      </w:r>
      <w:r w:rsidR="00046CFF">
        <w:rPr>
          <w:rFonts w:ascii="Times New Roman" w:hAnsi="Times New Roman" w:cs="Times New Roman"/>
          <w:color w:val="000000"/>
          <w:sz w:val="24"/>
          <w:szCs w:val="24"/>
          <w:shd w:val="clear" w:color="auto" w:fill="FFFFFF"/>
          <w:lang w:val="en-GB"/>
        </w:rPr>
        <w:t>,</w:t>
      </w:r>
      <w:r>
        <w:rPr>
          <w:rFonts w:ascii="Times New Roman" w:hAnsi="Times New Roman" w:cs="Times New Roman"/>
          <w:color w:val="000000"/>
          <w:sz w:val="24"/>
          <w:szCs w:val="24"/>
          <w:shd w:val="clear" w:color="auto" w:fill="FFFFFF"/>
          <w:lang w:val="en-GB"/>
        </w:rPr>
        <w:t xml:space="preserve"> such as market crises </w:t>
      </w:r>
      <w:r w:rsidRPr="00C52FDD">
        <w:rPr>
          <w:rFonts w:ascii="Times New Roman" w:hAnsi="Times New Roman" w:cs="Times New Roman"/>
          <w:color w:val="000000"/>
          <w:sz w:val="24"/>
          <w:szCs w:val="24"/>
          <w:shd w:val="clear" w:color="auto" w:fill="FFFFFF"/>
          <w:lang w:val="en-GB"/>
        </w:rPr>
        <w:t xml:space="preserve">(Lin et al., 1994; </w:t>
      </w:r>
      <w:proofErr w:type="spellStart"/>
      <w:r w:rsidRPr="00C52FDD">
        <w:rPr>
          <w:rFonts w:ascii="Times New Roman" w:hAnsi="Times New Roman" w:cs="Times New Roman"/>
          <w:color w:val="000000"/>
          <w:sz w:val="24"/>
          <w:szCs w:val="24"/>
          <w:shd w:val="clear" w:color="auto" w:fill="FFFFFF"/>
          <w:lang w:val="en-GB"/>
        </w:rPr>
        <w:t>Longin</w:t>
      </w:r>
      <w:proofErr w:type="spellEnd"/>
      <w:r w:rsidRPr="00C52FDD">
        <w:rPr>
          <w:rFonts w:ascii="Times New Roman" w:hAnsi="Times New Roman" w:cs="Times New Roman"/>
          <w:color w:val="000000"/>
          <w:sz w:val="24"/>
          <w:szCs w:val="24"/>
          <w:shd w:val="clear" w:color="auto" w:fill="FFFFFF"/>
          <w:lang w:val="en-GB"/>
        </w:rPr>
        <w:t xml:space="preserve"> and </w:t>
      </w:r>
      <w:proofErr w:type="spellStart"/>
      <w:r w:rsidRPr="00C52FDD">
        <w:rPr>
          <w:rFonts w:ascii="Times New Roman" w:hAnsi="Times New Roman" w:cs="Times New Roman"/>
          <w:color w:val="000000"/>
          <w:sz w:val="24"/>
          <w:szCs w:val="24"/>
          <w:shd w:val="clear" w:color="auto" w:fill="FFFFFF"/>
          <w:lang w:val="en-GB"/>
        </w:rPr>
        <w:t>Solnik</w:t>
      </w:r>
      <w:proofErr w:type="spellEnd"/>
      <w:r w:rsidRPr="00C52FDD">
        <w:rPr>
          <w:rFonts w:ascii="Times New Roman" w:hAnsi="Times New Roman" w:cs="Times New Roman"/>
          <w:color w:val="000000"/>
          <w:sz w:val="24"/>
          <w:szCs w:val="24"/>
          <w:shd w:val="clear" w:color="auto" w:fill="FFFFFF"/>
          <w:lang w:val="en-GB"/>
        </w:rPr>
        <w:t>, 2001).</w:t>
      </w:r>
      <w:r>
        <w:rPr>
          <w:rFonts w:ascii="Times New Roman" w:hAnsi="Times New Roman" w:cs="Times New Roman"/>
          <w:color w:val="000000"/>
          <w:sz w:val="24"/>
          <w:szCs w:val="24"/>
          <w:shd w:val="clear" w:color="auto" w:fill="FFFFFF"/>
          <w:lang w:val="en-GB"/>
        </w:rPr>
        <w:t xml:space="preserve"> Engle (2004) investigates the daily U.S. stock market volatility using </w:t>
      </w:r>
      <w:r w:rsidR="00046CFF">
        <w:rPr>
          <w:rFonts w:ascii="Times New Roman" w:hAnsi="Times New Roman" w:cs="Times New Roman"/>
          <w:color w:val="000000"/>
          <w:sz w:val="24"/>
          <w:szCs w:val="24"/>
          <w:shd w:val="clear" w:color="auto" w:fill="FFFFFF"/>
          <w:lang w:val="en-GB"/>
        </w:rPr>
        <w:t xml:space="preserve">the </w:t>
      </w:r>
      <w:r>
        <w:rPr>
          <w:rFonts w:ascii="Times New Roman" w:hAnsi="Times New Roman" w:cs="Times New Roman"/>
          <w:color w:val="000000"/>
          <w:sz w:val="24"/>
          <w:szCs w:val="24"/>
          <w:shd w:val="clear" w:color="auto" w:fill="FFFFFF"/>
          <w:lang w:val="en-GB"/>
        </w:rPr>
        <w:t xml:space="preserve">S&amp;P500 index </w:t>
      </w:r>
      <w:r w:rsidR="00046CFF">
        <w:rPr>
          <w:rFonts w:ascii="Times New Roman" w:hAnsi="Times New Roman" w:cs="Times New Roman"/>
          <w:color w:val="000000"/>
          <w:sz w:val="24"/>
          <w:szCs w:val="24"/>
          <w:shd w:val="clear" w:color="auto" w:fill="FFFFFF"/>
          <w:lang w:val="en-GB"/>
        </w:rPr>
        <w:t>over</w:t>
      </w:r>
      <w:r>
        <w:rPr>
          <w:rFonts w:ascii="Times New Roman" w:hAnsi="Times New Roman" w:cs="Times New Roman"/>
          <w:color w:val="000000"/>
          <w:sz w:val="24"/>
          <w:szCs w:val="24"/>
          <w:shd w:val="clear" w:color="auto" w:fill="FFFFFF"/>
          <w:lang w:val="en-GB"/>
        </w:rPr>
        <w:t xml:space="preserve"> the period January 1963 through November 2003. </w:t>
      </w:r>
      <w:r w:rsidR="00046CFF">
        <w:rPr>
          <w:rFonts w:ascii="Times New Roman" w:hAnsi="Times New Roman" w:cs="Times New Roman"/>
          <w:color w:val="000000"/>
          <w:sz w:val="24"/>
          <w:szCs w:val="24"/>
          <w:shd w:val="clear" w:color="auto" w:fill="FFFFFF"/>
          <w:lang w:val="en-GB"/>
        </w:rPr>
        <w:t>He</w:t>
      </w:r>
      <w:r>
        <w:rPr>
          <w:rFonts w:ascii="Times New Roman" w:hAnsi="Times New Roman" w:cs="Times New Roman"/>
          <w:color w:val="000000"/>
          <w:sz w:val="24"/>
          <w:szCs w:val="24"/>
          <w:shd w:val="clear" w:color="auto" w:fill="FFFFFF"/>
          <w:lang w:val="en-GB"/>
        </w:rPr>
        <w:t xml:space="preserve"> </w:t>
      </w:r>
      <w:r w:rsidR="00046CFF">
        <w:rPr>
          <w:rFonts w:ascii="Times New Roman" w:hAnsi="Times New Roman" w:cs="Times New Roman"/>
          <w:color w:val="000000"/>
          <w:sz w:val="24"/>
          <w:szCs w:val="24"/>
          <w:shd w:val="clear" w:color="auto" w:fill="FFFFFF"/>
          <w:lang w:val="en-GB"/>
        </w:rPr>
        <w:t xml:space="preserve">highlights </w:t>
      </w:r>
      <w:r>
        <w:rPr>
          <w:rFonts w:ascii="Times New Roman" w:hAnsi="Times New Roman" w:cs="Times New Roman"/>
          <w:color w:val="000000"/>
          <w:sz w:val="24"/>
          <w:szCs w:val="24"/>
          <w:shd w:val="clear" w:color="auto" w:fill="FFFFFF"/>
          <w:lang w:val="en-GB"/>
        </w:rPr>
        <w:t xml:space="preserve">that </w:t>
      </w:r>
      <w:r w:rsidRPr="007A21BF">
        <w:rPr>
          <w:rFonts w:ascii="Times New Roman" w:hAnsi="Times New Roman" w:cs="Times New Roman"/>
          <w:color w:val="000000"/>
          <w:sz w:val="24"/>
          <w:szCs w:val="24"/>
          <w:shd w:val="clear" w:color="auto" w:fill="FFFFFF"/>
          <w:lang w:val="en-GB"/>
        </w:rPr>
        <w:t>the 1987</w:t>
      </w:r>
      <w:r>
        <w:rPr>
          <w:rFonts w:ascii="Times New Roman" w:hAnsi="Times New Roman" w:cs="Times New Roman"/>
          <w:color w:val="000000"/>
          <w:sz w:val="24"/>
          <w:szCs w:val="24"/>
          <w:shd w:val="clear" w:color="auto" w:fill="FFFFFF"/>
          <w:lang w:val="en-GB"/>
        </w:rPr>
        <w:t xml:space="preserve"> international market crash</w:t>
      </w:r>
      <w:r w:rsidRPr="007A21BF">
        <w:rPr>
          <w:rFonts w:ascii="Times New Roman" w:hAnsi="Times New Roman" w:cs="Times New Roman"/>
          <w:color w:val="000000"/>
          <w:sz w:val="24"/>
          <w:szCs w:val="24"/>
          <w:shd w:val="clear" w:color="auto" w:fill="FFFFFF"/>
          <w:lang w:val="en-GB"/>
        </w:rPr>
        <w:t xml:space="preserve"> </w:t>
      </w:r>
      <w:r w:rsidR="00046CFF">
        <w:rPr>
          <w:rFonts w:ascii="Times New Roman" w:hAnsi="Times New Roman" w:cs="Times New Roman"/>
          <w:color w:val="000000"/>
          <w:sz w:val="24"/>
          <w:szCs w:val="24"/>
          <w:shd w:val="clear" w:color="auto" w:fill="FFFFFF"/>
          <w:lang w:val="en-GB"/>
        </w:rPr>
        <w:t>has been</w:t>
      </w:r>
      <w:r w:rsidRPr="007A21BF">
        <w:rPr>
          <w:rFonts w:ascii="Times New Roman" w:hAnsi="Times New Roman" w:cs="Times New Roman"/>
          <w:color w:val="000000"/>
          <w:sz w:val="24"/>
          <w:szCs w:val="24"/>
          <w:shd w:val="clear" w:color="auto" w:fill="FFFFFF"/>
          <w:lang w:val="en-GB"/>
        </w:rPr>
        <w:t xml:space="preserve"> </w:t>
      </w:r>
      <w:r w:rsidR="00046CFF">
        <w:rPr>
          <w:rFonts w:ascii="Times New Roman" w:hAnsi="Times New Roman" w:cs="Times New Roman"/>
          <w:color w:val="000000"/>
          <w:sz w:val="24"/>
          <w:szCs w:val="24"/>
          <w:shd w:val="clear" w:color="auto" w:fill="FFFFFF"/>
          <w:lang w:val="en-GB"/>
        </w:rPr>
        <w:t>‘</w:t>
      </w:r>
      <w:r w:rsidRPr="007A21BF">
        <w:rPr>
          <w:rFonts w:ascii="Times New Roman" w:hAnsi="Times New Roman" w:cs="Times New Roman"/>
          <w:color w:val="000000"/>
          <w:sz w:val="24"/>
          <w:szCs w:val="24"/>
          <w:shd w:val="clear" w:color="auto" w:fill="FFFFFF"/>
          <w:lang w:val="en-GB"/>
        </w:rPr>
        <w:t>the most dramatic event</w:t>
      </w:r>
      <w:r w:rsidR="00046CFF">
        <w:rPr>
          <w:rFonts w:ascii="Times New Roman" w:hAnsi="Times New Roman" w:cs="Times New Roman"/>
          <w:color w:val="000000"/>
          <w:sz w:val="24"/>
          <w:szCs w:val="24"/>
          <w:shd w:val="clear" w:color="auto" w:fill="FFFFFF"/>
          <w:lang w:val="en-GB"/>
        </w:rPr>
        <w:t>’</w:t>
      </w:r>
      <w:r w:rsidRPr="007A21BF">
        <w:rPr>
          <w:rFonts w:ascii="Times New Roman" w:hAnsi="Times New Roman" w:cs="Times New Roman"/>
          <w:color w:val="000000"/>
          <w:sz w:val="24"/>
          <w:szCs w:val="24"/>
          <w:shd w:val="clear" w:color="auto" w:fill="FFFFFF"/>
          <w:lang w:val="en-GB"/>
        </w:rPr>
        <w:t xml:space="preserve"> </w:t>
      </w:r>
      <w:r>
        <w:rPr>
          <w:rFonts w:ascii="Times New Roman" w:hAnsi="Times New Roman" w:cs="Times New Roman"/>
          <w:color w:val="000000"/>
          <w:sz w:val="24"/>
          <w:szCs w:val="24"/>
          <w:shd w:val="clear" w:color="auto" w:fill="FFFFFF"/>
          <w:lang w:val="en-GB"/>
        </w:rPr>
        <w:t>in US equity market</w:t>
      </w:r>
      <w:r w:rsidR="00046CFF">
        <w:rPr>
          <w:rFonts w:ascii="Times New Roman" w:hAnsi="Times New Roman" w:cs="Times New Roman"/>
          <w:color w:val="000000"/>
          <w:sz w:val="24"/>
          <w:szCs w:val="24"/>
          <w:shd w:val="clear" w:color="auto" w:fill="FFFFFF"/>
          <w:lang w:val="en-GB"/>
        </w:rPr>
        <w:t xml:space="preserve"> </w:t>
      </w:r>
      <w:r w:rsidR="00046CFF" w:rsidRPr="00421B9C">
        <w:rPr>
          <w:rFonts w:ascii="Times New Roman" w:hAnsi="Times New Roman" w:cs="Times New Roman"/>
          <w:sz w:val="24"/>
          <w:szCs w:val="24"/>
          <w:shd w:val="clear" w:color="auto" w:fill="FFFFFF"/>
          <w:lang w:val="en-GB"/>
        </w:rPr>
        <w:t>history;</w:t>
      </w:r>
      <w:r w:rsidRPr="00421B9C">
        <w:rPr>
          <w:rFonts w:ascii="Times New Roman" w:hAnsi="Times New Roman" w:cs="Times New Roman"/>
          <w:sz w:val="24"/>
          <w:szCs w:val="24"/>
          <w:shd w:val="clear" w:color="auto" w:fill="FFFFFF"/>
          <w:lang w:val="en-GB"/>
        </w:rPr>
        <w:t xml:space="preserve"> therefore</w:t>
      </w:r>
      <w:r w:rsidRPr="00421B9C">
        <w:rPr>
          <w:rFonts w:ascii="Times New Roman" w:hAnsi="Times New Roman" w:cs="Times New Roman"/>
          <w:color w:val="000000"/>
          <w:sz w:val="24"/>
          <w:szCs w:val="24"/>
          <w:shd w:val="clear" w:color="auto" w:fill="FFFFFF"/>
          <w:lang w:val="en-GB"/>
        </w:rPr>
        <w:t>, volatility in S&amp;P 500 stock returns tends to be higher in bear markets</w:t>
      </w:r>
      <w:r w:rsidR="00421B9C" w:rsidRPr="00421B9C">
        <w:rPr>
          <w:rFonts w:ascii="Times New Roman" w:hAnsi="Times New Roman" w:cs="Times New Roman"/>
          <w:color w:val="000000"/>
          <w:sz w:val="24"/>
          <w:szCs w:val="24"/>
          <w:shd w:val="clear" w:color="auto" w:fill="FFFFFF"/>
          <w:lang w:val="en-GB"/>
        </w:rPr>
        <w:t xml:space="preserve"> (Lee et al., 2002)</w:t>
      </w:r>
      <w:r w:rsidRPr="00421B9C">
        <w:rPr>
          <w:rFonts w:ascii="Times New Roman" w:hAnsi="Times New Roman" w:cs="Times New Roman"/>
          <w:color w:val="000000"/>
          <w:sz w:val="24"/>
          <w:szCs w:val="24"/>
          <w:shd w:val="clear" w:color="auto" w:fill="FFFFFF"/>
          <w:lang w:val="en-GB"/>
        </w:rPr>
        <w:t>.</w:t>
      </w:r>
      <w:r w:rsidR="00421B9C">
        <w:rPr>
          <w:rFonts w:ascii="Times New Roman" w:hAnsi="Times New Roman" w:cs="Times New Roman"/>
          <w:color w:val="000000"/>
          <w:sz w:val="24"/>
          <w:szCs w:val="24"/>
          <w:shd w:val="clear" w:color="auto" w:fill="FFFFFF"/>
          <w:lang w:val="en-GB"/>
        </w:rPr>
        <w:t xml:space="preserve"> </w:t>
      </w:r>
    </w:p>
    <w:p w14:paraId="3F08BD86" w14:textId="23688D88" w:rsidR="00EA78F0" w:rsidRDefault="00EA78F0" w:rsidP="00EA78F0">
      <w:pPr>
        <w:spacing w:line="360" w:lineRule="auto"/>
        <w:ind w:firstLine="720"/>
        <w:jc w:val="both"/>
        <w:rPr>
          <w:rFonts w:ascii="Times New Roman" w:hAnsi="Times New Roman" w:cs="Times New Roman"/>
          <w:sz w:val="24"/>
          <w:szCs w:val="24"/>
          <w:lang w:val="en-US"/>
        </w:rPr>
      </w:pPr>
      <w:r w:rsidRPr="00EA78F0">
        <w:rPr>
          <w:rFonts w:ascii="Times New Roman" w:hAnsi="Times New Roman" w:cs="Times New Roman"/>
          <w:sz w:val="24"/>
          <w:szCs w:val="24"/>
          <w:lang w:val="en-US"/>
        </w:rPr>
        <w:t>The main objective of this paper is to examine the effect of C</w:t>
      </w:r>
      <w:r w:rsidR="00046CFF">
        <w:rPr>
          <w:rFonts w:ascii="Times New Roman" w:hAnsi="Times New Roman" w:cs="Times New Roman"/>
          <w:sz w:val="24"/>
          <w:szCs w:val="24"/>
          <w:lang w:val="en-US"/>
        </w:rPr>
        <w:t>ovid</w:t>
      </w:r>
      <w:r w:rsidRPr="00EA78F0">
        <w:rPr>
          <w:rFonts w:ascii="Times New Roman" w:hAnsi="Times New Roman" w:cs="Times New Roman"/>
          <w:sz w:val="24"/>
          <w:szCs w:val="24"/>
          <w:lang w:val="en-US"/>
        </w:rPr>
        <w:t xml:space="preserve">-19 on stock market returns and </w:t>
      </w:r>
      <w:r w:rsidR="00046CFF">
        <w:rPr>
          <w:rFonts w:ascii="Times New Roman" w:hAnsi="Times New Roman" w:cs="Times New Roman"/>
          <w:sz w:val="24"/>
          <w:szCs w:val="24"/>
          <w:lang w:val="en-US"/>
        </w:rPr>
        <w:t xml:space="preserve">their </w:t>
      </w:r>
      <w:r w:rsidRPr="00EA78F0">
        <w:rPr>
          <w:rFonts w:ascii="Times New Roman" w:hAnsi="Times New Roman" w:cs="Times New Roman"/>
          <w:sz w:val="24"/>
          <w:szCs w:val="24"/>
          <w:lang w:val="en-US"/>
        </w:rPr>
        <w:t>volatility</w:t>
      </w:r>
      <w:r w:rsidR="00046CFF">
        <w:rPr>
          <w:rFonts w:ascii="Times New Roman" w:hAnsi="Times New Roman" w:cs="Times New Roman"/>
          <w:sz w:val="24"/>
          <w:szCs w:val="24"/>
          <w:lang w:val="en-US"/>
        </w:rPr>
        <w:t>, spanning the period</w:t>
      </w:r>
      <w:r w:rsidRPr="00EA78F0">
        <w:rPr>
          <w:rFonts w:ascii="Times New Roman" w:hAnsi="Times New Roman" w:cs="Times New Roman"/>
          <w:sz w:val="24"/>
          <w:szCs w:val="24"/>
          <w:lang w:val="en-US"/>
        </w:rPr>
        <w:t xml:space="preserve"> January 27, 2020 through April 30, 2020 period in C</w:t>
      </w:r>
      <w:r w:rsidR="00E4350E">
        <w:rPr>
          <w:rFonts w:ascii="Times New Roman" w:hAnsi="Times New Roman" w:cs="Times New Roman"/>
          <w:sz w:val="24"/>
          <w:szCs w:val="24"/>
          <w:lang w:val="en-US"/>
        </w:rPr>
        <w:t>hina</w:t>
      </w:r>
      <w:r w:rsidRPr="00EA78F0">
        <w:rPr>
          <w:rFonts w:ascii="Times New Roman" w:hAnsi="Times New Roman" w:cs="Times New Roman"/>
          <w:sz w:val="24"/>
          <w:szCs w:val="24"/>
          <w:lang w:val="en-US"/>
        </w:rPr>
        <w:t xml:space="preserve"> using daily data. </w:t>
      </w:r>
      <w:r w:rsidR="00C674B6" w:rsidRPr="00EA78F0">
        <w:rPr>
          <w:rFonts w:ascii="Times New Roman" w:hAnsi="Times New Roman" w:cs="Times New Roman"/>
          <w:sz w:val="24"/>
          <w:szCs w:val="24"/>
          <w:lang w:val="en-US"/>
        </w:rPr>
        <w:t xml:space="preserve">We make use of </w:t>
      </w:r>
      <w:r w:rsidR="00046CFF">
        <w:rPr>
          <w:rFonts w:ascii="Times New Roman" w:hAnsi="Times New Roman" w:cs="Times New Roman"/>
          <w:sz w:val="24"/>
          <w:szCs w:val="24"/>
          <w:lang w:val="en-US"/>
        </w:rPr>
        <w:t xml:space="preserve">the </w:t>
      </w:r>
      <w:r w:rsidR="00C674B6" w:rsidRPr="00EA78F0">
        <w:rPr>
          <w:rFonts w:ascii="Times New Roman" w:hAnsi="Times New Roman" w:cs="Times New Roman"/>
          <w:sz w:val="24"/>
          <w:szCs w:val="24"/>
          <w:lang w:val="en-US"/>
        </w:rPr>
        <w:t xml:space="preserve">GARCHX </w:t>
      </w:r>
      <w:r w:rsidR="00046CFF">
        <w:rPr>
          <w:rFonts w:ascii="Times New Roman" w:hAnsi="Times New Roman" w:cs="Times New Roman"/>
          <w:sz w:val="24"/>
          <w:szCs w:val="24"/>
          <w:lang w:val="en-US"/>
        </w:rPr>
        <w:t>method</w:t>
      </w:r>
      <w:r w:rsidR="000216C0">
        <w:rPr>
          <w:rFonts w:ascii="Times New Roman" w:hAnsi="Times New Roman" w:cs="Times New Roman"/>
          <w:sz w:val="24"/>
          <w:szCs w:val="24"/>
          <w:lang w:val="en-US"/>
        </w:rPr>
        <w:t xml:space="preserve"> which </w:t>
      </w:r>
      <w:r w:rsidRPr="00EA78F0">
        <w:rPr>
          <w:rFonts w:ascii="Times New Roman" w:hAnsi="Times New Roman" w:cs="Times New Roman"/>
          <w:sz w:val="24"/>
          <w:szCs w:val="24"/>
          <w:lang w:val="en-US"/>
        </w:rPr>
        <w:t xml:space="preserve">does not require to assume linearity, independence, and constant variance in modeling stock returns. The GARCHX model is among the </w:t>
      </w:r>
      <w:r w:rsidR="000216C0">
        <w:rPr>
          <w:rFonts w:ascii="Times New Roman" w:hAnsi="Times New Roman" w:cs="Times New Roman"/>
          <w:sz w:val="24"/>
          <w:szCs w:val="24"/>
          <w:lang w:val="en-US"/>
        </w:rPr>
        <w:t>framework</w:t>
      </w:r>
      <w:r w:rsidRPr="00EA78F0">
        <w:rPr>
          <w:rFonts w:ascii="Times New Roman" w:hAnsi="Times New Roman" w:cs="Times New Roman"/>
          <w:sz w:val="24"/>
          <w:szCs w:val="24"/>
          <w:lang w:val="en-US"/>
        </w:rPr>
        <w:t xml:space="preserve"> of standard GARCH models</w:t>
      </w:r>
      <w:r w:rsidR="000216C0">
        <w:rPr>
          <w:rFonts w:ascii="Times New Roman" w:hAnsi="Times New Roman" w:cs="Times New Roman"/>
          <w:sz w:val="24"/>
          <w:szCs w:val="24"/>
          <w:lang w:val="en-US"/>
        </w:rPr>
        <w:t>;</w:t>
      </w:r>
      <w:r w:rsidRPr="00EA78F0">
        <w:rPr>
          <w:rFonts w:ascii="Times New Roman" w:hAnsi="Times New Roman" w:cs="Times New Roman"/>
          <w:sz w:val="24"/>
          <w:szCs w:val="24"/>
          <w:lang w:val="en-US"/>
        </w:rPr>
        <w:t xml:space="preserve"> however, </w:t>
      </w:r>
      <w:r w:rsidR="000216C0">
        <w:rPr>
          <w:rFonts w:ascii="Times New Roman" w:hAnsi="Times New Roman" w:cs="Times New Roman"/>
          <w:sz w:val="24"/>
          <w:szCs w:val="24"/>
          <w:lang w:val="en-US"/>
        </w:rPr>
        <w:t>it</w:t>
      </w:r>
      <w:r w:rsidRPr="00EA78F0">
        <w:rPr>
          <w:rFonts w:ascii="Times New Roman" w:hAnsi="Times New Roman" w:cs="Times New Roman"/>
          <w:sz w:val="24"/>
          <w:szCs w:val="24"/>
          <w:lang w:val="en-US"/>
        </w:rPr>
        <w:t xml:space="preserve"> allows to include information on additional </w:t>
      </w:r>
      <w:r w:rsidR="000216C0">
        <w:rPr>
          <w:rFonts w:ascii="Times New Roman" w:hAnsi="Times New Roman" w:cs="Times New Roman"/>
          <w:sz w:val="24"/>
          <w:szCs w:val="24"/>
          <w:lang w:val="en-US"/>
        </w:rPr>
        <w:t xml:space="preserve">controls, such as the </w:t>
      </w:r>
      <w:r w:rsidRPr="00EA78F0">
        <w:rPr>
          <w:rFonts w:ascii="Times New Roman" w:hAnsi="Times New Roman" w:cs="Times New Roman"/>
          <w:sz w:val="24"/>
          <w:szCs w:val="24"/>
          <w:lang w:val="en-US"/>
        </w:rPr>
        <w:t>C</w:t>
      </w:r>
      <w:r w:rsidR="000216C0">
        <w:rPr>
          <w:rFonts w:ascii="Times New Roman" w:hAnsi="Times New Roman" w:cs="Times New Roman"/>
          <w:sz w:val="24"/>
          <w:szCs w:val="24"/>
          <w:lang w:val="en-US"/>
        </w:rPr>
        <w:t>ovid</w:t>
      </w:r>
      <w:r w:rsidRPr="00EA78F0">
        <w:rPr>
          <w:rFonts w:ascii="Times New Roman" w:hAnsi="Times New Roman" w:cs="Times New Roman"/>
          <w:sz w:val="24"/>
          <w:szCs w:val="24"/>
          <w:lang w:val="en-US"/>
        </w:rPr>
        <w:t xml:space="preserve">-19 variable </w:t>
      </w:r>
      <w:r w:rsidR="000216C0">
        <w:rPr>
          <w:rFonts w:ascii="Times New Roman" w:hAnsi="Times New Roman" w:cs="Times New Roman"/>
          <w:sz w:val="24"/>
          <w:szCs w:val="24"/>
          <w:lang w:val="en-US"/>
        </w:rPr>
        <w:t>in both the mean and the conditional variance equations of the</w:t>
      </w:r>
      <w:r w:rsidRPr="00EA78F0">
        <w:rPr>
          <w:rFonts w:ascii="Times New Roman" w:hAnsi="Times New Roman" w:cs="Times New Roman"/>
          <w:sz w:val="24"/>
          <w:szCs w:val="24"/>
          <w:lang w:val="en-US"/>
        </w:rPr>
        <w:t xml:space="preserve"> model.</w:t>
      </w:r>
    </w:p>
    <w:p w14:paraId="47D15513" w14:textId="5B5A5D47" w:rsidR="00EA78F0" w:rsidRPr="00C674B6" w:rsidRDefault="000216C0" w:rsidP="00EA78F0">
      <w:pPr>
        <w:spacing w:line="360" w:lineRule="auto"/>
        <w:ind w:firstLine="720"/>
        <w:jc w:val="both"/>
        <w:rPr>
          <w:rFonts w:ascii="Times New Roman" w:hAnsi="Times New Roman" w:cs="Times New Roman"/>
          <w:lang w:val="en-US"/>
        </w:rPr>
      </w:pPr>
      <w:r>
        <w:rPr>
          <w:rFonts w:ascii="Times New Roman" w:hAnsi="Times New Roman" w:cs="Times New Roman"/>
          <w:sz w:val="24"/>
          <w:szCs w:val="24"/>
          <w:lang w:val="en-US"/>
        </w:rPr>
        <w:lastRenderedPageBreak/>
        <w:t>The</w:t>
      </w:r>
      <w:r w:rsidR="00EA78F0" w:rsidRPr="00EA78F0">
        <w:rPr>
          <w:rFonts w:ascii="Times New Roman" w:hAnsi="Times New Roman" w:cs="Times New Roman"/>
          <w:sz w:val="24"/>
          <w:szCs w:val="24"/>
          <w:lang w:val="en-US"/>
        </w:rPr>
        <w:t xml:space="preserve"> findings document that daily increase</w:t>
      </w:r>
      <w:r>
        <w:rPr>
          <w:rFonts w:ascii="Times New Roman" w:hAnsi="Times New Roman" w:cs="Times New Roman"/>
          <w:sz w:val="24"/>
          <w:szCs w:val="24"/>
          <w:lang w:val="en-US"/>
        </w:rPr>
        <w:t>s</w:t>
      </w:r>
      <w:r w:rsidR="00EA78F0" w:rsidRPr="00EA78F0">
        <w:rPr>
          <w:rFonts w:ascii="Times New Roman" w:hAnsi="Times New Roman" w:cs="Times New Roman"/>
          <w:sz w:val="24"/>
          <w:szCs w:val="24"/>
          <w:lang w:val="en-US"/>
        </w:rPr>
        <w:t xml:space="preserve"> in total confirmed cases </w:t>
      </w:r>
      <w:r>
        <w:rPr>
          <w:rFonts w:ascii="Times New Roman" w:hAnsi="Times New Roman" w:cs="Times New Roman"/>
          <w:sz w:val="24"/>
          <w:szCs w:val="24"/>
          <w:lang w:val="en-US"/>
        </w:rPr>
        <w:t>and</w:t>
      </w:r>
      <w:r w:rsidR="00EA78F0" w:rsidRPr="00EA78F0">
        <w:rPr>
          <w:rFonts w:ascii="Times New Roman" w:hAnsi="Times New Roman" w:cs="Times New Roman"/>
          <w:sz w:val="24"/>
          <w:szCs w:val="24"/>
          <w:lang w:val="en-US"/>
        </w:rPr>
        <w:t xml:space="preserve"> total cases of daily deaths caused by C</w:t>
      </w:r>
      <w:r>
        <w:rPr>
          <w:rFonts w:ascii="Times New Roman" w:hAnsi="Times New Roman" w:cs="Times New Roman"/>
          <w:sz w:val="24"/>
          <w:szCs w:val="24"/>
          <w:lang w:val="en-US"/>
        </w:rPr>
        <w:t>ovid</w:t>
      </w:r>
      <w:r w:rsidR="00EA78F0" w:rsidRPr="00EA78F0">
        <w:rPr>
          <w:rFonts w:ascii="Times New Roman" w:hAnsi="Times New Roman" w:cs="Times New Roman"/>
          <w:sz w:val="24"/>
          <w:szCs w:val="24"/>
          <w:lang w:val="en-US"/>
        </w:rPr>
        <w:t xml:space="preserve">-19 have </w:t>
      </w:r>
      <w:r>
        <w:rPr>
          <w:rFonts w:ascii="Times New Roman" w:hAnsi="Times New Roman" w:cs="Times New Roman"/>
          <w:sz w:val="24"/>
          <w:szCs w:val="24"/>
          <w:lang w:val="en-US"/>
        </w:rPr>
        <w:t xml:space="preserve">a </w:t>
      </w:r>
      <w:r w:rsidR="00EA78F0" w:rsidRPr="00EA78F0">
        <w:rPr>
          <w:rFonts w:ascii="Times New Roman" w:hAnsi="Times New Roman" w:cs="Times New Roman"/>
          <w:sz w:val="24"/>
          <w:szCs w:val="24"/>
          <w:lang w:val="en-US"/>
        </w:rPr>
        <w:t>significant negative impact on stock returns</w:t>
      </w:r>
      <w:r>
        <w:rPr>
          <w:rFonts w:ascii="Times New Roman" w:hAnsi="Times New Roman" w:cs="Times New Roman"/>
          <w:sz w:val="24"/>
          <w:szCs w:val="24"/>
          <w:lang w:val="en-US"/>
        </w:rPr>
        <w:t>, with</w:t>
      </w:r>
      <w:r w:rsidR="00EA78F0" w:rsidRPr="00EA78F0">
        <w:rPr>
          <w:rFonts w:ascii="Times New Roman" w:hAnsi="Times New Roman" w:cs="Times New Roman"/>
          <w:sz w:val="24"/>
          <w:szCs w:val="24"/>
          <w:lang w:val="en-US"/>
        </w:rPr>
        <w:t xml:space="preserve"> the negative impact of C</w:t>
      </w:r>
      <w:r>
        <w:rPr>
          <w:rFonts w:ascii="Times New Roman" w:hAnsi="Times New Roman" w:cs="Times New Roman"/>
          <w:sz w:val="24"/>
          <w:szCs w:val="24"/>
          <w:lang w:val="en-US"/>
        </w:rPr>
        <w:t>ovid</w:t>
      </w:r>
      <w:r w:rsidR="00EA78F0" w:rsidRPr="00EA78F0">
        <w:rPr>
          <w:rFonts w:ascii="Times New Roman" w:hAnsi="Times New Roman" w:cs="Times New Roman"/>
          <w:sz w:val="24"/>
          <w:szCs w:val="24"/>
          <w:lang w:val="en-US"/>
        </w:rPr>
        <w:t xml:space="preserve">-19 on stock returns </w:t>
      </w:r>
      <w:r>
        <w:rPr>
          <w:rFonts w:ascii="Times New Roman" w:hAnsi="Times New Roman" w:cs="Times New Roman"/>
          <w:sz w:val="24"/>
          <w:szCs w:val="24"/>
          <w:lang w:val="en-US"/>
        </w:rPr>
        <w:t>being</w:t>
      </w:r>
      <w:r w:rsidR="00EA78F0" w:rsidRPr="00EA78F0">
        <w:rPr>
          <w:rFonts w:ascii="Times New Roman" w:hAnsi="Times New Roman" w:cs="Times New Roman"/>
          <w:sz w:val="24"/>
          <w:szCs w:val="24"/>
          <w:lang w:val="en-US"/>
        </w:rPr>
        <w:t xml:space="preserve"> more pronounced when </w:t>
      </w:r>
      <w:r>
        <w:rPr>
          <w:rFonts w:ascii="Times New Roman" w:hAnsi="Times New Roman" w:cs="Times New Roman"/>
          <w:sz w:val="24"/>
          <w:szCs w:val="24"/>
          <w:lang w:val="en-US"/>
        </w:rPr>
        <w:t xml:space="preserve">the analysis </w:t>
      </w:r>
      <w:r w:rsidR="00EA78F0" w:rsidRPr="00EA78F0">
        <w:rPr>
          <w:rFonts w:ascii="Times New Roman" w:hAnsi="Times New Roman" w:cs="Times New Roman"/>
          <w:sz w:val="24"/>
          <w:szCs w:val="24"/>
          <w:lang w:val="en-US"/>
        </w:rPr>
        <w:t>use</w:t>
      </w:r>
      <w:r>
        <w:rPr>
          <w:rFonts w:ascii="Times New Roman" w:hAnsi="Times New Roman" w:cs="Times New Roman"/>
          <w:sz w:val="24"/>
          <w:szCs w:val="24"/>
          <w:lang w:val="en-US"/>
        </w:rPr>
        <w:t>s</w:t>
      </w:r>
      <w:r w:rsidR="00EA78F0" w:rsidRPr="00EA78F0">
        <w:rPr>
          <w:rFonts w:ascii="Times New Roman" w:hAnsi="Times New Roman" w:cs="Times New Roman"/>
          <w:sz w:val="24"/>
          <w:szCs w:val="24"/>
          <w:lang w:val="en-US"/>
        </w:rPr>
        <w:t xml:space="preserve"> total cases of deaths to proxy the effect of this infectious disease. </w:t>
      </w:r>
      <w:r>
        <w:rPr>
          <w:rFonts w:ascii="Times New Roman" w:hAnsi="Times New Roman" w:cs="Times New Roman"/>
          <w:sz w:val="24"/>
          <w:szCs w:val="24"/>
          <w:lang w:val="en-US"/>
        </w:rPr>
        <w:t>The</w:t>
      </w:r>
      <w:r w:rsidR="00EA78F0" w:rsidRPr="00EA78F0">
        <w:rPr>
          <w:rFonts w:ascii="Times New Roman" w:hAnsi="Times New Roman" w:cs="Times New Roman"/>
          <w:sz w:val="24"/>
          <w:szCs w:val="24"/>
          <w:lang w:val="en-US"/>
        </w:rPr>
        <w:t xml:space="preserve"> results also document that C</w:t>
      </w:r>
      <w:r>
        <w:rPr>
          <w:rFonts w:ascii="Times New Roman" w:hAnsi="Times New Roman" w:cs="Times New Roman"/>
          <w:sz w:val="24"/>
          <w:szCs w:val="24"/>
          <w:lang w:val="en-US"/>
        </w:rPr>
        <w:t>ovid</w:t>
      </w:r>
      <w:r w:rsidR="00EA78F0" w:rsidRPr="00EA78F0">
        <w:rPr>
          <w:rFonts w:ascii="Times New Roman" w:hAnsi="Times New Roman" w:cs="Times New Roman"/>
          <w:sz w:val="24"/>
          <w:szCs w:val="24"/>
          <w:lang w:val="en-US"/>
        </w:rPr>
        <w:t xml:space="preserve">-19 has a positive and statistically significant effect on </w:t>
      </w:r>
      <w:r>
        <w:rPr>
          <w:rFonts w:ascii="Times New Roman" w:hAnsi="Times New Roman" w:cs="Times New Roman"/>
          <w:sz w:val="24"/>
          <w:szCs w:val="24"/>
          <w:lang w:val="en-US"/>
        </w:rPr>
        <w:t xml:space="preserve">the </w:t>
      </w:r>
      <w:r w:rsidR="00EA78F0" w:rsidRPr="00EA78F0">
        <w:rPr>
          <w:rFonts w:ascii="Times New Roman" w:hAnsi="Times New Roman" w:cs="Times New Roman"/>
          <w:sz w:val="24"/>
          <w:szCs w:val="24"/>
          <w:lang w:val="en-US"/>
        </w:rPr>
        <w:t xml:space="preserve">volatility of </w:t>
      </w:r>
      <w:r>
        <w:rPr>
          <w:rFonts w:ascii="Times New Roman" w:hAnsi="Times New Roman" w:cs="Times New Roman"/>
          <w:sz w:val="24"/>
          <w:szCs w:val="24"/>
          <w:lang w:val="en-US"/>
        </w:rPr>
        <w:t xml:space="preserve">the associated </w:t>
      </w:r>
      <w:r w:rsidR="00EA78F0" w:rsidRPr="00EA78F0">
        <w:rPr>
          <w:rFonts w:ascii="Times New Roman" w:hAnsi="Times New Roman" w:cs="Times New Roman"/>
          <w:sz w:val="24"/>
          <w:szCs w:val="24"/>
          <w:lang w:val="en-US"/>
        </w:rPr>
        <w:t xml:space="preserve">stock market returns. </w:t>
      </w:r>
      <w:r>
        <w:rPr>
          <w:rFonts w:ascii="Times New Roman" w:hAnsi="Times New Roman" w:cs="Times New Roman"/>
          <w:sz w:val="24"/>
          <w:szCs w:val="24"/>
          <w:lang w:val="en-US"/>
        </w:rPr>
        <w:t>The</w:t>
      </w:r>
      <w:r w:rsidR="00EA78F0" w:rsidRPr="00EA78F0">
        <w:rPr>
          <w:rFonts w:ascii="Times New Roman" w:hAnsi="Times New Roman" w:cs="Times New Roman"/>
          <w:sz w:val="24"/>
          <w:szCs w:val="24"/>
          <w:lang w:val="en-US"/>
        </w:rPr>
        <w:t xml:space="preserve"> findings also </w:t>
      </w:r>
      <w:r>
        <w:rPr>
          <w:rFonts w:ascii="Times New Roman" w:hAnsi="Times New Roman" w:cs="Times New Roman"/>
          <w:sz w:val="24"/>
          <w:szCs w:val="24"/>
          <w:lang w:val="en-US"/>
        </w:rPr>
        <w:t>display</w:t>
      </w:r>
      <w:r w:rsidR="00EA78F0" w:rsidRPr="00EA78F0">
        <w:rPr>
          <w:rFonts w:ascii="Times New Roman" w:hAnsi="Times New Roman" w:cs="Times New Roman"/>
          <w:sz w:val="24"/>
          <w:szCs w:val="24"/>
          <w:lang w:val="en-US"/>
        </w:rPr>
        <w:t xml:space="preserve"> that crude oil prices and interest rates have significant impacts on </w:t>
      </w:r>
      <w:r w:rsidR="00E4350E">
        <w:rPr>
          <w:rFonts w:ascii="Times New Roman" w:hAnsi="Times New Roman" w:cs="Times New Roman"/>
          <w:sz w:val="24"/>
          <w:szCs w:val="24"/>
          <w:lang w:val="en-US"/>
        </w:rPr>
        <w:t xml:space="preserve">these </w:t>
      </w:r>
      <w:r w:rsidR="00EA78F0" w:rsidRPr="00EA78F0">
        <w:rPr>
          <w:rFonts w:ascii="Times New Roman" w:hAnsi="Times New Roman" w:cs="Times New Roman"/>
          <w:sz w:val="24"/>
          <w:szCs w:val="24"/>
          <w:lang w:val="en-US"/>
        </w:rPr>
        <w:t xml:space="preserve">returns. </w:t>
      </w:r>
    </w:p>
    <w:p w14:paraId="2358D4B7" w14:textId="1E47139E" w:rsidR="00AF1681" w:rsidRDefault="00C93601" w:rsidP="00EA78F0">
      <w:pPr>
        <w:spacing w:line="360" w:lineRule="auto"/>
        <w:ind w:firstLine="357"/>
        <w:jc w:val="both"/>
        <w:rPr>
          <w:rFonts w:ascii="Times New Roman" w:hAnsi="Times New Roman" w:cs="Times New Roman"/>
          <w:sz w:val="24"/>
          <w:szCs w:val="24"/>
          <w:lang w:val="en-GB"/>
        </w:rPr>
      </w:pPr>
      <w:r w:rsidRPr="00C674B6">
        <w:rPr>
          <w:rFonts w:ascii="Times New Roman" w:hAnsi="Times New Roman" w:cs="Times New Roman"/>
          <w:sz w:val="24"/>
          <w:szCs w:val="24"/>
          <w:lang w:val="en-US"/>
        </w:rPr>
        <w:t xml:space="preserve">The </w:t>
      </w:r>
      <w:r w:rsidR="00955010" w:rsidRPr="00C674B6">
        <w:rPr>
          <w:rFonts w:ascii="Times New Roman" w:hAnsi="Times New Roman" w:cs="Times New Roman"/>
          <w:sz w:val="24"/>
          <w:szCs w:val="24"/>
          <w:lang w:val="en-US"/>
        </w:rPr>
        <w:t xml:space="preserve">remainder of this </w:t>
      </w:r>
      <w:r w:rsidRPr="00C674B6">
        <w:rPr>
          <w:rFonts w:ascii="Times New Roman" w:hAnsi="Times New Roman" w:cs="Times New Roman"/>
          <w:sz w:val="24"/>
          <w:szCs w:val="24"/>
          <w:lang w:val="en-US"/>
        </w:rPr>
        <w:t xml:space="preserve">paper </w:t>
      </w:r>
      <w:r w:rsidR="000216C0">
        <w:rPr>
          <w:rFonts w:ascii="Times New Roman" w:hAnsi="Times New Roman" w:cs="Times New Roman"/>
          <w:sz w:val="24"/>
          <w:szCs w:val="24"/>
          <w:lang w:val="en-US"/>
        </w:rPr>
        <w:t>goes</w:t>
      </w:r>
      <w:r w:rsidRPr="00C674B6">
        <w:rPr>
          <w:rFonts w:ascii="Times New Roman" w:hAnsi="Times New Roman" w:cs="Times New Roman"/>
          <w:sz w:val="24"/>
          <w:szCs w:val="24"/>
          <w:lang w:val="en-US"/>
        </w:rPr>
        <w:t xml:space="preserve"> as follows. </w:t>
      </w:r>
      <w:r w:rsidR="00955010" w:rsidRPr="00C674B6">
        <w:rPr>
          <w:rFonts w:ascii="Times New Roman" w:hAnsi="Times New Roman" w:cs="Times New Roman"/>
          <w:sz w:val="24"/>
          <w:szCs w:val="24"/>
          <w:lang w:val="en-US"/>
        </w:rPr>
        <w:t xml:space="preserve">Section </w:t>
      </w:r>
      <w:r w:rsidR="00C674B6" w:rsidRPr="00C674B6">
        <w:rPr>
          <w:rFonts w:ascii="Times New Roman" w:hAnsi="Times New Roman" w:cs="Times New Roman"/>
          <w:sz w:val="24"/>
          <w:szCs w:val="24"/>
          <w:lang w:val="en-US"/>
        </w:rPr>
        <w:t>2</w:t>
      </w:r>
      <w:r w:rsidR="00955010" w:rsidRPr="00C674B6">
        <w:rPr>
          <w:rFonts w:ascii="Times New Roman" w:hAnsi="Times New Roman" w:cs="Times New Roman"/>
          <w:sz w:val="24"/>
          <w:szCs w:val="24"/>
          <w:lang w:val="en-US"/>
        </w:rPr>
        <w:t xml:space="preserve"> describes </w:t>
      </w:r>
      <w:r w:rsidR="000216C0">
        <w:rPr>
          <w:rFonts w:ascii="Times New Roman" w:hAnsi="Times New Roman" w:cs="Times New Roman"/>
          <w:sz w:val="24"/>
          <w:szCs w:val="24"/>
          <w:lang w:val="en-US"/>
        </w:rPr>
        <w:t>the</w:t>
      </w:r>
      <w:r w:rsidR="00955010" w:rsidRPr="00C674B6">
        <w:rPr>
          <w:rFonts w:ascii="Times New Roman" w:hAnsi="Times New Roman" w:cs="Times New Roman"/>
          <w:sz w:val="24"/>
          <w:szCs w:val="24"/>
          <w:lang w:val="en-US"/>
        </w:rPr>
        <w:t xml:space="preserve"> data to be used in </w:t>
      </w:r>
      <w:r w:rsidR="000216C0">
        <w:rPr>
          <w:rFonts w:ascii="Times New Roman" w:hAnsi="Times New Roman" w:cs="Times New Roman"/>
          <w:sz w:val="24"/>
          <w:szCs w:val="24"/>
          <w:lang w:val="en-US"/>
        </w:rPr>
        <w:t>the</w:t>
      </w:r>
      <w:r w:rsidR="00955010" w:rsidRPr="00C674B6">
        <w:rPr>
          <w:rFonts w:ascii="Times New Roman" w:hAnsi="Times New Roman" w:cs="Times New Roman"/>
          <w:sz w:val="24"/>
          <w:szCs w:val="24"/>
          <w:lang w:val="en-US"/>
        </w:rPr>
        <w:t xml:space="preserve"> analysis</w:t>
      </w:r>
      <w:r w:rsidR="000216C0">
        <w:rPr>
          <w:rFonts w:ascii="Times New Roman" w:hAnsi="Times New Roman" w:cs="Times New Roman"/>
          <w:sz w:val="24"/>
          <w:szCs w:val="24"/>
          <w:lang w:val="en-US"/>
        </w:rPr>
        <w:t>, while</w:t>
      </w:r>
      <w:r w:rsidR="00955010" w:rsidRPr="00C674B6">
        <w:rPr>
          <w:rFonts w:ascii="Times New Roman" w:hAnsi="Times New Roman" w:cs="Times New Roman"/>
          <w:sz w:val="24"/>
          <w:szCs w:val="24"/>
          <w:lang w:val="en-US"/>
        </w:rPr>
        <w:t xml:space="preserve"> Section </w:t>
      </w:r>
      <w:r w:rsidR="00C674B6" w:rsidRPr="00C674B6">
        <w:rPr>
          <w:rFonts w:ascii="Times New Roman" w:hAnsi="Times New Roman" w:cs="Times New Roman"/>
          <w:sz w:val="24"/>
          <w:szCs w:val="24"/>
          <w:lang w:val="en-US"/>
        </w:rPr>
        <w:t>3</w:t>
      </w:r>
      <w:r w:rsidR="00955010" w:rsidRPr="00C674B6">
        <w:rPr>
          <w:rFonts w:ascii="Times New Roman" w:hAnsi="Times New Roman" w:cs="Times New Roman"/>
          <w:sz w:val="24"/>
          <w:szCs w:val="24"/>
          <w:lang w:val="en-US"/>
        </w:rPr>
        <w:t xml:space="preserve"> outline</w:t>
      </w:r>
      <w:r w:rsidR="000216C0">
        <w:rPr>
          <w:rFonts w:ascii="Times New Roman" w:hAnsi="Times New Roman" w:cs="Times New Roman"/>
          <w:sz w:val="24"/>
          <w:szCs w:val="24"/>
          <w:lang w:val="en-US"/>
        </w:rPr>
        <w:t>s</w:t>
      </w:r>
      <w:r w:rsidR="00955010" w:rsidRPr="00C674B6">
        <w:rPr>
          <w:rFonts w:ascii="Times New Roman" w:hAnsi="Times New Roman" w:cs="Times New Roman"/>
          <w:sz w:val="24"/>
          <w:szCs w:val="24"/>
          <w:lang w:val="en-US"/>
        </w:rPr>
        <w:t xml:space="preserve"> the methodology of </w:t>
      </w:r>
      <w:r w:rsidR="00E969AD">
        <w:rPr>
          <w:rFonts w:ascii="Times New Roman" w:hAnsi="Times New Roman" w:cs="Times New Roman"/>
          <w:sz w:val="24"/>
          <w:szCs w:val="24"/>
          <w:lang w:val="en-US"/>
        </w:rPr>
        <w:t xml:space="preserve">the </w:t>
      </w:r>
      <w:r w:rsidR="00955010" w:rsidRPr="00C674B6">
        <w:rPr>
          <w:rFonts w:ascii="Times New Roman" w:hAnsi="Times New Roman" w:cs="Times New Roman"/>
          <w:sz w:val="24"/>
          <w:szCs w:val="24"/>
          <w:lang w:val="en-US"/>
        </w:rPr>
        <w:t xml:space="preserve">GARCHX </w:t>
      </w:r>
      <w:r w:rsidR="00E969AD">
        <w:rPr>
          <w:rFonts w:ascii="Times New Roman" w:hAnsi="Times New Roman" w:cs="Times New Roman"/>
          <w:sz w:val="24"/>
          <w:szCs w:val="24"/>
          <w:lang w:val="en-US"/>
        </w:rPr>
        <w:t>model</w:t>
      </w:r>
      <w:r w:rsidR="00955010" w:rsidRPr="00C674B6">
        <w:rPr>
          <w:rFonts w:ascii="Times New Roman" w:hAnsi="Times New Roman" w:cs="Times New Roman"/>
          <w:sz w:val="24"/>
          <w:szCs w:val="24"/>
          <w:lang w:val="en-US"/>
        </w:rPr>
        <w:t xml:space="preserve">. Section </w:t>
      </w:r>
      <w:r w:rsidR="00C674B6" w:rsidRPr="00C674B6">
        <w:rPr>
          <w:rFonts w:ascii="Times New Roman" w:hAnsi="Times New Roman" w:cs="Times New Roman"/>
          <w:sz w:val="24"/>
          <w:szCs w:val="24"/>
          <w:lang w:val="en-US"/>
        </w:rPr>
        <w:t>4</w:t>
      </w:r>
      <w:r w:rsidR="00955010" w:rsidRPr="00C674B6">
        <w:rPr>
          <w:rFonts w:ascii="Times New Roman" w:hAnsi="Times New Roman" w:cs="Times New Roman"/>
          <w:sz w:val="24"/>
          <w:szCs w:val="24"/>
          <w:lang w:val="en-US"/>
        </w:rPr>
        <w:t xml:space="preserve"> provides the </w:t>
      </w:r>
      <w:r w:rsidR="00AF1681" w:rsidRPr="00C674B6">
        <w:rPr>
          <w:rFonts w:ascii="Times New Roman" w:hAnsi="Times New Roman" w:cs="Times New Roman"/>
          <w:sz w:val="24"/>
          <w:szCs w:val="24"/>
          <w:lang w:val="en-US"/>
        </w:rPr>
        <w:t xml:space="preserve">main </w:t>
      </w:r>
      <w:r w:rsidR="00955010" w:rsidRPr="00C674B6">
        <w:rPr>
          <w:rFonts w:ascii="Times New Roman" w:hAnsi="Times New Roman" w:cs="Times New Roman"/>
          <w:sz w:val="24"/>
          <w:szCs w:val="24"/>
          <w:lang w:val="en-US"/>
        </w:rPr>
        <w:t>empirical findings</w:t>
      </w:r>
      <w:r w:rsidR="000216C0">
        <w:rPr>
          <w:rFonts w:ascii="Times New Roman" w:hAnsi="Times New Roman" w:cs="Times New Roman"/>
          <w:sz w:val="24"/>
          <w:szCs w:val="24"/>
          <w:lang w:val="en-US"/>
        </w:rPr>
        <w:t xml:space="preserve"> and finally,</w:t>
      </w:r>
      <w:r w:rsidR="00955010" w:rsidRPr="00C674B6">
        <w:rPr>
          <w:rFonts w:ascii="Times New Roman" w:hAnsi="Times New Roman" w:cs="Times New Roman"/>
          <w:sz w:val="24"/>
          <w:szCs w:val="24"/>
          <w:lang w:val="en-US"/>
        </w:rPr>
        <w:t xml:space="preserve"> </w:t>
      </w:r>
      <w:r w:rsidR="00AF1681" w:rsidRPr="00C674B6">
        <w:rPr>
          <w:rFonts w:ascii="Times New Roman" w:hAnsi="Times New Roman" w:cs="Times New Roman"/>
          <w:sz w:val="24"/>
          <w:szCs w:val="24"/>
          <w:lang w:val="en-US"/>
        </w:rPr>
        <w:t xml:space="preserve">Section </w:t>
      </w:r>
      <w:r w:rsidR="00C674B6" w:rsidRPr="00C674B6">
        <w:rPr>
          <w:rFonts w:ascii="Times New Roman" w:hAnsi="Times New Roman" w:cs="Times New Roman"/>
          <w:sz w:val="24"/>
          <w:szCs w:val="24"/>
          <w:lang w:val="en-US"/>
        </w:rPr>
        <w:t>5</w:t>
      </w:r>
      <w:r w:rsidR="00AF1681" w:rsidRPr="00C674B6">
        <w:rPr>
          <w:rFonts w:ascii="Times New Roman" w:hAnsi="Times New Roman" w:cs="Times New Roman"/>
          <w:sz w:val="24"/>
          <w:szCs w:val="24"/>
          <w:lang w:val="en-US"/>
        </w:rPr>
        <w:t xml:space="preserve"> conclu</w:t>
      </w:r>
      <w:r w:rsidR="000216C0">
        <w:rPr>
          <w:rFonts w:ascii="Times New Roman" w:hAnsi="Times New Roman" w:cs="Times New Roman"/>
          <w:sz w:val="24"/>
          <w:szCs w:val="24"/>
          <w:lang w:val="en-US"/>
        </w:rPr>
        <w:t>des</w:t>
      </w:r>
      <w:r w:rsidR="00AF1681" w:rsidRPr="00C674B6">
        <w:rPr>
          <w:rFonts w:ascii="Times New Roman" w:hAnsi="Times New Roman" w:cs="Times New Roman"/>
          <w:sz w:val="24"/>
          <w:szCs w:val="24"/>
          <w:lang w:val="en-US"/>
        </w:rPr>
        <w:t>.</w:t>
      </w:r>
    </w:p>
    <w:p w14:paraId="721C5795" w14:textId="6B061DCF" w:rsidR="00AF1681" w:rsidRPr="00E969AD" w:rsidRDefault="00AF1681">
      <w:pPr>
        <w:rPr>
          <w:color w:val="FF0000"/>
          <w:lang w:val="en-GB"/>
        </w:rPr>
      </w:pPr>
    </w:p>
    <w:p w14:paraId="0EF34727" w14:textId="0AE24902" w:rsidR="00C97F96" w:rsidRDefault="008B0C0D" w:rsidP="000216C0">
      <w:pPr>
        <w:pStyle w:val="Heading1"/>
        <w:numPr>
          <w:ilvl w:val="0"/>
          <w:numId w:val="0"/>
        </w:numPr>
      </w:pPr>
      <w:r>
        <w:t>II</w:t>
      </w:r>
      <w:r w:rsidR="000216C0">
        <w:t xml:space="preserve">. </w:t>
      </w:r>
      <w:r w:rsidR="00C97F96">
        <w:t>Data</w:t>
      </w:r>
    </w:p>
    <w:p w14:paraId="7EE6ECD9" w14:textId="644364AA" w:rsidR="006D5089" w:rsidRDefault="00C97F96" w:rsidP="008B0C0D">
      <w:pPr>
        <w:spacing w:line="360" w:lineRule="auto"/>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We study the effect of C</w:t>
      </w:r>
      <w:r w:rsidR="000216C0">
        <w:rPr>
          <w:rFonts w:ascii="Times New Roman" w:hAnsi="Times New Roman" w:cs="Times New Roman"/>
          <w:sz w:val="24"/>
          <w:szCs w:val="24"/>
          <w:lang w:val="en-US"/>
        </w:rPr>
        <w:t>ovid</w:t>
      </w:r>
      <w:r>
        <w:rPr>
          <w:rFonts w:ascii="Times New Roman" w:hAnsi="Times New Roman" w:cs="Times New Roman"/>
          <w:sz w:val="24"/>
          <w:szCs w:val="24"/>
          <w:lang w:val="en-US"/>
        </w:rPr>
        <w:t xml:space="preserve">-19 on stock market returns </w:t>
      </w:r>
      <w:r w:rsidR="00EA78F0">
        <w:rPr>
          <w:rFonts w:ascii="Times New Roman" w:hAnsi="Times New Roman" w:cs="Times New Roman"/>
          <w:sz w:val="24"/>
          <w:szCs w:val="24"/>
          <w:lang w:val="en-US"/>
        </w:rPr>
        <w:t xml:space="preserve">and their volatility </w:t>
      </w:r>
      <w:r w:rsidR="000216C0">
        <w:rPr>
          <w:rFonts w:ascii="Times New Roman" w:hAnsi="Times New Roman" w:cs="Times New Roman"/>
          <w:sz w:val="24"/>
          <w:szCs w:val="24"/>
          <w:lang w:val="en-US"/>
        </w:rPr>
        <w:t>over the period</w:t>
      </w:r>
      <w:r>
        <w:rPr>
          <w:rFonts w:ascii="Times New Roman" w:hAnsi="Times New Roman" w:cs="Times New Roman"/>
          <w:sz w:val="24"/>
          <w:szCs w:val="24"/>
          <w:lang w:val="en-US"/>
        </w:rPr>
        <w:t xml:space="preserve"> </w:t>
      </w:r>
      <w:r w:rsidR="0026259B">
        <w:rPr>
          <w:rFonts w:ascii="Times New Roman" w:hAnsi="Times New Roman" w:cs="Times New Roman"/>
          <w:sz w:val="24"/>
          <w:szCs w:val="24"/>
          <w:lang w:val="en-US"/>
        </w:rPr>
        <w:t>January</w:t>
      </w:r>
      <w:r>
        <w:rPr>
          <w:rFonts w:ascii="Times New Roman" w:hAnsi="Times New Roman" w:cs="Times New Roman"/>
          <w:sz w:val="24"/>
          <w:szCs w:val="24"/>
          <w:lang w:val="en-US"/>
        </w:rPr>
        <w:t xml:space="preserve"> </w:t>
      </w:r>
      <w:r w:rsidR="0026259B">
        <w:rPr>
          <w:rFonts w:ascii="Times New Roman" w:hAnsi="Times New Roman" w:cs="Times New Roman"/>
          <w:sz w:val="24"/>
          <w:szCs w:val="24"/>
          <w:lang w:val="en-US"/>
        </w:rPr>
        <w:t>22</w:t>
      </w:r>
      <w:r>
        <w:rPr>
          <w:rFonts w:ascii="Times New Roman" w:hAnsi="Times New Roman" w:cs="Times New Roman"/>
          <w:sz w:val="24"/>
          <w:szCs w:val="24"/>
          <w:lang w:val="en-US"/>
        </w:rPr>
        <w:t>, 20</w:t>
      </w:r>
      <w:r w:rsidR="0026259B">
        <w:rPr>
          <w:rFonts w:ascii="Times New Roman" w:hAnsi="Times New Roman" w:cs="Times New Roman"/>
          <w:sz w:val="24"/>
          <w:szCs w:val="24"/>
          <w:lang w:val="en-US"/>
        </w:rPr>
        <w:t>20</w:t>
      </w:r>
      <w:r>
        <w:rPr>
          <w:rFonts w:ascii="Times New Roman" w:hAnsi="Times New Roman" w:cs="Times New Roman"/>
          <w:sz w:val="24"/>
          <w:szCs w:val="24"/>
          <w:lang w:val="en-US"/>
        </w:rPr>
        <w:t xml:space="preserve"> through April 30, 2020 in C</w:t>
      </w:r>
      <w:r w:rsidR="00E4350E">
        <w:rPr>
          <w:rFonts w:ascii="Times New Roman" w:hAnsi="Times New Roman" w:cs="Times New Roman"/>
          <w:sz w:val="24"/>
          <w:szCs w:val="24"/>
          <w:lang w:val="en-US"/>
        </w:rPr>
        <w:t>hina</w:t>
      </w:r>
      <w:r>
        <w:rPr>
          <w:rFonts w:ascii="Times New Roman" w:hAnsi="Times New Roman" w:cs="Times New Roman"/>
          <w:sz w:val="24"/>
          <w:szCs w:val="24"/>
          <w:lang w:val="en-US"/>
        </w:rPr>
        <w:t xml:space="preserve"> using daily data. The start date</w:t>
      </w:r>
      <w:r w:rsidR="000216C0">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w:t>
      </w:r>
      <w:r w:rsidR="0026259B">
        <w:rPr>
          <w:rFonts w:ascii="Times New Roman" w:hAnsi="Times New Roman" w:cs="Times New Roman"/>
          <w:sz w:val="24"/>
          <w:szCs w:val="24"/>
          <w:lang w:val="en-US"/>
        </w:rPr>
        <w:t>January</w:t>
      </w:r>
      <w:r>
        <w:rPr>
          <w:rFonts w:ascii="Times New Roman" w:hAnsi="Times New Roman" w:cs="Times New Roman"/>
          <w:sz w:val="24"/>
          <w:szCs w:val="24"/>
          <w:lang w:val="en-US"/>
        </w:rPr>
        <w:t xml:space="preserve"> </w:t>
      </w:r>
      <w:r w:rsidR="0026259B">
        <w:rPr>
          <w:rFonts w:ascii="Times New Roman" w:hAnsi="Times New Roman" w:cs="Times New Roman"/>
          <w:sz w:val="24"/>
          <w:szCs w:val="24"/>
          <w:lang w:val="en-US"/>
        </w:rPr>
        <w:t>22</w:t>
      </w:r>
      <w:r>
        <w:rPr>
          <w:rFonts w:ascii="Times New Roman" w:hAnsi="Times New Roman" w:cs="Times New Roman"/>
          <w:sz w:val="24"/>
          <w:szCs w:val="24"/>
          <w:lang w:val="en-US"/>
        </w:rPr>
        <w:t>, 20</w:t>
      </w:r>
      <w:r w:rsidR="0026259B">
        <w:rPr>
          <w:rFonts w:ascii="Times New Roman" w:hAnsi="Times New Roman" w:cs="Times New Roman"/>
          <w:sz w:val="24"/>
          <w:szCs w:val="24"/>
          <w:lang w:val="en-US"/>
        </w:rPr>
        <w:t>20</w:t>
      </w:r>
      <w:r>
        <w:rPr>
          <w:rFonts w:ascii="Times New Roman" w:hAnsi="Times New Roman" w:cs="Times New Roman"/>
          <w:sz w:val="24"/>
          <w:szCs w:val="24"/>
          <w:lang w:val="en-US"/>
        </w:rPr>
        <w:t xml:space="preserve"> reflects the date when </w:t>
      </w:r>
      <w:r w:rsidR="000216C0">
        <w:rPr>
          <w:rFonts w:ascii="Times New Roman" w:hAnsi="Times New Roman" w:cs="Times New Roman"/>
          <w:sz w:val="24"/>
          <w:szCs w:val="24"/>
          <w:lang w:val="en-US"/>
        </w:rPr>
        <w:t xml:space="preserve">the </w:t>
      </w:r>
      <w:r>
        <w:rPr>
          <w:rFonts w:ascii="Times New Roman" w:hAnsi="Times New Roman" w:cs="Times New Roman"/>
          <w:sz w:val="24"/>
          <w:szCs w:val="24"/>
          <w:lang w:val="en-US"/>
        </w:rPr>
        <w:t>first C</w:t>
      </w:r>
      <w:r w:rsidR="000216C0">
        <w:rPr>
          <w:rFonts w:ascii="Times New Roman" w:hAnsi="Times New Roman" w:cs="Times New Roman"/>
          <w:sz w:val="24"/>
          <w:szCs w:val="24"/>
          <w:lang w:val="en-US"/>
        </w:rPr>
        <w:t>ovid</w:t>
      </w:r>
      <w:r>
        <w:rPr>
          <w:rFonts w:ascii="Times New Roman" w:hAnsi="Times New Roman" w:cs="Times New Roman"/>
          <w:sz w:val="24"/>
          <w:szCs w:val="24"/>
          <w:lang w:val="en-US"/>
        </w:rPr>
        <w:t xml:space="preserve">-19 </w:t>
      </w:r>
      <w:r w:rsidR="00E4350E">
        <w:rPr>
          <w:rFonts w:ascii="Times New Roman" w:hAnsi="Times New Roman" w:cs="Times New Roman"/>
          <w:sz w:val="24"/>
          <w:szCs w:val="24"/>
          <w:lang w:val="en-US"/>
        </w:rPr>
        <w:t>case</w:t>
      </w:r>
      <w:r>
        <w:rPr>
          <w:rFonts w:ascii="Times New Roman" w:hAnsi="Times New Roman" w:cs="Times New Roman"/>
          <w:sz w:val="24"/>
          <w:szCs w:val="24"/>
          <w:lang w:val="en-US"/>
        </w:rPr>
        <w:t xml:space="preserve"> was </w:t>
      </w:r>
      <w:r w:rsidR="0026259B">
        <w:rPr>
          <w:rFonts w:ascii="Times New Roman" w:hAnsi="Times New Roman" w:cs="Times New Roman"/>
          <w:sz w:val="24"/>
          <w:szCs w:val="24"/>
          <w:lang w:val="en-US"/>
        </w:rPr>
        <w:t>officially announced</w:t>
      </w:r>
      <w:r>
        <w:rPr>
          <w:rFonts w:ascii="Times New Roman" w:hAnsi="Times New Roman" w:cs="Times New Roman"/>
          <w:sz w:val="24"/>
          <w:szCs w:val="24"/>
          <w:lang w:val="en-US"/>
        </w:rPr>
        <w:t xml:space="preserve"> in C</w:t>
      </w:r>
      <w:r w:rsidR="00E96403">
        <w:rPr>
          <w:rFonts w:ascii="Times New Roman" w:hAnsi="Times New Roman" w:cs="Times New Roman"/>
          <w:sz w:val="24"/>
          <w:szCs w:val="24"/>
          <w:lang w:val="en-US"/>
        </w:rPr>
        <w:t>hina</w:t>
      </w:r>
      <w:r>
        <w:rPr>
          <w:rFonts w:ascii="Times New Roman" w:hAnsi="Times New Roman" w:cs="Times New Roman"/>
          <w:sz w:val="24"/>
          <w:szCs w:val="24"/>
          <w:lang w:val="en-US"/>
        </w:rPr>
        <w:t>.</w:t>
      </w:r>
      <w:r w:rsidRPr="00A434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We employ </w:t>
      </w:r>
      <w:r w:rsidR="00E96403">
        <w:rPr>
          <w:rFonts w:ascii="Times New Roman" w:hAnsi="Times New Roman" w:cs="Times New Roman"/>
          <w:sz w:val="24"/>
          <w:szCs w:val="24"/>
          <w:lang w:val="en-US"/>
        </w:rPr>
        <w:t>two</w:t>
      </w:r>
      <w:r>
        <w:rPr>
          <w:rFonts w:ascii="Times New Roman" w:hAnsi="Times New Roman" w:cs="Times New Roman"/>
          <w:sz w:val="24"/>
          <w:szCs w:val="24"/>
          <w:lang w:val="en-US"/>
        </w:rPr>
        <w:t xml:space="preserve"> proxies </w:t>
      </w:r>
      <w:r w:rsidR="000216C0">
        <w:rPr>
          <w:rFonts w:ascii="Times New Roman" w:hAnsi="Times New Roman" w:cs="Times New Roman"/>
          <w:sz w:val="24"/>
          <w:szCs w:val="24"/>
          <w:lang w:val="en-US"/>
        </w:rPr>
        <w:t xml:space="preserve">for the </w:t>
      </w:r>
      <w:r>
        <w:rPr>
          <w:rFonts w:ascii="Times New Roman" w:hAnsi="Times New Roman" w:cs="Times New Roman"/>
          <w:sz w:val="24"/>
          <w:szCs w:val="24"/>
          <w:lang w:val="en-US"/>
        </w:rPr>
        <w:t>C</w:t>
      </w:r>
      <w:r w:rsidR="000216C0">
        <w:rPr>
          <w:rFonts w:ascii="Times New Roman" w:hAnsi="Times New Roman" w:cs="Times New Roman"/>
          <w:sz w:val="24"/>
          <w:szCs w:val="24"/>
          <w:lang w:val="en-US"/>
        </w:rPr>
        <w:t>ovid</w:t>
      </w:r>
      <w:r>
        <w:rPr>
          <w:rFonts w:ascii="Times New Roman" w:hAnsi="Times New Roman" w:cs="Times New Roman"/>
          <w:sz w:val="24"/>
          <w:szCs w:val="24"/>
          <w:lang w:val="en-US"/>
        </w:rPr>
        <w:t>-19 event</w:t>
      </w:r>
      <w:r w:rsidR="000216C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total confirmed cases</w:t>
      </w:r>
      <w:r w:rsidR="000216C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96403">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ii) </w:t>
      </w:r>
      <w:r w:rsidR="000216C0">
        <w:rPr>
          <w:rFonts w:ascii="Times New Roman" w:hAnsi="Times New Roman" w:cs="Times New Roman"/>
          <w:sz w:val="24"/>
          <w:szCs w:val="24"/>
          <w:lang w:val="en-US"/>
        </w:rPr>
        <w:t>death</w:t>
      </w:r>
      <w:r>
        <w:rPr>
          <w:rFonts w:ascii="Times New Roman" w:hAnsi="Times New Roman" w:cs="Times New Roman"/>
          <w:sz w:val="24"/>
          <w:szCs w:val="24"/>
          <w:lang w:val="en-US"/>
        </w:rPr>
        <w:t xml:space="preserve"> cases. The data </w:t>
      </w:r>
      <w:r w:rsidR="00E96403">
        <w:rPr>
          <w:rFonts w:ascii="Times New Roman" w:hAnsi="Times New Roman" w:cs="Times New Roman"/>
          <w:sz w:val="24"/>
          <w:szCs w:val="24"/>
          <w:lang w:val="en-US"/>
        </w:rPr>
        <w:t>a</w:t>
      </w:r>
      <w:r w:rsidR="000216C0">
        <w:rPr>
          <w:rFonts w:ascii="Times New Roman" w:hAnsi="Times New Roman" w:cs="Times New Roman"/>
          <w:sz w:val="24"/>
          <w:szCs w:val="24"/>
          <w:lang w:val="en-US"/>
        </w:rPr>
        <w:t>re o</w:t>
      </w:r>
      <w:r>
        <w:rPr>
          <w:rFonts w:ascii="Times New Roman" w:hAnsi="Times New Roman" w:cs="Times New Roman"/>
          <w:sz w:val="24"/>
          <w:szCs w:val="24"/>
          <w:lang w:val="en-US"/>
        </w:rPr>
        <w:t xml:space="preserve">btained from </w:t>
      </w:r>
      <w:proofErr w:type="spellStart"/>
      <w:r w:rsidRPr="00317812">
        <w:rPr>
          <w:rFonts w:ascii="Times New Roman" w:hAnsi="Times New Roman" w:cs="Times New Roman"/>
          <w:sz w:val="24"/>
          <w:szCs w:val="24"/>
          <w:lang w:val="en-US"/>
        </w:rPr>
        <w:t>Refinitv</w:t>
      </w:r>
      <w:proofErr w:type="spellEnd"/>
      <w:r w:rsidRPr="00317812">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w:t>
      </w:r>
      <w:r w:rsidR="000216C0">
        <w:rPr>
          <w:rFonts w:ascii="Times New Roman" w:hAnsi="Times New Roman" w:cs="Times New Roman"/>
          <w:sz w:val="24"/>
          <w:szCs w:val="24"/>
          <w:lang w:val="en-US"/>
        </w:rPr>
        <w:t>s</w:t>
      </w:r>
      <w:r>
        <w:rPr>
          <w:rFonts w:ascii="Times New Roman" w:hAnsi="Times New Roman" w:cs="Times New Roman"/>
          <w:sz w:val="24"/>
          <w:szCs w:val="24"/>
          <w:lang w:val="en-US"/>
        </w:rPr>
        <w:t>tream</w:t>
      </w:r>
      <w:proofErr w:type="spellEnd"/>
      <w:r>
        <w:rPr>
          <w:rFonts w:ascii="Times New Roman" w:hAnsi="Times New Roman" w:cs="Times New Roman"/>
          <w:sz w:val="24"/>
          <w:szCs w:val="24"/>
          <w:lang w:val="en-US"/>
        </w:rPr>
        <w:t xml:space="preserve">. </w:t>
      </w:r>
      <w:r w:rsidR="009A1AD2">
        <w:rPr>
          <w:rFonts w:ascii="Times New Roman" w:hAnsi="Times New Roman" w:cs="Times New Roman"/>
          <w:sz w:val="24"/>
          <w:szCs w:val="24"/>
          <w:lang w:val="en-US"/>
        </w:rPr>
        <w:t xml:space="preserve">The analysis </w:t>
      </w:r>
      <w:r w:rsidR="0026259B">
        <w:rPr>
          <w:rFonts w:ascii="Times New Roman" w:hAnsi="Times New Roman" w:cs="Times New Roman"/>
          <w:sz w:val="24"/>
          <w:szCs w:val="24"/>
          <w:lang w:val="en-US"/>
        </w:rPr>
        <w:t xml:space="preserve">also </w:t>
      </w:r>
      <w:r w:rsidR="009A1AD2">
        <w:rPr>
          <w:rFonts w:ascii="Times New Roman" w:hAnsi="Times New Roman" w:cs="Times New Roman"/>
          <w:sz w:val="24"/>
          <w:szCs w:val="24"/>
          <w:lang w:val="en-US"/>
        </w:rPr>
        <w:t xml:space="preserve">uses the 1-month interbank loan rate as a proxy for the short-term interest rate. </w:t>
      </w:r>
      <w:r w:rsidR="000216C0">
        <w:rPr>
          <w:rFonts w:ascii="Times New Roman" w:hAnsi="Times New Roman" w:cs="Times New Roman"/>
          <w:sz w:val="24"/>
          <w:szCs w:val="24"/>
          <w:lang w:val="en-US"/>
        </w:rPr>
        <w:t>D</w:t>
      </w:r>
      <w:r w:rsidR="004F0393">
        <w:rPr>
          <w:rFonts w:ascii="Times New Roman" w:hAnsi="Times New Roman" w:cs="Times New Roman"/>
          <w:sz w:val="24"/>
          <w:szCs w:val="24"/>
          <w:lang w:val="en-US"/>
        </w:rPr>
        <w:t xml:space="preserve">ata on </w:t>
      </w:r>
      <w:r w:rsidR="00CC4299">
        <w:rPr>
          <w:rFonts w:ascii="Times New Roman" w:hAnsi="Times New Roman" w:cs="Times New Roman"/>
          <w:sz w:val="24"/>
          <w:szCs w:val="24"/>
          <w:lang w:val="en-US"/>
        </w:rPr>
        <w:t>these</w:t>
      </w:r>
      <w:r w:rsidR="004F0393">
        <w:rPr>
          <w:rFonts w:ascii="Times New Roman" w:hAnsi="Times New Roman" w:cs="Times New Roman"/>
          <w:sz w:val="24"/>
          <w:szCs w:val="24"/>
          <w:lang w:val="en-US"/>
        </w:rPr>
        <w:t xml:space="preserve"> rates (short-term interest rates) </w:t>
      </w:r>
      <w:r w:rsidR="00CC4299">
        <w:rPr>
          <w:rFonts w:ascii="Times New Roman" w:hAnsi="Times New Roman" w:cs="Times New Roman"/>
          <w:sz w:val="24"/>
          <w:szCs w:val="24"/>
          <w:lang w:val="en-US"/>
        </w:rPr>
        <w:t>a</w:t>
      </w:r>
      <w:r w:rsidR="000216C0">
        <w:rPr>
          <w:rFonts w:ascii="Times New Roman" w:hAnsi="Times New Roman" w:cs="Times New Roman"/>
          <w:sz w:val="24"/>
          <w:szCs w:val="24"/>
          <w:lang w:val="en-US"/>
        </w:rPr>
        <w:t>re</w:t>
      </w:r>
      <w:r w:rsidR="004F0393">
        <w:rPr>
          <w:rFonts w:ascii="Times New Roman" w:hAnsi="Times New Roman" w:cs="Times New Roman"/>
          <w:sz w:val="24"/>
          <w:szCs w:val="24"/>
          <w:lang w:val="en-US"/>
        </w:rPr>
        <w:t xml:space="preserve"> retrieved from </w:t>
      </w:r>
      <w:proofErr w:type="spellStart"/>
      <w:r w:rsidR="00CC4299">
        <w:rPr>
          <w:rFonts w:ascii="Times New Roman" w:hAnsi="Times New Roman" w:cs="Times New Roman"/>
          <w:sz w:val="24"/>
          <w:szCs w:val="24"/>
          <w:lang w:val="en-US"/>
        </w:rPr>
        <w:t>Datastream</w:t>
      </w:r>
      <w:proofErr w:type="spellEnd"/>
      <w:r w:rsidR="004F0393">
        <w:rPr>
          <w:rFonts w:ascii="Times New Roman" w:hAnsi="Times New Roman" w:cs="Times New Roman"/>
          <w:sz w:val="24"/>
          <w:szCs w:val="24"/>
          <w:lang w:val="en-US"/>
        </w:rPr>
        <w:t xml:space="preserve">. </w:t>
      </w:r>
      <w:r w:rsidR="000216C0">
        <w:rPr>
          <w:rFonts w:ascii="Times New Roman" w:hAnsi="Times New Roman" w:cs="Times New Roman"/>
          <w:sz w:val="24"/>
          <w:szCs w:val="24"/>
          <w:lang w:val="en-US"/>
        </w:rPr>
        <w:t>The analysis</w:t>
      </w:r>
      <w:r>
        <w:rPr>
          <w:rFonts w:ascii="Times New Roman" w:hAnsi="Times New Roman" w:cs="Times New Roman"/>
          <w:sz w:val="24"/>
          <w:szCs w:val="24"/>
          <w:lang w:val="en-US"/>
        </w:rPr>
        <w:t xml:space="preserve"> </w:t>
      </w:r>
      <w:r w:rsidR="000216C0">
        <w:rPr>
          <w:rFonts w:ascii="Times New Roman" w:hAnsi="Times New Roman" w:cs="Times New Roman"/>
          <w:sz w:val="24"/>
          <w:szCs w:val="24"/>
          <w:lang w:val="en-US"/>
        </w:rPr>
        <w:t xml:space="preserve">also </w:t>
      </w:r>
      <w:r w:rsidR="004F0393">
        <w:rPr>
          <w:rFonts w:ascii="Times New Roman" w:hAnsi="Times New Roman" w:cs="Times New Roman"/>
          <w:sz w:val="24"/>
          <w:szCs w:val="24"/>
          <w:lang w:val="en-US"/>
        </w:rPr>
        <w:t>use</w:t>
      </w:r>
      <w:r w:rsidR="000216C0">
        <w:rPr>
          <w:rFonts w:ascii="Times New Roman" w:hAnsi="Times New Roman" w:cs="Times New Roman"/>
          <w:sz w:val="24"/>
          <w:szCs w:val="24"/>
          <w:lang w:val="en-US"/>
        </w:rPr>
        <w:t>s</w:t>
      </w:r>
      <w:r w:rsidR="004F0393">
        <w:rPr>
          <w:rFonts w:ascii="Times New Roman" w:hAnsi="Times New Roman" w:cs="Times New Roman"/>
          <w:sz w:val="24"/>
          <w:szCs w:val="24"/>
          <w:lang w:val="en-US"/>
        </w:rPr>
        <w:t xml:space="preserve"> daily crude </w:t>
      </w:r>
      <w:r>
        <w:rPr>
          <w:rFonts w:ascii="Times New Roman" w:hAnsi="Times New Roman" w:cs="Times New Roman"/>
          <w:sz w:val="24"/>
          <w:szCs w:val="24"/>
          <w:lang w:val="en-US"/>
        </w:rPr>
        <w:t xml:space="preserve">oil price </w:t>
      </w:r>
      <w:r w:rsidR="000216C0">
        <w:rPr>
          <w:rFonts w:ascii="Times New Roman" w:hAnsi="Times New Roman" w:cs="Times New Roman"/>
          <w:sz w:val="24"/>
          <w:szCs w:val="24"/>
          <w:lang w:val="en-US"/>
        </w:rPr>
        <w:t>measured as spot</w:t>
      </w:r>
      <w:r>
        <w:rPr>
          <w:rFonts w:ascii="Times New Roman" w:hAnsi="Times New Roman" w:cs="Times New Roman"/>
          <w:sz w:val="24"/>
          <w:szCs w:val="24"/>
          <w:lang w:val="en-US"/>
        </w:rPr>
        <w:t xml:space="preserve"> West Texas Intermediate (WTI) </w:t>
      </w:r>
      <w:r w:rsidR="000216C0">
        <w:rPr>
          <w:rFonts w:ascii="Times New Roman" w:hAnsi="Times New Roman" w:cs="Times New Roman"/>
          <w:sz w:val="24"/>
          <w:szCs w:val="24"/>
          <w:lang w:val="en-US"/>
        </w:rPr>
        <w:t xml:space="preserve">prices also obtained </w:t>
      </w:r>
      <w:r w:rsidR="004F0393">
        <w:rPr>
          <w:rFonts w:ascii="Times New Roman" w:hAnsi="Times New Roman" w:cs="Times New Roman"/>
          <w:sz w:val="24"/>
          <w:szCs w:val="24"/>
          <w:lang w:val="en-US"/>
        </w:rPr>
        <w:t xml:space="preserve">from </w:t>
      </w:r>
      <w:proofErr w:type="spellStart"/>
      <w:r w:rsidR="000216C0">
        <w:rPr>
          <w:rFonts w:ascii="Times New Roman" w:hAnsi="Times New Roman" w:cs="Times New Roman"/>
          <w:sz w:val="24"/>
          <w:szCs w:val="24"/>
          <w:lang w:val="en-US"/>
        </w:rPr>
        <w:t>Datastream</w:t>
      </w:r>
      <w:proofErr w:type="spellEnd"/>
      <w:r w:rsidR="004F0393">
        <w:rPr>
          <w:rFonts w:ascii="Times New Roman" w:hAnsi="Times New Roman" w:cs="Times New Roman"/>
          <w:sz w:val="24"/>
          <w:szCs w:val="24"/>
          <w:lang w:val="en-US"/>
        </w:rPr>
        <w:t xml:space="preserve">. </w:t>
      </w:r>
      <w:r w:rsidR="000216C0">
        <w:rPr>
          <w:rFonts w:ascii="Times New Roman" w:hAnsi="Times New Roman" w:cs="Times New Roman"/>
          <w:sz w:val="24"/>
          <w:szCs w:val="24"/>
          <w:lang w:val="en-US"/>
        </w:rPr>
        <w:t xml:space="preserve">Finally, </w:t>
      </w:r>
      <w:r w:rsidR="00E4350E">
        <w:rPr>
          <w:rFonts w:ascii="Times New Roman" w:hAnsi="Times New Roman" w:cs="Times New Roman"/>
          <w:sz w:val="24"/>
          <w:szCs w:val="24"/>
          <w:lang w:val="en-US"/>
        </w:rPr>
        <w:t>t</w:t>
      </w:r>
      <w:r w:rsidR="00E4350E" w:rsidRPr="00E4350E">
        <w:rPr>
          <w:rFonts w:ascii="Times New Roman" w:hAnsi="Times New Roman" w:cs="Times New Roman"/>
          <w:sz w:val="24"/>
          <w:szCs w:val="24"/>
          <w:lang w:val="en-US"/>
        </w:rPr>
        <w:t>he Shanghai Stock Exchange</w:t>
      </w:r>
      <w:r w:rsidR="00E4350E">
        <w:rPr>
          <w:rFonts w:ascii="Times New Roman" w:hAnsi="Times New Roman" w:cs="Times New Roman"/>
          <w:sz w:val="24"/>
          <w:szCs w:val="24"/>
          <w:lang w:val="en-US"/>
        </w:rPr>
        <w:t xml:space="preserve"> </w:t>
      </w:r>
      <w:r w:rsidR="00E4350E" w:rsidRPr="00E4350E">
        <w:rPr>
          <w:rFonts w:ascii="Times New Roman" w:hAnsi="Times New Roman" w:cs="Times New Roman"/>
          <w:sz w:val="24"/>
          <w:szCs w:val="24"/>
          <w:lang w:val="en-US"/>
        </w:rPr>
        <w:t>and the Shenzhen Stock Exchange are the two major emerging Chinese capital markets, linked via the national stock exchange automated quotation system</w:t>
      </w:r>
      <w:r w:rsidR="00E4350E">
        <w:rPr>
          <w:rFonts w:ascii="Times New Roman" w:hAnsi="Times New Roman" w:cs="Times New Roman"/>
          <w:sz w:val="24"/>
          <w:szCs w:val="24"/>
          <w:lang w:val="en-US"/>
        </w:rPr>
        <w:t xml:space="preserve">. </w:t>
      </w:r>
      <w:r w:rsidR="00AF4F2B" w:rsidRPr="00AF4F2B">
        <w:rPr>
          <w:rFonts w:ascii="Times New Roman" w:hAnsi="Times New Roman" w:cs="Times New Roman"/>
          <w:sz w:val="24"/>
          <w:szCs w:val="24"/>
          <w:lang w:val="en-US"/>
        </w:rPr>
        <w:t>Two types of stocks are traded in the two markets: A shares and B shares. A</w:t>
      </w:r>
      <w:r w:rsidR="00AF4F2B">
        <w:rPr>
          <w:rFonts w:ascii="Times New Roman" w:hAnsi="Times New Roman" w:cs="Times New Roman"/>
          <w:sz w:val="24"/>
          <w:szCs w:val="24"/>
          <w:lang w:val="en-US"/>
        </w:rPr>
        <w:t xml:space="preserve"> </w:t>
      </w:r>
      <w:r w:rsidR="00A70284">
        <w:rPr>
          <w:rFonts w:ascii="Times New Roman" w:hAnsi="Times New Roman" w:cs="Times New Roman"/>
          <w:sz w:val="24"/>
          <w:szCs w:val="24"/>
          <w:lang w:val="en-US"/>
        </w:rPr>
        <w:t xml:space="preserve">type of </w:t>
      </w:r>
      <w:r w:rsidR="00AF4F2B" w:rsidRPr="00AF4F2B">
        <w:rPr>
          <w:rFonts w:ascii="Times New Roman" w:hAnsi="Times New Roman" w:cs="Times New Roman"/>
          <w:sz w:val="24"/>
          <w:szCs w:val="24"/>
          <w:lang w:val="en-US"/>
        </w:rPr>
        <w:t>shares are restricted to Chinese citizens and denominated in Chinese currency (RMB),</w:t>
      </w:r>
      <w:r w:rsidR="00AF4F2B">
        <w:rPr>
          <w:rFonts w:ascii="Times New Roman" w:hAnsi="Times New Roman" w:cs="Times New Roman"/>
          <w:sz w:val="24"/>
          <w:szCs w:val="24"/>
          <w:lang w:val="en-US"/>
        </w:rPr>
        <w:t xml:space="preserve"> while</w:t>
      </w:r>
      <w:r w:rsidR="00AF4F2B" w:rsidRPr="00AF4F2B">
        <w:rPr>
          <w:rFonts w:ascii="Times New Roman" w:hAnsi="Times New Roman" w:cs="Times New Roman"/>
          <w:sz w:val="24"/>
          <w:szCs w:val="24"/>
          <w:lang w:val="en-US"/>
        </w:rPr>
        <w:t xml:space="preserve"> B shares can be bought and sold only by foreigners and are settled in foreign</w:t>
      </w:r>
      <w:r w:rsidR="00AF4F2B">
        <w:rPr>
          <w:rFonts w:ascii="Times New Roman" w:hAnsi="Times New Roman" w:cs="Times New Roman"/>
          <w:sz w:val="24"/>
          <w:szCs w:val="24"/>
          <w:lang w:val="en-US"/>
        </w:rPr>
        <w:t xml:space="preserve"> </w:t>
      </w:r>
      <w:r w:rsidR="00AF4F2B" w:rsidRPr="00AF4F2B">
        <w:rPr>
          <w:rFonts w:ascii="Times New Roman" w:hAnsi="Times New Roman" w:cs="Times New Roman"/>
          <w:sz w:val="24"/>
          <w:szCs w:val="24"/>
          <w:lang w:val="en-US"/>
        </w:rPr>
        <w:t xml:space="preserve">currency (U.S. dollars for Shanghai and Hong Kong dollars for Shenzhen). </w:t>
      </w:r>
      <w:r w:rsidR="00AF4F2B">
        <w:rPr>
          <w:rFonts w:ascii="Times New Roman" w:hAnsi="Times New Roman" w:cs="Times New Roman"/>
          <w:sz w:val="24"/>
          <w:szCs w:val="24"/>
          <w:lang w:val="en-US"/>
        </w:rPr>
        <w:t>Here, the analysis</w:t>
      </w:r>
      <w:r w:rsidR="00AF4F2B" w:rsidRPr="00AF4F2B">
        <w:rPr>
          <w:rFonts w:ascii="Times New Roman" w:hAnsi="Times New Roman" w:cs="Times New Roman"/>
          <w:sz w:val="24"/>
          <w:szCs w:val="24"/>
          <w:lang w:val="en-US"/>
        </w:rPr>
        <w:t xml:space="preserve"> focus</w:t>
      </w:r>
      <w:r w:rsidR="00AF4F2B">
        <w:rPr>
          <w:rFonts w:ascii="Times New Roman" w:hAnsi="Times New Roman" w:cs="Times New Roman"/>
          <w:sz w:val="24"/>
          <w:szCs w:val="24"/>
          <w:lang w:val="en-US"/>
        </w:rPr>
        <w:t>es</w:t>
      </w:r>
      <w:r w:rsidR="00AF4F2B" w:rsidRPr="00AF4F2B">
        <w:rPr>
          <w:rFonts w:ascii="Times New Roman" w:hAnsi="Times New Roman" w:cs="Times New Roman"/>
          <w:sz w:val="24"/>
          <w:szCs w:val="24"/>
          <w:lang w:val="en-US"/>
        </w:rPr>
        <w:t xml:space="preserve"> on the analysis of the A share market, since the B share market</w:t>
      </w:r>
      <w:r w:rsidR="00AF4F2B">
        <w:rPr>
          <w:rFonts w:ascii="Times New Roman" w:hAnsi="Times New Roman" w:cs="Times New Roman"/>
          <w:sz w:val="24"/>
          <w:szCs w:val="24"/>
          <w:lang w:val="en-US"/>
        </w:rPr>
        <w:t xml:space="preserve"> </w:t>
      </w:r>
      <w:r w:rsidR="00AF4F2B" w:rsidRPr="00AF4F2B">
        <w:rPr>
          <w:rFonts w:ascii="Times New Roman" w:hAnsi="Times New Roman" w:cs="Times New Roman"/>
          <w:sz w:val="24"/>
          <w:szCs w:val="24"/>
          <w:lang w:val="en-US"/>
        </w:rPr>
        <w:t>has los</w:t>
      </w:r>
      <w:r w:rsidR="00AF4F2B">
        <w:rPr>
          <w:rFonts w:ascii="Times New Roman" w:hAnsi="Times New Roman" w:cs="Times New Roman"/>
          <w:sz w:val="24"/>
          <w:szCs w:val="24"/>
          <w:lang w:val="en-US"/>
        </w:rPr>
        <w:t>t</w:t>
      </w:r>
      <w:r w:rsidR="00AF4F2B" w:rsidRPr="00AF4F2B">
        <w:rPr>
          <w:rFonts w:ascii="Times New Roman" w:hAnsi="Times New Roman" w:cs="Times New Roman"/>
          <w:sz w:val="24"/>
          <w:szCs w:val="24"/>
          <w:lang w:val="en-US"/>
        </w:rPr>
        <w:t xml:space="preserve"> its appeal to foreign investors, </w:t>
      </w:r>
      <w:r w:rsidR="00AF4F2B">
        <w:rPr>
          <w:rFonts w:ascii="Times New Roman" w:hAnsi="Times New Roman" w:cs="Times New Roman"/>
          <w:sz w:val="24"/>
          <w:szCs w:val="24"/>
          <w:lang w:val="en-US"/>
        </w:rPr>
        <w:t>while</w:t>
      </w:r>
      <w:r w:rsidR="00AF4F2B" w:rsidRPr="00AF4F2B">
        <w:rPr>
          <w:rFonts w:ascii="Times New Roman" w:hAnsi="Times New Roman" w:cs="Times New Roman"/>
          <w:sz w:val="24"/>
          <w:szCs w:val="24"/>
          <w:lang w:val="en-US"/>
        </w:rPr>
        <w:t xml:space="preserve"> A shares dominate B shares in terms</w:t>
      </w:r>
      <w:r w:rsidR="00AF4F2B">
        <w:rPr>
          <w:rFonts w:ascii="Times New Roman" w:hAnsi="Times New Roman" w:cs="Times New Roman"/>
          <w:sz w:val="24"/>
          <w:szCs w:val="24"/>
          <w:lang w:val="en-US"/>
        </w:rPr>
        <w:t xml:space="preserve"> </w:t>
      </w:r>
      <w:r w:rsidR="00AF4F2B" w:rsidRPr="00AF4F2B">
        <w:rPr>
          <w:rFonts w:ascii="Times New Roman" w:hAnsi="Times New Roman" w:cs="Times New Roman"/>
          <w:sz w:val="24"/>
          <w:szCs w:val="24"/>
          <w:lang w:val="en-US"/>
        </w:rPr>
        <w:t>of the number of listed companies, trading volume, and market capitalization.</w:t>
      </w:r>
      <w:r w:rsidR="00AF4F2B">
        <w:rPr>
          <w:rFonts w:ascii="Times New Roman" w:hAnsi="Times New Roman" w:cs="Times New Roman"/>
          <w:sz w:val="24"/>
          <w:szCs w:val="24"/>
          <w:lang w:val="en-US"/>
        </w:rPr>
        <w:t xml:space="preserve"> </w:t>
      </w:r>
      <w:r w:rsidR="00391736">
        <w:rPr>
          <w:rFonts w:ascii="Times New Roman" w:hAnsi="Times New Roman" w:cs="Times New Roman"/>
          <w:sz w:val="24"/>
          <w:szCs w:val="24"/>
          <w:lang w:val="en-US"/>
        </w:rPr>
        <w:t>Hence, to the empirical ends of the analysis, we</w:t>
      </w:r>
      <w:r w:rsidR="00391736" w:rsidRPr="00391736">
        <w:rPr>
          <w:rFonts w:ascii="Times New Roman" w:hAnsi="Times New Roman" w:cs="Times New Roman"/>
          <w:sz w:val="24"/>
          <w:szCs w:val="24"/>
          <w:lang w:val="en-US"/>
        </w:rPr>
        <w:t xml:space="preserve"> use the value-weighted return between A shares in the</w:t>
      </w:r>
      <w:r w:rsidR="00391736">
        <w:rPr>
          <w:rFonts w:ascii="Times New Roman" w:hAnsi="Times New Roman" w:cs="Times New Roman"/>
          <w:sz w:val="24"/>
          <w:szCs w:val="24"/>
          <w:lang w:val="en-US"/>
        </w:rPr>
        <w:t xml:space="preserve"> </w:t>
      </w:r>
      <w:r w:rsidR="00391736" w:rsidRPr="00391736">
        <w:rPr>
          <w:rFonts w:ascii="Times New Roman" w:hAnsi="Times New Roman" w:cs="Times New Roman"/>
          <w:sz w:val="24"/>
          <w:szCs w:val="24"/>
          <w:lang w:val="en-US"/>
        </w:rPr>
        <w:t xml:space="preserve">Shanghai and Shenzhen stock </w:t>
      </w:r>
      <w:r w:rsidR="00391736" w:rsidRPr="00391736">
        <w:rPr>
          <w:rFonts w:ascii="Times New Roman" w:hAnsi="Times New Roman" w:cs="Times New Roman"/>
          <w:sz w:val="24"/>
          <w:szCs w:val="24"/>
          <w:lang w:val="en-US"/>
        </w:rPr>
        <w:lastRenderedPageBreak/>
        <w:t>markets to represent the Chin</w:t>
      </w:r>
      <w:r w:rsidR="00391736">
        <w:rPr>
          <w:rFonts w:ascii="Times New Roman" w:hAnsi="Times New Roman" w:cs="Times New Roman"/>
          <w:sz w:val="24"/>
          <w:szCs w:val="24"/>
          <w:lang w:val="en-US"/>
        </w:rPr>
        <w:t>ese</w:t>
      </w:r>
      <w:r w:rsidR="00391736" w:rsidRPr="00391736">
        <w:rPr>
          <w:rFonts w:ascii="Times New Roman" w:hAnsi="Times New Roman" w:cs="Times New Roman"/>
          <w:sz w:val="24"/>
          <w:szCs w:val="24"/>
          <w:lang w:val="en-US"/>
        </w:rPr>
        <w:t xml:space="preserve"> stock market return</w:t>
      </w:r>
      <w:r w:rsidR="00391736">
        <w:rPr>
          <w:rFonts w:ascii="Times New Roman" w:hAnsi="Times New Roman" w:cs="Times New Roman"/>
          <w:sz w:val="24"/>
          <w:szCs w:val="24"/>
          <w:lang w:val="en-US"/>
        </w:rPr>
        <w:t xml:space="preserve">s. </w:t>
      </w:r>
      <w:r w:rsidR="00AF4F2B">
        <w:rPr>
          <w:rFonts w:ascii="Times New Roman" w:hAnsi="Times New Roman" w:cs="Times New Roman"/>
          <w:sz w:val="24"/>
          <w:szCs w:val="24"/>
          <w:lang w:val="en-US"/>
        </w:rPr>
        <w:t>S</w:t>
      </w:r>
      <w:r w:rsidR="000216C0">
        <w:rPr>
          <w:rFonts w:ascii="Times New Roman" w:hAnsi="Times New Roman" w:cs="Times New Roman"/>
          <w:sz w:val="24"/>
          <w:szCs w:val="24"/>
          <w:lang w:val="en-US"/>
        </w:rPr>
        <w:t>tock market data</w:t>
      </w:r>
      <w:r w:rsidR="004F0393">
        <w:rPr>
          <w:rFonts w:ascii="Times New Roman" w:hAnsi="Times New Roman" w:cs="Times New Roman"/>
          <w:sz w:val="24"/>
          <w:szCs w:val="24"/>
          <w:lang w:val="en-US"/>
        </w:rPr>
        <w:t xml:space="preserve"> </w:t>
      </w:r>
      <w:r w:rsidR="00AF4F2B">
        <w:rPr>
          <w:rFonts w:ascii="Times New Roman" w:hAnsi="Times New Roman" w:cs="Times New Roman"/>
          <w:sz w:val="24"/>
          <w:szCs w:val="24"/>
          <w:lang w:val="en-US"/>
        </w:rPr>
        <w:t>a</w:t>
      </w:r>
      <w:r w:rsidR="000216C0">
        <w:rPr>
          <w:rFonts w:ascii="Times New Roman" w:hAnsi="Times New Roman" w:cs="Times New Roman"/>
          <w:sz w:val="24"/>
          <w:szCs w:val="24"/>
          <w:lang w:val="en-US"/>
        </w:rPr>
        <w:t xml:space="preserve">re </w:t>
      </w:r>
      <w:r w:rsidR="00AC05C9">
        <w:rPr>
          <w:rFonts w:ascii="Times New Roman" w:hAnsi="Times New Roman" w:cs="Times New Roman"/>
          <w:sz w:val="24"/>
          <w:szCs w:val="24"/>
          <w:lang w:val="en-US"/>
        </w:rPr>
        <w:t xml:space="preserve">also sourced from </w:t>
      </w:r>
      <w:proofErr w:type="spellStart"/>
      <w:r w:rsidR="00AC05C9">
        <w:rPr>
          <w:rFonts w:ascii="Times New Roman" w:hAnsi="Times New Roman" w:cs="Times New Roman"/>
          <w:sz w:val="24"/>
          <w:szCs w:val="24"/>
          <w:lang w:val="en-US"/>
        </w:rPr>
        <w:t>Datastream</w:t>
      </w:r>
      <w:proofErr w:type="spellEnd"/>
      <w:r>
        <w:rPr>
          <w:rFonts w:ascii="Times New Roman" w:hAnsi="Times New Roman" w:cs="Times New Roman"/>
          <w:sz w:val="24"/>
          <w:szCs w:val="24"/>
          <w:lang w:val="en-US"/>
        </w:rPr>
        <w:t>.</w:t>
      </w:r>
      <w:r w:rsidR="004F0393">
        <w:rPr>
          <w:rFonts w:ascii="Times New Roman" w:hAnsi="Times New Roman" w:cs="Times New Roman"/>
          <w:sz w:val="24"/>
          <w:szCs w:val="24"/>
          <w:lang w:val="en-US"/>
        </w:rPr>
        <w:t xml:space="preserve"> </w:t>
      </w:r>
      <w:r w:rsidR="00E969AD">
        <w:rPr>
          <w:rFonts w:ascii="Times New Roman" w:eastAsiaTheme="minorEastAsia" w:hAnsi="Times New Roman" w:cs="Times New Roman"/>
          <w:sz w:val="24"/>
          <w:szCs w:val="24"/>
          <w:lang w:val="en-US"/>
        </w:rPr>
        <w:t>Table 1 presents certain summary statistics.</w:t>
      </w:r>
      <w:r w:rsidR="004F0393">
        <w:rPr>
          <w:rFonts w:ascii="Times New Roman" w:eastAsiaTheme="minorEastAsia" w:hAnsi="Times New Roman" w:cs="Times New Roman"/>
          <w:sz w:val="24"/>
          <w:szCs w:val="24"/>
          <w:lang w:val="en-US"/>
        </w:rPr>
        <w:t xml:space="preserve"> </w:t>
      </w:r>
    </w:p>
    <w:p w14:paraId="46CD205F" w14:textId="069CCE6F" w:rsidR="001D514A" w:rsidRDefault="001D514A" w:rsidP="001D514A">
      <w:pPr>
        <w:spacing w:after="0" w:line="360" w:lineRule="auto"/>
        <w:jc w:val="both"/>
        <w:rPr>
          <w:rFonts w:ascii="Times New Roman" w:hAnsi="Times New Roman" w:cs="Times New Roman"/>
          <w:sz w:val="24"/>
          <w:szCs w:val="24"/>
          <w:lang w:val="en-US"/>
        </w:rPr>
      </w:pPr>
      <w:r w:rsidRPr="00461097">
        <w:rPr>
          <w:rFonts w:ascii="Times New Roman" w:hAnsi="Times New Roman" w:cs="Times New Roman"/>
          <w:b/>
          <w:bCs/>
          <w:sz w:val="24"/>
          <w:szCs w:val="24"/>
          <w:lang w:val="en-US"/>
        </w:rPr>
        <w:t>Table 1</w:t>
      </w:r>
      <w:r w:rsidR="008B0C0D">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Summary statistics</w:t>
      </w:r>
      <w:r w:rsidR="004D0FDA">
        <w:rPr>
          <w:rFonts w:ascii="Times New Roman" w:hAnsi="Times New Roman" w:cs="Times New Roman"/>
          <w:sz w:val="24"/>
          <w:szCs w:val="24"/>
          <w:lang w:val="en-US"/>
        </w:rPr>
        <w:t>.</w:t>
      </w:r>
    </w:p>
    <w:tbl>
      <w:tblPr>
        <w:tblW w:w="5227"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420"/>
        <w:gridCol w:w="1336"/>
        <w:gridCol w:w="1381"/>
        <w:gridCol w:w="1011"/>
        <w:gridCol w:w="1290"/>
        <w:gridCol w:w="1334"/>
        <w:gridCol w:w="911"/>
      </w:tblGrid>
      <w:tr w:rsidR="001D514A" w:rsidRPr="001D514A" w14:paraId="1D51A0C1" w14:textId="77777777" w:rsidTr="00E96403">
        <w:trPr>
          <w:trHeight w:val="244"/>
        </w:trPr>
        <w:tc>
          <w:tcPr>
            <w:tcW w:w="818" w:type="pct"/>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465FC4A9" w14:textId="77777777" w:rsidR="001D514A" w:rsidRPr="001D514A" w:rsidRDefault="001D514A" w:rsidP="005669B6">
            <w:pPr>
              <w:pStyle w:val="NoSpacing"/>
              <w:rPr>
                <w:rFonts w:ascii="Times New Roman" w:hAnsi="Times New Roman" w:cs="Times New Roman"/>
                <w:b/>
                <w:bCs/>
                <w:sz w:val="24"/>
                <w:szCs w:val="24"/>
              </w:rPr>
            </w:pPr>
            <w:r w:rsidRPr="001D514A">
              <w:rPr>
                <w:rFonts w:ascii="Times New Roman" w:hAnsi="Times New Roman" w:cs="Times New Roman"/>
                <w:b/>
                <w:bCs/>
                <w:sz w:val="24"/>
                <w:szCs w:val="24"/>
                <w:lang w:val="en-US"/>
              </w:rPr>
              <w:t>Variables</w:t>
            </w:r>
          </w:p>
        </w:tc>
        <w:tc>
          <w:tcPr>
            <w:tcW w:w="770" w:type="pct"/>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630873AA" w14:textId="0D18521A" w:rsidR="001D514A" w:rsidRPr="001D514A" w:rsidRDefault="001D514A" w:rsidP="005669B6">
            <w:pPr>
              <w:pStyle w:val="NoSpacing"/>
              <w:rPr>
                <w:rFonts w:ascii="Times New Roman" w:hAnsi="Times New Roman" w:cs="Times New Roman"/>
                <w:b/>
                <w:bCs/>
                <w:sz w:val="24"/>
                <w:szCs w:val="24"/>
              </w:rPr>
            </w:pPr>
            <w:r w:rsidRPr="001D514A">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    </w:t>
            </w:r>
            <w:r w:rsidR="00391736">
              <w:rPr>
                <w:rFonts w:ascii="Times New Roman" w:hAnsi="Times New Roman" w:cs="Times New Roman"/>
                <w:b/>
                <w:bCs/>
                <w:sz w:val="24"/>
                <w:szCs w:val="24"/>
                <w:lang w:val="en-US"/>
              </w:rPr>
              <w:t xml:space="preserve">  </w:t>
            </w:r>
            <w:r w:rsidRPr="001D514A">
              <w:rPr>
                <w:rFonts w:ascii="Times New Roman" w:hAnsi="Times New Roman" w:cs="Times New Roman"/>
                <w:b/>
                <w:bCs/>
                <w:sz w:val="24"/>
                <w:szCs w:val="24"/>
              </w:rPr>
              <w:t>Mean</w:t>
            </w:r>
          </w:p>
        </w:tc>
        <w:tc>
          <w:tcPr>
            <w:tcW w:w="795" w:type="pct"/>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564A2CA7" w14:textId="48CD13AB" w:rsidR="001D514A" w:rsidRPr="001D514A" w:rsidRDefault="001D514A" w:rsidP="005669B6">
            <w:pPr>
              <w:pStyle w:val="NoSpacing"/>
              <w:rPr>
                <w:rFonts w:ascii="Times New Roman" w:hAnsi="Times New Roman" w:cs="Times New Roman"/>
                <w:b/>
                <w:bCs/>
                <w:sz w:val="24"/>
                <w:szCs w:val="24"/>
              </w:rPr>
            </w:pPr>
            <w:r w:rsidRPr="001D514A">
              <w:rPr>
                <w:rFonts w:ascii="Times New Roman" w:hAnsi="Times New Roman" w:cs="Times New Roman"/>
                <w:b/>
                <w:bCs/>
                <w:sz w:val="24"/>
                <w:szCs w:val="24"/>
              </w:rPr>
              <w:t xml:space="preserve">  </w:t>
            </w:r>
            <w:r w:rsidR="00391736">
              <w:rPr>
                <w:rFonts w:ascii="Times New Roman" w:hAnsi="Times New Roman" w:cs="Times New Roman"/>
                <w:b/>
                <w:bCs/>
                <w:sz w:val="24"/>
                <w:szCs w:val="24"/>
                <w:lang w:val="en-US"/>
              </w:rPr>
              <w:t xml:space="preserve">   </w:t>
            </w:r>
            <w:r w:rsidRPr="001D514A">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   </w:t>
            </w:r>
            <w:r w:rsidRPr="001D514A">
              <w:rPr>
                <w:rFonts w:ascii="Times New Roman" w:hAnsi="Times New Roman" w:cs="Times New Roman"/>
                <w:b/>
                <w:bCs/>
                <w:sz w:val="24"/>
                <w:szCs w:val="24"/>
              </w:rPr>
              <w:t>SD</w:t>
            </w:r>
          </w:p>
        </w:tc>
        <w:tc>
          <w:tcPr>
            <w:tcW w:w="582" w:type="pct"/>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769FF215" w14:textId="0538CCAB" w:rsidR="001D514A" w:rsidRPr="001D514A" w:rsidRDefault="001D514A" w:rsidP="005669B6">
            <w:pPr>
              <w:pStyle w:val="NoSpacing"/>
              <w:rPr>
                <w:rFonts w:ascii="Times New Roman" w:hAnsi="Times New Roman" w:cs="Times New Roman"/>
                <w:b/>
                <w:bCs/>
                <w:sz w:val="24"/>
                <w:szCs w:val="24"/>
              </w:rPr>
            </w:pPr>
            <w:r w:rsidRPr="001D514A">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    </w:t>
            </w:r>
            <w:r w:rsidRPr="001D514A">
              <w:rPr>
                <w:rFonts w:ascii="Times New Roman" w:hAnsi="Times New Roman" w:cs="Times New Roman"/>
                <w:b/>
                <w:bCs/>
                <w:sz w:val="24"/>
                <w:szCs w:val="24"/>
              </w:rPr>
              <w:t>Min</w:t>
            </w:r>
          </w:p>
        </w:tc>
        <w:tc>
          <w:tcPr>
            <w:tcW w:w="743" w:type="pct"/>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711713A6" w14:textId="68B563AA" w:rsidR="001D514A" w:rsidRPr="001D514A" w:rsidRDefault="001D514A" w:rsidP="005669B6">
            <w:pPr>
              <w:pStyle w:val="NoSpacing"/>
              <w:rPr>
                <w:rFonts w:ascii="Times New Roman" w:hAnsi="Times New Roman" w:cs="Times New Roman"/>
                <w:b/>
                <w:bCs/>
                <w:sz w:val="24"/>
                <w:szCs w:val="24"/>
              </w:rPr>
            </w:pPr>
            <w:r w:rsidRPr="001D514A">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  </w:t>
            </w:r>
            <w:r w:rsidRPr="001D514A">
              <w:rPr>
                <w:rFonts w:ascii="Times New Roman" w:hAnsi="Times New Roman" w:cs="Times New Roman"/>
                <w:b/>
                <w:bCs/>
                <w:sz w:val="24"/>
                <w:szCs w:val="24"/>
              </w:rPr>
              <w:t xml:space="preserve"> </w:t>
            </w:r>
            <w:r>
              <w:rPr>
                <w:rFonts w:ascii="Times New Roman" w:hAnsi="Times New Roman" w:cs="Times New Roman"/>
                <w:b/>
                <w:bCs/>
                <w:sz w:val="24"/>
                <w:szCs w:val="24"/>
                <w:lang w:val="en-US"/>
              </w:rPr>
              <w:t xml:space="preserve">   </w:t>
            </w:r>
            <w:r w:rsidRPr="001D514A">
              <w:rPr>
                <w:rFonts w:ascii="Times New Roman" w:hAnsi="Times New Roman" w:cs="Times New Roman"/>
                <w:b/>
                <w:bCs/>
                <w:sz w:val="24"/>
                <w:szCs w:val="24"/>
              </w:rPr>
              <w:t xml:space="preserve"> Max</w:t>
            </w:r>
          </w:p>
        </w:tc>
        <w:tc>
          <w:tcPr>
            <w:tcW w:w="768" w:type="pct"/>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1D59C99C" w14:textId="77777777" w:rsidR="001D514A" w:rsidRPr="001D514A" w:rsidRDefault="001D514A" w:rsidP="005669B6">
            <w:pPr>
              <w:pStyle w:val="NoSpacing"/>
              <w:rPr>
                <w:rFonts w:ascii="Times New Roman" w:hAnsi="Times New Roman" w:cs="Times New Roman"/>
                <w:b/>
                <w:bCs/>
                <w:sz w:val="24"/>
                <w:szCs w:val="24"/>
              </w:rPr>
            </w:pPr>
            <w:r w:rsidRPr="001D514A">
              <w:rPr>
                <w:rFonts w:ascii="Times New Roman" w:hAnsi="Times New Roman" w:cs="Times New Roman"/>
                <w:b/>
                <w:bCs/>
                <w:sz w:val="24"/>
                <w:szCs w:val="24"/>
              </w:rPr>
              <w:t xml:space="preserve">   Skewness </w:t>
            </w:r>
          </w:p>
        </w:tc>
        <w:tc>
          <w:tcPr>
            <w:tcW w:w="525" w:type="pct"/>
            <w:tcBorders>
              <w:top w:val="single" w:sz="4" w:space="0" w:color="auto"/>
              <w:bottom w:val="single" w:sz="4" w:space="0" w:color="auto"/>
            </w:tcBorders>
            <w:shd w:val="clear" w:color="auto" w:fill="auto"/>
            <w:noWrap/>
            <w:tcMar>
              <w:top w:w="15" w:type="dxa"/>
              <w:left w:w="15" w:type="dxa"/>
              <w:bottom w:w="0" w:type="dxa"/>
              <w:right w:w="15" w:type="dxa"/>
            </w:tcMar>
            <w:vAlign w:val="bottom"/>
            <w:hideMark/>
          </w:tcPr>
          <w:p w14:paraId="1898145B" w14:textId="77777777" w:rsidR="001D514A" w:rsidRPr="001D514A" w:rsidRDefault="001D514A" w:rsidP="005669B6">
            <w:pPr>
              <w:pStyle w:val="NoSpacing"/>
              <w:rPr>
                <w:rFonts w:ascii="Times New Roman" w:hAnsi="Times New Roman" w:cs="Times New Roman"/>
                <w:b/>
                <w:bCs/>
                <w:sz w:val="24"/>
                <w:szCs w:val="24"/>
              </w:rPr>
            </w:pPr>
            <w:r w:rsidRPr="001D514A">
              <w:rPr>
                <w:rFonts w:ascii="Times New Roman" w:hAnsi="Times New Roman" w:cs="Times New Roman"/>
                <w:b/>
                <w:bCs/>
                <w:sz w:val="24"/>
                <w:szCs w:val="24"/>
              </w:rPr>
              <w:t>Kurtosis</w:t>
            </w:r>
          </w:p>
        </w:tc>
      </w:tr>
      <w:tr w:rsidR="001D514A" w:rsidRPr="001D514A" w14:paraId="11FB084C" w14:textId="77777777" w:rsidTr="00E96403">
        <w:trPr>
          <w:trHeight w:val="244"/>
        </w:trPr>
        <w:tc>
          <w:tcPr>
            <w:tcW w:w="818" w:type="pct"/>
            <w:tcBorders>
              <w:top w:val="nil"/>
              <w:bottom w:val="nil"/>
              <w:right w:val="nil"/>
            </w:tcBorders>
            <w:shd w:val="clear" w:color="auto" w:fill="auto"/>
            <w:noWrap/>
            <w:tcMar>
              <w:top w:w="15" w:type="dxa"/>
              <w:left w:w="15" w:type="dxa"/>
              <w:bottom w:w="0" w:type="dxa"/>
              <w:right w:w="15" w:type="dxa"/>
            </w:tcMar>
            <w:vAlign w:val="bottom"/>
          </w:tcPr>
          <w:p w14:paraId="21EABD4F" w14:textId="1CACDBEE" w:rsidR="001D514A" w:rsidRPr="00B2536C" w:rsidRDefault="00325851" w:rsidP="005669B6">
            <w:pPr>
              <w:pStyle w:val="NoSpacing"/>
              <w:rPr>
                <w:rFonts w:ascii="Times New Roman" w:hAnsi="Times New Roman" w:cs="Times New Roman"/>
                <w:sz w:val="24"/>
                <w:szCs w:val="24"/>
                <w:lang w:val="en-US"/>
              </w:rPr>
            </w:pPr>
            <w:r w:rsidRPr="00B2536C">
              <w:rPr>
                <w:rFonts w:ascii="Times New Roman" w:hAnsi="Times New Roman" w:cs="Times New Roman"/>
                <w:sz w:val="24"/>
                <w:szCs w:val="24"/>
                <w:lang w:val="en-US"/>
              </w:rPr>
              <w:t>s</w:t>
            </w:r>
            <w:r w:rsidR="001D514A" w:rsidRPr="00B2536C">
              <w:rPr>
                <w:rFonts w:ascii="Times New Roman" w:hAnsi="Times New Roman" w:cs="Times New Roman"/>
                <w:sz w:val="24"/>
                <w:szCs w:val="24"/>
                <w:lang w:val="en-US"/>
              </w:rPr>
              <w:t>tock returns</w:t>
            </w:r>
          </w:p>
        </w:tc>
        <w:tc>
          <w:tcPr>
            <w:tcW w:w="770" w:type="pct"/>
            <w:tcBorders>
              <w:top w:val="nil"/>
              <w:left w:val="nil"/>
              <w:bottom w:val="nil"/>
              <w:right w:val="nil"/>
            </w:tcBorders>
            <w:shd w:val="clear" w:color="auto" w:fill="auto"/>
            <w:noWrap/>
            <w:tcMar>
              <w:top w:w="15" w:type="dxa"/>
              <w:left w:w="15" w:type="dxa"/>
              <w:bottom w:w="0" w:type="dxa"/>
              <w:right w:w="15" w:type="dxa"/>
            </w:tcMar>
            <w:vAlign w:val="bottom"/>
          </w:tcPr>
          <w:p w14:paraId="456D4AC7" w14:textId="76DB3B86" w:rsidR="001D514A" w:rsidRPr="00B2536C" w:rsidRDefault="00325851" w:rsidP="005669B6">
            <w:pPr>
              <w:pStyle w:val="NoSpacing"/>
              <w:rPr>
                <w:rFonts w:ascii="Times New Roman" w:hAnsi="Times New Roman" w:cs="Times New Roman"/>
                <w:sz w:val="24"/>
                <w:szCs w:val="24"/>
                <w:lang w:val="en-US"/>
              </w:rPr>
            </w:pPr>
            <w:r w:rsidRPr="00B2536C">
              <w:rPr>
                <w:rFonts w:ascii="Times New Roman" w:hAnsi="Times New Roman" w:cs="Times New Roman"/>
                <w:sz w:val="24"/>
                <w:szCs w:val="24"/>
                <w:lang w:val="en-US"/>
              </w:rPr>
              <w:t xml:space="preserve">    </w:t>
            </w:r>
            <w:r w:rsidR="00391736">
              <w:rPr>
                <w:rFonts w:ascii="Times New Roman" w:hAnsi="Times New Roman" w:cs="Times New Roman"/>
                <w:sz w:val="24"/>
                <w:szCs w:val="24"/>
                <w:lang w:val="en-US"/>
              </w:rPr>
              <w:t xml:space="preserve">  -</w:t>
            </w:r>
            <w:r w:rsidRPr="00B2536C">
              <w:rPr>
                <w:rFonts w:ascii="Times New Roman" w:hAnsi="Times New Roman" w:cs="Times New Roman"/>
                <w:sz w:val="24"/>
                <w:szCs w:val="24"/>
                <w:lang w:val="en-US"/>
              </w:rPr>
              <w:t>0.0</w:t>
            </w:r>
            <w:r w:rsidR="00391736">
              <w:rPr>
                <w:rFonts w:ascii="Times New Roman" w:hAnsi="Times New Roman" w:cs="Times New Roman"/>
                <w:sz w:val="24"/>
                <w:szCs w:val="24"/>
                <w:lang w:val="en-US"/>
              </w:rPr>
              <w:t>513</w:t>
            </w:r>
          </w:p>
        </w:tc>
        <w:tc>
          <w:tcPr>
            <w:tcW w:w="795" w:type="pct"/>
            <w:tcBorders>
              <w:top w:val="nil"/>
              <w:left w:val="nil"/>
              <w:bottom w:val="nil"/>
              <w:right w:val="nil"/>
            </w:tcBorders>
            <w:shd w:val="clear" w:color="auto" w:fill="auto"/>
            <w:noWrap/>
            <w:tcMar>
              <w:top w:w="15" w:type="dxa"/>
              <w:left w:w="15" w:type="dxa"/>
              <w:bottom w:w="0" w:type="dxa"/>
              <w:right w:w="15" w:type="dxa"/>
            </w:tcMar>
            <w:vAlign w:val="bottom"/>
          </w:tcPr>
          <w:p w14:paraId="0CDA8E49" w14:textId="52F425AA" w:rsidR="001D514A" w:rsidRPr="00B2536C" w:rsidRDefault="00325851" w:rsidP="005669B6">
            <w:pPr>
              <w:pStyle w:val="NoSpacing"/>
              <w:rPr>
                <w:rFonts w:ascii="Times New Roman" w:hAnsi="Times New Roman" w:cs="Times New Roman"/>
                <w:sz w:val="24"/>
                <w:szCs w:val="24"/>
                <w:lang w:val="en-US"/>
              </w:rPr>
            </w:pPr>
            <w:r w:rsidRPr="00B2536C">
              <w:rPr>
                <w:rFonts w:ascii="Times New Roman" w:hAnsi="Times New Roman" w:cs="Times New Roman"/>
                <w:sz w:val="24"/>
                <w:szCs w:val="24"/>
                <w:lang w:val="en-US"/>
              </w:rPr>
              <w:t xml:space="preserve">         </w:t>
            </w:r>
            <w:r w:rsidR="00391736">
              <w:rPr>
                <w:rFonts w:ascii="Times New Roman" w:hAnsi="Times New Roman" w:cs="Times New Roman"/>
                <w:sz w:val="24"/>
                <w:szCs w:val="24"/>
                <w:lang w:val="en-US"/>
              </w:rPr>
              <w:t>3</w:t>
            </w:r>
            <w:r w:rsidRPr="00B2536C">
              <w:rPr>
                <w:rFonts w:ascii="Times New Roman" w:hAnsi="Times New Roman" w:cs="Times New Roman"/>
                <w:sz w:val="24"/>
                <w:szCs w:val="24"/>
                <w:lang w:val="en-US"/>
              </w:rPr>
              <w:t>.</w:t>
            </w:r>
            <w:r w:rsidR="00391736">
              <w:rPr>
                <w:rFonts w:ascii="Times New Roman" w:hAnsi="Times New Roman" w:cs="Times New Roman"/>
                <w:sz w:val="24"/>
                <w:szCs w:val="24"/>
                <w:lang w:val="en-US"/>
              </w:rPr>
              <w:t>2</w:t>
            </w:r>
            <w:r w:rsidRPr="00B2536C">
              <w:rPr>
                <w:rFonts w:ascii="Times New Roman" w:hAnsi="Times New Roman" w:cs="Times New Roman"/>
                <w:sz w:val="24"/>
                <w:szCs w:val="24"/>
                <w:lang w:val="en-US"/>
              </w:rPr>
              <w:t>1</w:t>
            </w:r>
            <w:r w:rsidR="00391736">
              <w:rPr>
                <w:rFonts w:ascii="Times New Roman" w:hAnsi="Times New Roman" w:cs="Times New Roman"/>
                <w:sz w:val="24"/>
                <w:szCs w:val="24"/>
                <w:lang w:val="en-US"/>
              </w:rPr>
              <w:t>4</w:t>
            </w:r>
          </w:p>
        </w:tc>
        <w:tc>
          <w:tcPr>
            <w:tcW w:w="582" w:type="pct"/>
            <w:tcBorders>
              <w:top w:val="nil"/>
              <w:left w:val="nil"/>
              <w:bottom w:val="nil"/>
              <w:right w:val="nil"/>
            </w:tcBorders>
            <w:shd w:val="clear" w:color="auto" w:fill="auto"/>
            <w:noWrap/>
            <w:tcMar>
              <w:top w:w="15" w:type="dxa"/>
              <w:left w:w="15" w:type="dxa"/>
              <w:bottom w:w="0" w:type="dxa"/>
              <w:right w:w="15" w:type="dxa"/>
            </w:tcMar>
            <w:vAlign w:val="bottom"/>
          </w:tcPr>
          <w:p w14:paraId="37913FC4" w14:textId="472587AD" w:rsidR="001D514A" w:rsidRPr="00B2536C" w:rsidRDefault="00325851" w:rsidP="005669B6">
            <w:pPr>
              <w:pStyle w:val="NoSpacing"/>
              <w:rPr>
                <w:rFonts w:ascii="Times New Roman" w:hAnsi="Times New Roman" w:cs="Times New Roman"/>
                <w:sz w:val="24"/>
                <w:szCs w:val="24"/>
                <w:lang w:val="en-US"/>
              </w:rPr>
            </w:pPr>
            <w:r w:rsidRPr="00B2536C">
              <w:rPr>
                <w:rFonts w:ascii="Times New Roman" w:hAnsi="Times New Roman" w:cs="Times New Roman"/>
                <w:sz w:val="24"/>
                <w:szCs w:val="24"/>
                <w:lang w:val="en-US"/>
              </w:rPr>
              <w:t xml:space="preserve">    -0.05</w:t>
            </w:r>
            <w:r w:rsidR="00391736">
              <w:rPr>
                <w:rFonts w:ascii="Times New Roman" w:hAnsi="Times New Roman" w:cs="Times New Roman"/>
                <w:sz w:val="24"/>
                <w:szCs w:val="24"/>
                <w:lang w:val="en-US"/>
              </w:rPr>
              <w:t>86</w:t>
            </w:r>
          </w:p>
        </w:tc>
        <w:tc>
          <w:tcPr>
            <w:tcW w:w="743" w:type="pct"/>
            <w:tcBorders>
              <w:top w:val="nil"/>
              <w:left w:val="nil"/>
              <w:bottom w:val="nil"/>
              <w:right w:val="nil"/>
            </w:tcBorders>
            <w:shd w:val="clear" w:color="auto" w:fill="auto"/>
            <w:noWrap/>
            <w:tcMar>
              <w:top w:w="15" w:type="dxa"/>
              <w:left w:w="15" w:type="dxa"/>
              <w:bottom w:w="0" w:type="dxa"/>
              <w:right w:w="15" w:type="dxa"/>
            </w:tcMar>
            <w:vAlign w:val="bottom"/>
          </w:tcPr>
          <w:p w14:paraId="5A481359" w14:textId="544EE5D8" w:rsidR="001D514A" w:rsidRPr="00B2536C" w:rsidRDefault="00325851" w:rsidP="005669B6">
            <w:pPr>
              <w:pStyle w:val="NoSpacing"/>
              <w:rPr>
                <w:rFonts w:ascii="Times New Roman" w:hAnsi="Times New Roman" w:cs="Times New Roman"/>
                <w:sz w:val="24"/>
                <w:szCs w:val="24"/>
                <w:lang w:val="en-US"/>
              </w:rPr>
            </w:pPr>
            <w:r w:rsidRPr="00B2536C">
              <w:rPr>
                <w:rFonts w:ascii="Times New Roman" w:hAnsi="Times New Roman" w:cs="Times New Roman"/>
                <w:sz w:val="24"/>
                <w:szCs w:val="24"/>
                <w:lang w:val="en-US"/>
              </w:rPr>
              <w:t xml:space="preserve">          0.01</w:t>
            </w:r>
            <w:r w:rsidR="00391736">
              <w:rPr>
                <w:rFonts w:ascii="Times New Roman" w:hAnsi="Times New Roman" w:cs="Times New Roman"/>
                <w:sz w:val="24"/>
                <w:szCs w:val="24"/>
                <w:lang w:val="en-US"/>
              </w:rPr>
              <w:t>24</w:t>
            </w:r>
          </w:p>
        </w:tc>
        <w:tc>
          <w:tcPr>
            <w:tcW w:w="768" w:type="pct"/>
            <w:tcBorders>
              <w:top w:val="nil"/>
              <w:left w:val="nil"/>
              <w:bottom w:val="nil"/>
              <w:right w:val="nil"/>
            </w:tcBorders>
            <w:shd w:val="clear" w:color="auto" w:fill="auto"/>
            <w:noWrap/>
            <w:tcMar>
              <w:top w:w="15" w:type="dxa"/>
              <w:left w:w="15" w:type="dxa"/>
              <w:bottom w:w="0" w:type="dxa"/>
              <w:right w:w="15" w:type="dxa"/>
            </w:tcMar>
            <w:vAlign w:val="bottom"/>
          </w:tcPr>
          <w:p w14:paraId="1A1B32AC" w14:textId="32ABA707" w:rsidR="001D514A" w:rsidRPr="00B2536C" w:rsidRDefault="00325851" w:rsidP="005669B6">
            <w:pPr>
              <w:pStyle w:val="NoSpacing"/>
              <w:rPr>
                <w:rFonts w:ascii="Times New Roman" w:hAnsi="Times New Roman" w:cs="Times New Roman"/>
                <w:sz w:val="24"/>
                <w:szCs w:val="24"/>
                <w:lang w:val="en-US"/>
              </w:rPr>
            </w:pPr>
            <w:r w:rsidRPr="00B2536C">
              <w:rPr>
                <w:rFonts w:ascii="Times New Roman" w:hAnsi="Times New Roman" w:cs="Times New Roman"/>
                <w:sz w:val="24"/>
                <w:szCs w:val="24"/>
                <w:lang w:val="en-US"/>
              </w:rPr>
              <w:t xml:space="preserve">       </w:t>
            </w:r>
            <w:r w:rsidR="00391736">
              <w:rPr>
                <w:rFonts w:ascii="Times New Roman" w:hAnsi="Times New Roman" w:cs="Times New Roman"/>
                <w:sz w:val="24"/>
                <w:szCs w:val="24"/>
                <w:lang w:val="en-US"/>
              </w:rPr>
              <w:t xml:space="preserve"> </w:t>
            </w:r>
            <w:r w:rsidRPr="00B2536C">
              <w:rPr>
                <w:rFonts w:ascii="Times New Roman" w:hAnsi="Times New Roman" w:cs="Times New Roman"/>
                <w:sz w:val="24"/>
                <w:szCs w:val="24"/>
                <w:lang w:val="en-US"/>
              </w:rPr>
              <w:t>0.</w:t>
            </w:r>
            <w:r w:rsidR="00391736">
              <w:rPr>
                <w:rFonts w:ascii="Times New Roman" w:hAnsi="Times New Roman" w:cs="Times New Roman"/>
                <w:sz w:val="24"/>
                <w:szCs w:val="24"/>
                <w:lang w:val="en-US"/>
              </w:rPr>
              <w:t>54</w:t>
            </w:r>
          </w:p>
        </w:tc>
        <w:tc>
          <w:tcPr>
            <w:tcW w:w="525" w:type="pct"/>
            <w:tcBorders>
              <w:top w:val="nil"/>
              <w:left w:val="nil"/>
              <w:bottom w:val="nil"/>
            </w:tcBorders>
            <w:shd w:val="clear" w:color="auto" w:fill="auto"/>
            <w:noWrap/>
            <w:tcMar>
              <w:top w:w="15" w:type="dxa"/>
              <w:left w:w="15" w:type="dxa"/>
              <w:bottom w:w="0" w:type="dxa"/>
              <w:right w:w="15" w:type="dxa"/>
            </w:tcMar>
            <w:vAlign w:val="bottom"/>
          </w:tcPr>
          <w:p w14:paraId="2073B532" w14:textId="3E8A5DF1" w:rsidR="001D514A" w:rsidRPr="00B2536C" w:rsidRDefault="00B2536C" w:rsidP="005669B6">
            <w:pPr>
              <w:pStyle w:val="NoSpacing"/>
              <w:rPr>
                <w:rFonts w:ascii="Times New Roman" w:hAnsi="Times New Roman" w:cs="Times New Roman"/>
                <w:sz w:val="24"/>
                <w:szCs w:val="24"/>
                <w:lang w:val="en-US"/>
              </w:rPr>
            </w:pPr>
            <w:r w:rsidRPr="00B2536C">
              <w:rPr>
                <w:rFonts w:ascii="Times New Roman" w:hAnsi="Times New Roman" w:cs="Times New Roman"/>
                <w:sz w:val="24"/>
                <w:szCs w:val="24"/>
                <w:lang w:val="en-US"/>
              </w:rPr>
              <w:t xml:space="preserve">   4.</w:t>
            </w:r>
            <w:r w:rsidR="00391736">
              <w:rPr>
                <w:rFonts w:ascii="Times New Roman" w:hAnsi="Times New Roman" w:cs="Times New Roman"/>
                <w:sz w:val="24"/>
                <w:szCs w:val="24"/>
                <w:lang w:val="en-US"/>
              </w:rPr>
              <w:t>13</w:t>
            </w:r>
          </w:p>
        </w:tc>
      </w:tr>
      <w:tr w:rsidR="001D514A" w:rsidRPr="001D514A" w14:paraId="381C00A8" w14:textId="77777777" w:rsidTr="00E96403">
        <w:trPr>
          <w:trHeight w:val="244"/>
        </w:trPr>
        <w:tc>
          <w:tcPr>
            <w:tcW w:w="818" w:type="pct"/>
            <w:tcBorders>
              <w:top w:val="nil"/>
            </w:tcBorders>
            <w:shd w:val="clear" w:color="auto" w:fill="auto"/>
            <w:noWrap/>
            <w:tcMar>
              <w:top w:w="15" w:type="dxa"/>
              <w:left w:w="15" w:type="dxa"/>
              <w:bottom w:w="0" w:type="dxa"/>
              <w:right w:w="15" w:type="dxa"/>
            </w:tcMar>
            <w:vAlign w:val="bottom"/>
            <w:hideMark/>
          </w:tcPr>
          <w:p w14:paraId="667A09DF" w14:textId="77777777" w:rsidR="001D514A" w:rsidRPr="00B2536C" w:rsidRDefault="001D514A" w:rsidP="005669B6">
            <w:pPr>
              <w:pStyle w:val="NoSpacing"/>
              <w:rPr>
                <w:rFonts w:ascii="Times New Roman" w:hAnsi="Times New Roman" w:cs="Times New Roman"/>
                <w:sz w:val="24"/>
                <w:szCs w:val="24"/>
              </w:rPr>
            </w:pPr>
            <w:r w:rsidRPr="00B2536C">
              <w:rPr>
                <w:rFonts w:ascii="Times New Roman" w:hAnsi="Times New Roman" w:cs="Times New Roman"/>
                <w:sz w:val="24"/>
                <w:szCs w:val="24"/>
                <w:lang w:val="en-US"/>
              </w:rPr>
              <w:t>oil prices</w:t>
            </w:r>
          </w:p>
        </w:tc>
        <w:tc>
          <w:tcPr>
            <w:tcW w:w="770" w:type="pct"/>
            <w:tcBorders>
              <w:top w:val="nil"/>
            </w:tcBorders>
            <w:shd w:val="clear" w:color="auto" w:fill="auto"/>
            <w:noWrap/>
            <w:tcMar>
              <w:top w:w="15" w:type="dxa"/>
              <w:left w:w="15" w:type="dxa"/>
              <w:bottom w:w="0" w:type="dxa"/>
              <w:right w:w="15" w:type="dxa"/>
            </w:tcMar>
            <w:vAlign w:val="bottom"/>
            <w:hideMark/>
          </w:tcPr>
          <w:p w14:paraId="72D9AE0A" w14:textId="42F7251A" w:rsidR="001D514A" w:rsidRPr="00B2536C" w:rsidRDefault="001D514A" w:rsidP="005669B6">
            <w:pPr>
              <w:pStyle w:val="NoSpacing"/>
              <w:rPr>
                <w:rFonts w:ascii="Times New Roman" w:hAnsi="Times New Roman" w:cs="Times New Roman"/>
                <w:sz w:val="24"/>
                <w:szCs w:val="24"/>
              </w:rPr>
            </w:pPr>
            <w:r w:rsidRPr="00B2536C">
              <w:rPr>
                <w:rFonts w:ascii="Times New Roman" w:hAnsi="Times New Roman" w:cs="Times New Roman"/>
                <w:sz w:val="24"/>
                <w:szCs w:val="24"/>
                <w:lang w:val="en-US"/>
              </w:rPr>
              <w:t xml:space="preserve">         </w:t>
            </w:r>
            <w:r w:rsidRPr="00B2536C">
              <w:rPr>
                <w:rFonts w:ascii="Times New Roman" w:hAnsi="Times New Roman" w:cs="Times New Roman"/>
                <w:sz w:val="24"/>
                <w:szCs w:val="24"/>
              </w:rPr>
              <w:t>3</w:t>
            </w:r>
            <w:r w:rsidR="00E96403">
              <w:rPr>
                <w:rFonts w:ascii="Times New Roman" w:hAnsi="Times New Roman" w:cs="Times New Roman"/>
                <w:sz w:val="24"/>
                <w:szCs w:val="24"/>
                <w:lang w:val="en-US"/>
              </w:rPr>
              <w:t>9</w:t>
            </w:r>
            <w:r w:rsidRPr="00B2536C">
              <w:rPr>
                <w:rFonts w:ascii="Times New Roman" w:hAnsi="Times New Roman" w:cs="Times New Roman"/>
                <w:sz w:val="24"/>
                <w:szCs w:val="24"/>
              </w:rPr>
              <w:t>.60</w:t>
            </w:r>
          </w:p>
        </w:tc>
        <w:tc>
          <w:tcPr>
            <w:tcW w:w="795" w:type="pct"/>
            <w:tcBorders>
              <w:top w:val="nil"/>
            </w:tcBorders>
            <w:shd w:val="clear" w:color="auto" w:fill="auto"/>
            <w:noWrap/>
            <w:tcMar>
              <w:top w:w="15" w:type="dxa"/>
              <w:left w:w="15" w:type="dxa"/>
              <w:bottom w:w="0" w:type="dxa"/>
              <w:right w:w="15" w:type="dxa"/>
            </w:tcMar>
            <w:vAlign w:val="bottom"/>
            <w:hideMark/>
          </w:tcPr>
          <w:p w14:paraId="23F6A368" w14:textId="10C79EFF" w:rsidR="001D514A" w:rsidRPr="00B2536C" w:rsidRDefault="001D514A" w:rsidP="005669B6">
            <w:pPr>
              <w:pStyle w:val="NoSpacing"/>
              <w:rPr>
                <w:rFonts w:ascii="Times New Roman" w:hAnsi="Times New Roman" w:cs="Times New Roman"/>
                <w:sz w:val="24"/>
                <w:szCs w:val="24"/>
              </w:rPr>
            </w:pPr>
            <w:r w:rsidRPr="00B2536C">
              <w:rPr>
                <w:rFonts w:ascii="Times New Roman" w:hAnsi="Times New Roman" w:cs="Times New Roman"/>
                <w:sz w:val="24"/>
                <w:szCs w:val="24"/>
                <w:lang w:val="en-US"/>
              </w:rPr>
              <w:t xml:space="preserve">         </w:t>
            </w:r>
            <w:r w:rsidRPr="00B2536C">
              <w:rPr>
                <w:rFonts w:ascii="Times New Roman" w:hAnsi="Times New Roman" w:cs="Times New Roman"/>
                <w:sz w:val="24"/>
                <w:szCs w:val="24"/>
              </w:rPr>
              <w:t>1</w:t>
            </w:r>
            <w:r w:rsidR="00E96403">
              <w:rPr>
                <w:rFonts w:ascii="Times New Roman" w:hAnsi="Times New Roman" w:cs="Times New Roman"/>
                <w:sz w:val="24"/>
                <w:szCs w:val="24"/>
                <w:lang w:val="en-US"/>
              </w:rPr>
              <w:t>9</w:t>
            </w:r>
            <w:r w:rsidRPr="00B2536C">
              <w:rPr>
                <w:rFonts w:ascii="Times New Roman" w:hAnsi="Times New Roman" w:cs="Times New Roman"/>
                <w:sz w:val="24"/>
                <w:szCs w:val="24"/>
              </w:rPr>
              <w:t>.30</w:t>
            </w:r>
          </w:p>
        </w:tc>
        <w:tc>
          <w:tcPr>
            <w:tcW w:w="582" w:type="pct"/>
            <w:tcBorders>
              <w:top w:val="nil"/>
            </w:tcBorders>
            <w:shd w:val="clear" w:color="auto" w:fill="auto"/>
            <w:noWrap/>
            <w:tcMar>
              <w:top w:w="15" w:type="dxa"/>
              <w:left w:w="15" w:type="dxa"/>
              <w:bottom w:w="0" w:type="dxa"/>
              <w:right w:w="15" w:type="dxa"/>
            </w:tcMar>
            <w:vAlign w:val="bottom"/>
            <w:hideMark/>
          </w:tcPr>
          <w:p w14:paraId="47E7844E" w14:textId="670AD90E" w:rsidR="001D514A" w:rsidRPr="00B2536C" w:rsidRDefault="001D514A" w:rsidP="005669B6">
            <w:pPr>
              <w:pStyle w:val="NoSpacing"/>
              <w:rPr>
                <w:rFonts w:ascii="Times New Roman" w:hAnsi="Times New Roman" w:cs="Times New Roman"/>
                <w:sz w:val="24"/>
                <w:szCs w:val="24"/>
              </w:rPr>
            </w:pPr>
            <w:r w:rsidRPr="00B2536C">
              <w:rPr>
                <w:rFonts w:ascii="Times New Roman" w:hAnsi="Times New Roman" w:cs="Times New Roman"/>
                <w:sz w:val="24"/>
                <w:szCs w:val="24"/>
                <w:lang w:val="en-US"/>
              </w:rPr>
              <w:t xml:space="preserve">      </w:t>
            </w:r>
            <w:r w:rsidRPr="00B2536C">
              <w:rPr>
                <w:rFonts w:ascii="Times New Roman" w:hAnsi="Times New Roman" w:cs="Times New Roman"/>
                <w:sz w:val="24"/>
                <w:szCs w:val="24"/>
              </w:rPr>
              <w:t>-37.60</w:t>
            </w:r>
          </w:p>
        </w:tc>
        <w:tc>
          <w:tcPr>
            <w:tcW w:w="743" w:type="pct"/>
            <w:tcBorders>
              <w:top w:val="nil"/>
            </w:tcBorders>
            <w:shd w:val="clear" w:color="auto" w:fill="auto"/>
            <w:noWrap/>
            <w:tcMar>
              <w:top w:w="15" w:type="dxa"/>
              <w:left w:w="15" w:type="dxa"/>
              <w:bottom w:w="0" w:type="dxa"/>
              <w:right w:w="15" w:type="dxa"/>
            </w:tcMar>
            <w:vAlign w:val="bottom"/>
            <w:hideMark/>
          </w:tcPr>
          <w:p w14:paraId="17CB6EAB" w14:textId="7D4230F3" w:rsidR="001D514A" w:rsidRPr="00B2536C" w:rsidRDefault="001D514A" w:rsidP="005669B6">
            <w:pPr>
              <w:pStyle w:val="NoSpacing"/>
              <w:rPr>
                <w:rFonts w:ascii="Times New Roman" w:hAnsi="Times New Roman" w:cs="Times New Roman"/>
                <w:sz w:val="24"/>
                <w:szCs w:val="24"/>
              </w:rPr>
            </w:pPr>
            <w:r w:rsidRPr="00B2536C">
              <w:rPr>
                <w:rFonts w:ascii="Times New Roman" w:hAnsi="Times New Roman" w:cs="Times New Roman"/>
                <w:sz w:val="24"/>
                <w:szCs w:val="24"/>
                <w:lang w:val="en-US"/>
              </w:rPr>
              <w:t xml:space="preserve">            </w:t>
            </w:r>
            <w:r w:rsidRPr="00B2536C">
              <w:rPr>
                <w:rFonts w:ascii="Times New Roman" w:hAnsi="Times New Roman" w:cs="Times New Roman"/>
                <w:sz w:val="24"/>
                <w:szCs w:val="24"/>
              </w:rPr>
              <w:t>5</w:t>
            </w:r>
            <w:r w:rsidR="00E96403">
              <w:rPr>
                <w:rFonts w:ascii="Times New Roman" w:hAnsi="Times New Roman" w:cs="Times New Roman"/>
                <w:sz w:val="24"/>
                <w:szCs w:val="24"/>
                <w:lang w:val="en-US"/>
              </w:rPr>
              <w:t>9</w:t>
            </w:r>
            <w:r w:rsidRPr="00B2536C">
              <w:rPr>
                <w:rFonts w:ascii="Times New Roman" w:hAnsi="Times New Roman" w:cs="Times New Roman"/>
                <w:sz w:val="24"/>
                <w:szCs w:val="24"/>
              </w:rPr>
              <w:t>.90</w:t>
            </w:r>
          </w:p>
        </w:tc>
        <w:tc>
          <w:tcPr>
            <w:tcW w:w="768" w:type="pct"/>
            <w:tcBorders>
              <w:top w:val="nil"/>
            </w:tcBorders>
            <w:shd w:val="clear" w:color="auto" w:fill="auto"/>
            <w:noWrap/>
            <w:tcMar>
              <w:top w:w="15" w:type="dxa"/>
              <w:left w:w="15" w:type="dxa"/>
              <w:bottom w:w="0" w:type="dxa"/>
              <w:right w:w="15" w:type="dxa"/>
            </w:tcMar>
            <w:vAlign w:val="bottom"/>
            <w:hideMark/>
          </w:tcPr>
          <w:p w14:paraId="726150CA" w14:textId="4DA8ABC3" w:rsidR="001D514A" w:rsidRPr="00B2536C" w:rsidRDefault="001D514A" w:rsidP="005669B6">
            <w:pPr>
              <w:pStyle w:val="NoSpacing"/>
              <w:rPr>
                <w:rFonts w:ascii="Times New Roman" w:hAnsi="Times New Roman" w:cs="Times New Roman"/>
                <w:sz w:val="24"/>
                <w:szCs w:val="24"/>
              </w:rPr>
            </w:pPr>
            <w:r w:rsidRPr="00B2536C">
              <w:rPr>
                <w:rFonts w:ascii="Times New Roman" w:hAnsi="Times New Roman" w:cs="Times New Roman"/>
                <w:sz w:val="24"/>
                <w:szCs w:val="24"/>
                <w:lang w:val="en-US"/>
              </w:rPr>
              <w:t xml:space="preserve">      </w:t>
            </w:r>
            <w:r w:rsidR="00325851" w:rsidRPr="00B2536C">
              <w:rPr>
                <w:rFonts w:ascii="Times New Roman" w:hAnsi="Times New Roman" w:cs="Times New Roman"/>
                <w:sz w:val="24"/>
                <w:szCs w:val="24"/>
                <w:lang w:val="en-US"/>
              </w:rPr>
              <w:t xml:space="preserve"> </w:t>
            </w:r>
            <w:r w:rsidRPr="00B2536C">
              <w:rPr>
                <w:rFonts w:ascii="Times New Roman" w:hAnsi="Times New Roman" w:cs="Times New Roman"/>
                <w:sz w:val="24"/>
                <w:szCs w:val="24"/>
              </w:rPr>
              <w:t>-0.94</w:t>
            </w:r>
          </w:p>
        </w:tc>
        <w:tc>
          <w:tcPr>
            <w:tcW w:w="525" w:type="pct"/>
            <w:tcBorders>
              <w:top w:val="nil"/>
            </w:tcBorders>
            <w:shd w:val="clear" w:color="auto" w:fill="auto"/>
            <w:noWrap/>
            <w:tcMar>
              <w:top w:w="15" w:type="dxa"/>
              <w:left w:w="15" w:type="dxa"/>
              <w:bottom w:w="0" w:type="dxa"/>
              <w:right w:w="15" w:type="dxa"/>
            </w:tcMar>
            <w:vAlign w:val="bottom"/>
            <w:hideMark/>
          </w:tcPr>
          <w:p w14:paraId="1A6537D7" w14:textId="45F93274" w:rsidR="001D514A" w:rsidRPr="00B2536C" w:rsidRDefault="001D514A" w:rsidP="005669B6">
            <w:pPr>
              <w:pStyle w:val="NoSpacing"/>
              <w:rPr>
                <w:rFonts w:ascii="Times New Roman" w:hAnsi="Times New Roman" w:cs="Times New Roman"/>
                <w:sz w:val="24"/>
                <w:szCs w:val="24"/>
              </w:rPr>
            </w:pPr>
            <w:r w:rsidRPr="00B2536C">
              <w:rPr>
                <w:rFonts w:ascii="Times New Roman" w:hAnsi="Times New Roman" w:cs="Times New Roman"/>
                <w:sz w:val="24"/>
                <w:szCs w:val="24"/>
                <w:lang w:val="en-US"/>
              </w:rPr>
              <w:t xml:space="preserve">   </w:t>
            </w:r>
            <w:r w:rsidRPr="00B2536C">
              <w:rPr>
                <w:rFonts w:ascii="Times New Roman" w:hAnsi="Times New Roman" w:cs="Times New Roman"/>
                <w:sz w:val="24"/>
                <w:szCs w:val="24"/>
              </w:rPr>
              <w:t>2.34</w:t>
            </w:r>
          </w:p>
        </w:tc>
      </w:tr>
      <w:tr w:rsidR="001D514A" w:rsidRPr="001D514A" w14:paraId="1539E1C7" w14:textId="77777777" w:rsidTr="00E96403">
        <w:trPr>
          <w:trHeight w:val="244"/>
        </w:trPr>
        <w:tc>
          <w:tcPr>
            <w:tcW w:w="818" w:type="pct"/>
            <w:shd w:val="clear" w:color="auto" w:fill="auto"/>
            <w:noWrap/>
            <w:tcMar>
              <w:top w:w="15" w:type="dxa"/>
              <w:left w:w="15" w:type="dxa"/>
              <w:bottom w:w="0" w:type="dxa"/>
              <w:right w:w="15" w:type="dxa"/>
            </w:tcMar>
            <w:vAlign w:val="bottom"/>
            <w:hideMark/>
          </w:tcPr>
          <w:p w14:paraId="255206CC" w14:textId="77777777" w:rsidR="001D514A" w:rsidRPr="001D514A" w:rsidRDefault="001D514A" w:rsidP="005669B6">
            <w:pPr>
              <w:pStyle w:val="NoSpacing"/>
              <w:rPr>
                <w:rFonts w:ascii="Times New Roman" w:hAnsi="Times New Roman" w:cs="Times New Roman"/>
                <w:sz w:val="24"/>
                <w:szCs w:val="24"/>
              </w:rPr>
            </w:pPr>
            <w:r w:rsidRPr="001D514A">
              <w:rPr>
                <w:rFonts w:ascii="Times New Roman" w:hAnsi="Times New Roman" w:cs="Times New Roman"/>
                <w:sz w:val="24"/>
                <w:szCs w:val="24"/>
                <w:lang w:val="en-US"/>
              </w:rPr>
              <w:t>T-bills</w:t>
            </w:r>
          </w:p>
        </w:tc>
        <w:tc>
          <w:tcPr>
            <w:tcW w:w="770" w:type="pct"/>
            <w:shd w:val="clear" w:color="auto" w:fill="auto"/>
            <w:noWrap/>
            <w:tcMar>
              <w:top w:w="15" w:type="dxa"/>
              <w:left w:w="15" w:type="dxa"/>
              <w:bottom w:w="0" w:type="dxa"/>
              <w:right w:w="15" w:type="dxa"/>
            </w:tcMar>
            <w:vAlign w:val="bottom"/>
            <w:hideMark/>
          </w:tcPr>
          <w:p w14:paraId="56DB8AD0" w14:textId="62980476" w:rsidR="001D514A" w:rsidRPr="009A1AD2" w:rsidRDefault="001D514A" w:rsidP="005669B6">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D514A">
              <w:rPr>
                <w:rFonts w:ascii="Times New Roman" w:hAnsi="Times New Roman" w:cs="Times New Roman"/>
                <w:sz w:val="24"/>
                <w:szCs w:val="24"/>
              </w:rPr>
              <w:t>1.</w:t>
            </w:r>
            <w:r w:rsidR="009A1AD2">
              <w:rPr>
                <w:rFonts w:ascii="Times New Roman" w:hAnsi="Times New Roman" w:cs="Times New Roman"/>
                <w:sz w:val="24"/>
                <w:szCs w:val="24"/>
                <w:lang w:val="en-US"/>
              </w:rPr>
              <w:t>19</w:t>
            </w:r>
          </w:p>
        </w:tc>
        <w:tc>
          <w:tcPr>
            <w:tcW w:w="795" w:type="pct"/>
            <w:shd w:val="clear" w:color="auto" w:fill="auto"/>
            <w:noWrap/>
            <w:tcMar>
              <w:top w:w="15" w:type="dxa"/>
              <w:left w:w="15" w:type="dxa"/>
              <w:bottom w:w="0" w:type="dxa"/>
              <w:right w:w="15" w:type="dxa"/>
            </w:tcMar>
            <w:vAlign w:val="bottom"/>
            <w:hideMark/>
          </w:tcPr>
          <w:p w14:paraId="3F692B13" w14:textId="1DD85C44" w:rsidR="001D514A" w:rsidRPr="009A1AD2" w:rsidRDefault="001D514A" w:rsidP="005669B6">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D514A">
              <w:rPr>
                <w:rFonts w:ascii="Times New Roman" w:hAnsi="Times New Roman" w:cs="Times New Roman"/>
                <w:sz w:val="24"/>
                <w:szCs w:val="24"/>
              </w:rPr>
              <w:t>0.6</w:t>
            </w:r>
            <w:r w:rsidR="009A1AD2">
              <w:rPr>
                <w:rFonts w:ascii="Times New Roman" w:hAnsi="Times New Roman" w:cs="Times New Roman"/>
                <w:sz w:val="24"/>
                <w:szCs w:val="24"/>
                <w:lang w:val="en-US"/>
              </w:rPr>
              <w:t>1</w:t>
            </w:r>
          </w:p>
        </w:tc>
        <w:tc>
          <w:tcPr>
            <w:tcW w:w="582" w:type="pct"/>
            <w:shd w:val="clear" w:color="auto" w:fill="auto"/>
            <w:noWrap/>
            <w:tcMar>
              <w:top w:w="15" w:type="dxa"/>
              <w:left w:w="15" w:type="dxa"/>
              <w:bottom w:w="0" w:type="dxa"/>
              <w:right w:w="15" w:type="dxa"/>
            </w:tcMar>
            <w:vAlign w:val="bottom"/>
            <w:hideMark/>
          </w:tcPr>
          <w:p w14:paraId="40A645C1" w14:textId="0C087EEF" w:rsidR="001D514A" w:rsidRPr="009A1AD2" w:rsidRDefault="001D514A" w:rsidP="005669B6">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A1AD2">
              <w:rPr>
                <w:rFonts w:ascii="Times New Roman" w:hAnsi="Times New Roman" w:cs="Times New Roman"/>
                <w:sz w:val="24"/>
                <w:szCs w:val="24"/>
                <w:lang w:val="en-US"/>
              </w:rPr>
              <w:t>1</w:t>
            </w:r>
            <w:r w:rsidRPr="001D514A">
              <w:rPr>
                <w:rFonts w:ascii="Times New Roman" w:hAnsi="Times New Roman" w:cs="Times New Roman"/>
                <w:sz w:val="24"/>
                <w:szCs w:val="24"/>
              </w:rPr>
              <w:t>.0</w:t>
            </w:r>
            <w:r w:rsidR="009A1AD2">
              <w:rPr>
                <w:rFonts w:ascii="Times New Roman" w:hAnsi="Times New Roman" w:cs="Times New Roman"/>
                <w:sz w:val="24"/>
                <w:szCs w:val="24"/>
                <w:lang w:val="en-US"/>
              </w:rPr>
              <w:t>4</w:t>
            </w:r>
          </w:p>
        </w:tc>
        <w:tc>
          <w:tcPr>
            <w:tcW w:w="743" w:type="pct"/>
            <w:shd w:val="clear" w:color="auto" w:fill="auto"/>
            <w:noWrap/>
            <w:tcMar>
              <w:top w:w="15" w:type="dxa"/>
              <w:left w:w="15" w:type="dxa"/>
              <w:bottom w:w="0" w:type="dxa"/>
              <w:right w:w="15" w:type="dxa"/>
            </w:tcMar>
            <w:vAlign w:val="bottom"/>
            <w:hideMark/>
          </w:tcPr>
          <w:p w14:paraId="45CECC63" w14:textId="6BA90E54" w:rsidR="001D514A" w:rsidRPr="009A1AD2" w:rsidRDefault="001D514A" w:rsidP="005669B6">
            <w:pPr>
              <w:pStyle w:val="NoSpacing"/>
              <w:rPr>
                <w:rFonts w:ascii="Times New Roman" w:hAnsi="Times New Roman" w:cs="Times New Roman"/>
                <w:sz w:val="24"/>
                <w:szCs w:val="24"/>
                <w:lang w:val="en-US"/>
              </w:rPr>
            </w:pPr>
            <w:r w:rsidRPr="00B2536C">
              <w:rPr>
                <w:rFonts w:ascii="Times New Roman" w:hAnsi="Times New Roman" w:cs="Times New Roman"/>
                <w:sz w:val="24"/>
                <w:szCs w:val="24"/>
                <w:lang w:val="en-US"/>
              </w:rPr>
              <w:t xml:space="preserve">              </w:t>
            </w:r>
            <w:r w:rsidRPr="00B2536C">
              <w:rPr>
                <w:rFonts w:ascii="Times New Roman" w:hAnsi="Times New Roman" w:cs="Times New Roman"/>
                <w:sz w:val="24"/>
                <w:szCs w:val="24"/>
              </w:rPr>
              <w:t>1.</w:t>
            </w:r>
            <w:r w:rsidR="009A1AD2">
              <w:rPr>
                <w:rFonts w:ascii="Times New Roman" w:hAnsi="Times New Roman" w:cs="Times New Roman"/>
                <w:sz w:val="24"/>
                <w:szCs w:val="24"/>
                <w:lang w:val="en-US"/>
              </w:rPr>
              <w:t>58</w:t>
            </w:r>
          </w:p>
        </w:tc>
        <w:tc>
          <w:tcPr>
            <w:tcW w:w="768" w:type="pct"/>
            <w:shd w:val="clear" w:color="auto" w:fill="auto"/>
            <w:noWrap/>
            <w:tcMar>
              <w:top w:w="15" w:type="dxa"/>
              <w:left w:w="15" w:type="dxa"/>
              <w:bottom w:w="0" w:type="dxa"/>
              <w:right w:w="15" w:type="dxa"/>
            </w:tcMar>
            <w:vAlign w:val="bottom"/>
            <w:hideMark/>
          </w:tcPr>
          <w:p w14:paraId="2983D28D" w14:textId="2D4DBB3F" w:rsidR="001D514A" w:rsidRPr="009E5136" w:rsidRDefault="001D514A" w:rsidP="005669B6">
            <w:pPr>
              <w:pStyle w:val="NoSpacing"/>
              <w:rPr>
                <w:rFonts w:ascii="Times New Roman" w:hAnsi="Times New Roman" w:cs="Times New Roman"/>
                <w:sz w:val="24"/>
                <w:szCs w:val="24"/>
                <w:lang w:val="en-US"/>
              </w:rPr>
            </w:pPr>
            <w:r w:rsidRPr="00B2536C">
              <w:rPr>
                <w:rFonts w:ascii="Times New Roman" w:hAnsi="Times New Roman" w:cs="Times New Roman"/>
                <w:sz w:val="24"/>
                <w:szCs w:val="24"/>
                <w:lang w:val="en-US"/>
              </w:rPr>
              <w:t xml:space="preserve">      </w:t>
            </w:r>
            <w:r w:rsidR="00325851" w:rsidRPr="00B2536C">
              <w:rPr>
                <w:rFonts w:ascii="Times New Roman" w:hAnsi="Times New Roman" w:cs="Times New Roman"/>
                <w:sz w:val="24"/>
                <w:szCs w:val="24"/>
                <w:lang w:val="en-US"/>
              </w:rPr>
              <w:t xml:space="preserve"> </w:t>
            </w:r>
            <w:r w:rsidR="009E5136">
              <w:rPr>
                <w:rFonts w:ascii="Times New Roman" w:hAnsi="Times New Roman" w:cs="Times New Roman"/>
                <w:sz w:val="24"/>
                <w:szCs w:val="24"/>
                <w:lang w:val="en-US"/>
              </w:rPr>
              <w:t xml:space="preserve"> </w:t>
            </w:r>
            <w:r w:rsidRPr="00B2536C">
              <w:rPr>
                <w:rFonts w:ascii="Times New Roman" w:hAnsi="Times New Roman" w:cs="Times New Roman"/>
                <w:sz w:val="24"/>
                <w:szCs w:val="24"/>
              </w:rPr>
              <w:t>0.</w:t>
            </w:r>
            <w:r w:rsidR="009E5136">
              <w:rPr>
                <w:rFonts w:ascii="Times New Roman" w:hAnsi="Times New Roman" w:cs="Times New Roman"/>
                <w:sz w:val="24"/>
                <w:szCs w:val="24"/>
                <w:lang w:val="en-US"/>
              </w:rPr>
              <w:t>94</w:t>
            </w:r>
          </w:p>
        </w:tc>
        <w:tc>
          <w:tcPr>
            <w:tcW w:w="525" w:type="pct"/>
            <w:shd w:val="clear" w:color="auto" w:fill="auto"/>
            <w:noWrap/>
            <w:tcMar>
              <w:top w:w="15" w:type="dxa"/>
              <w:left w:w="15" w:type="dxa"/>
              <w:bottom w:w="0" w:type="dxa"/>
              <w:right w:w="15" w:type="dxa"/>
            </w:tcMar>
            <w:vAlign w:val="bottom"/>
            <w:hideMark/>
          </w:tcPr>
          <w:p w14:paraId="413123DE" w14:textId="4D416526" w:rsidR="001D514A" w:rsidRPr="009E5136" w:rsidRDefault="001D514A" w:rsidP="005669B6">
            <w:pPr>
              <w:pStyle w:val="NoSpacing"/>
              <w:rPr>
                <w:rFonts w:ascii="Times New Roman" w:hAnsi="Times New Roman" w:cs="Times New Roman"/>
                <w:sz w:val="24"/>
                <w:szCs w:val="24"/>
                <w:lang w:val="en-US"/>
              </w:rPr>
            </w:pPr>
            <w:r w:rsidRPr="00B2536C">
              <w:rPr>
                <w:rFonts w:ascii="Times New Roman" w:hAnsi="Times New Roman" w:cs="Times New Roman"/>
                <w:sz w:val="24"/>
                <w:szCs w:val="24"/>
                <w:lang w:val="en-US"/>
              </w:rPr>
              <w:t xml:space="preserve">  </w:t>
            </w:r>
            <w:r w:rsidR="009E5136">
              <w:rPr>
                <w:rFonts w:ascii="Times New Roman" w:hAnsi="Times New Roman" w:cs="Times New Roman"/>
                <w:sz w:val="24"/>
                <w:szCs w:val="24"/>
                <w:lang w:val="en-US"/>
              </w:rPr>
              <w:t xml:space="preserve"> 4</w:t>
            </w:r>
            <w:r w:rsidRPr="00B2536C">
              <w:rPr>
                <w:rFonts w:ascii="Times New Roman" w:hAnsi="Times New Roman" w:cs="Times New Roman"/>
                <w:sz w:val="24"/>
                <w:szCs w:val="24"/>
              </w:rPr>
              <w:t>.9</w:t>
            </w:r>
            <w:r w:rsidR="009E5136">
              <w:rPr>
                <w:rFonts w:ascii="Times New Roman" w:hAnsi="Times New Roman" w:cs="Times New Roman"/>
                <w:sz w:val="24"/>
                <w:szCs w:val="24"/>
                <w:lang w:val="en-US"/>
              </w:rPr>
              <w:t>6</w:t>
            </w:r>
          </w:p>
        </w:tc>
      </w:tr>
      <w:tr w:rsidR="001D514A" w:rsidRPr="001D514A" w14:paraId="0A83B6E3" w14:textId="77777777" w:rsidTr="00E96403">
        <w:trPr>
          <w:trHeight w:val="244"/>
        </w:trPr>
        <w:tc>
          <w:tcPr>
            <w:tcW w:w="818" w:type="pct"/>
            <w:shd w:val="clear" w:color="auto" w:fill="auto"/>
            <w:noWrap/>
            <w:tcMar>
              <w:top w:w="15" w:type="dxa"/>
              <w:left w:w="15" w:type="dxa"/>
              <w:bottom w:w="0" w:type="dxa"/>
              <w:right w:w="15" w:type="dxa"/>
            </w:tcMar>
            <w:vAlign w:val="bottom"/>
            <w:hideMark/>
          </w:tcPr>
          <w:p w14:paraId="689758DF" w14:textId="651B8745" w:rsidR="001D514A" w:rsidRPr="001D514A" w:rsidRDefault="001D514A" w:rsidP="005669B6">
            <w:pPr>
              <w:pStyle w:val="NoSpacing"/>
              <w:rPr>
                <w:rFonts w:ascii="Times New Roman" w:hAnsi="Times New Roman" w:cs="Times New Roman"/>
                <w:sz w:val="24"/>
                <w:szCs w:val="24"/>
              </w:rPr>
            </w:pPr>
            <w:r w:rsidRPr="001D514A">
              <w:rPr>
                <w:rFonts w:ascii="Times New Roman" w:hAnsi="Times New Roman" w:cs="Times New Roman"/>
                <w:sz w:val="24"/>
                <w:szCs w:val="24"/>
                <w:lang w:val="en-US"/>
              </w:rPr>
              <w:t>CC</w:t>
            </w:r>
            <w:r>
              <w:rPr>
                <w:rFonts w:ascii="Times New Roman" w:hAnsi="Times New Roman" w:cs="Times New Roman"/>
                <w:sz w:val="24"/>
                <w:szCs w:val="24"/>
                <w:lang w:val="en-US"/>
              </w:rPr>
              <w:t>ovid</w:t>
            </w:r>
            <w:r w:rsidRPr="001D514A">
              <w:rPr>
                <w:rFonts w:ascii="Times New Roman" w:hAnsi="Times New Roman" w:cs="Times New Roman"/>
                <w:sz w:val="24"/>
                <w:szCs w:val="24"/>
                <w:lang w:val="en-US"/>
              </w:rPr>
              <w:t>19-1</w:t>
            </w:r>
          </w:p>
        </w:tc>
        <w:tc>
          <w:tcPr>
            <w:tcW w:w="770" w:type="pct"/>
            <w:shd w:val="clear" w:color="auto" w:fill="auto"/>
            <w:noWrap/>
            <w:tcMar>
              <w:top w:w="15" w:type="dxa"/>
              <w:left w:w="15" w:type="dxa"/>
              <w:bottom w:w="0" w:type="dxa"/>
              <w:right w:w="15" w:type="dxa"/>
            </w:tcMar>
            <w:vAlign w:val="bottom"/>
            <w:hideMark/>
          </w:tcPr>
          <w:p w14:paraId="11394B17" w14:textId="68546339" w:rsidR="001D514A" w:rsidRPr="0026259B" w:rsidRDefault="001D514A" w:rsidP="005669B6">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6259B">
              <w:rPr>
                <w:rFonts w:ascii="Times New Roman" w:hAnsi="Times New Roman" w:cs="Times New Roman"/>
                <w:sz w:val="24"/>
                <w:szCs w:val="24"/>
                <w:lang w:val="en-US"/>
              </w:rPr>
              <w:t>36</w:t>
            </w:r>
            <w:r>
              <w:rPr>
                <w:rFonts w:ascii="Times New Roman" w:hAnsi="Times New Roman" w:cs="Times New Roman"/>
                <w:sz w:val="24"/>
                <w:szCs w:val="24"/>
                <w:lang w:val="en-US"/>
              </w:rPr>
              <w:t>,</w:t>
            </w:r>
            <w:r w:rsidRPr="001D514A">
              <w:rPr>
                <w:rFonts w:ascii="Times New Roman" w:hAnsi="Times New Roman" w:cs="Times New Roman"/>
                <w:sz w:val="24"/>
                <w:szCs w:val="24"/>
              </w:rPr>
              <w:t>9</w:t>
            </w:r>
            <w:r w:rsidR="0026259B">
              <w:rPr>
                <w:rFonts w:ascii="Times New Roman" w:hAnsi="Times New Roman" w:cs="Times New Roman"/>
                <w:sz w:val="24"/>
                <w:szCs w:val="24"/>
                <w:lang w:val="en-US"/>
              </w:rPr>
              <w:t>23</w:t>
            </w:r>
            <w:r w:rsidRPr="001D514A">
              <w:rPr>
                <w:rFonts w:ascii="Times New Roman" w:hAnsi="Times New Roman" w:cs="Times New Roman"/>
                <w:sz w:val="24"/>
                <w:szCs w:val="24"/>
              </w:rPr>
              <w:t>.1</w:t>
            </w:r>
            <w:r w:rsidR="0026259B">
              <w:rPr>
                <w:rFonts w:ascii="Times New Roman" w:hAnsi="Times New Roman" w:cs="Times New Roman"/>
                <w:sz w:val="24"/>
                <w:szCs w:val="24"/>
                <w:lang w:val="en-US"/>
              </w:rPr>
              <w:t>7</w:t>
            </w:r>
          </w:p>
        </w:tc>
        <w:tc>
          <w:tcPr>
            <w:tcW w:w="795" w:type="pct"/>
            <w:shd w:val="clear" w:color="auto" w:fill="auto"/>
            <w:noWrap/>
            <w:tcMar>
              <w:top w:w="15" w:type="dxa"/>
              <w:left w:w="15" w:type="dxa"/>
              <w:bottom w:w="0" w:type="dxa"/>
              <w:right w:w="15" w:type="dxa"/>
            </w:tcMar>
            <w:vAlign w:val="bottom"/>
            <w:hideMark/>
          </w:tcPr>
          <w:p w14:paraId="5E02704B" w14:textId="1C4C6D01" w:rsidR="001D514A" w:rsidRPr="0026259B" w:rsidRDefault="001D514A" w:rsidP="005669B6">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D514A">
              <w:rPr>
                <w:rFonts w:ascii="Times New Roman" w:hAnsi="Times New Roman" w:cs="Times New Roman"/>
                <w:sz w:val="24"/>
                <w:szCs w:val="24"/>
              </w:rPr>
              <w:t>1</w:t>
            </w:r>
            <w:r w:rsidR="0026259B">
              <w:rPr>
                <w:rFonts w:ascii="Times New Roman" w:hAnsi="Times New Roman" w:cs="Times New Roman"/>
                <w:sz w:val="24"/>
                <w:szCs w:val="24"/>
                <w:lang w:val="en-US"/>
              </w:rPr>
              <w:t>0</w:t>
            </w:r>
            <w:r>
              <w:rPr>
                <w:rFonts w:ascii="Times New Roman" w:hAnsi="Times New Roman" w:cs="Times New Roman"/>
                <w:sz w:val="24"/>
                <w:szCs w:val="24"/>
                <w:lang w:val="en-US"/>
              </w:rPr>
              <w:t>,</w:t>
            </w:r>
            <w:r w:rsidR="0026259B">
              <w:rPr>
                <w:rFonts w:ascii="Times New Roman" w:hAnsi="Times New Roman" w:cs="Times New Roman"/>
                <w:sz w:val="24"/>
                <w:szCs w:val="24"/>
                <w:lang w:val="en-US"/>
              </w:rPr>
              <w:t>331</w:t>
            </w:r>
            <w:r w:rsidRPr="001D514A">
              <w:rPr>
                <w:rFonts w:ascii="Times New Roman" w:hAnsi="Times New Roman" w:cs="Times New Roman"/>
                <w:sz w:val="24"/>
                <w:szCs w:val="24"/>
              </w:rPr>
              <w:t>.4</w:t>
            </w:r>
            <w:r w:rsidR="0026259B">
              <w:rPr>
                <w:rFonts w:ascii="Times New Roman" w:hAnsi="Times New Roman" w:cs="Times New Roman"/>
                <w:sz w:val="24"/>
                <w:szCs w:val="24"/>
                <w:lang w:val="en-US"/>
              </w:rPr>
              <w:t>5</w:t>
            </w:r>
          </w:p>
        </w:tc>
        <w:tc>
          <w:tcPr>
            <w:tcW w:w="582" w:type="pct"/>
            <w:shd w:val="clear" w:color="auto" w:fill="auto"/>
            <w:noWrap/>
            <w:tcMar>
              <w:top w:w="15" w:type="dxa"/>
              <w:left w:w="15" w:type="dxa"/>
              <w:bottom w:w="0" w:type="dxa"/>
              <w:right w:w="15" w:type="dxa"/>
            </w:tcMar>
            <w:vAlign w:val="bottom"/>
            <w:hideMark/>
          </w:tcPr>
          <w:p w14:paraId="1E9ADD44" w14:textId="52232A43" w:rsidR="001D514A" w:rsidRPr="001D514A" w:rsidRDefault="001D514A" w:rsidP="005669B6">
            <w:pPr>
              <w:pStyle w:val="NoSpacing"/>
              <w:rPr>
                <w:rFonts w:ascii="Times New Roman" w:hAnsi="Times New Roman" w:cs="Times New Roman"/>
                <w:sz w:val="24"/>
                <w:szCs w:val="24"/>
              </w:rPr>
            </w:pPr>
            <w:r>
              <w:rPr>
                <w:rFonts w:ascii="Times New Roman" w:hAnsi="Times New Roman" w:cs="Times New Roman"/>
                <w:sz w:val="24"/>
                <w:szCs w:val="24"/>
                <w:lang w:val="en-US"/>
              </w:rPr>
              <w:t xml:space="preserve">         </w:t>
            </w:r>
            <w:r w:rsidR="0026259B">
              <w:rPr>
                <w:rFonts w:ascii="Times New Roman" w:hAnsi="Times New Roman" w:cs="Times New Roman"/>
                <w:sz w:val="24"/>
                <w:szCs w:val="24"/>
                <w:lang w:val="en-US"/>
              </w:rPr>
              <w:t>3</w:t>
            </w:r>
            <w:r w:rsidRPr="001D514A">
              <w:rPr>
                <w:rFonts w:ascii="Times New Roman" w:hAnsi="Times New Roman" w:cs="Times New Roman"/>
                <w:sz w:val="24"/>
                <w:szCs w:val="24"/>
              </w:rPr>
              <w:t>.00</w:t>
            </w:r>
          </w:p>
        </w:tc>
        <w:tc>
          <w:tcPr>
            <w:tcW w:w="743" w:type="pct"/>
            <w:shd w:val="clear" w:color="auto" w:fill="auto"/>
            <w:noWrap/>
            <w:tcMar>
              <w:top w:w="15" w:type="dxa"/>
              <w:left w:w="15" w:type="dxa"/>
              <w:bottom w:w="0" w:type="dxa"/>
              <w:right w:w="15" w:type="dxa"/>
            </w:tcMar>
            <w:vAlign w:val="bottom"/>
            <w:hideMark/>
          </w:tcPr>
          <w:p w14:paraId="36274262" w14:textId="7A37788B" w:rsidR="001D514A" w:rsidRPr="00B2536C" w:rsidRDefault="001D514A" w:rsidP="005669B6">
            <w:pPr>
              <w:pStyle w:val="NoSpacing"/>
              <w:rPr>
                <w:rFonts w:ascii="Times New Roman" w:hAnsi="Times New Roman" w:cs="Times New Roman"/>
                <w:sz w:val="24"/>
                <w:szCs w:val="24"/>
              </w:rPr>
            </w:pPr>
            <w:r w:rsidRPr="00B2536C">
              <w:rPr>
                <w:rFonts w:ascii="Times New Roman" w:hAnsi="Times New Roman" w:cs="Times New Roman"/>
                <w:sz w:val="24"/>
                <w:szCs w:val="24"/>
                <w:lang w:val="en-US"/>
              </w:rPr>
              <w:t xml:space="preserve">     </w:t>
            </w:r>
            <w:r w:rsidR="0026259B">
              <w:rPr>
                <w:rFonts w:ascii="Times New Roman" w:hAnsi="Times New Roman" w:cs="Times New Roman"/>
                <w:sz w:val="24"/>
                <w:szCs w:val="24"/>
                <w:lang w:val="en-US"/>
              </w:rPr>
              <w:t>82</w:t>
            </w:r>
            <w:r w:rsidRPr="00B2536C">
              <w:rPr>
                <w:rFonts w:ascii="Times New Roman" w:hAnsi="Times New Roman" w:cs="Times New Roman"/>
                <w:sz w:val="24"/>
                <w:szCs w:val="24"/>
                <w:lang w:val="en-US"/>
              </w:rPr>
              <w:t>,</w:t>
            </w:r>
            <w:r w:rsidR="0026259B">
              <w:rPr>
                <w:rFonts w:ascii="Times New Roman" w:hAnsi="Times New Roman" w:cs="Times New Roman"/>
                <w:sz w:val="24"/>
                <w:szCs w:val="24"/>
                <w:lang w:val="en-US"/>
              </w:rPr>
              <w:t>974</w:t>
            </w:r>
            <w:r w:rsidRPr="00B2536C">
              <w:rPr>
                <w:rFonts w:ascii="Times New Roman" w:hAnsi="Times New Roman" w:cs="Times New Roman"/>
                <w:sz w:val="24"/>
                <w:szCs w:val="24"/>
              </w:rPr>
              <w:t>.00</w:t>
            </w:r>
          </w:p>
        </w:tc>
        <w:tc>
          <w:tcPr>
            <w:tcW w:w="768" w:type="pct"/>
            <w:shd w:val="clear" w:color="auto" w:fill="auto"/>
            <w:noWrap/>
            <w:tcMar>
              <w:top w:w="15" w:type="dxa"/>
              <w:left w:w="15" w:type="dxa"/>
              <w:bottom w:w="0" w:type="dxa"/>
              <w:right w:w="15" w:type="dxa"/>
            </w:tcMar>
            <w:vAlign w:val="bottom"/>
            <w:hideMark/>
          </w:tcPr>
          <w:p w14:paraId="1B2A8AC9" w14:textId="6B62941E" w:rsidR="001D514A" w:rsidRPr="0026259B" w:rsidRDefault="001D514A" w:rsidP="005669B6">
            <w:pPr>
              <w:pStyle w:val="NoSpacing"/>
              <w:rPr>
                <w:rFonts w:ascii="Times New Roman" w:hAnsi="Times New Roman" w:cs="Times New Roman"/>
                <w:sz w:val="24"/>
                <w:szCs w:val="24"/>
                <w:lang w:val="en-US"/>
              </w:rPr>
            </w:pPr>
            <w:r w:rsidRPr="00B2536C">
              <w:rPr>
                <w:rFonts w:ascii="Times New Roman" w:hAnsi="Times New Roman" w:cs="Times New Roman"/>
                <w:sz w:val="24"/>
                <w:szCs w:val="24"/>
                <w:lang w:val="en-US"/>
              </w:rPr>
              <w:t xml:space="preserve">       </w:t>
            </w:r>
            <w:r w:rsidR="00325851" w:rsidRPr="00B2536C">
              <w:rPr>
                <w:rFonts w:ascii="Times New Roman" w:hAnsi="Times New Roman" w:cs="Times New Roman"/>
                <w:sz w:val="24"/>
                <w:szCs w:val="24"/>
                <w:lang w:val="en-US"/>
              </w:rPr>
              <w:t xml:space="preserve"> </w:t>
            </w:r>
            <w:r w:rsidRPr="00B2536C">
              <w:rPr>
                <w:rFonts w:ascii="Times New Roman" w:hAnsi="Times New Roman" w:cs="Times New Roman"/>
                <w:sz w:val="24"/>
                <w:szCs w:val="24"/>
              </w:rPr>
              <w:t>1.4</w:t>
            </w:r>
            <w:r w:rsidR="0026259B">
              <w:rPr>
                <w:rFonts w:ascii="Times New Roman" w:hAnsi="Times New Roman" w:cs="Times New Roman"/>
                <w:sz w:val="24"/>
                <w:szCs w:val="24"/>
                <w:lang w:val="en-US"/>
              </w:rPr>
              <w:t>1</w:t>
            </w:r>
          </w:p>
        </w:tc>
        <w:tc>
          <w:tcPr>
            <w:tcW w:w="525" w:type="pct"/>
            <w:shd w:val="clear" w:color="auto" w:fill="auto"/>
            <w:noWrap/>
            <w:tcMar>
              <w:top w:w="15" w:type="dxa"/>
              <w:left w:w="15" w:type="dxa"/>
              <w:bottom w:w="0" w:type="dxa"/>
              <w:right w:w="15" w:type="dxa"/>
            </w:tcMar>
            <w:vAlign w:val="bottom"/>
            <w:hideMark/>
          </w:tcPr>
          <w:p w14:paraId="4A1B0B0C" w14:textId="093E58D2" w:rsidR="001D514A" w:rsidRPr="0026259B" w:rsidRDefault="001D514A" w:rsidP="005669B6">
            <w:pPr>
              <w:pStyle w:val="NoSpacing"/>
              <w:rPr>
                <w:rFonts w:ascii="Times New Roman" w:hAnsi="Times New Roman" w:cs="Times New Roman"/>
                <w:sz w:val="24"/>
                <w:szCs w:val="24"/>
                <w:lang w:val="en-US"/>
              </w:rPr>
            </w:pPr>
            <w:r w:rsidRPr="00B2536C">
              <w:rPr>
                <w:rFonts w:ascii="Times New Roman" w:hAnsi="Times New Roman" w:cs="Times New Roman"/>
                <w:sz w:val="24"/>
                <w:szCs w:val="24"/>
                <w:lang w:val="en-US"/>
              </w:rPr>
              <w:t xml:space="preserve">   </w:t>
            </w:r>
            <w:r w:rsidRPr="00B2536C">
              <w:rPr>
                <w:rFonts w:ascii="Times New Roman" w:hAnsi="Times New Roman" w:cs="Times New Roman"/>
                <w:sz w:val="24"/>
                <w:szCs w:val="24"/>
              </w:rPr>
              <w:t>0.7</w:t>
            </w:r>
            <w:r w:rsidR="0026259B">
              <w:rPr>
                <w:rFonts w:ascii="Times New Roman" w:hAnsi="Times New Roman" w:cs="Times New Roman"/>
                <w:sz w:val="24"/>
                <w:szCs w:val="24"/>
                <w:lang w:val="en-US"/>
              </w:rPr>
              <w:t>8</w:t>
            </w:r>
          </w:p>
        </w:tc>
      </w:tr>
      <w:tr w:rsidR="001D514A" w:rsidRPr="001D514A" w14:paraId="77FDCCB0" w14:textId="77777777" w:rsidTr="00E96403">
        <w:trPr>
          <w:trHeight w:val="244"/>
        </w:trPr>
        <w:tc>
          <w:tcPr>
            <w:tcW w:w="818" w:type="pct"/>
            <w:shd w:val="clear" w:color="auto" w:fill="auto"/>
            <w:noWrap/>
            <w:tcMar>
              <w:top w:w="15" w:type="dxa"/>
              <w:left w:w="15" w:type="dxa"/>
              <w:bottom w:w="0" w:type="dxa"/>
              <w:right w:w="15" w:type="dxa"/>
            </w:tcMar>
            <w:vAlign w:val="bottom"/>
            <w:hideMark/>
          </w:tcPr>
          <w:p w14:paraId="7A0BC8AD" w14:textId="063C0BC1" w:rsidR="001D514A" w:rsidRPr="001D514A" w:rsidRDefault="001D514A" w:rsidP="005669B6">
            <w:pPr>
              <w:pStyle w:val="NoSpacing"/>
              <w:rPr>
                <w:rFonts w:ascii="Times New Roman" w:hAnsi="Times New Roman" w:cs="Times New Roman"/>
                <w:sz w:val="24"/>
                <w:szCs w:val="24"/>
              </w:rPr>
            </w:pPr>
            <w:r w:rsidRPr="001D514A">
              <w:rPr>
                <w:rFonts w:ascii="Times New Roman" w:hAnsi="Times New Roman" w:cs="Times New Roman"/>
                <w:sz w:val="24"/>
                <w:szCs w:val="24"/>
                <w:lang w:val="en-US"/>
              </w:rPr>
              <w:t>CC</w:t>
            </w:r>
            <w:r>
              <w:rPr>
                <w:rFonts w:ascii="Times New Roman" w:hAnsi="Times New Roman" w:cs="Times New Roman"/>
                <w:sz w:val="24"/>
                <w:szCs w:val="24"/>
                <w:lang w:val="en-US"/>
              </w:rPr>
              <w:t>ovid</w:t>
            </w:r>
            <w:r w:rsidRPr="001D514A">
              <w:rPr>
                <w:rFonts w:ascii="Times New Roman" w:hAnsi="Times New Roman" w:cs="Times New Roman"/>
                <w:sz w:val="24"/>
                <w:szCs w:val="24"/>
                <w:lang w:val="en-US"/>
              </w:rPr>
              <w:t>19-2</w:t>
            </w:r>
          </w:p>
        </w:tc>
        <w:tc>
          <w:tcPr>
            <w:tcW w:w="770" w:type="pct"/>
            <w:shd w:val="clear" w:color="auto" w:fill="auto"/>
            <w:noWrap/>
            <w:tcMar>
              <w:top w:w="15" w:type="dxa"/>
              <w:left w:w="15" w:type="dxa"/>
              <w:bottom w:w="0" w:type="dxa"/>
              <w:right w:w="15" w:type="dxa"/>
            </w:tcMar>
            <w:vAlign w:val="bottom"/>
            <w:hideMark/>
          </w:tcPr>
          <w:p w14:paraId="311E871D" w14:textId="3E3F2C01" w:rsidR="001D514A" w:rsidRPr="0026259B" w:rsidRDefault="001D514A" w:rsidP="005669B6">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6259B">
              <w:rPr>
                <w:rFonts w:ascii="Times New Roman" w:hAnsi="Times New Roman" w:cs="Times New Roman"/>
                <w:sz w:val="24"/>
                <w:szCs w:val="24"/>
                <w:lang w:val="en-US"/>
              </w:rPr>
              <w:t>1297</w:t>
            </w:r>
            <w:r w:rsidRPr="001D514A">
              <w:rPr>
                <w:rFonts w:ascii="Times New Roman" w:hAnsi="Times New Roman" w:cs="Times New Roman"/>
                <w:sz w:val="24"/>
                <w:szCs w:val="24"/>
              </w:rPr>
              <w:t>.4</w:t>
            </w:r>
            <w:r w:rsidR="0026259B">
              <w:rPr>
                <w:rFonts w:ascii="Times New Roman" w:hAnsi="Times New Roman" w:cs="Times New Roman"/>
                <w:sz w:val="24"/>
                <w:szCs w:val="24"/>
                <w:lang w:val="en-US"/>
              </w:rPr>
              <w:t>6</w:t>
            </w:r>
          </w:p>
        </w:tc>
        <w:tc>
          <w:tcPr>
            <w:tcW w:w="795" w:type="pct"/>
            <w:shd w:val="clear" w:color="auto" w:fill="auto"/>
            <w:noWrap/>
            <w:tcMar>
              <w:top w:w="15" w:type="dxa"/>
              <w:left w:w="15" w:type="dxa"/>
              <w:bottom w:w="0" w:type="dxa"/>
              <w:right w:w="15" w:type="dxa"/>
            </w:tcMar>
            <w:vAlign w:val="bottom"/>
            <w:hideMark/>
          </w:tcPr>
          <w:p w14:paraId="7B323D85" w14:textId="339C066E" w:rsidR="001D514A" w:rsidRPr="0026259B" w:rsidRDefault="001D514A" w:rsidP="005669B6">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1D514A">
              <w:rPr>
                <w:rFonts w:ascii="Times New Roman" w:hAnsi="Times New Roman" w:cs="Times New Roman"/>
                <w:sz w:val="24"/>
                <w:szCs w:val="24"/>
              </w:rPr>
              <w:t>7</w:t>
            </w:r>
            <w:r w:rsidR="0026259B">
              <w:rPr>
                <w:rFonts w:ascii="Times New Roman" w:hAnsi="Times New Roman" w:cs="Times New Roman"/>
                <w:sz w:val="24"/>
                <w:szCs w:val="24"/>
                <w:lang w:val="en-US"/>
              </w:rPr>
              <w:t>90</w:t>
            </w:r>
            <w:r w:rsidRPr="001D514A">
              <w:rPr>
                <w:rFonts w:ascii="Times New Roman" w:hAnsi="Times New Roman" w:cs="Times New Roman"/>
                <w:sz w:val="24"/>
                <w:szCs w:val="24"/>
              </w:rPr>
              <w:t>.</w:t>
            </w:r>
            <w:r w:rsidR="0026259B">
              <w:rPr>
                <w:rFonts w:ascii="Times New Roman" w:hAnsi="Times New Roman" w:cs="Times New Roman"/>
                <w:sz w:val="24"/>
                <w:szCs w:val="24"/>
                <w:lang w:val="en-US"/>
              </w:rPr>
              <w:t>93</w:t>
            </w:r>
          </w:p>
        </w:tc>
        <w:tc>
          <w:tcPr>
            <w:tcW w:w="582" w:type="pct"/>
            <w:shd w:val="clear" w:color="auto" w:fill="auto"/>
            <w:noWrap/>
            <w:tcMar>
              <w:top w:w="15" w:type="dxa"/>
              <w:left w:w="15" w:type="dxa"/>
              <w:bottom w:w="0" w:type="dxa"/>
              <w:right w:w="15" w:type="dxa"/>
            </w:tcMar>
            <w:vAlign w:val="bottom"/>
            <w:hideMark/>
          </w:tcPr>
          <w:p w14:paraId="516F1D4A" w14:textId="006E54FE" w:rsidR="001D514A" w:rsidRPr="001D514A" w:rsidRDefault="001D514A" w:rsidP="005669B6">
            <w:pPr>
              <w:pStyle w:val="NoSpacing"/>
              <w:rPr>
                <w:rFonts w:ascii="Times New Roman" w:hAnsi="Times New Roman" w:cs="Times New Roman"/>
                <w:sz w:val="24"/>
                <w:szCs w:val="24"/>
              </w:rPr>
            </w:pPr>
            <w:r>
              <w:rPr>
                <w:rFonts w:ascii="Times New Roman" w:hAnsi="Times New Roman" w:cs="Times New Roman"/>
                <w:sz w:val="24"/>
                <w:szCs w:val="24"/>
                <w:lang w:val="en-US"/>
              </w:rPr>
              <w:t xml:space="preserve">         </w:t>
            </w:r>
            <w:r w:rsidR="0026259B">
              <w:rPr>
                <w:rFonts w:ascii="Times New Roman" w:hAnsi="Times New Roman" w:cs="Times New Roman"/>
                <w:sz w:val="24"/>
                <w:szCs w:val="24"/>
                <w:lang w:val="en-US"/>
              </w:rPr>
              <w:t>5</w:t>
            </w:r>
            <w:r w:rsidRPr="001D514A">
              <w:rPr>
                <w:rFonts w:ascii="Times New Roman" w:hAnsi="Times New Roman" w:cs="Times New Roman"/>
                <w:sz w:val="24"/>
                <w:szCs w:val="24"/>
              </w:rPr>
              <w:t>.00</w:t>
            </w:r>
          </w:p>
        </w:tc>
        <w:tc>
          <w:tcPr>
            <w:tcW w:w="743" w:type="pct"/>
            <w:shd w:val="clear" w:color="auto" w:fill="auto"/>
            <w:noWrap/>
            <w:tcMar>
              <w:top w:w="15" w:type="dxa"/>
              <w:left w:w="15" w:type="dxa"/>
              <w:bottom w:w="0" w:type="dxa"/>
              <w:right w:w="15" w:type="dxa"/>
            </w:tcMar>
            <w:vAlign w:val="bottom"/>
            <w:hideMark/>
          </w:tcPr>
          <w:p w14:paraId="2EC37108" w14:textId="7BEF74F4" w:rsidR="001D514A" w:rsidRPr="001D514A" w:rsidRDefault="001D514A" w:rsidP="005669B6">
            <w:pPr>
              <w:pStyle w:val="NoSpacing"/>
              <w:rPr>
                <w:rFonts w:ascii="Times New Roman" w:hAnsi="Times New Roman" w:cs="Times New Roman"/>
                <w:sz w:val="24"/>
                <w:szCs w:val="24"/>
              </w:rPr>
            </w:pPr>
            <w:r>
              <w:rPr>
                <w:rFonts w:ascii="Times New Roman" w:hAnsi="Times New Roman" w:cs="Times New Roman"/>
                <w:sz w:val="24"/>
                <w:szCs w:val="24"/>
                <w:lang w:val="en-US"/>
              </w:rPr>
              <w:t xml:space="preserve">       </w:t>
            </w:r>
            <w:r w:rsidR="0026259B">
              <w:rPr>
                <w:rFonts w:ascii="Times New Roman" w:hAnsi="Times New Roman" w:cs="Times New Roman"/>
                <w:sz w:val="24"/>
                <w:szCs w:val="24"/>
                <w:lang w:val="en-US"/>
              </w:rPr>
              <w:t>4</w:t>
            </w:r>
            <w:r>
              <w:rPr>
                <w:rFonts w:ascii="Times New Roman" w:hAnsi="Times New Roman" w:cs="Times New Roman"/>
                <w:sz w:val="24"/>
                <w:szCs w:val="24"/>
                <w:lang w:val="en-US"/>
              </w:rPr>
              <w:t>,</w:t>
            </w:r>
            <w:r w:rsidR="0026259B">
              <w:rPr>
                <w:rFonts w:ascii="Times New Roman" w:hAnsi="Times New Roman" w:cs="Times New Roman"/>
                <w:sz w:val="24"/>
                <w:szCs w:val="24"/>
                <w:lang w:val="en-US"/>
              </w:rPr>
              <w:t>63</w:t>
            </w:r>
            <w:r w:rsidRPr="001D514A">
              <w:rPr>
                <w:rFonts w:ascii="Times New Roman" w:hAnsi="Times New Roman" w:cs="Times New Roman"/>
                <w:sz w:val="24"/>
                <w:szCs w:val="24"/>
              </w:rPr>
              <w:t>4.00</w:t>
            </w:r>
          </w:p>
        </w:tc>
        <w:tc>
          <w:tcPr>
            <w:tcW w:w="768" w:type="pct"/>
            <w:shd w:val="clear" w:color="auto" w:fill="auto"/>
            <w:noWrap/>
            <w:tcMar>
              <w:top w:w="15" w:type="dxa"/>
              <w:left w:w="15" w:type="dxa"/>
              <w:bottom w:w="0" w:type="dxa"/>
              <w:right w:w="15" w:type="dxa"/>
            </w:tcMar>
            <w:vAlign w:val="bottom"/>
            <w:hideMark/>
          </w:tcPr>
          <w:p w14:paraId="1AD40EE2" w14:textId="7799DDCD" w:rsidR="001D514A" w:rsidRPr="0026259B" w:rsidRDefault="001D514A" w:rsidP="005669B6">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25851">
              <w:rPr>
                <w:rFonts w:ascii="Times New Roman" w:hAnsi="Times New Roman" w:cs="Times New Roman"/>
                <w:sz w:val="24"/>
                <w:szCs w:val="24"/>
                <w:lang w:val="en-US"/>
              </w:rPr>
              <w:t xml:space="preserve"> </w:t>
            </w:r>
            <w:r w:rsidRPr="001D514A">
              <w:rPr>
                <w:rFonts w:ascii="Times New Roman" w:hAnsi="Times New Roman" w:cs="Times New Roman"/>
                <w:sz w:val="24"/>
                <w:szCs w:val="24"/>
              </w:rPr>
              <w:t>2.0</w:t>
            </w:r>
            <w:r w:rsidR="0026259B">
              <w:rPr>
                <w:rFonts w:ascii="Times New Roman" w:hAnsi="Times New Roman" w:cs="Times New Roman"/>
                <w:sz w:val="24"/>
                <w:szCs w:val="24"/>
                <w:lang w:val="en-US"/>
              </w:rPr>
              <w:t>3</w:t>
            </w:r>
          </w:p>
        </w:tc>
        <w:tc>
          <w:tcPr>
            <w:tcW w:w="525" w:type="pct"/>
            <w:shd w:val="clear" w:color="auto" w:fill="auto"/>
            <w:noWrap/>
            <w:tcMar>
              <w:top w:w="15" w:type="dxa"/>
              <w:left w:w="15" w:type="dxa"/>
              <w:bottom w:w="0" w:type="dxa"/>
              <w:right w:w="15" w:type="dxa"/>
            </w:tcMar>
            <w:vAlign w:val="bottom"/>
            <w:hideMark/>
          </w:tcPr>
          <w:p w14:paraId="544BB8CF" w14:textId="18EF05DC" w:rsidR="001D514A" w:rsidRPr="0026259B" w:rsidRDefault="001D514A" w:rsidP="005669B6">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6259B">
              <w:rPr>
                <w:rFonts w:ascii="Times New Roman" w:hAnsi="Times New Roman" w:cs="Times New Roman"/>
                <w:sz w:val="24"/>
                <w:szCs w:val="24"/>
                <w:lang w:val="en-US"/>
              </w:rPr>
              <w:t>4</w:t>
            </w:r>
            <w:r w:rsidRPr="001D514A">
              <w:rPr>
                <w:rFonts w:ascii="Times New Roman" w:hAnsi="Times New Roman" w:cs="Times New Roman"/>
                <w:sz w:val="24"/>
                <w:szCs w:val="24"/>
              </w:rPr>
              <w:t>.</w:t>
            </w:r>
            <w:r w:rsidR="0026259B">
              <w:rPr>
                <w:rFonts w:ascii="Times New Roman" w:hAnsi="Times New Roman" w:cs="Times New Roman"/>
                <w:sz w:val="24"/>
                <w:szCs w:val="24"/>
                <w:lang w:val="en-US"/>
              </w:rPr>
              <w:t>63</w:t>
            </w:r>
          </w:p>
        </w:tc>
      </w:tr>
    </w:tbl>
    <w:p w14:paraId="52DD53C0" w14:textId="6933F471" w:rsidR="001D514A" w:rsidRPr="00226185" w:rsidRDefault="001D514A" w:rsidP="00226185">
      <w:pPr>
        <w:spacing w:line="240" w:lineRule="auto"/>
        <w:jc w:val="both"/>
        <w:rPr>
          <w:rFonts w:ascii="Times New Roman" w:hAnsi="Times New Roman" w:cs="Times New Roman"/>
          <w:sz w:val="20"/>
          <w:szCs w:val="20"/>
          <w:lang w:val="en-US"/>
        </w:rPr>
      </w:pPr>
      <w:r w:rsidRPr="00226185">
        <w:rPr>
          <w:rFonts w:ascii="Times New Roman" w:hAnsi="Times New Roman" w:cs="Times New Roman"/>
          <w:sz w:val="20"/>
          <w:szCs w:val="20"/>
          <w:lang w:val="en-US"/>
        </w:rPr>
        <w:t>SD denotes standard deviation, CCovid19-1 denotes C</w:t>
      </w:r>
      <w:r w:rsidR="009E5136">
        <w:rPr>
          <w:rFonts w:ascii="Times New Roman" w:hAnsi="Times New Roman" w:cs="Times New Roman"/>
          <w:sz w:val="20"/>
          <w:szCs w:val="20"/>
          <w:lang w:val="en-US"/>
        </w:rPr>
        <w:t>hinese</w:t>
      </w:r>
      <w:r w:rsidRPr="00226185">
        <w:rPr>
          <w:rFonts w:ascii="Times New Roman" w:hAnsi="Times New Roman" w:cs="Times New Roman"/>
          <w:sz w:val="20"/>
          <w:szCs w:val="20"/>
          <w:lang w:val="en-US"/>
        </w:rPr>
        <w:t xml:space="preserve"> Covid-19 </w:t>
      </w:r>
      <w:r w:rsidR="009E5136">
        <w:rPr>
          <w:rFonts w:ascii="Times New Roman" w:hAnsi="Times New Roman" w:cs="Times New Roman"/>
          <w:sz w:val="20"/>
          <w:szCs w:val="20"/>
          <w:lang w:val="en-US"/>
        </w:rPr>
        <w:t>cases</w:t>
      </w:r>
      <w:r w:rsidRPr="00226185">
        <w:rPr>
          <w:rFonts w:ascii="Times New Roman" w:hAnsi="Times New Roman" w:cs="Times New Roman"/>
          <w:sz w:val="20"/>
          <w:szCs w:val="20"/>
          <w:lang w:val="en-US"/>
        </w:rPr>
        <w:t>, CCovid19-2 denotes C</w:t>
      </w:r>
      <w:r w:rsidR="009E5136">
        <w:rPr>
          <w:rFonts w:ascii="Times New Roman" w:hAnsi="Times New Roman" w:cs="Times New Roman"/>
          <w:sz w:val="20"/>
          <w:szCs w:val="20"/>
          <w:lang w:val="en-US"/>
        </w:rPr>
        <w:t>hinese</w:t>
      </w:r>
      <w:r w:rsidRPr="00226185">
        <w:rPr>
          <w:rFonts w:ascii="Times New Roman" w:hAnsi="Times New Roman" w:cs="Times New Roman"/>
          <w:sz w:val="20"/>
          <w:szCs w:val="20"/>
          <w:lang w:val="en-US"/>
        </w:rPr>
        <w:t xml:space="preserve"> Covid-19 deaths.</w:t>
      </w:r>
    </w:p>
    <w:p w14:paraId="54A0763A" w14:textId="77777777" w:rsidR="00B70504" w:rsidRDefault="00B70504" w:rsidP="00AC05C9">
      <w:pPr>
        <w:pStyle w:val="Heading1"/>
        <w:numPr>
          <w:ilvl w:val="0"/>
          <w:numId w:val="0"/>
        </w:numPr>
      </w:pPr>
    </w:p>
    <w:p w14:paraId="3C614F48" w14:textId="77935951" w:rsidR="008D7C0F" w:rsidRPr="00594CB9" w:rsidRDefault="008B0C0D" w:rsidP="00AC05C9">
      <w:pPr>
        <w:pStyle w:val="Heading1"/>
        <w:numPr>
          <w:ilvl w:val="0"/>
          <w:numId w:val="0"/>
        </w:numPr>
      </w:pPr>
      <w:r>
        <w:t>III</w:t>
      </w:r>
      <w:r w:rsidR="00AC05C9">
        <w:t xml:space="preserve">. </w:t>
      </w:r>
      <w:r w:rsidR="008D7C0F" w:rsidRPr="00594CB9">
        <w:t>Methodology</w:t>
      </w:r>
      <w:r w:rsidR="00594CB9">
        <w:t xml:space="preserve"> </w:t>
      </w:r>
    </w:p>
    <w:p w14:paraId="585DD913" w14:textId="24284EEB" w:rsidR="00A70CE7" w:rsidRPr="004105BA" w:rsidRDefault="004105BA" w:rsidP="008B0C0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B70504">
        <w:rPr>
          <w:rFonts w:ascii="Times New Roman" w:hAnsi="Times New Roman" w:cs="Times New Roman"/>
          <w:sz w:val="24"/>
          <w:szCs w:val="24"/>
          <w:lang w:val="en-US"/>
        </w:rPr>
        <w:t>GARCH (generalized autoregressive conditional heteroskedasticity)</w:t>
      </w:r>
      <w:r>
        <w:rPr>
          <w:rFonts w:ascii="Times New Roman" w:hAnsi="Times New Roman" w:cs="Times New Roman"/>
          <w:sz w:val="24"/>
          <w:szCs w:val="24"/>
          <w:lang w:val="en-US"/>
        </w:rPr>
        <w:t xml:space="preserve"> </w:t>
      </w:r>
      <w:r w:rsidR="00671681">
        <w:rPr>
          <w:rFonts w:ascii="Times New Roman" w:hAnsi="Times New Roman" w:cs="Times New Roman"/>
          <w:sz w:val="24"/>
          <w:szCs w:val="24"/>
          <w:lang w:val="en-US"/>
        </w:rPr>
        <w:t xml:space="preserve">model </w:t>
      </w:r>
      <w:r>
        <w:rPr>
          <w:rFonts w:ascii="Times New Roman" w:hAnsi="Times New Roman" w:cs="Times New Roman"/>
          <w:sz w:val="24"/>
          <w:szCs w:val="24"/>
          <w:lang w:val="en-US"/>
        </w:rPr>
        <w:t xml:space="preserve">proposed by </w:t>
      </w:r>
      <w:proofErr w:type="spellStart"/>
      <w:r w:rsidRPr="00B70504">
        <w:rPr>
          <w:rFonts w:ascii="Times New Roman" w:hAnsi="Times New Roman" w:cs="Times New Roman"/>
          <w:sz w:val="24"/>
          <w:szCs w:val="24"/>
          <w:lang w:val="en-US"/>
        </w:rPr>
        <w:t>Bollerslev</w:t>
      </w:r>
      <w:proofErr w:type="spellEnd"/>
      <w:r w:rsidRPr="00B70504">
        <w:rPr>
          <w:rFonts w:ascii="Times New Roman" w:hAnsi="Times New Roman" w:cs="Times New Roman"/>
          <w:sz w:val="24"/>
          <w:szCs w:val="24"/>
          <w:lang w:val="en-US"/>
        </w:rPr>
        <w:t xml:space="preserve"> (1986), </w:t>
      </w:r>
      <w:r>
        <w:rPr>
          <w:rFonts w:ascii="Times New Roman" w:hAnsi="Times New Roman" w:cs="Times New Roman"/>
          <w:sz w:val="24"/>
          <w:szCs w:val="24"/>
          <w:lang w:val="en-US"/>
        </w:rPr>
        <w:t>is a popular framework among scientific community to model risk and its forecasting in a time series</w:t>
      </w:r>
      <w:r w:rsidR="00BE42B1" w:rsidRPr="00B70504">
        <w:rPr>
          <w:rFonts w:ascii="Times New Roman" w:hAnsi="Times New Roman" w:cs="Times New Roman"/>
          <w:sz w:val="24"/>
          <w:szCs w:val="24"/>
          <w:lang w:val="en-US"/>
        </w:rPr>
        <w:t xml:space="preserve">. Following </w:t>
      </w:r>
      <w:proofErr w:type="spellStart"/>
      <w:r w:rsidR="00BE42B1" w:rsidRPr="00B70504">
        <w:rPr>
          <w:rFonts w:ascii="Times New Roman" w:hAnsi="Times New Roman" w:cs="Times New Roman"/>
          <w:sz w:val="24"/>
          <w:szCs w:val="24"/>
          <w:lang w:val="en-US"/>
        </w:rPr>
        <w:t>Bollerslev</w:t>
      </w:r>
      <w:proofErr w:type="spellEnd"/>
      <w:r w:rsidR="00BE42B1" w:rsidRPr="00B70504">
        <w:rPr>
          <w:rFonts w:ascii="Times New Roman" w:hAnsi="Times New Roman" w:cs="Times New Roman"/>
          <w:sz w:val="24"/>
          <w:szCs w:val="24"/>
          <w:lang w:val="en-US"/>
        </w:rPr>
        <w:t xml:space="preserve"> (1986), several variants of GARCH models have been introduced</w:t>
      </w:r>
      <w:r w:rsidR="00FB473F" w:rsidRPr="00B70504">
        <w:rPr>
          <w:rFonts w:ascii="Times New Roman" w:hAnsi="Times New Roman" w:cs="Times New Roman"/>
          <w:sz w:val="24"/>
          <w:szCs w:val="24"/>
          <w:lang w:val="en-US"/>
        </w:rPr>
        <w:t>. The</w:t>
      </w:r>
      <w:r w:rsidR="008664E5" w:rsidRPr="00B70504">
        <w:rPr>
          <w:rFonts w:ascii="Times New Roman" w:hAnsi="Times New Roman" w:cs="Times New Roman"/>
          <w:sz w:val="24"/>
          <w:szCs w:val="24"/>
          <w:lang w:val="en-US"/>
        </w:rPr>
        <w:t xml:space="preserve"> standard</w:t>
      </w:r>
      <w:r w:rsidR="00FB473F" w:rsidRPr="00B70504">
        <w:rPr>
          <w:rFonts w:ascii="Times New Roman" w:hAnsi="Times New Roman" w:cs="Times New Roman"/>
          <w:sz w:val="24"/>
          <w:szCs w:val="24"/>
          <w:lang w:val="en-US"/>
        </w:rPr>
        <w:t xml:space="preserve"> family of </w:t>
      </w:r>
      <w:r w:rsidR="00140425" w:rsidRPr="00B70504">
        <w:rPr>
          <w:rFonts w:ascii="Times New Roman" w:hAnsi="Times New Roman" w:cs="Times New Roman"/>
          <w:sz w:val="24"/>
          <w:szCs w:val="24"/>
          <w:lang w:val="en-US"/>
        </w:rPr>
        <w:t xml:space="preserve">(symmetric) </w:t>
      </w:r>
      <w:r w:rsidR="00FB473F" w:rsidRPr="00AA08BE">
        <w:rPr>
          <w:rFonts w:ascii="Times New Roman" w:hAnsi="Times New Roman" w:cs="Times New Roman"/>
          <w:color w:val="FF0000"/>
          <w:sz w:val="24"/>
          <w:szCs w:val="24"/>
          <w:lang w:val="en-US"/>
        </w:rPr>
        <w:t>GA</w:t>
      </w:r>
      <w:r w:rsidR="00AA08BE" w:rsidRPr="00AA08BE">
        <w:rPr>
          <w:rFonts w:ascii="Times New Roman" w:hAnsi="Times New Roman" w:cs="Times New Roman"/>
          <w:color w:val="FF0000"/>
          <w:sz w:val="24"/>
          <w:szCs w:val="24"/>
          <w:lang w:val="en-US"/>
        </w:rPr>
        <w:t>R</w:t>
      </w:r>
      <w:r w:rsidR="00FB473F" w:rsidRPr="00AA08BE">
        <w:rPr>
          <w:rFonts w:ascii="Times New Roman" w:hAnsi="Times New Roman" w:cs="Times New Roman"/>
          <w:color w:val="FF0000"/>
          <w:sz w:val="24"/>
          <w:szCs w:val="24"/>
          <w:lang w:val="en-US"/>
        </w:rPr>
        <w:t xml:space="preserve">CH </w:t>
      </w:r>
      <w:r w:rsidR="00FB473F" w:rsidRPr="00B70504">
        <w:rPr>
          <w:rFonts w:ascii="Times New Roman" w:hAnsi="Times New Roman" w:cs="Times New Roman"/>
          <w:sz w:val="24"/>
          <w:szCs w:val="24"/>
          <w:lang w:val="en-US"/>
        </w:rPr>
        <w:t xml:space="preserve">models includes </w:t>
      </w:r>
      <w:r w:rsidR="00671681">
        <w:rPr>
          <w:rFonts w:ascii="Times New Roman" w:hAnsi="Times New Roman" w:cs="Times New Roman"/>
          <w:sz w:val="24"/>
          <w:szCs w:val="24"/>
          <w:lang w:val="en-US"/>
        </w:rPr>
        <w:t>integrated GARCH (</w:t>
      </w:r>
      <w:r w:rsidR="00FB473F" w:rsidRPr="00671681">
        <w:rPr>
          <w:rFonts w:ascii="Times New Roman" w:hAnsi="Times New Roman" w:cs="Times New Roman"/>
          <w:sz w:val="24"/>
          <w:szCs w:val="24"/>
          <w:lang w:val="en-US"/>
        </w:rPr>
        <w:t>IGARC</w:t>
      </w:r>
      <w:r w:rsidR="00671681" w:rsidRPr="00671681">
        <w:rPr>
          <w:rFonts w:ascii="Times New Roman" w:hAnsi="Times New Roman" w:cs="Times New Roman"/>
          <w:sz w:val="24"/>
          <w:szCs w:val="24"/>
          <w:lang w:val="en-US"/>
        </w:rPr>
        <w:t>H)</w:t>
      </w:r>
      <w:r w:rsidR="00FB473F" w:rsidRPr="00671681">
        <w:rPr>
          <w:rFonts w:ascii="Times New Roman" w:hAnsi="Times New Roman" w:cs="Times New Roman"/>
          <w:sz w:val="24"/>
          <w:szCs w:val="24"/>
          <w:lang w:val="en-US"/>
        </w:rPr>
        <w:t xml:space="preserve"> </w:t>
      </w:r>
      <w:r w:rsidR="00AC05C9" w:rsidRPr="00B70504">
        <w:rPr>
          <w:rFonts w:ascii="Times New Roman" w:hAnsi="Times New Roman" w:cs="Times New Roman"/>
          <w:sz w:val="24"/>
          <w:szCs w:val="24"/>
          <w:lang w:val="en-US"/>
        </w:rPr>
        <w:t>recommended by</w:t>
      </w:r>
      <w:r w:rsidR="00FB473F" w:rsidRPr="00B70504">
        <w:rPr>
          <w:rFonts w:ascii="Times New Roman" w:hAnsi="Times New Roman" w:cs="Times New Roman"/>
          <w:sz w:val="24"/>
          <w:szCs w:val="24"/>
          <w:lang w:val="en-US"/>
        </w:rPr>
        <w:t xml:space="preserve"> Engle and </w:t>
      </w:r>
      <w:proofErr w:type="spellStart"/>
      <w:r w:rsidR="00FB473F" w:rsidRPr="00B70504">
        <w:rPr>
          <w:rFonts w:ascii="Times New Roman" w:hAnsi="Times New Roman" w:cs="Times New Roman"/>
          <w:sz w:val="24"/>
          <w:szCs w:val="24"/>
          <w:lang w:val="en-US"/>
        </w:rPr>
        <w:t>Bollerslev</w:t>
      </w:r>
      <w:proofErr w:type="spellEnd"/>
      <w:r w:rsidR="00FB473F" w:rsidRPr="00B70504">
        <w:rPr>
          <w:rFonts w:ascii="Times New Roman" w:hAnsi="Times New Roman" w:cs="Times New Roman"/>
          <w:sz w:val="24"/>
          <w:szCs w:val="24"/>
          <w:lang w:val="en-US"/>
        </w:rPr>
        <w:t xml:space="preserve"> (1986), exponential GARCH (EGARCH) </w:t>
      </w:r>
      <w:r w:rsidR="00AC05C9" w:rsidRPr="00B70504">
        <w:rPr>
          <w:rFonts w:ascii="Times New Roman" w:hAnsi="Times New Roman" w:cs="Times New Roman"/>
          <w:sz w:val="24"/>
          <w:szCs w:val="24"/>
          <w:lang w:val="en-US"/>
        </w:rPr>
        <w:t>recommended by</w:t>
      </w:r>
      <w:r w:rsidR="00FB473F" w:rsidRPr="00B70504">
        <w:rPr>
          <w:rFonts w:ascii="Times New Roman" w:hAnsi="Times New Roman" w:cs="Times New Roman"/>
          <w:sz w:val="24"/>
          <w:szCs w:val="24"/>
          <w:lang w:val="en-US"/>
        </w:rPr>
        <w:t xml:space="preserve"> Nelson (1991), and GARCH</w:t>
      </w:r>
      <w:r w:rsidR="00E969AD" w:rsidRPr="00B70504">
        <w:rPr>
          <w:rFonts w:ascii="Times New Roman" w:hAnsi="Times New Roman" w:cs="Times New Roman"/>
          <w:sz w:val="24"/>
          <w:szCs w:val="24"/>
          <w:lang w:val="en-US"/>
        </w:rPr>
        <w:t>X</w:t>
      </w:r>
      <w:r w:rsidR="00FB473F" w:rsidRPr="00B70504">
        <w:rPr>
          <w:rFonts w:ascii="Times New Roman" w:hAnsi="Times New Roman" w:cs="Times New Roman"/>
          <w:sz w:val="24"/>
          <w:szCs w:val="24"/>
          <w:lang w:val="en-US"/>
        </w:rPr>
        <w:t xml:space="preserve"> </w:t>
      </w:r>
      <w:r w:rsidR="00AC05C9" w:rsidRPr="00B70504">
        <w:rPr>
          <w:rFonts w:ascii="Times New Roman" w:hAnsi="Times New Roman" w:cs="Times New Roman"/>
          <w:sz w:val="24"/>
          <w:szCs w:val="24"/>
          <w:lang w:val="en-US"/>
        </w:rPr>
        <w:t>recommended by</w:t>
      </w:r>
      <w:r w:rsidR="00E969AD" w:rsidRPr="00B70504">
        <w:rPr>
          <w:rFonts w:ascii="Times New Roman" w:hAnsi="Times New Roman" w:cs="Times New Roman"/>
          <w:sz w:val="24"/>
          <w:szCs w:val="24"/>
          <w:lang w:val="en-US"/>
        </w:rPr>
        <w:t xml:space="preserve"> </w:t>
      </w:r>
      <w:r w:rsidR="00913BD9" w:rsidRPr="00B70504">
        <w:rPr>
          <w:rFonts w:ascii="Times New Roman" w:hAnsi="Times New Roman" w:cs="Times New Roman"/>
          <w:sz w:val="24"/>
          <w:szCs w:val="24"/>
          <w:lang w:val="en-US"/>
        </w:rPr>
        <w:t>Engle et al. (1990)</w:t>
      </w:r>
      <w:r w:rsidR="009430A7" w:rsidRPr="00B70504">
        <w:rPr>
          <w:rFonts w:ascii="Times New Roman" w:hAnsi="Times New Roman" w:cs="Times New Roman"/>
          <w:sz w:val="24"/>
          <w:szCs w:val="24"/>
          <w:lang w:val="en-US"/>
        </w:rPr>
        <w:t>, Apergis (1998),</w:t>
      </w:r>
      <w:r w:rsidR="00913BD9" w:rsidRPr="00B70504">
        <w:rPr>
          <w:rFonts w:ascii="Times New Roman" w:hAnsi="Times New Roman" w:cs="Times New Roman"/>
          <w:sz w:val="24"/>
          <w:szCs w:val="24"/>
          <w:lang w:val="en-US"/>
        </w:rPr>
        <w:t xml:space="preserve"> and Connor and Linton (2001).</w:t>
      </w:r>
      <w:r w:rsidR="00936CA8" w:rsidRPr="00671681">
        <w:rPr>
          <w:rFonts w:ascii="Times New Roman" w:hAnsi="Times New Roman" w:cs="Times New Roman"/>
          <w:sz w:val="24"/>
          <w:szCs w:val="24"/>
          <w:lang w:val="en-US"/>
        </w:rPr>
        <w:t xml:space="preserve"> </w:t>
      </w:r>
    </w:p>
    <w:p w14:paraId="2AC80537" w14:textId="77777777" w:rsidR="00AA08BE" w:rsidRDefault="00A70CE7" w:rsidP="00A70CE7">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order to examine the impact of the C</w:t>
      </w:r>
      <w:r w:rsidR="00730618">
        <w:rPr>
          <w:rFonts w:ascii="Times New Roman" w:hAnsi="Times New Roman" w:cs="Times New Roman"/>
          <w:sz w:val="24"/>
          <w:szCs w:val="24"/>
          <w:lang w:val="en-US"/>
        </w:rPr>
        <w:t>ovid</w:t>
      </w:r>
      <w:r>
        <w:rPr>
          <w:rFonts w:ascii="Times New Roman" w:hAnsi="Times New Roman" w:cs="Times New Roman"/>
          <w:sz w:val="24"/>
          <w:szCs w:val="24"/>
          <w:lang w:val="en-US"/>
        </w:rPr>
        <w:t xml:space="preserve">-19 pandemic on stock </w:t>
      </w:r>
      <w:r w:rsidR="00D80B30">
        <w:rPr>
          <w:rFonts w:ascii="Times New Roman" w:hAnsi="Times New Roman" w:cs="Times New Roman"/>
          <w:sz w:val="24"/>
          <w:szCs w:val="24"/>
          <w:lang w:val="en-US"/>
        </w:rPr>
        <w:t xml:space="preserve">returns and </w:t>
      </w:r>
      <w:r w:rsidR="00730618">
        <w:rPr>
          <w:rFonts w:ascii="Times New Roman" w:hAnsi="Times New Roman" w:cs="Times New Roman"/>
          <w:sz w:val="24"/>
          <w:szCs w:val="24"/>
          <w:lang w:val="en-US"/>
        </w:rPr>
        <w:t xml:space="preserve">their </w:t>
      </w:r>
      <w:r w:rsidR="00D80B30">
        <w:rPr>
          <w:rFonts w:ascii="Times New Roman" w:hAnsi="Times New Roman" w:cs="Times New Roman"/>
          <w:sz w:val="24"/>
          <w:szCs w:val="24"/>
          <w:lang w:val="en-US"/>
        </w:rPr>
        <w:t>volatility</w:t>
      </w:r>
      <w:r>
        <w:rPr>
          <w:rFonts w:ascii="Times New Roman" w:hAnsi="Times New Roman" w:cs="Times New Roman"/>
          <w:sz w:val="24"/>
          <w:szCs w:val="24"/>
          <w:lang w:val="en-US"/>
        </w:rPr>
        <w:t xml:space="preserve"> in C</w:t>
      </w:r>
      <w:r w:rsidR="00AF4F2B">
        <w:rPr>
          <w:rFonts w:ascii="Times New Roman" w:hAnsi="Times New Roman" w:cs="Times New Roman"/>
          <w:sz w:val="24"/>
          <w:szCs w:val="24"/>
          <w:lang w:val="en-US"/>
        </w:rPr>
        <w:t>hina</w:t>
      </w:r>
      <w:r>
        <w:rPr>
          <w:rFonts w:ascii="Times New Roman" w:hAnsi="Times New Roman" w:cs="Times New Roman"/>
          <w:sz w:val="24"/>
          <w:szCs w:val="24"/>
          <w:lang w:val="en-US"/>
        </w:rPr>
        <w:t xml:space="preserve">, </w:t>
      </w:r>
      <w:r w:rsidR="00730618">
        <w:rPr>
          <w:rFonts w:ascii="Times New Roman" w:hAnsi="Times New Roman" w:cs="Times New Roman"/>
          <w:sz w:val="24"/>
          <w:szCs w:val="24"/>
          <w:lang w:val="en-US"/>
        </w:rPr>
        <w:t>the analysis</w:t>
      </w:r>
      <w:r>
        <w:rPr>
          <w:rFonts w:ascii="Times New Roman" w:hAnsi="Times New Roman" w:cs="Times New Roman"/>
          <w:sz w:val="24"/>
          <w:szCs w:val="24"/>
          <w:lang w:val="en-US"/>
        </w:rPr>
        <w:t xml:space="preserve"> consider</w:t>
      </w:r>
      <w:r w:rsidR="00730618">
        <w:rPr>
          <w:rFonts w:ascii="Times New Roman" w:hAnsi="Times New Roman" w:cs="Times New Roman"/>
          <w:sz w:val="24"/>
          <w:szCs w:val="24"/>
          <w:lang w:val="en-US"/>
        </w:rPr>
        <w:t>s</w:t>
      </w:r>
      <w:r>
        <w:rPr>
          <w:rFonts w:ascii="Times New Roman" w:hAnsi="Times New Roman" w:cs="Times New Roman"/>
          <w:sz w:val="24"/>
          <w:szCs w:val="24"/>
          <w:lang w:val="en-US"/>
        </w:rPr>
        <w:t xml:space="preserve"> </w:t>
      </w:r>
      <w:r w:rsidR="00730618">
        <w:rPr>
          <w:rFonts w:ascii="Times New Roman" w:hAnsi="Times New Roman" w:cs="Times New Roman"/>
          <w:sz w:val="24"/>
          <w:szCs w:val="24"/>
          <w:lang w:val="en-US"/>
        </w:rPr>
        <w:t>the</w:t>
      </w:r>
      <w:r>
        <w:rPr>
          <w:rFonts w:ascii="Times New Roman" w:hAnsi="Times New Roman" w:cs="Times New Roman"/>
          <w:sz w:val="24"/>
          <w:szCs w:val="24"/>
          <w:lang w:val="en-US"/>
        </w:rPr>
        <w:t xml:space="preserve"> </w:t>
      </w:r>
      <w:r w:rsidRPr="008D7C0F">
        <w:rPr>
          <w:rFonts w:ascii="Times New Roman" w:hAnsi="Times New Roman" w:cs="Times New Roman"/>
          <w:sz w:val="24"/>
          <w:szCs w:val="24"/>
          <w:lang w:val="en-US"/>
        </w:rPr>
        <w:t>GARCHX model</w:t>
      </w:r>
      <w:r w:rsidR="00D80B30">
        <w:rPr>
          <w:rFonts w:ascii="Times New Roman" w:hAnsi="Times New Roman" w:cs="Times New Roman"/>
          <w:sz w:val="24"/>
          <w:szCs w:val="24"/>
          <w:lang w:val="en-US"/>
        </w:rPr>
        <w:t xml:space="preserve"> </w:t>
      </w:r>
      <w:r w:rsidR="00D80B30" w:rsidRPr="00936CA8">
        <w:rPr>
          <w:rFonts w:ascii="Times New Roman" w:hAnsi="Times New Roman" w:cs="Times New Roman"/>
          <w:sz w:val="24"/>
          <w:szCs w:val="24"/>
          <w:lang w:val="en-US"/>
        </w:rPr>
        <w:t>that builds upon the GARCH framework</w:t>
      </w:r>
      <w:r>
        <w:rPr>
          <w:rFonts w:ascii="Times New Roman" w:hAnsi="Times New Roman" w:cs="Times New Roman"/>
          <w:sz w:val="24"/>
          <w:szCs w:val="24"/>
          <w:lang w:val="en-US"/>
        </w:rPr>
        <w:t xml:space="preserve">. </w:t>
      </w:r>
      <w:r w:rsidR="00730618">
        <w:rPr>
          <w:rFonts w:ascii="Times New Roman" w:hAnsi="Times New Roman" w:cs="Times New Roman"/>
          <w:sz w:val="24"/>
          <w:szCs w:val="24"/>
          <w:lang w:val="en-US"/>
        </w:rPr>
        <w:t>The</w:t>
      </w:r>
      <w:r>
        <w:rPr>
          <w:rFonts w:ascii="Times New Roman" w:hAnsi="Times New Roman" w:cs="Times New Roman"/>
          <w:sz w:val="24"/>
          <w:szCs w:val="24"/>
          <w:lang w:val="en-US"/>
        </w:rPr>
        <w:t xml:space="preserve"> motivation </w:t>
      </w:r>
      <w:r w:rsidR="00730618">
        <w:rPr>
          <w:rFonts w:ascii="Times New Roman" w:hAnsi="Times New Roman" w:cs="Times New Roman"/>
          <w:sz w:val="24"/>
          <w:szCs w:val="24"/>
          <w:lang w:val="en-US"/>
        </w:rPr>
        <w:t>of the</w:t>
      </w:r>
      <w:r>
        <w:rPr>
          <w:rFonts w:ascii="Times New Roman" w:hAnsi="Times New Roman" w:cs="Times New Roman"/>
          <w:sz w:val="24"/>
          <w:szCs w:val="24"/>
          <w:lang w:val="en-US"/>
        </w:rPr>
        <w:t xml:space="preserve"> model selection is based upon previous studies </w:t>
      </w:r>
      <w:r w:rsidR="00730618">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have documented </w:t>
      </w:r>
      <w:r w:rsidR="0073061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correlation between stock returns and risk. </w:t>
      </w:r>
      <w:r w:rsidR="00D80B30">
        <w:rPr>
          <w:rFonts w:ascii="Times New Roman" w:hAnsi="Times New Roman" w:cs="Times New Roman"/>
          <w:sz w:val="24"/>
          <w:szCs w:val="24"/>
          <w:lang w:val="en-US"/>
        </w:rPr>
        <w:t xml:space="preserve">The </w:t>
      </w:r>
      <w:r w:rsidR="00D80B30" w:rsidRPr="00936CA8">
        <w:rPr>
          <w:rFonts w:ascii="Times New Roman" w:hAnsi="Times New Roman" w:cs="Times New Roman"/>
          <w:sz w:val="24"/>
          <w:szCs w:val="24"/>
          <w:lang w:val="en-US"/>
        </w:rPr>
        <w:t>GARCHX</w:t>
      </w:r>
      <w:r w:rsidR="00D80B30">
        <w:rPr>
          <w:rFonts w:ascii="Times New Roman" w:hAnsi="Times New Roman" w:cs="Times New Roman"/>
          <w:sz w:val="24"/>
          <w:szCs w:val="24"/>
          <w:lang w:val="en-US"/>
        </w:rPr>
        <w:t xml:space="preserve"> model allows to </w:t>
      </w:r>
      <w:r w:rsidR="00D80B30" w:rsidRPr="008D7C0F">
        <w:rPr>
          <w:rFonts w:ascii="Times New Roman" w:hAnsi="Times New Roman" w:cs="Times New Roman"/>
          <w:sz w:val="24"/>
          <w:szCs w:val="24"/>
          <w:lang w:val="en-US"/>
        </w:rPr>
        <w:t xml:space="preserve">include information on </w:t>
      </w:r>
      <w:r w:rsidR="00730618">
        <w:rPr>
          <w:rFonts w:ascii="Times New Roman" w:hAnsi="Times New Roman" w:cs="Times New Roman"/>
          <w:sz w:val="24"/>
          <w:szCs w:val="24"/>
          <w:lang w:val="en-US"/>
        </w:rPr>
        <w:t>certain</w:t>
      </w:r>
      <w:r w:rsidR="00D80B30" w:rsidRPr="008D7C0F">
        <w:rPr>
          <w:rFonts w:ascii="Times New Roman" w:hAnsi="Times New Roman" w:cs="Times New Roman"/>
          <w:sz w:val="24"/>
          <w:szCs w:val="24"/>
          <w:lang w:val="en-US"/>
        </w:rPr>
        <w:t xml:space="preserve"> </w:t>
      </w:r>
      <w:r w:rsidR="00D80B30">
        <w:rPr>
          <w:rFonts w:ascii="Times New Roman" w:hAnsi="Times New Roman" w:cs="Times New Roman"/>
          <w:sz w:val="24"/>
          <w:szCs w:val="24"/>
          <w:lang w:val="en-US"/>
        </w:rPr>
        <w:t xml:space="preserve">additional </w:t>
      </w:r>
      <w:r w:rsidR="00D80B30" w:rsidRPr="008D7C0F">
        <w:rPr>
          <w:rFonts w:ascii="Times New Roman" w:hAnsi="Times New Roman" w:cs="Times New Roman"/>
          <w:sz w:val="24"/>
          <w:szCs w:val="24"/>
          <w:lang w:val="en-US"/>
        </w:rPr>
        <w:t xml:space="preserve">important </w:t>
      </w:r>
      <w:r w:rsidR="00730618">
        <w:rPr>
          <w:rFonts w:ascii="Times New Roman" w:hAnsi="Times New Roman" w:cs="Times New Roman"/>
          <w:sz w:val="24"/>
          <w:szCs w:val="24"/>
          <w:lang w:val="en-US"/>
        </w:rPr>
        <w:t>controls</w:t>
      </w:r>
      <w:r w:rsidR="00D80B30">
        <w:rPr>
          <w:rFonts w:ascii="Times New Roman" w:hAnsi="Times New Roman" w:cs="Times New Roman"/>
          <w:sz w:val="24"/>
          <w:szCs w:val="24"/>
          <w:lang w:val="en-US"/>
        </w:rPr>
        <w:t xml:space="preserve"> </w:t>
      </w:r>
      <w:r w:rsidR="00730618">
        <w:rPr>
          <w:rFonts w:ascii="Times New Roman" w:hAnsi="Times New Roman" w:cs="Times New Roman"/>
          <w:sz w:val="24"/>
          <w:szCs w:val="24"/>
          <w:lang w:val="en-US"/>
        </w:rPr>
        <w:t>that are allowed to impact the mean of stock returns</w:t>
      </w:r>
      <w:r w:rsidR="00D80B30">
        <w:rPr>
          <w:rFonts w:ascii="Times New Roman" w:hAnsi="Times New Roman" w:cs="Times New Roman"/>
          <w:sz w:val="24"/>
          <w:szCs w:val="24"/>
          <w:lang w:val="en-US"/>
        </w:rPr>
        <w:t xml:space="preserve">. </w:t>
      </w:r>
      <w:r w:rsidRPr="004B0A41">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standard </w:t>
      </w:r>
      <w:r w:rsidRPr="004B0A41">
        <w:rPr>
          <w:rFonts w:ascii="Times New Roman" w:hAnsi="Times New Roman" w:cs="Times New Roman"/>
          <w:sz w:val="24"/>
          <w:szCs w:val="24"/>
          <w:lang w:val="en-US"/>
        </w:rPr>
        <w:t>GARCH</w:t>
      </w:r>
      <w:r w:rsidR="00E969AD">
        <w:rPr>
          <w:rFonts w:ascii="Times New Roman" w:hAnsi="Times New Roman" w:cs="Times New Roman"/>
          <w:sz w:val="24"/>
          <w:szCs w:val="24"/>
          <w:lang w:val="en-US"/>
        </w:rPr>
        <w:t>X</w:t>
      </w:r>
      <w:r w:rsidRPr="004B0A41">
        <w:rPr>
          <w:rFonts w:ascii="Times New Roman" w:hAnsi="Times New Roman" w:cs="Times New Roman"/>
          <w:sz w:val="24"/>
          <w:szCs w:val="24"/>
          <w:lang w:val="en-US"/>
        </w:rPr>
        <w:t xml:space="preserve"> model </w:t>
      </w:r>
      <w:r>
        <w:rPr>
          <w:rFonts w:ascii="Times New Roman" w:hAnsi="Times New Roman" w:cs="Times New Roman"/>
          <w:sz w:val="24"/>
          <w:szCs w:val="24"/>
          <w:lang w:val="en-US"/>
        </w:rPr>
        <w:t>is made up of</w:t>
      </w:r>
      <w:r w:rsidRPr="004B0A41">
        <w:rPr>
          <w:rFonts w:ascii="Times New Roman" w:hAnsi="Times New Roman" w:cs="Times New Roman"/>
          <w:sz w:val="24"/>
          <w:szCs w:val="24"/>
          <w:lang w:val="en-US"/>
        </w:rPr>
        <w:t xml:space="preserve"> two equations</w:t>
      </w:r>
      <w:r>
        <w:rPr>
          <w:rFonts w:ascii="Times New Roman" w:hAnsi="Times New Roman" w:cs="Times New Roman"/>
          <w:sz w:val="24"/>
          <w:szCs w:val="24"/>
          <w:lang w:val="en-US"/>
        </w:rPr>
        <w:t xml:space="preserve">: </w:t>
      </w:r>
      <w:r w:rsidRPr="004B0A41">
        <w:rPr>
          <w:rFonts w:ascii="Times New Roman" w:hAnsi="Times New Roman" w:cs="Times New Roman"/>
          <w:sz w:val="24"/>
          <w:szCs w:val="24"/>
          <w:lang w:val="en-US"/>
        </w:rPr>
        <w:t>a conditional mean and a conditional variance equation.</w:t>
      </w:r>
      <w:r w:rsidR="00D80B30">
        <w:rPr>
          <w:rFonts w:ascii="Times New Roman" w:hAnsi="Times New Roman" w:cs="Times New Roman"/>
          <w:sz w:val="24"/>
          <w:szCs w:val="24"/>
          <w:lang w:val="en-US"/>
        </w:rPr>
        <w:t xml:space="preserve"> </w:t>
      </w:r>
      <w:r w:rsidR="00E969AD">
        <w:rPr>
          <w:rFonts w:ascii="Times New Roman" w:hAnsi="Times New Roman" w:cs="Times New Roman"/>
          <w:sz w:val="24"/>
          <w:szCs w:val="24"/>
          <w:lang w:val="en-US"/>
        </w:rPr>
        <w:t>W</w:t>
      </w:r>
      <w:r w:rsidR="004A6E29">
        <w:rPr>
          <w:rFonts w:ascii="Times New Roman" w:hAnsi="Times New Roman" w:cs="Times New Roman"/>
          <w:sz w:val="24"/>
          <w:szCs w:val="24"/>
          <w:lang w:val="en-US"/>
        </w:rPr>
        <w:t xml:space="preserve">e </w:t>
      </w:r>
      <w:r w:rsidR="00730618">
        <w:rPr>
          <w:rFonts w:ascii="Times New Roman" w:hAnsi="Times New Roman" w:cs="Times New Roman"/>
          <w:sz w:val="24"/>
          <w:szCs w:val="24"/>
          <w:lang w:val="en-US"/>
        </w:rPr>
        <w:t>allow</w:t>
      </w:r>
      <w:r w:rsidR="004A6E29">
        <w:rPr>
          <w:rFonts w:ascii="Times New Roman" w:hAnsi="Times New Roman" w:cs="Times New Roman"/>
          <w:sz w:val="24"/>
          <w:szCs w:val="24"/>
          <w:lang w:val="en-US"/>
        </w:rPr>
        <w:t xml:space="preserve"> </w:t>
      </w:r>
      <w:r w:rsidR="00730618">
        <w:rPr>
          <w:rFonts w:ascii="Times New Roman" w:hAnsi="Times New Roman" w:cs="Times New Roman"/>
          <w:sz w:val="24"/>
          <w:szCs w:val="24"/>
          <w:lang w:val="en-US"/>
        </w:rPr>
        <w:t xml:space="preserve">the </w:t>
      </w:r>
      <w:r w:rsidR="00936CA8">
        <w:rPr>
          <w:rFonts w:ascii="Times New Roman" w:hAnsi="Times New Roman" w:cs="Times New Roman"/>
          <w:sz w:val="24"/>
          <w:szCs w:val="24"/>
          <w:lang w:val="en-US"/>
        </w:rPr>
        <w:t>C</w:t>
      </w:r>
      <w:r w:rsidR="00730618">
        <w:rPr>
          <w:rFonts w:ascii="Times New Roman" w:hAnsi="Times New Roman" w:cs="Times New Roman"/>
          <w:sz w:val="24"/>
          <w:szCs w:val="24"/>
          <w:lang w:val="en-US"/>
        </w:rPr>
        <w:t>ovid</w:t>
      </w:r>
      <w:r w:rsidR="00936CA8">
        <w:rPr>
          <w:rFonts w:ascii="Times New Roman" w:hAnsi="Times New Roman" w:cs="Times New Roman"/>
          <w:sz w:val="24"/>
          <w:szCs w:val="24"/>
          <w:lang w:val="en-US"/>
        </w:rPr>
        <w:t>-19</w:t>
      </w:r>
      <w:r w:rsidR="00936CA8" w:rsidRPr="008D7C0F">
        <w:rPr>
          <w:rFonts w:ascii="Times New Roman" w:hAnsi="Times New Roman" w:cs="Times New Roman"/>
          <w:sz w:val="24"/>
          <w:szCs w:val="24"/>
          <w:lang w:val="en-US"/>
        </w:rPr>
        <w:t xml:space="preserve"> factor</w:t>
      </w:r>
      <w:r w:rsidR="00730618">
        <w:rPr>
          <w:rFonts w:ascii="Times New Roman" w:hAnsi="Times New Roman" w:cs="Times New Roman"/>
          <w:sz w:val="24"/>
          <w:szCs w:val="24"/>
          <w:lang w:val="en-US"/>
        </w:rPr>
        <w:t xml:space="preserve"> to enter</w:t>
      </w:r>
      <w:r w:rsidR="00936CA8" w:rsidRPr="008D7C0F">
        <w:rPr>
          <w:rFonts w:ascii="Times New Roman" w:hAnsi="Times New Roman" w:cs="Times New Roman"/>
          <w:sz w:val="24"/>
          <w:szCs w:val="24"/>
          <w:lang w:val="en-US"/>
        </w:rPr>
        <w:t xml:space="preserve"> </w:t>
      </w:r>
      <w:r w:rsidR="00936CA8">
        <w:rPr>
          <w:rFonts w:ascii="Times New Roman" w:hAnsi="Times New Roman" w:cs="Times New Roman"/>
          <w:sz w:val="24"/>
          <w:szCs w:val="24"/>
          <w:lang w:val="en-US"/>
        </w:rPr>
        <w:t>both the mean and the conditional volatility equation</w:t>
      </w:r>
      <w:r w:rsidR="00730618">
        <w:rPr>
          <w:rFonts w:ascii="Times New Roman" w:hAnsi="Times New Roman" w:cs="Times New Roman"/>
          <w:sz w:val="24"/>
          <w:szCs w:val="24"/>
          <w:lang w:val="en-US"/>
        </w:rPr>
        <w:t>s</w:t>
      </w:r>
      <w:r w:rsidR="00936CA8" w:rsidRPr="008D7C0F">
        <w:rPr>
          <w:rFonts w:ascii="Times New Roman" w:hAnsi="Times New Roman" w:cs="Times New Roman"/>
          <w:sz w:val="24"/>
          <w:szCs w:val="24"/>
          <w:lang w:val="en-US"/>
        </w:rPr>
        <w:t xml:space="preserve">. </w:t>
      </w:r>
      <w:r w:rsidR="00936CA8">
        <w:rPr>
          <w:rFonts w:ascii="Times New Roman" w:hAnsi="Times New Roman" w:cs="Times New Roman"/>
          <w:sz w:val="24"/>
          <w:szCs w:val="24"/>
          <w:lang w:val="en-US"/>
        </w:rPr>
        <w:t>Therefore, t</w:t>
      </w:r>
      <w:r w:rsidR="00936CA8" w:rsidRPr="00DF5E49">
        <w:rPr>
          <w:rFonts w:ascii="Times New Roman" w:hAnsi="Times New Roman" w:cs="Times New Roman"/>
          <w:sz w:val="24"/>
          <w:szCs w:val="24"/>
          <w:lang w:val="en-US"/>
        </w:rPr>
        <w:t xml:space="preserve">his </w:t>
      </w:r>
      <w:r w:rsidR="00936CA8">
        <w:rPr>
          <w:rFonts w:ascii="Times New Roman" w:hAnsi="Times New Roman" w:cs="Times New Roman"/>
          <w:sz w:val="24"/>
          <w:szCs w:val="24"/>
          <w:lang w:val="en-US"/>
        </w:rPr>
        <w:t xml:space="preserve">modelling </w:t>
      </w:r>
      <w:r w:rsidR="00936CA8" w:rsidRPr="00DF5E49">
        <w:rPr>
          <w:rFonts w:ascii="Times New Roman" w:hAnsi="Times New Roman" w:cs="Times New Roman"/>
          <w:sz w:val="24"/>
          <w:szCs w:val="24"/>
          <w:lang w:val="en-US"/>
        </w:rPr>
        <w:t xml:space="preserve">approach enables us to assess </w:t>
      </w:r>
      <w:r w:rsidR="00936CA8">
        <w:rPr>
          <w:rFonts w:ascii="Times New Roman" w:hAnsi="Times New Roman" w:cs="Times New Roman"/>
          <w:sz w:val="24"/>
          <w:szCs w:val="24"/>
          <w:lang w:val="en-US"/>
        </w:rPr>
        <w:t xml:space="preserve">the impact of </w:t>
      </w:r>
      <w:r w:rsidR="00730618">
        <w:rPr>
          <w:rFonts w:ascii="Times New Roman" w:hAnsi="Times New Roman" w:cs="Times New Roman"/>
          <w:sz w:val="24"/>
          <w:szCs w:val="24"/>
          <w:lang w:val="en-US"/>
        </w:rPr>
        <w:t xml:space="preserve">the </w:t>
      </w:r>
      <w:r w:rsidR="00936CA8">
        <w:rPr>
          <w:rFonts w:ascii="Times New Roman" w:hAnsi="Times New Roman" w:cs="Times New Roman"/>
          <w:sz w:val="24"/>
          <w:szCs w:val="24"/>
          <w:lang w:val="en-US"/>
        </w:rPr>
        <w:t>C</w:t>
      </w:r>
      <w:r w:rsidR="00730618">
        <w:rPr>
          <w:rFonts w:ascii="Times New Roman" w:hAnsi="Times New Roman" w:cs="Times New Roman"/>
          <w:sz w:val="24"/>
          <w:szCs w:val="24"/>
          <w:lang w:val="en-US"/>
        </w:rPr>
        <w:t>ovid</w:t>
      </w:r>
      <w:r w:rsidR="00936CA8">
        <w:rPr>
          <w:rFonts w:ascii="Times New Roman" w:hAnsi="Times New Roman" w:cs="Times New Roman"/>
          <w:sz w:val="24"/>
          <w:szCs w:val="24"/>
          <w:lang w:val="en-US"/>
        </w:rPr>
        <w:t xml:space="preserve">-19 </w:t>
      </w:r>
      <w:r w:rsidR="00730618">
        <w:rPr>
          <w:rFonts w:ascii="Times New Roman" w:hAnsi="Times New Roman" w:cs="Times New Roman"/>
          <w:sz w:val="24"/>
          <w:szCs w:val="24"/>
          <w:lang w:val="en-US"/>
        </w:rPr>
        <w:t xml:space="preserve">event </w:t>
      </w:r>
      <w:r w:rsidR="00936CA8">
        <w:rPr>
          <w:rFonts w:ascii="Times New Roman" w:hAnsi="Times New Roman" w:cs="Times New Roman"/>
          <w:sz w:val="24"/>
          <w:szCs w:val="24"/>
          <w:lang w:val="en-US"/>
        </w:rPr>
        <w:t xml:space="preserve">via both </w:t>
      </w:r>
      <w:r w:rsidR="00730618">
        <w:rPr>
          <w:rFonts w:ascii="Times New Roman" w:hAnsi="Times New Roman" w:cs="Times New Roman"/>
          <w:sz w:val="24"/>
          <w:szCs w:val="24"/>
          <w:lang w:val="en-US"/>
        </w:rPr>
        <w:t>equations</w:t>
      </w:r>
      <w:r w:rsidR="00936CA8" w:rsidRPr="008D7C0F">
        <w:rPr>
          <w:rFonts w:ascii="Times New Roman" w:hAnsi="Times New Roman" w:cs="Times New Roman"/>
          <w:sz w:val="24"/>
          <w:szCs w:val="24"/>
          <w:lang w:val="en-US"/>
        </w:rPr>
        <w:t>.</w:t>
      </w:r>
      <w:r w:rsidR="00936CA8" w:rsidRPr="00BE42B1">
        <w:rPr>
          <w:rFonts w:ascii="Times New Roman" w:hAnsi="Times New Roman" w:cs="Times New Roman"/>
          <w:sz w:val="24"/>
          <w:szCs w:val="24"/>
          <w:lang w:val="en-US"/>
        </w:rPr>
        <w:t xml:space="preserve"> </w:t>
      </w:r>
      <w:r w:rsidR="00FA6C69">
        <w:rPr>
          <w:rFonts w:ascii="Times New Roman" w:hAnsi="Times New Roman" w:cs="Times New Roman"/>
          <w:sz w:val="24"/>
          <w:szCs w:val="24"/>
          <w:lang w:val="en-US"/>
        </w:rPr>
        <w:t>Th</w:t>
      </w:r>
      <w:r w:rsidR="00A17BEA">
        <w:rPr>
          <w:rFonts w:ascii="Times New Roman" w:hAnsi="Times New Roman" w:cs="Times New Roman"/>
          <w:sz w:val="24"/>
          <w:szCs w:val="24"/>
          <w:lang w:val="en-US"/>
        </w:rPr>
        <w:t xml:space="preserve">e </w:t>
      </w:r>
      <w:r w:rsidR="00A17BEA" w:rsidRPr="008D7C0F">
        <w:rPr>
          <w:rFonts w:ascii="Times New Roman" w:hAnsi="Times New Roman" w:cs="Times New Roman"/>
          <w:sz w:val="24"/>
          <w:szCs w:val="24"/>
          <w:lang w:val="en-US"/>
        </w:rPr>
        <w:t>GARCHX model</w:t>
      </w:r>
      <w:r w:rsidR="008D7C0F" w:rsidRPr="008D7C0F">
        <w:rPr>
          <w:rFonts w:ascii="Times New Roman" w:hAnsi="Times New Roman" w:cs="Times New Roman"/>
          <w:sz w:val="24"/>
          <w:szCs w:val="24"/>
          <w:lang w:val="en-US"/>
        </w:rPr>
        <w:t xml:space="preserve"> is a special</w:t>
      </w:r>
      <w:r w:rsidR="00FA6C69">
        <w:rPr>
          <w:rFonts w:ascii="Times New Roman" w:hAnsi="Times New Roman" w:cs="Times New Roman"/>
          <w:sz w:val="24"/>
          <w:szCs w:val="24"/>
          <w:lang w:val="en-US"/>
        </w:rPr>
        <w:t xml:space="preserve"> </w:t>
      </w:r>
      <w:r w:rsidR="008D7C0F" w:rsidRPr="008D7C0F">
        <w:rPr>
          <w:rFonts w:ascii="Times New Roman" w:hAnsi="Times New Roman" w:cs="Times New Roman"/>
          <w:sz w:val="24"/>
          <w:szCs w:val="24"/>
          <w:lang w:val="en-US"/>
        </w:rPr>
        <w:t xml:space="preserve">case of the multivariate Factor-GARCH model </w:t>
      </w:r>
      <w:r w:rsidR="00730618">
        <w:rPr>
          <w:rFonts w:ascii="Times New Roman" w:hAnsi="Times New Roman" w:cs="Times New Roman"/>
          <w:sz w:val="24"/>
          <w:szCs w:val="24"/>
          <w:lang w:val="en-US"/>
        </w:rPr>
        <w:t>by</w:t>
      </w:r>
      <w:r w:rsidR="008D7C0F" w:rsidRPr="008D7C0F">
        <w:rPr>
          <w:rFonts w:ascii="Times New Roman" w:hAnsi="Times New Roman" w:cs="Times New Roman"/>
          <w:sz w:val="24"/>
          <w:szCs w:val="24"/>
          <w:lang w:val="en-US"/>
        </w:rPr>
        <w:t xml:space="preserve"> Engle</w:t>
      </w:r>
      <w:r w:rsidR="00210ABC">
        <w:rPr>
          <w:rFonts w:ascii="Times New Roman" w:hAnsi="Times New Roman" w:cs="Times New Roman"/>
          <w:sz w:val="24"/>
          <w:szCs w:val="24"/>
          <w:lang w:val="en-US"/>
        </w:rPr>
        <w:t xml:space="preserve"> et al.</w:t>
      </w:r>
      <w:r w:rsidR="008D7C0F" w:rsidRPr="008D7C0F">
        <w:rPr>
          <w:rFonts w:ascii="Times New Roman" w:hAnsi="Times New Roman" w:cs="Times New Roman"/>
          <w:sz w:val="24"/>
          <w:szCs w:val="24"/>
          <w:lang w:val="en-US"/>
        </w:rPr>
        <w:t xml:space="preserve"> (1990)</w:t>
      </w:r>
      <w:r w:rsidR="00FA6C69">
        <w:rPr>
          <w:rFonts w:ascii="Times New Roman" w:hAnsi="Times New Roman" w:cs="Times New Roman"/>
          <w:sz w:val="24"/>
          <w:szCs w:val="24"/>
          <w:lang w:val="en-US"/>
        </w:rPr>
        <w:t xml:space="preserve">, </w:t>
      </w:r>
      <w:r w:rsidR="008D7C0F" w:rsidRPr="008D7C0F">
        <w:rPr>
          <w:rFonts w:ascii="Times New Roman" w:hAnsi="Times New Roman" w:cs="Times New Roman"/>
          <w:sz w:val="24"/>
          <w:szCs w:val="24"/>
          <w:lang w:val="en-US"/>
        </w:rPr>
        <w:t xml:space="preserve">in the sense that only one factor, i.e., the </w:t>
      </w:r>
      <w:r w:rsidR="00E81DE4">
        <w:rPr>
          <w:rFonts w:ascii="Times New Roman" w:hAnsi="Times New Roman" w:cs="Times New Roman"/>
          <w:sz w:val="24"/>
          <w:szCs w:val="24"/>
          <w:lang w:val="en-US"/>
        </w:rPr>
        <w:t>C</w:t>
      </w:r>
      <w:r w:rsidR="00730618">
        <w:rPr>
          <w:rFonts w:ascii="Times New Roman" w:hAnsi="Times New Roman" w:cs="Times New Roman"/>
          <w:sz w:val="24"/>
          <w:szCs w:val="24"/>
          <w:lang w:val="en-US"/>
        </w:rPr>
        <w:t>ovid</w:t>
      </w:r>
      <w:r w:rsidR="00FA6C69">
        <w:rPr>
          <w:rFonts w:ascii="Times New Roman" w:hAnsi="Times New Roman" w:cs="Times New Roman"/>
          <w:sz w:val="24"/>
          <w:szCs w:val="24"/>
          <w:lang w:val="en-US"/>
        </w:rPr>
        <w:t>-19</w:t>
      </w:r>
      <w:r w:rsidR="008D7C0F" w:rsidRPr="008D7C0F">
        <w:rPr>
          <w:rFonts w:ascii="Times New Roman" w:hAnsi="Times New Roman" w:cs="Times New Roman"/>
          <w:sz w:val="24"/>
          <w:szCs w:val="24"/>
          <w:lang w:val="en-US"/>
        </w:rPr>
        <w:t xml:space="preserve"> factor is included. </w:t>
      </w:r>
    </w:p>
    <w:p w14:paraId="24776785" w14:textId="1A1A5DD5" w:rsidR="008D7C0F" w:rsidRDefault="008D7C0F" w:rsidP="00AA08BE">
      <w:pPr>
        <w:spacing w:line="360" w:lineRule="auto"/>
        <w:ind w:firstLine="720"/>
        <w:jc w:val="both"/>
        <w:rPr>
          <w:rFonts w:ascii="Times New Roman" w:hAnsi="Times New Roman" w:cs="Times New Roman"/>
          <w:sz w:val="24"/>
          <w:szCs w:val="24"/>
          <w:lang w:val="en-US"/>
        </w:rPr>
      </w:pPr>
      <w:r w:rsidRPr="008D7C0F">
        <w:rPr>
          <w:rFonts w:ascii="Times New Roman" w:hAnsi="Times New Roman" w:cs="Times New Roman"/>
          <w:sz w:val="24"/>
          <w:szCs w:val="24"/>
          <w:lang w:val="en-US"/>
        </w:rPr>
        <w:lastRenderedPageBreak/>
        <w:t xml:space="preserve">GARCHX models are also a </w:t>
      </w:r>
      <w:r w:rsidR="00C93601" w:rsidRPr="008D7C0F">
        <w:rPr>
          <w:rFonts w:ascii="Times New Roman" w:hAnsi="Times New Roman" w:cs="Times New Roman"/>
          <w:sz w:val="24"/>
          <w:szCs w:val="24"/>
          <w:lang w:val="en-US"/>
        </w:rPr>
        <w:t>generalized</w:t>
      </w:r>
      <w:r w:rsidRPr="008D7C0F">
        <w:rPr>
          <w:rFonts w:ascii="Times New Roman" w:hAnsi="Times New Roman" w:cs="Times New Roman"/>
          <w:sz w:val="24"/>
          <w:szCs w:val="24"/>
          <w:lang w:val="en-US"/>
        </w:rPr>
        <w:t xml:space="preserve"> version of models by Braun</w:t>
      </w:r>
      <w:r w:rsidR="00210ABC">
        <w:rPr>
          <w:rFonts w:ascii="Times New Roman" w:hAnsi="Times New Roman" w:cs="Times New Roman"/>
          <w:sz w:val="24"/>
          <w:szCs w:val="24"/>
          <w:lang w:val="en-US"/>
        </w:rPr>
        <w:t xml:space="preserve"> et al.</w:t>
      </w:r>
      <w:r w:rsidRPr="008D7C0F">
        <w:rPr>
          <w:rFonts w:ascii="Times New Roman" w:hAnsi="Times New Roman" w:cs="Times New Roman"/>
          <w:sz w:val="24"/>
          <w:szCs w:val="24"/>
          <w:lang w:val="en-US"/>
        </w:rPr>
        <w:t xml:space="preserve"> (1995) and </w:t>
      </w:r>
      <w:proofErr w:type="spellStart"/>
      <w:r w:rsidRPr="008D7C0F">
        <w:rPr>
          <w:rFonts w:ascii="Times New Roman" w:hAnsi="Times New Roman" w:cs="Times New Roman"/>
          <w:sz w:val="24"/>
          <w:szCs w:val="24"/>
          <w:lang w:val="en-US"/>
        </w:rPr>
        <w:t>Glosten</w:t>
      </w:r>
      <w:proofErr w:type="spellEnd"/>
      <w:r w:rsidR="00210ABC">
        <w:rPr>
          <w:rFonts w:ascii="Times New Roman" w:hAnsi="Times New Roman" w:cs="Times New Roman"/>
          <w:sz w:val="24"/>
          <w:szCs w:val="24"/>
          <w:lang w:val="en-US"/>
        </w:rPr>
        <w:t xml:space="preserve"> et al.</w:t>
      </w:r>
      <w:r w:rsidRPr="008D7C0F">
        <w:rPr>
          <w:rFonts w:ascii="Times New Roman" w:hAnsi="Times New Roman" w:cs="Times New Roman"/>
          <w:sz w:val="24"/>
          <w:szCs w:val="24"/>
          <w:lang w:val="en-US"/>
        </w:rPr>
        <w:t xml:space="preserve"> (1993)</w:t>
      </w:r>
      <w:r w:rsidR="00FA6C69">
        <w:rPr>
          <w:rFonts w:ascii="Times New Roman" w:hAnsi="Times New Roman" w:cs="Times New Roman"/>
          <w:sz w:val="24"/>
          <w:szCs w:val="24"/>
          <w:lang w:val="en-US"/>
        </w:rPr>
        <w:t>.</w:t>
      </w:r>
      <w:r w:rsidR="00FA73AD">
        <w:rPr>
          <w:rFonts w:ascii="Times New Roman" w:hAnsi="Times New Roman" w:cs="Times New Roman"/>
          <w:sz w:val="24"/>
          <w:szCs w:val="24"/>
          <w:lang w:val="en-US"/>
        </w:rPr>
        <w:t xml:space="preserve"> </w:t>
      </w:r>
      <w:r w:rsidR="00AA08BE" w:rsidRPr="00AA08BE">
        <w:rPr>
          <w:rFonts w:ascii="Times New Roman" w:hAnsi="Times New Roman" w:cs="Times New Roman"/>
          <w:color w:val="FF0000"/>
          <w:sz w:val="24"/>
          <w:szCs w:val="24"/>
          <w:lang w:val="en-US"/>
        </w:rPr>
        <w:t xml:space="preserve">The study by </w:t>
      </w:r>
      <w:proofErr w:type="spellStart"/>
      <w:r w:rsidR="00AA08BE" w:rsidRPr="00AA08BE">
        <w:rPr>
          <w:rFonts w:ascii="Times New Roman" w:hAnsi="Times New Roman" w:cs="Times New Roman"/>
          <w:color w:val="FF0000"/>
          <w:sz w:val="24"/>
          <w:szCs w:val="24"/>
          <w:lang w:val="en-US"/>
        </w:rPr>
        <w:t>Babalos</w:t>
      </w:r>
      <w:proofErr w:type="spellEnd"/>
      <w:r w:rsidR="00AA08BE" w:rsidRPr="00AA08BE">
        <w:rPr>
          <w:rFonts w:ascii="Times New Roman" w:hAnsi="Times New Roman" w:cs="Times New Roman"/>
          <w:color w:val="FF0000"/>
          <w:sz w:val="24"/>
          <w:szCs w:val="24"/>
          <w:lang w:val="en-US"/>
        </w:rPr>
        <w:t xml:space="preserve"> et al. (2019) also makes use of a modelling approach that is close to ours. More specifically, to establish any potential link between equity fund flows and stock market returns, they estimate a VAR-</w:t>
      </w:r>
      <w:proofErr w:type="gramStart"/>
      <w:r w:rsidR="00AA08BE" w:rsidRPr="00AA08BE">
        <w:rPr>
          <w:rFonts w:ascii="Times New Roman" w:hAnsi="Times New Roman" w:cs="Times New Roman"/>
          <w:color w:val="FF0000"/>
          <w:sz w:val="24"/>
          <w:szCs w:val="24"/>
          <w:lang w:val="en-US"/>
        </w:rPr>
        <w:t>GARCH(</w:t>
      </w:r>
      <w:proofErr w:type="gramEnd"/>
      <w:r w:rsidR="00AA08BE" w:rsidRPr="00AA08BE">
        <w:rPr>
          <w:rFonts w:ascii="Times New Roman" w:hAnsi="Times New Roman" w:cs="Times New Roman"/>
          <w:color w:val="FF0000"/>
          <w:sz w:val="24"/>
          <w:szCs w:val="24"/>
          <w:lang w:val="en-US"/>
        </w:rPr>
        <w:t>1, 1)-in-mean model, which also allows the inclusion if an additional variable, i.e. a switch dummy variable that explicitly considers the global financial crisis event into the volatility equation.</w:t>
      </w:r>
      <w:r w:rsidR="00AA08BE">
        <w:rPr>
          <w:rFonts w:ascii="Times New Roman" w:hAnsi="Times New Roman" w:cs="Times New Roman"/>
          <w:sz w:val="24"/>
          <w:szCs w:val="24"/>
          <w:lang w:val="en-US"/>
        </w:rPr>
        <w:t xml:space="preserve"> </w:t>
      </w:r>
      <w:r w:rsidR="00FA73AD" w:rsidRPr="00FA73AD">
        <w:rPr>
          <w:rFonts w:ascii="Times New Roman" w:hAnsi="Times New Roman" w:cs="Times New Roman"/>
          <w:sz w:val="24"/>
          <w:szCs w:val="24"/>
          <w:lang w:val="en-US"/>
        </w:rPr>
        <w:t>A simple, but widely used method to obtain time-series volatility</w:t>
      </w:r>
      <w:r w:rsidR="00730618">
        <w:rPr>
          <w:rFonts w:ascii="Times New Roman" w:hAnsi="Times New Roman" w:cs="Times New Roman"/>
          <w:sz w:val="24"/>
          <w:szCs w:val="24"/>
          <w:lang w:val="en-US"/>
        </w:rPr>
        <w:t>,</w:t>
      </w:r>
      <w:r w:rsidR="00FA73AD" w:rsidRPr="00FA73AD">
        <w:rPr>
          <w:rFonts w:ascii="Times New Roman" w:hAnsi="Times New Roman" w:cs="Times New Roman"/>
          <w:sz w:val="24"/>
          <w:szCs w:val="24"/>
          <w:lang w:val="en-US"/>
        </w:rPr>
        <w:t xml:space="preserve"> is to apply a</w:t>
      </w:r>
      <w:r w:rsidR="00FA73AD">
        <w:rPr>
          <w:rFonts w:ascii="Times New Roman" w:hAnsi="Times New Roman" w:cs="Times New Roman"/>
          <w:sz w:val="24"/>
          <w:szCs w:val="24"/>
          <w:lang w:val="en-US"/>
        </w:rPr>
        <w:t xml:space="preserve"> </w:t>
      </w:r>
      <w:r w:rsidR="00FA73AD" w:rsidRPr="00FA73AD">
        <w:rPr>
          <w:rFonts w:ascii="Times New Roman" w:hAnsi="Times New Roman" w:cs="Times New Roman"/>
          <w:sz w:val="24"/>
          <w:szCs w:val="24"/>
          <w:lang w:val="en-US"/>
        </w:rPr>
        <w:t xml:space="preserve">return process to calculate errors and then square them. </w:t>
      </w:r>
      <w:r w:rsidR="00FA73AD">
        <w:rPr>
          <w:rFonts w:ascii="Times New Roman" w:hAnsi="Times New Roman" w:cs="Times New Roman"/>
          <w:sz w:val="24"/>
          <w:szCs w:val="24"/>
          <w:lang w:val="en-US"/>
        </w:rPr>
        <w:t>More specifically,</w:t>
      </w:r>
      <w:r w:rsidR="00FA73AD" w:rsidRPr="00FA73AD">
        <w:rPr>
          <w:rFonts w:ascii="Times New Roman" w:hAnsi="Times New Roman" w:cs="Times New Roman"/>
          <w:sz w:val="24"/>
          <w:szCs w:val="24"/>
          <w:lang w:val="en-US"/>
        </w:rPr>
        <w:t xml:space="preserve"> </w:t>
      </w:r>
      <w:r w:rsidR="00FA73AD">
        <w:rPr>
          <w:rFonts w:ascii="Times New Roman" w:hAnsi="Times New Roman" w:cs="Times New Roman"/>
          <w:sz w:val="24"/>
          <w:szCs w:val="24"/>
          <w:lang w:val="en-US"/>
        </w:rPr>
        <w:t xml:space="preserve">an </w:t>
      </w:r>
      <w:proofErr w:type="gramStart"/>
      <w:r w:rsidR="00FA73AD">
        <w:rPr>
          <w:rFonts w:ascii="Times New Roman" w:hAnsi="Times New Roman" w:cs="Times New Roman"/>
          <w:sz w:val="24"/>
          <w:szCs w:val="24"/>
          <w:lang w:val="en-US"/>
        </w:rPr>
        <w:t>ARMA(</w:t>
      </w:r>
      <w:proofErr w:type="gramEnd"/>
      <w:r w:rsidR="00FA73AD">
        <w:rPr>
          <w:rFonts w:ascii="Times New Roman" w:hAnsi="Times New Roman" w:cs="Times New Roman"/>
          <w:sz w:val="24"/>
          <w:szCs w:val="24"/>
          <w:lang w:val="en-US"/>
        </w:rPr>
        <w:t xml:space="preserve">p, q) returns </w:t>
      </w:r>
      <w:r w:rsidR="00FA73AD" w:rsidRPr="00FA73AD">
        <w:rPr>
          <w:rFonts w:ascii="Times New Roman" w:hAnsi="Times New Roman" w:cs="Times New Roman"/>
          <w:sz w:val="24"/>
          <w:szCs w:val="24"/>
          <w:lang w:val="en-US"/>
        </w:rPr>
        <w:t>process may be used to calculate errors. That is, for returns,</w:t>
      </w:r>
      <w:r w:rsidR="00FA73AD">
        <w:rPr>
          <w:rFonts w:ascii="Times New Roman" w:hAnsi="Times New Roman" w:cs="Times New Roman"/>
          <w:sz w:val="24"/>
          <w:szCs w:val="24"/>
          <w:lang w:val="en-US"/>
        </w:rPr>
        <w:t xml:space="preserve"> </w:t>
      </w:r>
      <w:proofErr w:type="spellStart"/>
      <w:r w:rsidR="00FA73AD">
        <w:rPr>
          <w:rFonts w:ascii="Times New Roman" w:hAnsi="Times New Roman" w:cs="Times New Roman"/>
          <w:sz w:val="24"/>
          <w:szCs w:val="24"/>
          <w:lang w:val="en-US"/>
        </w:rPr>
        <w:t>r</w:t>
      </w:r>
      <w:r w:rsidR="00FA73AD" w:rsidRPr="00FA73AD">
        <w:rPr>
          <w:rFonts w:ascii="Times New Roman" w:hAnsi="Times New Roman" w:cs="Times New Roman"/>
          <w:sz w:val="24"/>
          <w:szCs w:val="24"/>
          <w:vertAlign w:val="subscript"/>
          <w:lang w:val="en-US"/>
        </w:rPr>
        <w:t>it</w:t>
      </w:r>
      <w:proofErr w:type="spellEnd"/>
      <w:r w:rsidR="00730618">
        <w:rPr>
          <w:rFonts w:ascii="Times New Roman" w:hAnsi="Times New Roman" w:cs="Times New Roman"/>
          <w:sz w:val="24"/>
          <w:szCs w:val="24"/>
          <w:lang w:val="en-US"/>
        </w:rPr>
        <w:t>, the following specification is used:</w:t>
      </w:r>
    </w:p>
    <w:p w14:paraId="0CB5EEC7" w14:textId="37827E27" w:rsidR="00FA73AD" w:rsidRDefault="00FA73AD" w:rsidP="00FA73AD">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 </w:t>
      </w:r>
      <w:r>
        <w:rPr>
          <w:rFonts w:ascii="Times New Roman" w:hAnsi="Times New Roman" w:cs="Times New Roman"/>
          <w:sz w:val="24"/>
          <w:szCs w:val="24"/>
          <w:lang w:val="en-US"/>
        </w:rPr>
        <w:tab/>
        <w:t xml:space="preserve">   q</w:t>
      </w:r>
    </w:p>
    <w:p w14:paraId="00FE8653" w14:textId="0F5963BE" w:rsidR="00FA73AD" w:rsidRDefault="00FA73AD" w:rsidP="00FA73A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FA73AD">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 xml:space="preserve"> = a + </w:t>
      </w:r>
      <w:r w:rsidRPr="00FA73AD">
        <w:rPr>
          <w:rFonts w:ascii="Times New Roman" w:hAnsi="Times New Roman" w:cs="Times New Roman"/>
          <w:sz w:val="40"/>
          <w:szCs w:val="40"/>
        </w:rPr>
        <w:t>Σ</w:t>
      </w:r>
      <w:proofErr w:type="spellStart"/>
      <w:r>
        <w:rPr>
          <w:rFonts w:ascii="Times New Roman" w:hAnsi="Times New Roman" w:cs="Times New Roman"/>
          <w:sz w:val="24"/>
          <w:szCs w:val="24"/>
          <w:lang w:val="en-US"/>
        </w:rPr>
        <w:t>br</w:t>
      </w:r>
      <w:r w:rsidRPr="00FA73AD">
        <w:rPr>
          <w:rFonts w:ascii="Times New Roman" w:hAnsi="Times New Roman" w:cs="Times New Roman"/>
          <w:sz w:val="24"/>
          <w:szCs w:val="24"/>
          <w:vertAlign w:val="subscript"/>
          <w:lang w:val="en-US"/>
        </w:rPr>
        <w:t>t-i</w:t>
      </w:r>
      <w:proofErr w:type="spellEnd"/>
      <w:r>
        <w:rPr>
          <w:rFonts w:ascii="Times New Roman" w:hAnsi="Times New Roman" w:cs="Times New Roman"/>
          <w:sz w:val="24"/>
          <w:szCs w:val="24"/>
          <w:lang w:val="en-US"/>
        </w:rPr>
        <w:t xml:space="preserve"> + </w:t>
      </w:r>
      <w:r w:rsidRPr="00FA73AD">
        <w:rPr>
          <w:rFonts w:ascii="Times New Roman" w:hAnsi="Times New Roman" w:cs="Times New Roman"/>
          <w:sz w:val="40"/>
          <w:szCs w:val="40"/>
        </w:rPr>
        <w:t>Σ</w:t>
      </w:r>
      <w:proofErr w:type="spellStart"/>
      <w:r>
        <w:rPr>
          <w:rFonts w:ascii="Times New Roman" w:hAnsi="Times New Roman" w:cs="Times New Roman"/>
          <w:sz w:val="24"/>
          <w:szCs w:val="24"/>
          <w:lang w:val="en-US"/>
        </w:rPr>
        <w:t>cv</w:t>
      </w:r>
      <w:r w:rsidRPr="00FA73AD">
        <w:rPr>
          <w:rFonts w:ascii="Times New Roman" w:hAnsi="Times New Roman" w:cs="Times New Roman"/>
          <w:sz w:val="24"/>
          <w:szCs w:val="24"/>
          <w:vertAlign w:val="subscript"/>
          <w:lang w:val="en-US"/>
        </w:rPr>
        <w:t>t-i</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ε</w:t>
      </w:r>
      <w:r w:rsidRPr="00FA73AD">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36275">
        <w:rPr>
          <w:rFonts w:ascii="Times New Roman" w:hAnsi="Times New Roman" w:cs="Times New Roman"/>
          <w:sz w:val="24"/>
          <w:szCs w:val="24"/>
          <w:lang w:val="en-US"/>
        </w:rPr>
        <w:tab/>
      </w:r>
      <w:r>
        <w:rPr>
          <w:rFonts w:ascii="Times New Roman" w:hAnsi="Times New Roman" w:cs="Times New Roman"/>
          <w:sz w:val="24"/>
          <w:szCs w:val="24"/>
          <w:lang w:val="en-US"/>
        </w:rPr>
        <w:t>(</w:t>
      </w:r>
      <w:r w:rsidR="00A92632">
        <w:rPr>
          <w:rFonts w:ascii="Times New Roman" w:hAnsi="Times New Roman" w:cs="Times New Roman"/>
          <w:sz w:val="24"/>
          <w:szCs w:val="24"/>
          <w:lang w:val="en-US"/>
        </w:rPr>
        <w:t>1</w:t>
      </w:r>
      <w:r>
        <w:rPr>
          <w:rFonts w:ascii="Times New Roman" w:hAnsi="Times New Roman" w:cs="Times New Roman"/>
          <w:sz w:val="24"/>
          <w:szCs w:val="24"/>
          <w:lang w:val="en-US"/>
        </w:rPr>
        <w:t>)</w:t>
      </w:r>
    </w:p>
    <w:p w14:paraId="21D38389" w14:textId="2B775864" w:rsidR="00FA73AD" w:rsidRDefault="00FA73AD" w:rsidP="00FA73A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i</w:t>
      </w:r>
      <w:proofErr w:type="spellEnd"/>
      <w:proofErr w:type="gramEnd"/>
      <w:r>
        <w:rPr>
          <w:rFonts w:ascii="Times New Roman" w:hAnsi="Times New Roman" w:cs="Times New Roman"/>
          <w:sz w:val="24"/>
          <w:szCs w:val="24"/>
          <w:lang w:val="en-US"/>
        </w:rPr>
        <w:t>=1</w:t>
      </w:r>
    </w:p>
    <w:p w14:paraId="59F2D562" w14:textId="04A1A3A4" w:rsidR="001D514A" w:rsidRDefault="00FA73AD" w:rsidP="00FA73A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the first sum represents the autoregressive (AR) component and the second sum the moving average (MA) component, with a and </w:t>
      </w:r>
      <w:r>
        <w:rPr>
          <w:rFonts w:ascii="Times New Roman" w:hAnsi="Times New Roman" w:cs="Times New Roman"/>
          <w:sz w:val="24"/>
          <w:szCs w:val="24"/>
        </w:rPr>
        <w:t>ε</w:t>
      </w:r>
      <w:r>
        <w:rPr>
          <w:rFonts w:ascii="Times New Roman" w:hAnsi="Times New Roman" w:cs="Times New Roman"/>
          <w:sz w:val="24"/>
          <w:szCs w:val="24"/>
          <w:lang w:val="en-US"/>
        </w:rPr>
        <w:t xml:space="preserve"> being a constant and an error term, respectively. In the first step of the GARCHX methodology, we add to </w:t>
      </w:r>
      <w:r w:rsidR="00730618">
        <w:rPr>
          <w:rFonts w:ascii="Times New Roman" w:hAnsi="Times New Roman" w:cs="Times New Roman"/>
          <w:sz w:val="24"/>
          <w:szCs w:val="24"/>
          <w:lang w:val="en-US"/>
        </w:rPr>
        <w:t xml:space="preserve">Equation </w:t>
      </w:r>
      <w:r>
        <w:rPr>
          <w:rFonts w:ascii="Times New Roman" w:hAnsi="Times New Roman" w:cs="Times New Roman"/>
          <w:sz w:val="24"/>
          <w:szCs w:val="24"/>
          <w:lang w:val="en-US"/>
        </w:rPr>
        <w:t xml:space="preserve">(1) a new variable that proxies the </w:t>
      </w:r>
      <w:r w:rsidR="00E81DE4">
        <w:rPr>
          <w:rFonts w:ascii="Times New Roman" w:hAnsi="Times New Roman" w:cs="Times New Roman"/>
          <w:sz w:val="24"/>
          <w:szCs w:val="24"/>
          <w:lang w:val="en-US"/>
        </w:rPr>
        <w:t>C</w:t>
      </w:r>
      <w:r w:rsidR="00730618">
        <w:rPr>
          <w:rFonts w:ascii="Times New Roman" w:hAnsi="Times New Roman" w:cs="Times New Roman"/>
          <w:sz w:val="24"/>
          <w:szCs w:val="24"/>
          <w:lang w:val="en-US"/>
        </w:rPr>
        <w:t>ovid</w:t>
      </w:r>
      <w:r>
        <w:rPr>
          <w:rFonts w:ascii="Times New Roman" w:hAnsi="Times New Roman" w:cs="Times New Roman"/>
          <w:sz w:val="24"/>
          <w:szCs w:val="24"/>
          <w:lang w:val="en-US"/>
        </w:rPr>
        <w:t>-19 factor</w:t>
      </w:r>
      <w:r w:rsidR="00D46294">
        <w:rPr>
          <w:rFonts w:ascii="Times New Roman" w:hAnsi="Times New Roman" w:cs="Times New Roman"/>
          <w:sz w:val="24"/>
          <w:szCs w:val="24"/>
          <w:lang w:val="en-US"/>
        </w:rPr>
        <w:t>, turning the model into the GARCHX</w:t>
      </w:r>
      <w:r w:rsidR="00730618">
        <w:rPr>
          <w:rFonts w:ascii="Times New Roman" w:hAnsi="Times New Roman" w:cs="Times New Roman"/>
          <w:sz w:val="24"/>
          <w:szCs w:val="24"/>
          <w:lang w:val="en-US"/>
        </w:rPr>
        <w:t xml:space="preserve"> specification</w:t>
      </w:r>
      <w:r>
        <w:rPr>
          <w:rFonts w:ascii="Times New Roman" w:hAnsi="Times New Roman" w:cs="Times New Roman"/>
          <w:sz w:val="24"/>
          <w:szCs w:val="24"/>
          <w:lang w:val="en-US"/>
        </w:rPr>
        <w:t>:</w:t>
      </w:r>
    </w:p>
    <w:p w14:paraId="1C86B9CA" w14:textId="77777777" w:rsidR="00FA73AD" w:rsidRDefault="00FA73AD" w:rsidP="00FA73AD">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 </w:t>
      </w:r>
      <w:r>
        <w:rPr>
          <w:rFonts w:ascii="Times New Roman" w:hAnsi="Times New Roman" w:cs="Times New Roman"/>
          <w:sz w:val="24"/>
          <w:szCs w:val="24"/>
          <w:lang w:val="en-US"/>
        </w:rPr>
        <w:tab/>
        <w:t xml:space="preserve">   q</w:t>
      </w:r>
    </w:p>
    <w:p w14:paraId="77923C77" w14:textId="7E1674D7" w:rsidR="00FA73AD" w:rsidRDefault="00FA73AD" w:rsidP="00FA73A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FA73AD">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 xml:space="preserve"> = a + </w:t>
      </w:r>
      <w:r w:rsidRPr="00FA73AD">
        <w:rPr>
          <w:rFonts w:ascii="Times New Roman" w:hAnsi="Times New Roman" w:cs="Times New Roman"/>
          <w:sz w:val="40"/>
          <w:szCs w:val="40"/>
        </w:rPr>
        <w:t>Σ</w:t>
      </w:r>
      <w:proofErr w:type="spellStart"/>
      <w:r>
        <w:rPr>
          <w:rFonts w:ascii="Times New Roman" w:hAnsi="Times New Roman" w:cs="Times New Roman"/>
          <w:sz w:val="24"/>
          <w:szCs w:val="24"/>
          <w:lang w:val="en-US"/>
        </w:rPr>
        <w:t>br</w:t>
      </w:r>
      <w:r w:rsidRPr="00FA73AD">
        <w:rPr>
          <w:rFonts w:ascii="Times New Roman" w:hAnsi="Times New Roman" w:cs="Times New Roman"/>
          <w:sz w:val="24"/>
          <w:szCs w:val="24"/>
          <w:vertAlign w:val="subscript"/>
          <w:lang w:val="en-US"/>
        </w:rPr>
        <w:t>t-i</w:t>
      </w:r>
      <w:proofErr w:type="spellEnd"/>
      <w:r>
        <w:rPr>
          <w:rFonts w:ascii="Times New Roman" w:hAnsi="Times New Roman" w:cs="Times New Roman"/>
          <w:sz w:val="24"/>
          <w:szCs w:val="24"/>
          <w:lang w:val="en-US"/>
        </w:rPr>
        <w:t xml:space="preserve"> + </w:t>
      </w:r>
      <w:r w:rsidRPr="00FA73AD">
        <w:rPr>
          <w:rFonts w:ascii="Times New Roman" w:hAnsi="Times New Roman" w:cs="Times New Roman"/>
          <w:sz w:val="40"/>
          <w:szCs w:val="40"/>
        </w:rPr>
        <w:t>Σ</w:t>
      </w:r>
      <w:proofErr w:type="spellStart"/>
      <w:r>
        <w:rPr>
          <w:rFonts w:ascii="Times New Roman" w:hAnsi="Times New Roman" w:cs="Times New Roman"/>
          <w:sz w:val="24"/>
          <w:szCs w:val="24"/>
          <w:lang w:val="en-US"/>
        </w:rPr>
        <w:t>cv</w:t>
      </w:r>
      <w:r w:rsidRPr="00FA73AD">
        <w:rPr>
          <w:rFonts w:ascii="Times New Roman" w:hAnsi="Times New Roman" w:cs="Times New Roman"/>
          <w:sz w:val="24"/>
          <w:szCs w:val="24"/>
          <w:vertAlign w:val="subscript"/>
          <w:lang w:val="en-US"/>
        </w:rPr>
        <w:t>t-i</w:t>
      </w:r>
      <w:proofErr w:type="spellEnd"/>
      <w:r>
        <w:rPr>
          <w:rFonts w:ascii="Times New Roman" w:hAnsi="Times New Roman" w:cs="Times New Roman"/>
          <w:sz w:val="24"/>
          <w:szCs w:val="24"/>
          <w:lang w:val="en-US"/>
        </w:rPr>
        <w:t xml:space="preserve"> + d </w:t>
      </w:r>
      <w:r w:rsidR="00E81DE4">
        <w:rPr>
          <w:rFonts w:ascii="Times New Roman" w:hAnsi="Times New Roman" w:cs="Times New Roman"/>
          <w:sz w:val="24"/>
          <w:szCs w:val="24"/>
          <w:lang w:val="en-US"/>
        </w:rPr>
        <w:t>C</w:t>
      </w:r>
      <w:r w:rsidR="00E969AD">
        <w:rPr>
          <w:rFonts w:ascii="Times New Roman" w:hAnsi="Times New Roman" w:cs="Times New Roman"/>
          <w:sz w:val="24"/>
          <w:szCs w:val="24"/>
          <w:lang w:val="en-US"/>
        </w:rPr>
        <w:t>ovid</w:t>
      </w:r>
      <w:r>
        <w:rPr>
          <w:rFonts w:ascii="Times New Roman" w:hAnsi="Times New Roman" w:cs="Times New Roman"/>
          <w:sz w:val="24"/>
          <w:szCs w:val="24"/>
          <w:lang w:val="en-US"/>
        </w:rPr>
        <w:t>19</w:t>
      </w:r>
      <w:r w:rsidRPr="00FA73AD">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 xml:space="preserve"> + </w:t>
      </w:r>
      <w:r>
        <w:rPr>
          <w:rFonts w:ascii="Times New Roman" w:hAnsi="Times New Roman" w:cs="Times New Roman"/>
          <w:sz w:val="24"/>
          <w:szCs w:val="24"/>
        </w:rPr>
        <w:t>η</w:t>
      </w:r>
      <w:r w:rsidRPr="00FA73AD">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36275">
        <w:rPr>
          <w:rFonts w:ascii="Times New Roman" w:hAnsi="Times New Roman" w:cs="Times New Roman"/>
          <w:sz w:val="24"/>
          <w:szCs w:val="24"/>
          <w:lang w:val="en-US"/>
        </w:rPr>
        <w:tab/>
      </w:r>
      <w:r>
        <w:rPr>
          <w:rFonts w:ascii="Times New Roman" w:hAnsi="Times New Roman" w:cs="Times New Roman"/>
          <w:sz w:val="24"/>
          <w:szCs w:val="24"/>
          <w:lang w:val="en-US"/>
        </w:rPr>
        <w:t>(</w:t>
      </w:r>
      <w:r w:rsidR="00A92632">
        <w:rPr>
          <w:rFonts w:ascii="Times New Roman" w:hAnsi="Times New Roman" w:cs="Times New Roman"/>
          <w:sz w:val="24"/>
          <w:szCs w:val="24"/>
          <w:lang w:val="en-US"/>
        </w:rPr>
        <w:t>2</w:t>
      </w:r>
      <w:r>
        <w:rPr>
          <w:rFonts w:ascii="Times New Roman" w:hAnsi="Times New Roman" w:cs="Times New Roman"/>
          <w:sz w:val="24"/>
          <w:szCs w:val="24"/>
          <w:lang w:val="en-US"/>
        </w:rPr>
        <w:t>)</w:t>
      </w:r>
    </w:p>
    <w:p w14:paraId="4026A960" w14:textId="77777777" w:rsidR="00FA73AD" w:rsidRDefault="00FA73AD" w:rsidP="00FA73AD">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i</w:t>
      </w:r>
      <w:proofErr w:type="spellEnd"/>
      <w:proofErr w:type="gramEnd"/>
      <w:r>
        <w:rPr>
          <w:rFonts w:ascii="Times New Roman" w:hAnsi="Times New Roman" w:cs="Times New Roman"/>
          <w:sz w:val="24"/>
          <w:szCs w:val="24"/>
          <w:lang w:val="en-US"/>
        </w:rPr>
        <w:t>=1</w:t>
      </w:r>
    </w:p>
    <w:p w14:paraId="437975B3" w14:textId="30270331" w:rsidR="006C6E45" w:rsidRDefault="0052448C" w:rsidP="00730618">
      <w:pPr>
        <w:spacing w:line="360" w:lineRule="auto"/>
        <w:jc w:val="both"/>
        <w:rPr>
          <w:rFonts w:ascii="Times New Roman" w:hAnsi="Times New Roman" w:cs="Times New Roman"/>
          <w:sz w:val="24"/>
          <w:szCs w:val="24"/>
          <w:lang w:val="en-US"/>
        </w:rPr>
      </w:pPr>
      <w:r w:rsidRPr="004E3245">
        <w:rPr>
          <w:rFonts w:ascii="Times New Roman" w:hAnsi="Times New Roman" w:cs="Times New Roman"/>
          <w:sz w:val="24"/>
          <w:szCs w:val="24"/>
          <w:lang w:val="en-US"/>
        </w:rPr>
        <w:t xml:space="preserve">Since the seminal paper of </w:t>
      </w:r>
      <w:r w:rsidRPr="00024043">
        <w:rPr>
          <w:rFonts w:ascii="Times New Roman" w:hAnsi="Times New Roman" w:cs="Times New Roman"/>
          <w:sz w:val="24"/>
          <w:szCs w:val="24"/>
          <w:lang w:val="en-US"/>
        </w:rPr>
        <w:t>Hamilton (1983)</w:t>
      </w:r>
      <w:r w:rsidRPr="004E3245">
        <w:rPr>
          <w:rFonts w:ascii="Times New Roman" w:hAnsi="Times New Roman" w:cs="Times New Roman"/>
          <w:sz w:val="24"/>
          <w:szCs w:val="24"/>
          <w:lang w:val="en-GB"/>
        </w:rPr>
        <w:t xml:space="preserve">, many </w:t>
      </w:r>
      <w:r w:rsidRPr="004E3245">
        <w:rPr>
          <w:rFonts w:ascii="Times New Roman" w:hAnsi="Times New Roman" w:cs="Times New Roman"/>
          <w:sz w:val="24"/>
          <w:szCs w:val="24"/>
          <w:lang w:val="en-US"/>
        </w:rPr>
        <w:t xml:space="preserve">studies have shown that stock markets respond to oil price shocks. </w:t>
      </w:r>
      <w:r>
        <w:rPr>
          <w:rFonts w:ascii="Times New Roman" w:hAnsi="Times New Roman" w:cs="Times New Roman"/>
          <w:sz w:val="24"/>
          <w:szCs w:val="24"/>
          <w:lang w:val="en-US"/>
        </w:rPr>
        <w:t>In a seminal contribution, Kilian (2009) propose</w:t>
      </w:r>
      <w:r w:rsidR="00730618">
        <w:rPr>
          <w:rFonts w:ascii="Times New Roman" w:hAnsi="Times New Roman" w:cs="Times New Roman"/>
          <w:sz w:val="24"/>
          <w:szCs w:val="24"/>
          <w:lang w:val="en-US"/>
        </w:rPr>
        <w:t>s</w:t>
      </w:r>
      <w:r>
        <w:rPr>
          <w:rFonts w:ascii="Times New Roman" w:hAnsi="Times New Roman" w:cs="Times New Roman"/>
          <w:sz w:val="24"/>
          <w:szCs w:val="24"/>
          <w:lang w:val="en-US"/>
        </w:rPr>
        <w:t xml:space="preserve"> a model that shows that the impact of oil price shock is contingent on whether the oil price changes are due to supply shocks or demand shocks. Several papers have used the model of Kilian (2009) to examine the effect of oil price shocks on financial markets. In general, studies f</w:t>
      </w:r>
      <w:r w:rsidR="00730618">
        <w:rPr>
          <w:rFonts w:ascii="Times New Roman" w:hAnsi="Times New Roman" w:cs="Times New Roman"/>
          <w:sz w:val="24"/>
          <w:szCs w:val="24"/>
          <w:lang w:val="en-US"/>
        </w:rPr>
        <w:t>i</w:t>
      </w:r>
      <w:r>
        <w:rPr>
          <w:rFonts w:ascii="Times New Roman" w:hAnsi="Times New Roman" w:cs="Times New Roman"/>
          <w:sz w:val="24"/>
          <w:szCs w:val="24"/>
          <w:lang w:val="en-US"/>
        </w:rPr>
        <w:t>nd that demand shocks have a large and significant impact on stock returns</w:t>
      </w:r>
      <w:r w:rsidR="00730618">
        <w:rPr>
          <w:rFonts w:ascii="Times New Roman" w:hAnsi="Times New Roman" w:cs="Times New Roman"/>
          <w:sz w:val="24"/>
          <w:szCs w:val="24"/>
          <w:lang w:val="en-US"/>
        </w:rPr>
        <w:t>, while</w:t>
      </w:r>
      <w:r>
        <w:rPr>
          <w:rFonts w:ascii="Times New Roman" w:hAnsi="Times New Roman" w:cs="Times New Roman"/>
          <w:sz w:val="24"/>
          <w:szCs w:val="24"/>
          <w:lang w:val="en-US"/>
        </w:rPr>
        <w:t xml:space="preserve"> supply shocks have </w:t>
      </w:r>
      <w:r w:rsidR="00730618">
        <w:rPr>
          <w:rFonts w:ascii="Times New Roman" w:hAnsi="Times New Roman" w:cs="Times New Roman"/>
          <w:sz w:val="24"/>
          <w:szCs w:val="24"/>
          <w:lang w:val="en-US"/>
        </w:rPr>
        <w:t>a small</w:t>
      </w:r>
      <w:r>
        <w:rPr>
          <w:rFonts w:ascii="Times New Roman" w:hAnsi="Times New Roman" w:cs="Times New Roman"/>
          <w:sz w:val="24"/>
          <w:szCs w:val="24"/>
          <w:lang w:val="en-US"/>
        </w:rPr>
        <w:t xml:space="preserve"> impact on </w:t>
      </w:r>
      <w:r w:rsidR="00730618">
        <w:rPr>
          <w:rFonts w:ascii="Times New Roman" w:hAnsi="Times New Roman" w:cs="Times New Roman"/>
          <w:sz w:val="24"/>
          <w:szCs w:val="24"/>
          <w:lang w:val="en-US"/>
        </w:rPr>
        <w:t>those</w:t>
      </w:r>
      <w:r>
        <w:rPr>
          <w:rFonts w:ascii="Times New Roman" w:hAnsi="Times New Roman" w:cs="Times New Roman"/>
          <w:sz w:val="24"/>
          <w:szCs w:val="24"/>
          <w:lang w:val="en-US"/>
        </w:rPr>
        <w:t xml:space="preserve"> returns. </w:t>
      </w:r>
      <w:r w:rsidR="006C6E45">
        <w:rPr>
          <w:rFonts w:ascii="Times New Roman" w:hAnsi="Times New Roman" w:cs="Times New Roman"/>
          <w:sz w:val="24"/>
          <w:szCs w:val="24"/>
          <w:lang w:val="en-US"/>
        </w:rPr>
        <w:t>Given that the literature has established a role of oil pr</w:t>
      </w:r>
      <w:r w:rsidR="00DE38A8">
        <w:rPr>
          <w:rFonts w:ascii="Times New Roman" w:hAnsi="Times New Roman" w:cs="Times New Roman"/>
          <w:sz w:val="24"/>
          <w:szCs w:val="24"/>
          <w:lang w:val="en-US"/>
        </w:rPr>
        <w:t>ices</w:t>
      </w:r>
      <w:r w:rsidR="006C6E45">
        <w:rPr>
          <w:rFonts w:ascii="Times New Roman" w:hAnsi="Times New Roman" w:cs="Times New Roman"/>
          <w:sz w:val="24"/>
          <w:szCs w:val="24"/>
          <w:lang w:val="en-US"/>
        </w:rPr>
        <w:t xml:space="preserve"> in determining stock prices and returns (</w:t>
      </w:r>
      <w:proofErr w:type="spellStart"/>
      <w:r w:rsidR="006C6E45" w:rsidRPr="006C6E45">
        <w:rPr>
          <w:rFonts w:ascii="Times New Roman" w:hAnsi="Times New Roman" w:cs="Times New Roman"/>
          <w:sz w:val="24"/>
          <w:szCs w:val="24"/>
          <w:lang w:val="en-US"/>
        </w:rPr>
        <w:t>Cologni</w:t>
      </w:r>
      <w:proofErr w:type="spellEnd"/>
      <w:r w:rsidR="006C6E45" w:rsidRPr="006C6E45">
        <w:rPr>
          <w:rFonts w:ascii="Times New Roman" w:hAnsi="Times New Roman" w:cs="Times New Roman"/>
          <w:sz w:val="24"/>
          <w:szCs w:val="24"/>
          <w:lang w:val="en-US"/>
        </w:rPr>
        <w:t xml:space="preserve"> and </w:t>
      </w:r>
      <w:proofErr w:type="spellStart"/>
      <w:r w:rsidR="006C6E45" w:rsidRPr="006C6E45">
        <w:rPr>
          <w:rFonts w:ascii="Times New Roman" w:hAnsi="Times New Roman" w:cs="Times New Roman"/>
          <w:sz w:val="24"/>
          <w:szCs w:val="24"/>
          <w:lang w:val="en-US"/>
        </w:rPr>
        <w:t>Manera</w:t>
      </w:r>
      <w:proofErr w:type="spellEnd"/>
      <w:r w:rsidR="006C6E45" w:rsidRPr="006C6E45">
        <w:rPr>
          <w:rFonts w:ascii="Times New Roman" w:hAnsi="Times New Roman" w:cs="Times New Roman"/>
          <w:sz w:val="24"/>
          <w:szCs w:val="24"/>
          <w:lang w:val="en-US"/>
        </w:rPr>
        <w:t>, 2008; Kilian, 2009</w:t>
      </w:r>
      <w:r w:rsidR="00DE38A8">
        <w:rPr>
          <w:rFonts w:ascii="Times New Roman" w:hAnsi="Times New Roman" w:cs="Times New Roman"/>
          <w:sz w:val="24"/>
          <w:szCs w:val="24"/>
          <w:lang w:val="en-US"/>
        </w:rPr>
        <w:t xml:space="preserve">; </w:t>
      </w:r>
      <w:r w:rsidR="00DE38A8" w:rsidRPr="00DE38A8">
        <w:rPr>
          <w:rFonts w:ascii="Times New Roman" w:hAnsi="Times New Roman" w:cs="Times New Roman"/>
          <w:sz w:val="24"/>
          <w:szCs w:val="24"/>
          <w:lang w:val="en-US"/>
        </w:rPr>
        <w:t>Nguyen and Bhatti</w:t>
      </w:r>
      <w:r w:rsidR="00DE38A8">
        <w:rPr>
          <w:rFonts w:ascii="Times New Roman" w:hAnsi="Times New Roman" w:cs="Times New Roman"/>
          <w:sz w:val="24"/>
          <w:szCs w:val="24"/>
          <w:lang w:val="en-US"/>
        </w:rPr>
        <w:t>,</w:t>
      </w:r>
      <w:r w:rsidR="00DE38A8" w:rsidRPr="00DE38A8">
        <w:rPr>
          <w:rFonts w:ascii="Times New Roman" w:hAnsi="Times New Roman" w:cs="Times New Roman"/>
          <w:sz w:val="24"/>
          <w:szCs w:val="24"/>
          <w:lang w:val="en-US"/>
        </w:rPr>
        <w:t xml:space="preserve"> 2012</w:t>
      </w:r>
      <w:r w:rsidR="00DE38A8">
        <w:rPr>
          <w:rFonts w:ascii="Times New Roman" w:hAnsi="Times New Roman" w:cs="Times New Roman"/>
          <w:sz w:val="24"/>
          <w:szCs w:val="24"/>
          <w:lang w:val="en-US"/>
        </w:rPr>
        <w:t xml:space="preserve">; </w:t>
      </w:r>
      <w:proofErr w:type="spellStart"/>
      <w:r w:rsidR="00DE38A8" w:rsidRPr="00DE38A8">
        <w:rPr>
          <w:rFonts w:ascii="Times New Roman" w:hAnsi="Times New Roman" w:cs="Times New Roman"/>
          <w:sz w:val="24"/>
          <w:szCs w:val="24"/>
          <w:lang w:val="en-US"/>
        </w:rPr>
        <w:t>Reboredo</w:t>
      </w:r>
      <w:proofErr w:type="spellEnd"/>
      <w:r w:rsidR="00DE38A8" w:rsidRPr="00DE38A8">
        <w:rPr>
          <w:rFonts w:ascii="Times New Roman" w:hAnsi="Times New Roman" w:cs="Times New Roman"/>
          <w:sz w:val="24"/>
          <w:szCs w:val="24"/>
          <w:lang w:val="en-US"/>
        </w:rPr>
        <w:t xml:space="preserve"> and Rivera-Castro</w:t>
      </w:r>
      <w:r w:rsidR="00DE38A8">
        <w:rPr>
          <w:rFonts w:ascii="Times New Roman" w:hAnsi="Times New Roman" w:cs="Times New Roman"/>
          <w:sz w:val="24"/>
          <w:szCs w:val="24"/>
          <w:lang w:val="en-US"/>
        </w:rPr>
        <w:t>,</w:t>
      </w:r>
      <w:r w:rsidR="00DE38A8" w:rsidRPr="00DE38A8">
        <w:rPr>
          <w:rFonts w:ascii="Times New Roman" w:hAnsi="Times New Roman" w:cs="Times New Roman"/>
          <w:sz w:val="24"/>
          <w:szCs w:val="24"/>
          <w:lang w:val="en-US"/>
        </w:rPr>
        <w:t xml:space="preserve"> 201</w:t>
      </w:r>
      <w:r w:rsidR="00DE38A8">
        <w:rPr>
          <w:rFonts w:ascii="Times New Roman" w:hAnsi="Times New Roman" w:cs="Times New Roman"/>
          <w:sz w:val="24"/>
          <w:szCs w:val="24"/>
          <w:lang w:val="en-US"/>
        </w:rPr>
        <w:t>4</w:t>
      </w:r>
      <w:r w:rsidR="006C6E45" w:rsidRPr="006C6E45">
        <w:rPr>
          <w:rFonts w:ascii="Times New Roman" w:hAnsi="Times New Roman" w:cs="Times New Roman"/>
          <w:sz w:val="24"/>
          <w:szCs w:val="24"/>
          <w:lang w:val="en-US"/>
        </w:rPr>
        <w:t>)</w:t>
      </w:r>
      <w:r w:rsidR="00DE38A8">
        <w:rPr>
          <w:rFonts w:ascii="Times New Roman" w:hAnsi="Times New Roman" w:cs="Times New Roman"/>
          <w:sz w:val="24"/>
          <w:szCs w:val="24"/>
          <w:lang w:val="en-US"/>
        </w:rPr>
        <w:t xml:space="preserve">, as well as </w:t>
      </w:r>
      <w:r w:rsidR="00730618">
        <w:rPr>
          <w:rFonts w:ascii="Times New Roman" w:hAnsi="Times New Roman" w:cs="Times New Roman"/>
          <w:sz w:val="24"/>
          <w:szCs w:val="24"/>
          <w:lang w:val="en-US"/>
        </w:rPr>
        <w:t>a similar role for</w:t>
      </w:r>
      <w:r w:rsidR="00DE38A8">
        <w:rPr>
          <w:rFonts w:ascii="Times New Roman" w:hAnsi="Times New Roman" w:cs="Times New Roman"/>
          <w:sz w:val="24"/>
          <w:szCs w:val="24"/>
          <w:lang w:val="en-US"/>
        </w:rPr>
        <w:t xml:space="preserve"> interest rates (</w:t>
      </w:r>
      <w:proofErr w:type="spellStart"/>
      <w:r w:rsidR="009B5C3B" w:rsidRPr="009B5C3B">
        <w:rPr>
          <w:rFonts w:ascii="Times New Roman" w:hAnsi="Times New Roman" w:cs="Times New Roman"/>
          <w:sz w:val="24"/>
          <w:szCs w:val="24"/>
          <w:lang w:val="en-US"/>
        </w:rPr>
        <w:t>Laopodis</w:t>
      </w:r>
      <w:proofErr w:type="spellEnd"/>
      <w:r w:rsidR="009B5C3B" w:rsidRPr="009B5C3B">
        <w:rPr>
          <w:rFonts w:ascii="Times New Roman" w:hAnsi="Times New Roman" w:cs="Times New Roman"/>
          <w:sz w:val="24"/>
          <w:szCs w:val="24"/>
          <w:lang w:val="en-US"/>
        </w:rPr>
        <w:t>, 2013</w:t>
      </w:r>
      <w:r w:rsidR="009B5C3B">
        <w:rPr>
          <w:rFonts w:ascii="Times New Roman" w:hAnsi="Times New Roman" w:cs="Times New Roman"/>
          <w:sz w:val="24"/>
          <w:szCs w:val="24"/>
          <w:lang w:val="en-US"/>
        </w:rPr>
        <w:t xml:space="preserve">; </w:t>
      </w:r>
      <w:r w:rsidR="009B5C3B" w:rsidRPr="009B5C3B">
        <w:rPr>
          <w:rFonts w:ascii="Times New Roman" w:hAnsi="Times New Roman" w:cs="Times New Roman"/>
          <w:sz w:val="24"/>
          <w:szCs w:val="24"/>
          <w:lang w:val="en-US"/>
        </w:rPr>
        <w:t xml:space="preserve">Huang </w:t>
      </w:r>
      <w:r w:rsidR="009B5C3B" w:rsidRPr="009B5C3B">
        <w:rPr>
          <w:rFonts w:ascii="Times New Roman" w:hAnsi="Times New Roman" w:cs="Times New Roman"/>
          <w:sz w:val="24"/>
          <w:szCs w:val="24"/>
          <w:lang w:val="en-US"/>
        </w:rPr>
        <w:lastRenderedPageBreak/>
        <w:t>et al., 2016</w:t>
      </w:r>
      <w:r w:rsidR="009B5C3B">
        <w:rPr>
          <w:rFonts w:ascii="Times New Roman" w:hAnsi="Times New Roman" w:cs="Times New Roman"/>
          <w:sz w:val="24"/>
          <w:szCs w:val="24"/>
          <w:lang w:val="en-US"/>
        </w:rPr>
        <w:t xml:space="preserve">; </w:t>
      </w:r>
      <w:r w:rsidR="009B5C3B" w:rsidRPr="009B5C3B">
        <w:rPr>
          <w:rFonts w:ascii="Times New Roman" w:hAnsi="Times New Roman" w:cs="Times New Roman"/>
          <w:sz w:val="24"/>
          <w:szCs w:val="24"/>
          <w:lang w:val="en-US"/>
        </w:rPr>
        <w:t>Assefa et al., 2017)</w:t>
      </w:r>
      <w:r w:rsidR="00997138">
        <w:rPr>
          <w:rFonts w:ascii="Times New Roman" w:hAnsi="Times New Roman" w:cs="Times New Roman"/>
          <w:sz w:val="24"/>
          <w:szCs w:val="24"/>
          <w:lang w:val="en-US"/>
        </w:rPr>
        <w:t>,</w:t>
      </w:r>
      <w:r w:rsidR="009B5C3B" w:rsidRPr="009B5C3B">
        <w:rPr>
          <w:rFonts w:ascii="Times New Roman" w:hAnsi="Times New Roman" w:cs="Times New Roman"/>
          <w:sz w:val="24"/>
          <w:szCs w:val="24"/>
          <w:lang w:val="en-US"/>
        </w:rPr>
        <w:t xml:space="preserve"> </w:t>
      </w:r>
      <w:r w:rsidR="00DE38A8">
        <w:rPr>
          <w:rFonts w:ascii="Times New Roman" w:hAnsi="Times New Roman" w:cs="Times New Roman"/>
          <w:sz w:val="24"/>
          <w:szCs w:val="24"/>
          <w:lang w:val="en-US"/>
        </w:rPr>
        <w:t xml:space="preserve">Equation (2) also includes </w:t>
      </w:r>
      <w:r w:rsidR="00730618">
        <w:rPr>
          <w:rFonts w:ascii="Times New Roman" w:hAnsi="Times New Roman" w:cs="Times New Roman"/>
          <w:sz w:val="24"/>
          <w:szCs w:val="24"/>
          <w:lang w:val="en-US"/>
        </w:rPr>
        <w:t xml:space="preserve">both </w:t>
      </w:r>
      <w:r w:rsidR="00DE38A8">
        <w:rPr>
          <w:rFonts w:ascii="Times New Roman" w:hAnsi="Times New Roman" w:cs="Times New Roman"/>
          <w:sz w:val="24"/>
          <w:szCs w:val="24"/>
          <w:lang w:val="en-US"/>
        </w:rPr>
        <w:t>oil prices and short-term interest rates:</w:t>
      </w:r>
    </w:p>
    <w:p w14:paraId="194100D2" w14:textId="77777777" w:rsidR="00DE38A8" w:rsidRDefault="00DE38A8" w:rsidP="00DE38A8">
      <w:pPr>
        <w:spacing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 </w:t>
      </w:r>
      <w:r>
        <w:rPr>
          <w:rFonts w:ascii="Times New Roman" w:hAnsi="Times New Roman" w:cs="Times New Roman"/>
          <w:sz w:val="24"/>
          <w:szCs w:val="24"/>
          <w:lang w:val="en-US"/>
        </w:rPr>
        <w:tab/>
        <w:t xml:space="preserve">   q</w:t>
      </w:r>
    </w:p>
    <w:p w14:paraId="6DC946D0" w14:textId="506B90D3" w:rsidR="00DE38A8" w:rsidRDefault="00DE38A8" w:rsidP="00DE38A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w:t>
      </w:r>
      <w:r w:rsidRPr="00FA73AD">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 xml:space="preserve"> = a + </w:t>
      </w:r>
      <w:r w:rsidRPr="00FA73AD">
        <w:rPr>
          <w:rFonts w:ascii="Times New Roman" w:hAnsi="Times New Roman" w:cs="Times New Roman"/>
          <w:sz w:val="40"/>
          <w:szCs w:val="40"/>
        </w:rPr>
        <w:t>Σ</w:t>
      </w:r>
      <w:proofErr w:type="spellStart"/>
      <w:r>
        <w:rPr>
          <w:rFonts w:ascii="Times New Roman" w:hAnsi="Times New Roman" w:cs="Times New Roman"/>
          <w:sz w:val="24"/>
          <w:szCs w:val="24"/>
          <w:lang w:val="en-US"/>
        </w:rPr>
        <w:t>br</w:t>
      </w:r>
      <w:r w:rsidRPr="00FA73AD">
        <w:rPr>
          <w:rFonts w:ascii="Times New Roman" w:hAnsi="Times New Roman" w:cs="Times New Roman"/>
          <w:sz w:val="24"/>
          <w:szCs w:val="24"/>
          <w:vertAlign w:val="subscript"/>
          <w:lang w:val="en-US"/>
        </w:rPr>
        <w:t>t-i</w:t>
      </w:r>
      <w:proofErr w:type="spellEnd"/>
      <w:r>
        <w:rPr>
          <w:rFonts w:ascii="Times New Roman" w:hAnsi="Times New Roman" w:cs="Times New Roman"/>
          <w:sz w:val="24"/>
          <w:szCs w:val="24"/>
          <w:lang w:val="en-US"/>
        </w:rPr>
        <w:t xml:space="preserve"> + </w:t>
      </w:r>
      <w:r w:rsidRPr="00FA73AD">
        <w:rPr>
          <w:rFonts w:ascii="Times New Roman" w:hAnsi="Times New Roman" w:cs="Times New Roman"/>
          <w:sz w:val="40"/>
          <w:szCs w:val="40"/>
        </w:rPr>
        <w:t>Σ</w:t>
      </w:r>
      <w:proofErr w:type="spellStart"/>
      <w:r>
        <w:rPr>
          <w:rFonts w:ascii="Times New Roman" w:hAnsi="Times New Roman" w:cs="Times New Roman"/>
          <w:sz w:val="24"/>
          <w:szCs w:val="24"/>
          <w:lang w:val="en-US"/>
        </w:rPr>
        <w:t>cv</w:t>
      </w:r>
      <w:r w:rsidRPr="00FA73AD">
        <w:rPr>
          <w:rFonts w:ascii="Times New Roman" w:hAnsi="Times New Roman" w:cs="Times New Roman"/>
          <w:sz w:val="24"/>
          <w:szCs w:val="24"/>
          <w:vertAlign w:val="subscript"/>
          <w:lang w:val="en-US"/>
        </w:rPr>
        <w:t>t-i</w:t>
      </w:r>
      <w:proofErr w:type="spellEnd"/>
      <w:r>
        <w:rPr>
          <w:rFonts w:ascii="Times New Roman" w:hAnsi="Times New Roman" w:cs="Times New Roman"/>
          <w:sz w:val="24"/>
          <w:szCs w:val="24"/>
          <w:lang w:val="en-US"/>
        </w:rPr>
        <w:t xml:space="preserve"> + d</w:t>
      </w:r>
      <w:r w:rsidRPr="00DE38A8">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r w:rsidR="00E81DE4">
        <w:rPr>
          <w:rFonts w:ascii="Times New Roman" w:hAnsi="Times New Roman" w:cs="Times New Roman"/>
          <w:sz w:val="24"/>
          <w:szCs w:val="24"/>
          <w:lang w:val="en-US"/>
        </w:rPr>
        <w:t>C</w:t>
      </w:r>
      <w:r w:rsidR="00730618">
        <w:rPr>
          <w:rFonts w:ascii="Times New Roman" w:hAnsi="Times New Roman" w:cs="Times New Roman"/>
          <w:sz w:val="24"/>
          <w:szCs w:val="24"/>
          <w:lang w:val="en-US"/>
        </w:rPr>
        <w:t>ovid</w:t>
      </w:r>
      <w:r>
        <w:rPr>
          <w:rFonts w:ascii="Times New Roman" w:hAnsi="Times New Roman" w:cs="Times New Roman"/>
          <w:sz w:val="24"/>
          <w:szCs w:val="24"/>
          <w:lang w:val="en-US"/>
        </w:rPr>
        <w:t>19</w:t>
      </w:r>
      <w:r w:rsidRPr="00FA73AD">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 xml:space="preserve"> + d</w:t>
      </w:r>
      <w:r w:rsidRPr="00DE38A8">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oil</w:t>
      </w:r>
      <w:r w:rsidRPr="00DE38A8">
        <w:rPr>
          <w:rFonts w:ascii="Times New Roman" w:hAnsi="Times New Roman" w:cs="Times New Roman"/>
          <w:sz w:val="24"/>
          <w:szCs w:val="24"/>
          <w:vertAlign w:val="subscript"/>
          <w:lang w:val="en-US"/>
        </w:rPr>
        <w:t>t</w:t>
      </w:r>
      <w:proofErr w:type="spellEnd"/>
      <w:r>
        <w:rPr>
          <w:rFonts w:ascii="Times New Roman" w:hAnsi="Times New Roman" w:cs="Times New Roman"/>
          <w:sz w:val="24"/>
          <w:szCs w:val="24"/>
          <w:lang w:val="en-US"/>
        </w:rPr>
        <w:t xml:space="preserve"> + d</w:t>
      </w:r>
      <w:r w:rsidRPr="00DE38A8">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rate</w:t>
      </w:r>
      <w:r w:rsidRPr="00DE38A8">
        <w:rPr>
          <w:rFonts w:ascii="Times New Roman" w:hAnsi="Times New Roman" w:cs="Times New Roman"/>
          <w:sz w:val="24"/>
          <w:szCs w:val="24"/>
          <w:vertAlign w:val="subscript"/>
          <w:lang w:val="en-US"/>
        </w:rPr>
        <w:t>t</w:t>
      </w:r>
      <w:proofErr w:type="spellEnd"/>
      <w:r>
        <w:rPr>
          <w:rFonts w:ascii="Times New Roman" w:hAnsi="Times New Roman" w:cs="Times New Roman"/>
          <w:sz w:val="24"/>
          <w:szCs w:val="24"/>
          <w:lang w:val="en-US"/>
        </w:rPr>
        <w:t xml:space="preserve"> + </w:t>
      </w:r>
      <w:r>
        <w:rPr>
          <w:rFonts w:ascii="Times New Roman" w:hAnsi="Times New Roman" w:cs="Times New Roman"/>
          <w:sz w:val="24"/>
          <w:szCs w:val="24"/>
        </w:rPr>
        <w:t>η</w:t>
      </w:r>
      <w:r w:rsidRPr="00FA73AD">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30618">
        <w:rPr>
          <w:rFonts w:ascii="Times New Roman" w:hAnsi="Times New Roman" w:cs="Times New Roman"/>
          <w:sz w:val="24"/>
          <w:szCs w:val="24"/>
          <w:lang w:val="en-US"/>
        </w:rPr>
        <w:tab/>
      </w:r>
      <w:r>
        <w:rPr>
          <w:rFonts w:ascii="Times New Roman" w:hAnsi="Times New Roman" w:cs="Times New Roman"/>
          <w:sz w:val="24"/>
          <w:szCs w:val="24"/>
          <w:lang w:val="en-US"/>
        </w:rPr>
        <w:t>(</w:t>
      </w:r>
      <w:r w:rsidR="00A92632">
        <w:rPr>
          <w:rFonts w:ascii="Times New Roman" w:hAnsi="Times New Roman" w:cs="Times New Roman"/>
          <w:sz w:val="24"/>
          <w:szCs w:val="24"/>
          <w:lang w:val="en-US"/>
        </w:rPr>
        <w:t>3</w:t>
      </w:r>
      <w:r>
        <w:rPr>
          <w:rFonts w:ascii="Times New Roman" w:hAnsi="Times New Roman" w:cs="Times New Roman"/>
          <w:sz w:val="24"/>
          <w:szCs w:val="24"/>
          <w:lang w:val="en-US"/>
        </w:rPr>
        <w:t>)</w:t>
      </w:r>
    </w:p>
    <w:p w14:paraId="5DAE8130" w14:textId="77777777" w:rsidR="00DE38A8" w:rsidRDefault="00DE38A8" w:rsidP="00DE38A8">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=1 </w:t>
      </w:r>
      <w:proofErr w:type="gramStart"/>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i</w:t>
      </w:r>
      <w:proofErr w:type="spellEnd"/>
      <w:proofErr w:type="gramEnd"/>
      <w:r>
        <w:rPr>
          <w:rFonts w:ascii="Times New Roman" w:hAnsi="Times New Roman" w:cs="Times New Roman"/>
          <w:sz w:val="24"/>
          <w:szCs w:val="24"/>
          <w:lang w:val="en-US"/>
        </w:rPr>
        <w:t>=1</w:t>
      </w:r>
    </w:p>
    <w:p w14:paraId="416618E7" w14:textId="07EA52DC" w:rsidR="00FA73AD" w:rsidRDefault="00FA73AD" w:rsidP="00FA73A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Within a </w:t>
      </w:r>
      <w:proofErr w:type="gramStart"/>
      <w:r>
        <w:rPr>
          <w:rFonts w:ascii="Times New Roman" w:hAnsi="Times New Roman" w:cs="Times New Roman"/>
          <w:sz w:val="24"/>
          <w:szCs w:val="24"/>
          <w:lang w:val="en-US"/>
        </w:rPr>
        <w:t>GARCH(</w:t>
      </w:r>
      <w:proofErr w:type="gramEnd"/>
      <w:r>
        <w:rPr>
          <w:rFonts w:ascii="Times New Roman" w:hAnsi="Times New Roman" w:cs="Times New Roman"/>
          <w:sz w:val="24"/>
          <w:szCs w:val="24"/>
          <w:lang w:val="en-US"/>
        </w:rPr>
        <w:t>1, 1) framework, the equation of conditional volatility turns out to be:</w:t>
      </w:r>
    </w:p>
    <w:p w14:paraId="740B1111" w14:textId="12C9F0B7" w:rsidR="00FA73AD" w:rsidRPr="006C6E45" w:rsidRDefault="006C6E45" w:rsidP="00FA73AD">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w:t>
      </w:r>
      <w:r w:rsidRPr="006C6E45">
        <w:rPr>
          <w:rFonts w:ascii="Times New Roman" w:hAnsi="Times New Roman" w:cs="Times New Roman"/>
          <w:sz w:val="24"/>
          <w:szCs w:val="24"/>
          <w:vertAlign w:val="subscript"/>
          <w:lang w:val="en-US"/>
        </w:rPr>
        <w:t>t</w:t>
      </w:r>
      <w:proofErr w:type="spellEnd"/>
      <w:r>
        <w:rPr>
          <w:rFonts w:ascii="Times New Roman" w:hAnsi="Times New Roman" w:cs="Times New Roman"/>
          <w:sz w:val="24"/>
          <w:szCs w:val="24"/>
          <w:lang w:val="en-US"/>
        </w:rPr>
        <w:t xml:space="preserve"> = f + gh</w:t>
      </w:r>
      <w:r w:rsidRPr="006C6E45">
        <w:rPr>
          <w:rFonts w:ascii="Times New Roman" w:hAnsi="Times New Roman" w:cs="Times New Roman"/>
          <w:sz w:val="24"/>
          <w:szCs w:val="24"/>
          <w:vertAlign w:val="subscript"/>
          <w:lang w:val="en-US"/>
        </w:rPr>
        <w:t>t-1</w:t>
      </w:r>
      <w:r>
        <w:rPr>
          <w:rFonts w:ascii="Times New Roman" w:hAnsi="Times New Roman" w:cs="Times New Roman"/>
          <w:sz w:val="24"/>
          <w:szCs w:val="24"/>
          <w:lang w:val="en-US"/>
        </w:rPr>
        <w:t xml:space="preserve"> + m</w:t>
      </w:r>
      <w:r>
        <w:rPr>
          <w:rFonts w:ascii="Times New Roman" w:hAnsi="Times New Roman" w:cs="Times New Roman"/>
          <w:sz w:val="24"/>
          <w:szCs w:val="24"/>
        </w:rPr>
        <w:t>η</w:t>
      </w:r>
      <w:r w:rsidRPr="006C6E45">
        <w:rPr>
          <w:rFonts w:ascii="Times New Roman" w:hAnsi="Times New Roman" w:cs="Times New Roman"/>
          <w:sz w:val="24"/>
          <w:szCs w:val="24"/>
          <w:vertAlign w:val="superscript"/>
          <w:lang w:val="en-US"/>
        </w:rPr>
        <w:t>2</w:t>
      </w:r>
      <w:r w:rsidRPr="006C6E45">
        <w:rPr>
          <w:rFonts w:ascii="Times New Roman" w:hAnsi="Times New Roman" w:cs="Times New Roman"/>
          <w:sz w:val="24"/>
          <w:szCs w:val="24"/>
          <w:vertAlign w:val="subscript"/>
          <w:lang w:val="en-US"/>
        </w:rPr>
        <w:t>t-</w:t>
      </w:r>
      <w:proofErr w:type="gramStart"/>
      <w:r w:rsidRPr="006C6E45">
        <w:rPr>
          <w:rFonts w:ascii="Times New Roman" w:hAnsi="Times New Roman" w:cs="Times New Roman"/>
          <w:sz w:val="24"/>
          <w:szCs w:val="24"/>
          <w:vertAlign w:val="subscript"/>
          <w:lang w:val="en-US"/>
        </w:rPr>
        <w:t>1</w:t>
      </w: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proofErr w:type="gramEnd"/>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36275">
        <w:rPr>
          <w:rFonts w:ascii="Times New Roman" w:hAnsi="Times New Roman" w:cs="Times New Roman"/>
          <w:sz w:val="24"/>
          <w:szCs w:val="24"/>
          <w:lang w:val="en-US"/>
        </w:rPr>
        <w:tab/>
      </w:r>
      <w:r>
        <w:rPr>
          <w:rFonts w:ascii="Times New Roman" w:hAnsi="Times New Roman" w:cs="Times New Roman"/>
          <w:sz w:val="24"/>
          <w:szCs w:val="24"/>
          <w:lang w:val="en-US"/>
        </w:rPr>
        <w:t>(</w:t>
      </w:r>
      <w:r w:rsidR="00A92632">
        <w:rPr>
          <w:rFonts w:ascii="Times New Roman" w:hAnsi="Times New Roman" w:cs="Times New Roman"/>
          <w:sz w:val="24"/>
          <w:szCs w:val="24"/>
          <w:lang w:val="en-US"/>
        </w:rPr>
        <w:t>4</w:t>
      </w:r>
      <w:r>
        <w:rPr>
          <w:rFonts w:ascii="Times New Roman" w:hAnsi="Times New Roman" w:cs="Times New Roman"/>
          <w:sz w:val="24"/>
          <w:szCs w:val="24"/>
          <w:lang w:val="en-US"/>
        </w:rPr>
        <w:t>)</w:t>
      </w:r>
    </w:p>
    <w:p w14:paraId="715D2668" w14:textId="6BE6A9C5" w:rsidR="008D7C0F" w:rsidRDefault="006C6E45" w:rsidP="008D7C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where h denotes the conditional volatility measure and </w:t>
      </w:r>
      <w:r>
        <w:rPr>
          <w:rFonts w:ascii="Times New Roman" w:hAnsi="Times New Roman" w:cs="Times New Roman"/>
          <w:sz w:val="24"/>
          <w:szCs w:val="24"/>
        </w:rPr>
        <w:t>η</w:t>
      </w:r>
      <w:r>
        <w:rPr>
          <w:rFonts w:ascii="Times New Roman" w:hAnsi="Times New Roman" w:cs="Times New Roman"/>
          <w:sz w:val="24"/>
          <w:szCs w:val="24"/>
          <w:lang w:val="en-US"/>
        </w:rPr>
        <w:t xml:space="preserve"> is the residuals from (2). In our GARCHX version modelling version</w:t>
      </w:r>
      <w:r w:rsidR="00730618">
        <w:rPr>
          <w:rFonts w:ascii="Times New Roman" w:hAnsi="Times New Roman" w:cs="Times New Roman"/>
          <w:sz w:val="24"/>
          <w:szCs w:val="24"/>
          <w:lang w:val="en-US"/>
        </w:rPr>
        <w:t>,</w:t>
      </w:r>
      <w:r>
        <w:rPr>
          <w:rFonts w:ascii="Times New Roman" w:hAnsi="Times New Roman" w:cs="Times New Roman"/>
          <w:sz w:val="24"/>
          <w:szCs w:val="24"/>
          <w:lang w:val="en-US"/>
        </w:rPr>
        <w:t xml:space="preserve"> we also add the </w:t>
      </w:r>
      <w:r w:rsidR="00E81DE4">
        <w:rPr>
          <w:rFonts w:ascii="Times New Roman" w:hAnsi="Times New Roman" w:cs="Times New Roman"/>
          <w:sz w:val="24"/>
          <w:szCs w:val="24"/>
          <w:lang w:val="en-US"/>
        </w:rPr>
        <w:t>C</w:t>
      </w:r>
      <w:r w:rsidR="00730618">
        <w:rPr>
          <w:rFonts w:ascii="Times New Roman" w:hAnsi="Times New Roman" w:cs="Times New Roman"/>
          <w:sz w:val="24"/>
          <w:szCs w:val="24"/>
          <w:lang w:val="en-US"/>
        </w:rPr>
        <w:t>ovid</w:t>
      </w:r>
      <w:r>
        <w:rPr>
          <w:rFonts w:ascii="Times New Roman" w:hAnsi="Times New Roman" w:cs="Times New Roman"/>
          <w:sz w:val="24"/>
          <w:szCs w:val="24"/>
          <w:lang w:val="en-US"/>
        </w:rPr>
        <w:t xml:space="preserve">-19 </w:t>
      </w:r>
      <w:r w:rsidR="00730618">
        <w:rPr>
          <w:rFonts w:ascii="Times New Roman" w:hAnsi="Times New Roman" w:cs="Times New Roman"/>
          <w:sz w:val="24"/>
          <w:szCs w:val="24"/>
          <w:lang w:val="en-US"/>
        </w:rPr>
        <w:t>variable, and Equation</w:t>
      </w:r>
      <w:r>
        <w:rPr>
          <w:rFonts w:ascii="Times New Roman" w:hAnsi="Times New Roman" w:cs="Times New Roman"/>
          <w:sz w:val="24"/>
          <w:szCs w:val="24"/>
          <w:lang w:val="en-US"/>
        </w:rPr>
        <w:t xml:space="preserve"> (</w:t>
      </w:r>
      <w:r w:rsidR="00730618">
        <w:rPr>
          <w:rFonts w:ascii="Times New Roman" w:hAnsi="Times New Roman" w:cs="Times New Roman"/>
          <w:sz w:val="24"/>
          <w:szCs w:val="24"/>
          <w:lang w:val="en-US"/>
        </w:rPr>
        <w:t>4</w:t>
      </w:r>
      <w:r>
        <w:rPr>
          <w:rFonts w:ascii="Times New Roman" w:hAnsi="Times New Roman" w:cs="Times New Roman"/>
          <w:sz w:val="24"/>
          <w:szCs w:val="24"/>
          <w:lang w:val="en-US"/>
        </w:rPr>
        <w:t>) yields:</w:t>
      </w:r>
    </w:p>
    <w:p w14:paraId="234F96DB" w14:textId="548696E4" w:rsidR="006C6E45" w:rsidRPr="006C6E45" w:rsidRDefault="006C6E45" w:rsidP="006C6E45">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h</w:t>
      </w:r>
      <w:r w:rsidRPr="006C6E45">
        <w:rPr>
          <w:rFonts w:ascii="Times New Roman" w:hAnsi="Times New Roman" w:cs="Times New Roman"/>
          <w:sz w:val="24"/>
          <w:szCs w:val="24"/>
          <w:vertAlign w:val="subscript"/>
          <w:lang w:val="en-US"/>
        </w:rPr>
        <w:t>t</w:t>
      </w:r>
      <w:proofErr w:type="spellEnd"/>
      <w:r>
        <w:rPr>
          <w:rFonts w:ascii="Times New Roman" w:hAnsi="Times New Roman" w:cs="Times New Roman"/>
          <w:sz w:val="24"/>
          <w:szCs w:val="24"/>
          <w:lang w:val="en-US"/>
        </w:rPr>
        <w:t xml:space="preserve"> = f + gh</w:t>
      </w:r>
      <w:r w:rsidRPr="006C6E45">
        <w:rPr>
          <w:rFonts w:ascii="Times New Roman" w:hAnsi="Times New Roman" w:cs="Times New Roman"/>
          <w:sz w:val="24"/>
          <w:szCs w:val="24"/>
          <w:vertAlign w:val="subscript"/>
          <w:lang w:val="en-US"/>
        </w:rPr>
        <w:t>t-1</w:t>
      </w:r>
      <w:r>
        <w:rPr>
          <w:rFonts w:ascii="Times New Roman" w:hAnsi="Times New Roman" w:cs="Times New Roman"/>
          <w:sz w:val="24"/>
          <w:szCs w:val="24"/>
          <w:lang w:val="en-US"/>
        </w:rPr>
        <w:t xml:space="preserve"> + m</w:t>
      </w:r>
      <w:r>
        <w:rPr>
          <w:rFonts w:ascii="Times New Roman" w:hAnsi="Times New Roman" w:cs="Times New Roman"/>
          <w:sz w:val="24"/>
          <w:szCs w:val="24"/>
        </w:rPr>
        <w:t>η</w:t>
      </w:r>
      <w:r w:rsidRPr="006C6E45">
        <w:rPr>
          <w:rFonts w:ascii="Times New Roman" w:hAnsi="Times New Roman" w:cs="Times New Roman"/>
          <w:sz w:val="24"/>
          <w:szCs w:val="24"/>
          <w:vertAlign w:val="superscript"/>
          <w:lang w:val="en-US"/>
        </w:rPr>
        <w:t>2</w:t>
      </w:r>
      <w:r w:rsidRPr="006C6E45">
        <w:rPr>
          <w:rFonts w:ascii="Times New Roman" w:hAnsi="Times New Roman" w:cs="Times New Roman"/>
          <w:sz w:val="24"/>
          <w:szCs w:val="24"/>
          <w:vertAlign w:val="subscript"/>
          <w:lang w:val="en-US"/>
        </w:rPr>
        <w:t>t-1</w:t>
      </w:r>
      <w:r>
        <w:rPr>
          <w:rFonts w:ascii="Times New Roman" w:hAnsi="Times New Roman" w:cs="Times New Roman"/>
          <w:sz w:val="24"/>
          <w:szCs w:val="24"/>
          <w:lang w:val="en-US"/>
        </w:rPr>
        <w:t xml:space="preserve"> + k </w:t>
      </w:r>
      <w:r w:rsidR="00E81DE4">
        <w:rPr>
          <w:rFonts w:ascii="Times New Roman" w:hAnsi="Times New Roman" w:cs="Times New Roman"/>
          <w:sz w:val="24"/>
          <w:szCs w:val="24"/>
          <w:lang w:val="en-US"/>
        </w:rPr>
        <w:t>COVID</w:t>
      </w:r>
      <w:r>
        <w:rPr>
          <w:rFonts w:ascii="Times New Roman" w:hAnsi="Times New Roman" w:cs="Times New Roman"/>
          <w:sz w:val="24"/>
          <w:szCs w:val="24"/>
          <w:lang w:val="en-US"/>
        </w:rPr>
        <w:t>19</w:t>
      </w:r>
      <w:r w:rsidRPr="006C6E45">
        <w:rPr>
          <w:rFonts w:ascii="Times New Roman" w:hAnsi="Times New Roman" w:cs="Times New Roman"/>
          <w:sz w:val="24"/>
          <w:szCs w:val="24"/>
          <w:vertAlign w:val="subscript"/>
          <w:lang w:val="en-US"/>
        </w:rPr>
        <w:t>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F36275">
        <w:rPr>
          <w:rFonts w:ascii="Times New Roman" w:hAnsi="Times New Roman" w:cs="Times New Roman"/>
          <w:sz w:val="24"/>
          <w:szCs w:val="24"/>
          <w:lang w:val="en-US"/>
        </w:rPr>
        <w:tab/>
      </w:r>
      <w:r>
        <w:rPr>
          <w:rFonts w:ascii="Times New Roman" w:hAnsi="Times New Roman" w:cs="Times New Roman"/>
          <w:sz w:val="24"/>
          <w:szCs w:val="24"/>
          <w:lang w:val="en-US"/>
        </w:rPr>
        <w:t>(</w:t>
      </w:r>
      <w:r w:rsidR="00A92632">
        <w:rPr>
          <w:rFonts w:ascii="Times New Roman" w:hAnsi="Times New Roman" w:cs="Times New Roman"/>
          <w:sz w:val="24"/>
          <w:szCs w:val="24"/>
          <w:lang w:val="en-US"/>
        </w:rPr>
        <w:t>5</w:t>
      </w:r>
      <w:r>
        <w:rPr>
          <w:rFonts w:ascii="Times New Roman" w:hAnsi="Times New Roman" w:cs="Times New Roman"/>
          <w:sz w:val="24"/>
          <w:szCs w:val="24"/>
          <w:lang w:val="en-US"/>
        </w:rPr>
        <w:t>)</w:t>
      </w:r>
    </w:p>
    <w:p w14:paraId="77741C27" w14:textId="0C604841" w:rsidR="00E969AD" w:rsidRDefault="006C6E45" w:rsidP="00E969A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with the restriction of </w:t>
      </w:r>
      <w:r w:rsidR="00730618">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stability conditions remaining similar to those in the traditional </w:t>
      </w:r>
      <w:proofErr w:type="gramStart"/>
      <w:r>
        <w:rPr>
          <w:rFonts w:ascii="Times New Roman" w:hAnsi="Times New Roman" w:cs="Times New Roman"/>
          <w:sz w:val="24"/>
          <w:szCs w:val="24"/>
          <w:lang w:val="en-US"/>
        </w:rPr>
        <w:t>GARCH(</w:t>
      </w:r>
      <w:proofErr w:type="gramEnd"/>
      <w:r>
        <w:rPr>
          <w:rFonts w:ascii="Times New Roman" w:hAnsi="Times New Roman" w:cs="Times New Roman"/>
          <w:sz w:val="24"/>
          <w:szCs w:val="24"/>
          <w:lang w:val="en-US"/>
        </w:rPr>
        <w:t>1, 1) model</w:t>
      </w:r>
      <w:r w:rsidR="00E969AD">
        <w:rPr>
          <w:rFonts w:ascii="Times New Roman" w:hAnsi="Times New Roman" w:cs="Times New Roman"/>
          <w:sz w:val="24"/>
          <w:szCs w:val="24"/>
          <w:lang w:val="en-US"/>
        </w:rPr>
        <w:t>, that is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g+m</w:t>
      </w:r>
      <w:proofErr w:type="spellEnd"/>
      <w:r w:rsidR="005669B6">
        <w:rPr>
          <w:rFonts w:ascii="Times New Roman" w:hAnsi="Times New Roman" w:cs="Times New Roman"/>
          <w:sz w:val="24"/>
          <w:szCs w:val="24"/>
          <w:lang w:val="en-US"/>
        </w:rPr>
        <w:t>&lt;</w:t>
      </w:r>
      <w:r>
        <w:rPr>
          <w:rFonts w:ascii="Times New Roman" w:hAnsi="Times New Roman" w:cs="Times New Roman"/>
          <w:sz w:val="24"/>
          <w:szCs w:val="24"/>
          <w:lang w:val="en-US"/>
        </w:rPr>
        <w:t>1.</w:t>
      </w:r>
      <w:r w:rsidR="00730618">
        <w:rPr>
          <w:rFonts w:ascii="Times New Roman" w:hAnsi="Times New Roman" w:cs="Times New Roman"/>
          <w:sz w:val="24"/>
          <w:szCs w:val="24"/>
          <w:lang w:val="en-US"/>
        </w:rPr>
        <w:t xml:space="preserve"> </w:t>
      </w:r>
    </w:p>
    <w:p w14:paraId="63C1CC27" w14:textId="1A0A5F1A" w:rsidR="00C674B6" w:rsidRDefault="00C674B6">
      <w:pPr>
        <w:rPr>
          <w:rFonts w:ascii="Times New Roman" w:hAnsi="Times New Roman" w:cs="Times New Roman"/>
          <w:sz w:val="24"/>
          <w:szCs w:val="24"/>
          <w:lang w:val="en-US"/>
        </w:rPr>
      </w:pPr>
    </w:p>
    <w:p w14:paraId="620ACD3F" w14:textId="3E0E7187" w:rsidR="008D7C0F" w:rsidRDefault="008B0C0D" w:rsidP="00E969AD">
      <w:pPr>
        <w:pStyle w:val="Heading1"/>
        <w:numPr>
          <w:ilvl w:val="0"/>
          <w:numId w:val="0"/>
        </w:numPr>
        <w:spacing w:line="360" w:lineRule="auto"/>
      </w:pPr>
      <w:r>
        <w:t>IV</w:t>
      </w:r>
      <w:r w:rsidR="00E969AD">
        <w:t xml:space="preserve">. </w:t>
      </w:r>
      <w:r w:rsidR="008D7C0F" w:rsidRPr="00BA1177">
        <w:t xml:space="preserve">Empirical </w:t>
      </w:r>
      <w:r w:rsidR="00E969AD">
        <w:t>analysis</w:t>
      </w:r>
    </w:p>
    <w:p w14:paraId="6CFD93F7" w14:textId="072F0617" w:rsidR="00BD4516" w:rsidRDefault="001D514A" w:rsidP="008B0C0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First</w:t>
      </w:r>
      <w:r w:rsidR="00670A04">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00670A04">
        <w:rPr>
          <w:rFonts w:ascii="Times New Roman" w:hAnsi="Times New Roman" w:cs="Times New Roman"/>
          <w:sz w:val="24"/>
          <w:szCs w:val="24"/>
          <w:lang w:val="en-US"/>
        </w:rPr>
        <w:t xml:space="preserve"> results based on </w:t>
      </w:r>
      <w:r>
        <w:rPr>
          <w:rFonts w:ascii="Times New Roman" w:hAnsi="Times New Roman" w:cs="Times New Roman"/>
          <w:sz w:val="24"/>
          <w:szCs w:val="24"/>
          <w:lang w:val="en-US"/>
        </w:rPr>
        <w:t xml:space="preserve">the </w:t>
      </w:r>
      <w:r w:rsidR="00670A04" w:rsidRPr="00A35D13">
        <w:rPr>
          <w:rFonts w:ascii="Times New Roman" w:hAnsi="Times New Roman" w:cs="Times New Roman"/>
          <w:sz w:val="24"/>
          <w:szCs w:val="24"/>
          <w:lang w:val="en-US"/>
        </w:rPr>
        <w:t xml:space="preserve">General Least Squared Dickey-Fuller </w:t>
      </w:r>
      <w:r w:rsidR="00670A04">
        <w:rPr>
          <w:rFonts w:ascii="Times New Roman" w:hAnsi="Times New Roman" w:cs="Times New Roman"/>
          <w:sz w:val="24"/>
          <w:szCs w:val="24"/>
          <w:lang w:val="en-US"/>
        </w:rPr>
        <w:t>(Elliott et</w:t>
      </w:r>
      <w:r w:rsidR="00670A04" w:rsidRPr="001D514A">
        <w:rPr>
          <w:rFonts w:ascii="Times New Roman" w:hAnsi="Times New Roman" w:cs="Times New Roman"/>
          <w:color w:val="000000" w:themeColor="text1"/>
          <w:sz w:val="24"/>
          <w:szCs w:val="24"/>
          <w:lang w:val="en-US"/>
        </w:rPr>
        <w:t xml:space="preserve"> al., 1996) unit root test</w:t>
      </w:r>
      <w:r>
        <w:rPr>
          <w:rFonts w:ascii="Times New Roman" w:hAnsi="Times New Roman" w:cs="Times New Roman"/>
          <w:color w:val="000000" w:themeColor="text1"/>
          <w:sz w:val="24"/>
          <w:szCs w:val="24"/>
          <w:lang w:val="en-US"/>
        </w:rPr>
        <w:t>, reported in Table 2,</w:t>
      </w:r>
      <w:r w:rsidRPr="001D514A">
        <w:rPr>
          <w:rFonts w:ascii="Times New Roman" w:hAnsi="Times New Roman" w:cs="Times New Roman"/>
          <w:color w:val="000000" w:themeColor="text1"/>
          <w:sz w:val="24"/>
          <w:szCs w:val="24"/>
          <w:lang w:val="en-US"/>
        </w:rPr>
        <w:t xml:space="preserve"> </w:t>
      </w:r>
      <w:r w:rsidRPr="00AA08BE">
        <w:rPr>
          <w:rFonts w:ascii="Times New Roman" w:hAnsi="Times New Roman" w:cs="Times New Roman"/>
          <w:color w:val="FF0000"/>
          <w:sz w:val="24"/>
          <w:szCs w:val="24"/>
          <w:lang w:val="en-US"/>
        </w:rPr>
        <w:t>document</w:t>
      </w:r>
      <w:r w:rsidR="00670A04" w:rsidRPr="00AA08BE">
        <w:rPr>
          <w:rFonts w:ascii="Times New Roman" w:hAnsi="Times New Roman" w:cs="Times New Roman"/>
          <w:color w:val="FF0000"/>
          <w:sz w:val="24"/>
          <w:szCs w:val="24"/>
          <w:lang w:val="en-US"/>
        </w:rPr>
        <w:t xml:space="preserve"> that </w:t>
      </w:r>
      <w:r w:rsidR="00BD4516" w:rsidRPr="00AA08BE">
        <w:rPr>
          <w:rFonts w:ascii="Times New Roman" w:hAnsi="Times New Roman" w:cs="Times New Roman"/>
          <w:color w:val="FF0000"/>
          <w:sz w:val="24"/>
          <w:szCs w:val="24"/>
          <w:lang w:val="en-US"/>
        </w:rPr>
        <w:t xml:space="preserve">the </w:t>
      </w:r>
      <w:r w:rsidR="00AA08BE" w:rsidRPr="00AA08BE">
        <w:rPr>
          <w:rFonts w:ascii="Times New Roman" w:hAnsi="Times New Roman" w:cs="Times New Roman"/>
          <w:color w:val="FF0000"/>
          <w:sz w:val="24"/>
          <w:szCs w:val="24"/>
          <w:lang w:val="en-US"/>
        </w:rPr>
        <w:t>levels of series under investigation (stock prices) turn out to be stationary only when their f</w:t>
      </w:r>
      <w:r w:rsidR="00BD4516" w:rsidRPr="00AA08BE">
        <w:rPr>
          <w:rFonts w:ascii="Times New Roman" w:hAnsi="Times New Roman" w:cs="Times New Roman"/>
          <w:color w:val="FF0000"/>
          <w:sz w:val="24"/>
          <w:szCs w:val="24"/>
          <w:lang w:val="en-US"/>
        </w:rPr>
        <w:t>irst difference</w:t>
      </w:r>
      <w:r w:rsidR="00AA08BE" w:rsidRPr="00AA08BE">
        <w:rPr>
          <w:rFonts w:ascii="Times New Roman" w:hAnsi="Times New Roman" w:cs="Times New Roman"/>
          <w:color w:val="FF0000"/>
          <w:sz w:val="24"/>
          <w:szCs w:val="24"/>
          <w:lang w:val="en-US"/>
        </w:rPr>
        <w:t>s</w:t>
      </w:r>
      <w:r w:rsidR="00BD4516" w:rsidRPr="00AA08BE">
        <w:rPr>
          <w:rFonts w:ascii="Times New Roman" w:hAnsi="Times New Roman" w:cs="Times New Roman"/>
          <w:color w:val="FF0000"/>
          <w:sz w:val="24"/>
          <w:szCs w:val="24"/>
          <w:lang w:val="en-US"/>
        </w:rPr>
        <w:t xml:space="preserve"> </w:t>
      </w:r>
      <w:r w:rsidR="00AA08BE" w:rsidRPr="00AA08BE">
        <w:rPr>
          <w:rFonts w:ascii="Times New Roman" w:hAnsi="Times New Roman" w:cs="Times New Roman"/>
          <w:color w:val="FF0000"/>
          <w:sz w:val="24"/>
          <w:szCs w:val="24"/>
          <w:lang w:val="en-US"/>
        </w:rPr>
        <w:t>are obtained</w:t>
      </w:r>
      <w:r w:rsidR="00AA08BE">
        <w:rPr>
          <w:rFonts w:ascii="Times New Roman" w:hAnsi="Times New Roman" w:cs="Times New Roman"/>
          <w:color w:val="000000" w:themeColor="text1"/>
          <w:sz w:val="24"/>
          <w:szCs w:val="24"/>
          <w:lang w:val="en-US"/>
        </w:rPr>
        <w:t>;</w:t>
      </w:r>
      <w:r w:rsidRPr="001D514A">
        <w:rPr>
          <w:rFonts w:ascii="Times New Roman" w:hAnsi="Times New Roman" w:cs="Times New Roman"/>
          <w:color w:val="000000" w:themeColor="text1"/>
          <w:sz w:val="24"/>
          <w:szCs w:val="24"/>
          <w:lang w:val="en-US"/>
        </w:rPr>
        <w:t xml:space="preserve"> </w:t>
      </w:r>
      <w:r w:rsidR="00AA08BE">
        <w:rPr>
          <w:rFonts w:ascii="Times New Roman" w:hAnsi="Times New Roman" w:cs="Times New Roman"/>
          <w:color w:val="000000" w:themeColor="text1"/>
          <w:sz w:val="24"/>
          <w:szCs w:val="24"/>
          <w:lang w:val="en-US"/>
        </w:rPr>
        <w:t>furthermore,</w:t>
      </w:r>
      <w:r w:rsidR="00BD4516" w:rsidRPr="001D514A">
        <w:rPr>
          <w:rFonts w:ascii="Times New Roman" w:hAnsi="Times New Roman" w:cs="Times New Roman"/>
          <w:color w:val="000000" w:themeColor="text1"/>
          <w:sz w:val="24"/>
          <w:szCs w:val="24"/>
          <w:lang w:val="en-US"/>
        </w:rPr>
        <w:t xml:space="preserve"> the Akaike information criterion recommends an AR(1) model as a proxy of</w:t>
      </w:r>
      <w:r w:rsidR="00BD4516">
        <w:rPr>
          <w:rFonts w:ascii="Times New Roman" w:hAnsi="Times New Roman" w:cs="Times New Roman"/>
          <w:sz w:val="24"/>
          <w:szCs w:val="24"/>
          <w:lang w:val="en-US"/>
        </w:rPr>
        <w:t xml:space="preserve"> C</w:t>
      </w:r>
      <w:r w:rsidR="00A70284">
        <w:rPr>
          <w:rFonts w:ascii="Times New Roman" w:hAnsi="Times New Roman" w:cs="Times New Roman"/>
          <w:sz w:val="24"/>
          <w:szCs w:val="24"/>
          <w:lang w:val="en-US"/>
        </w:rPr>
        <w:t>hinese</w:t>
      </w:r>
      <w:r w:rsidR="00BD4516">
        <w:rPr>
          <w:rFonts w:ascii="Times New Roman" w:hAnsi="Times New Roman" w:cs="Times New Roman"/>
          <w:sz w:val="24"/>
          <w:szCs w:val="24"/>
          <w:lang w:val="en-US"/>
        </w:rPr>
        <w:t xml:space="preserve"> stock returns. </w:t>
      </w:r>
    </w:p>
    <w:p w14:paraId="629937D1" w14:textId="1F970925" w:rsidR="00D97630" w:rsidRDefault="00D97630" w:rsidP="00D97630">
      <w:pPr>
        <w:spacing w:after="0" w:line="480" w:lineRule="auto"/>
        <w:jc w:val="both"/>
        <w:rPr>
          <w:rFonts w:ascii="Times New Roman" w:hAnsi="Times New Roman" w:cs="Times New Roman"/>
          <w:sz w:val="24"/>
          <w:szCs w:val="24"/>
          <w:lang w:val="en-US"/>
        </w:rPr>
      </w:pPr>
      <w:r w:rsidRPr="00D97630">
        <w:rPr>
          <w:rFonts w:ascii="Times New Roman" w:hAnsi="Times New Roman" w:cs="Times New Roman"/>
          <w:b/>
          <w:bCs/>
          <w:sz w:val="24"/>
          <w:szCs w:val="24"/>
          <w:lang w:val="en-US"/>
        </w:rPr>
        <w:t>Table 2</w:t>
      </w:r>
      <w:r w:rsidR="008B0C0D">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GLS </w:t>
      </w:r>
      <w:r w:rsidR="001D514A">
        <w:rPr>
          <w:rFonts w:ascii="Times New Roman" w:hAnsi="Times New Roman" w:cs="Times New Roman"/>
          <w:sz w:val="24"/>
          <w:szCs w:val="24"/>
          <w:lang w:val="en-US"/>
        </w:rPr>
        <w:t>u</w:t>
      </w:r>
      <w:r>
        <w:rPr>
          <w:rFonts w:ascii="Times New Roman" w:hAnsi="Times New Roman" w:cs="Times New Roman"/>
          <w:sz w:val="24"/>
          <w:szCs w:val="24"/>
          <w:lang w:val="en-US"/>
        </w:rPr>
        <w:t xml:space="preserve">nit </w:t>
      </w:r>
      <w:r w:rsidR="001D514A">
        <w:rPr>
          <w:rFonts w:ascii="Times New Roman" w:hAnsi="Times New Roman" w:cs="Times New Roman"/>
          <w:sz w:val="24"/>
          <w:szCs w:val="24"/>
          <w:lang w:val="en-US"/>
        </w:rPr>
        <w:t>r</w:t>
      </w:r>
      <w:r>
        <w:rPr>
          <w:rFonts w:ascii="Times New Roman" w:hAnsi="Times New Roman" w:cs="Times New Roman"/>
          <w:sz w:val="24"/>
          <w:szCs w:val="24"/>
          <w:lang w:val="en-US"/>
        </w:rPr>
        <w:t xml:space="preserve">oot </w:t>
      </w:r>
      <w:r w:rsidR="001D514A">
        <w:rPr>
          <w:rFonts w:ascii="Times New Roman" w:hAnsi="Times New Roman" w:cs="Times New Roman"/>
          <w:sz w:val="24"/>
          <w:szCs w:val="24"/>
          <w:lang w:val="en-US"/>
        </w:rPr>
        <w:t>t</w:t>
      </w:r>
      <w:r>
        <w:rPr>
          <w:rFonts w:ascii="Times New Roman" w:hAnsi="Times New Roman" w:cs="Times New Roman"/>
          <w:sz w:val="24"/>
          <w:szCs w:val="24"/>
          <w:lang w:val="en-US"/>
        </w:rPr>
        <w:t>ests</w:t>
      </w:r>
      <w:r w:rsidR="004D0FDA">
        <w:rPr>
          <w:rFonts w:ascii="Times New Roman" w:hAnsi="Times New Roman" w:cs="Times New Roman"/>
          <w:sz w:val="24"/>
          <w:szCs w:val="24"/>
          <w:lang w:val="en-US"/>
        </w:rPr>
        <w:t>.</w:t>
      </w:r>
    </w:p>
    <w:tbl>
      <w:tblPr>
        <w:tblW w:w="0" w:type="auto"/>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218"/>
        <w:gridCol w:w="2485"/>
        <w:gridCol w:w="3603"/>
      </w:tblGrid>
      <w:tr w:rsidR="00D97630" w14:paraId="0043B8EE" w14:textId="77777777" w:rsidTr="004E7E7B">
        <w:trPr>
          <w:trHeight w:val="290"/>
        </w:trPr>
        <w:tc>
          <w:tcPr>
            <w:tcW w:w="2218" w:type="dxa"/>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16319AA6" w14:textId="77777777" w:rsidR="00D97630" w:rsidRPr="00F26C49" w:rsidRDefault="00D97630" w:rsidP="00F26C49">
            <w:pPr>
              <w:pStyle w:val="NoSpacing"/>
              <w:rPr>
                <w:rFonts w:ascii="Times New Roman" w:hAnsi="Times New Roman" w:cs="Times New Roman"/>
                <w:b/>
                <w:bCs/>
              </w:rPr>
            </w:pPr>
            <w:r w:rsidRPr="00F26C49">
              <w:rPr>
                <w:rFonts w:ascii="Times New Roman" w:hAnsi="Times New Roman" w:cs="Times New Roman"/>
                <w:b/>
                <w:bCs/>
              </w:rPr>
              <w:t>Variables</w:t>
            </w:r>
          </w:p>
        </w:tc>
        <w:tc>
          <w:tcPr>
            <w:tcW w:w="6088" w:type="dxa"/>
            <w:gridSpan w:val="2"/>
            <w:tcBorders>
              <w:top w:val="single" w:sz="4" w:space="0" w:color="auto"/>
              <w:bottom w:val="single" w:sz="4" w:space="0" w:color="auto"/>
            </w:tcBorders>
            <w:shd w:val="clear" w:color="auto" w:fill="auto"/>
            <w:tcMar>
              <w:top w:w="15" w:type="dxa"/>
              <w:left w:w="15" w:type="dxa"/>
              <w:bottom w:w="0" w:type="dxa"/>
              <w:right w:w="15" w:type="dxa"/>
            </w:tcMar>
            <w:vAlign w:val="center"/>
            <w:hideMark/>
          </w:tcPr>
          <w:p w14:paraId="080699B7" w14:textId="135AD2FA" w:rsidR="00D97630" w:rsidRPr="00F26C49" w:rsidRDefault="00D97630" w:rsidP="00F26C49">
            <w:pPr>
              <w:pStyle w:val="NoSpacing"/>
              <w:rPr>
                <w:rFonts w:ascii="Times New Roman" w:hAnsi="Times New Roman" w:cs="Times New Roman"/>
                <w:b/>
                <w:bCs/>
                <w:lang w:val="en-GB"/>
              </w:rPr>
            </w:pPr>
            <w:r w:rsidRPr="00F26C49">
              <w:rPr>
                <w:rFonts w:ascii="Times New Roman" w:hAnsi="Times New Roman" w:cs="Times New Roman"/>
                <w:b/>
                <w:bCs/>
                <w:lang w:val="en-GB"/>
              </w:rPr>
              <w:t>Levels                         First differences</w:t>
            </w:r>
          </w:p>
        </w:tc>
      </w:tr>
      <w:tr w:rsidR="00D97630" w14:paraId="25690BD4" w14:textId="77777777" w:rsidTr="004E7E7B">
        <w:trPr>
          <w:trHeight w:val="290"/>
        </w:trPr>
        <w:tc>
          <w:tcPr>
            <w:tcW w:w="2218" w:type="dxa"/>
            <w:shd w:val="clear" w:color="auto" w:fill="auto"/>
            <w:noWrap/>
            <w:tcMar>
              <w:top w:w="0" w:type="dxa"/>
              <w:left w:w="15" w:type="dxa"/>
              <w:bottom w:w="0" w:type="dxa"/>
              <w:right w:w="15" w:type="dxa"/>
            </w:tcMar>
            <w:vAlign w:val="bottom"/>
            <w:hideMark/>
          </w:tcPr>
          <w:p w14:paraId="3A6FACDF" w14:textId="77777777" w:rsidR="00D97630" w:rsidRPr="00F26C49" w:rsidRDefault="00D97630" w:rsidP="00F26C49">
            <w:pPr>
              <w:pStyle w:val="NoSpacing"/>
              <w:rPr>
                <w:rFonts w:ascii="Times New Roman" w:hAnsi="Times New Roman" w:cs="Times New Roman"/>
              </w:rPr>
            </w:pPr>
            <w:r w:rsidRPr="00F26C49">
              <w:rPr>
                <w:rFonts w:ascii="Times New Roman" w:hAnsi="Times New Roman" w:cs="Times New Roman"/>
              </w:rPr>
              <w:t>stock returns</w:t>
            </w:r>
          </w:p>
        </w:tc>
        <w:tc>
          <w:tcPr>
            <w:tcW w:w="2485" w:type="dxa"/>
            <w:shd w:val="clear" w:color="auto" w:fill="auto"/>
            <w:noWrap/>
            <w:tcMar>
              <w:top w:w="0" w:type="dxa"/>
              <w:left w:w="15" w:type="dxa"/>
              <w:bottom w:w="0" w:type="dxa"/>
              <w:right w:w="15" w:type="dxa"/>
            </w:tcMar>
            <w:vAlign w:val="bottom"/>
            <w:hideMark/>
          </w:tcPr>
          <w:p w14:paraId="6947B349" w14:textId="41DA8A8D" w:rsidR="00D97630" w:rsidRPr="00F26C49" w:rsidRDefault="00D97630" w:rsidP="00F26C49">
            <w:pPr>
              <w:pStyle w:val="NoSpacing"/>
              <w:rPr>
                <w:rFonts w:ascii="Times New Roman" w:hAnsi="Times New Roman" w:cs="Times New Roman"/>
              </w:rPr>
            </w:pPr>
            <w:r w:rsidRPr="00F26C49">
              <w:rPr>
                <w:rFonts w:ascii="Times New Roman" w:hAnsi="Times New Roman" w:cs="Times New Roman"/>
              </w:rPr>
              <w:t>-1.</w:t>
            </w:r>
            <w:r w:rsidR="0026259B">
              <w:rPr>
                <w:rFonts w:ascii="Times New Roman" w:hAnsi="Times New Roman" w:cs="Times New Roman"/>
                <w:lang w:val="en-US"/>
              </w:rPr>
              <w:t>17</w:t>
            </w:r>
            <w:r w:rsidRPr="00F26C49">
              <w:rPr>
                <w:rFonts w:ascii="Times New Roman" w:hAnsi="Times New Roman" w:cs="Times New Roman"/>
              </w:rPr>
              <w:t>(3)</w:t>
            </w:r>
          </w:p>
        </w:tc>
        <w:tc>
          <w:tcPr>
            <w:tcW w:w="3603" w:type="dxa"/>
            <w:shd w:val="clear" w:color="auto" w:fill="auto"/>
            <w:noWrap/>
            <w:tcMar>
              <w:top w:w="0" w:type="dxa"/>
              <w:left w:w="15" w:type="dxa"/>
              <w:bottom w:w="0" w:type="dxa"/>
              <w:right w:w="15" w:type="dxa"/>
            </w:tcMar>
            <w:vAlign w:val="bottom"/>
            <w:hideMark/>
          </w:tcPr>
          <w:p w14:paraId="7EB5F446" w14:textId="7BA1A09C" w:rsidR="00D97630" w:rsidRPr="00F26C49" w:rsidRDefault="00D97630" w:rsidP="00F26C49">
            <w:pPr>
              <w:pStyle w:val="NoSpacing"/>
              <w:rPr>
                <w:rFonts w:ascii="Times New Roman" w:hAnsi="Times New Roman" w:cs="Times New Roman"/>
              </w:rPr>
            </w:pPr>
            <w:r w:rsidRPr="00F26C49">
              <w:rPr>
                <w:rFonts w:ascii="Times New Roman" w:hAnsi="Times New Roman" w:cs="Times New Roman"/>
              </w:rPr>
              <w:t>-6.</w:t>
            </w:r>
            <w:r w:rsidR="0026259B">
              <w:rPr>
                <w:rFonts w:ascii="Times New Roman" w:hAnsi="Times New Roman" w:cs="Times New Roman"/>
                <w:lang w:val="en-US"/>
              </w:rPr>
              <w:t>71</w:t>
            </w:r>
            <w:r w:rsidRPr="00F26C49">
              <w:rPr>
                <w:rFonts w:ascii="Times New Roman" w:hAnsi="Times New Roman" w:cs="Times New Roman"/>
              </w:rPr>
              <w:t>(2)***</w:t>
            </w:r>
          </w:p>
        </w:tc>
      </w:tr>
      <w:tr w:rsidR="00D97630" w14:paraId="241C2194" w14:textId="77777777" w:rsidTr="004E7E7B">
        <w:trPr>
          <w:trHeight w:val="290"/>
        </w:trPr>
        <w:tc>
          <w:tcPr>
            <w:tcW w:w="2218" w:type="dxa"/>
            <w:shd w:val="clear" w:color="auto" w:fill="auto"/>
            <w:noWrap/>
            <w:tcMar>
              <w:top w:w="0" w:type="dxa"/>
              <w:left w:w="15" w:type="dxa"/>
              <w:bottom w:w="0" w:type="dxa"/>
              <w:right w:w="15" w:type="dxa"/>
            </w:tcMar>
            <w:vAlign w:val="bottom"/>
            <w:hideMark/>
          </w:tcPr>
          <w:p w14:paraId="49F79B28" w14:textId="77777777" w:rsidR="00D97630" w:rsidRPr="00F26C49" w:rsidRDefault="00D97630" w:rsidP="00F26C49">
            <w:pPr>
              <w:pStyle w:val="NoSpacing"/>
              <w:rPr>
                <w:rFonts w:ascii="Times New Roman" w:hAnsi="Times New Roman" w:cs="Times New Roman"/>
              </w:rPr>
            </w:pPr>
            <w:r w:rsidRPr="00F26C49">
              <w:rPr>
                <w:rFonts w:ascii="Times New Roman" w:hAnsi="Times New Roman" w:cs="Times New Roman"/>
              </w:rPr>
              <w:t>oil prices</w:t>
            </w:r>
          </w:p>
        </w:tc>
        <w:tc>
          <w:tcPr>
            <w:tcW w:w="2485" w:type="dxa"/>
            <w:shd w:val="clear" w:color="auto" w:fill="auto"/>
            <w:noWrap/>
            <w:tcMar>
              <w:top w:w="0" w:type="dxa"/>
              <w:left w:w="15" w:type="dxa"/>
              <w:bottom w:w="0" w:type="dxa"/>
              <w:right w:w="15" w:type="dxa"/>
            </w:tcMar>
            <w:vAlign w:val="bottom"/>
            <w:hideMark/>
          </w:tcPr>
          <w:p w14:paraId="3B0830E3" w14:textId="77777777" w:rsidR="00D97630" w:rsidRPr="00F26C49" w:rsidRDefault="00D97630" w:rsidP="00F26C49">
            <w:pPr>
              <w:pStyle w:val="NoSpacing"/>
              <w:rPr>
                <w:rFonts w:ascii="Times New Roman" w:hAnsi="Times New Roman" w:cs="Times New Roman"/>
              </w:rPr>
            </w:pPr>
            <w:r w:rsidRPr="00F26C49">
              <w:rPr>
                <w:rFonts w:ascii="Times New Roman" w:hAnsi="Times New Roman" w:cs="Times New Roman"/>
              </w:rPr>
              <w:t>-1.27(3)</w:t>
            </w:r>
          </w:p>
        </w:tc>
        <w:tc>
          <w:tcPr>
            <w:tcW w:w="3603" w:type="dxa"/>
            <w:shd w:val="clear" w:color="auto" w:fill="auto"/>
            <w:noWrap/>
            <w:tcMar>
              <w:top w:w="0" w:type="dxa"/>
              <w:left w:w="15" w:type="dxa"/>
              <w:bottom w:w="0" w:type="dxa"/>
              <w:right w:w="15" w:type="dxa"/>
            </w:tcMar>
            <w:vAlign w:val="bottom"/>
            <w:hideMark/>
          </w:tcPr>
          <w:p w14:paraId="444848C2" w14:textId="67118EA8" w:rsidR="00D97630" w:rsidRPr="00F26C49" w:rsidRDefault="00D97630" w:rsidP="00F26C49">
            <w:pPr>
              <w:pStyle w:val="NoSpacing"/>
              <w:rPr>
                <w:rFonts w:ascii="Times New Roman" w:hAnsi="Times New Roman" w:cs="Times New Roman"/>
              </w:rPr>
            </w:pPr>
            <w:r w:rsidRPr="00F26C49">
              <w:rPr>
                <w:rFonts w:ascii="Times New Roman" w:hAnsi="Times New Roman" w:cs="Times New Roman"/>
              </w:rPr>
              <w:t>-6.</w:t>
            </w:r>
            <w:r w:rsidR="0026259B">
              <w:rPr>
                <w:rFonts w:ascii="Times New Roman" w:hAnsi="Times New Roman" w:cs="Times New Roman"/>
                <w:lang w:val="en-US"/>
              </w:rPr>
              <w:t>52</w:t>
            </w:r>
            <w:r w:rsidRPr="00F26C49">
              <w:rPr>
                <w:rFonts w:ascii="Times New Roman" w:hAnsi="Times New Roman" w:cs="Times New Roman"/>
              </w:rPr>
              <w:t>(2)***</w:t>
            </w:r>
          </w:p>
        </w:tc>
      </w:tr>
      <w:tr w:rsidR="00D97630" w14:paraId="47426424" w14:textId="77777777" w:rsidTr="004E7E7B">
        <w:trPr>
          <w:trHeight w:val="290"/>
        </w:trPr>
        <w:tc>
          <w:tcPr>
            <w:tcW w:w="2218" w:type="dxa"/>
            <w:shd w:val="clear" w:color="auto" w:fill="auto"/>
            <w:noWrap/>
            <w:tcMar>
              <w:top w:w="0" w:type="dxa"/>
              <w:left w:w="15" w:type="dxa"/>
              <w:bottom w:w="0" w:type="dxa"/>
              <w:right w:w="15" w:type="dxa"/>
            </w:tcMar>
            <w:vAlign w:val="bottom"/>
            <w:hideMark/>
          </w:tcPr>
          <w:p w14:paraId="66410234" w14:textId="77777777" w:rsidR="00D97630" w:rsidRPr="00F26C49" w:rsidRDefault="00D97630" w:rsidP="00F26C49">
            <w:pPr>
              <w:pStyle w:val="NoSpacing"/>
              <w:rPr>
                <w:rFonts w:ascii="Times New Roman" w:hAnsi="Times New Roman" w:cs="Times New Roman"/>
              </w:rPr>
            </w:pPr>
            <w:r w:rsidRPr="00F26C49">
              <w:rPr>
                <w:rFonts w:ascii="Times New Roman" w:hAnsi="Times New Roman" w:cs="Times New Roman"/>
              </w:rPr>
              <w:t>T-bills</w:t>
            </w:r>
          </w:p>
        </w:tc>
        <w:tc>
          <w:tcPr>
            <w:tcW w:w="2485" w:type="dxa"/>
            <w:shd w:val="clear" w:color="auto" w:fill="auto"/>
            <w:noWrap/>
            <w:tcMar>
              <w:top w:w="0" w:type="dxa"/>
              <w:left w:w="15" w:type="dxa"/>
              <w:bottom w:w="0" w:type="dxa"/>
              <w:right w:w="15" w:type="dxa"/>
            </w:tcMar>
            <w:vAlign w:val="bottom"/>
            <w:hideMark/>
          </w:tcPr>
          <w:p w14:paraId="66FE841E" w14:textId="0B75DB69" w:rsidR="00D97630" w:rsidRPr="00F26C49" w:rsidRDefault="00D97630" w:rsidP="00F26C49">
            <w:pPr>
              <w:pStyle w:val="NoSpacing"/>
              <w:rPr>
                <w:rFonts w:ascii="Times New Roman" w:hAnsi="Times New Roman" w:cs="Times New Roman"/>
              </w:rPr>
            </w:pPr>
            <w:r w:rsidRPr="00F26C49">
              <w:rPr>
                <w:rFonts w:ascii="Times New Roman" w:hAnsi="Times New Roman" w:cs="Times New Roman"/>
              </w:rPr>
              <w:t>-1.</w:t>
            </w:r>
            <w:r w:rsidR="0026259B">
              <w:rPr>
                <w:rFonts w:ascii="Times New Roman" w:hAnsi="Times New Roman" w:cs="Times New Roman"/>
                <w:lang w:val="en-US"/>
              </w:rPr>
              <w:t>25</w:t>
            </w:r>
            <w:r w:rsidRPr="00F26C49">
              <w:rPr>
                <w:rFonts w:ascii="Times New Roman" w:hAnsi="Times New Roman" w:cs="Times New Roman"/>
              </w:rPr>
              <w:t>(</w:t>
            </w:r>
            <w:r w:rsidR="0026259B">
              <w:rPr>
                <w:rFonts w:ascii="Times New Roman" w:hAnsi="Times New Roman" w:cs="Times New Roman"/>
                <w:lang w:val="en-US"/>
              </w:rPr>
              <w:t>2</w:t>
            </w:r>
            <w:r w:rsidRPr="00F26C49">
              <w:rPr>
                <w:rFonts w:ascii="Times New Roman" w:hAnsi="Times New Roman" w:cs="Times New Roman"/>
              </w:rPr>
              <w:t>)</w:t>
            </w:r>
          </w:p>
        </w:tc>
        <w:tc>
          <w:tcPr>
            <w:tcW w:w="3603" w:type="dxa"/>
            <w:shd w:val="clear" w:color="auto" w:fill="auto"/>
            <w:noWrap/>
            <w:tcMar>
              <w:top w:w="0" w:type="dxa"/>
              <w:left w:w="15" w:type="dxa"/>
              <w:bottom w:w="0" w:type="dxa"/>
              <w:right w:w="15" w:type="dxa"/>
            </w:tcMar>
            <w:vAlign w:val="bottom"/>
            <w:hideMark/>
          </w:tcPr>
          <w:p w14:paraId="4D1F5D12" w14:textId="7A08D16B" w:rsidR="00D97630" w:rsidRPr="00F26C49" w:rsidRDefault="00D97630" w:rsidP="00F26C49">
            <w:pPr>
              <w:pStyle w:val="NoSpacing"/>
              <w:rPr>
                <w:rFonts w:ascii="Times New Roman" w:hAnsi="Times New Roman" w:cs="Times New Roman"/>
              </w:rPr>
            </w:pPr>
            <w:r w:rsidRPr="00F26C49">
              <w:rPr>
                <w:rFonts w:ascii="Times New Roman" w:hAnsi="Times New Roman" w:cs="Times New Roman"/>
              </w:rPr>
              <w:t>-6.5</w:t>
            </w:r>
            <w:r w:rsidR="0026259B">
              <w:rPr>
                <w:rFonts w:ascii="Times New Roman" w:hAnsi="Times New Roman" w:cs="Times New Roman"/>
                <w:lang w:val="en-US"/>
              </w:rPr>
              <w:t>8</w:t>
            </w:r>
            <w:r w:rsidRPr="00F26C49">
              <w:rPr>
                <w:rFonts w:ascii="Times New Roman" w:hAnsi="Times New Roman" w:cs="Times New Roman"/>
              </w:rPr>
              <w:t>(</w:t>
            </w:r>
            <w:r w:rsidR="0026259B">
              <w:rPr>
                <w:rFonts w:ascii="Times New Roman" w:hAnsi="Times New Roman" w:cs="Times New Roman"/>
                <w:lang w:val="en-US"/>
              </w:rPr>
              <w:t>1</w:t>
            </w:r>
            <w:r w:rsidRPr="00F26C49">
              <w:rPr>
                <w:rFonts w:ascii="Times New Roman" w:hAnsi="Times New Roman" w:cs="Times New Roman"/>
              </w:rPr>
              <w:t>)***</w:t>
            </w:r>
          </w:p>
        </w:tc>
      </w:tr>
      <w:tr w:rsidR="00D97630" w14:paraId="0C3BC596" w14:textId="77777777" w:rsidTr="004E7E7B">
        <w:trPr>
          <w:trHeight w:val="290"/>
        </w:trPr>
        <w:tc>
          <w:tcPr>
            <w:tcW w:w="2218" w:type="dxa"/>
            <w:shd w:val="clear" w:color="auto" w:fill="auto"/>
            <w:noWrap/>
            <w:tcMar>
              <w:top w:w="0" w:type="dxa"/>
              <w:left w:w="15" w:type="dxa"/>
              <w:bottom w:w="0" w:type="dxa"/>
              <w:right w:w="15" w:type="dxa"/>
            </w:tcMar>
            <w:vAlign w:val="bottom"/>
            <w:hideMark/>
          </w:tcPr>
          <w:p w14:paraId="5908826F" w14:textId="5A293A2E" w:rsidR="00D97630" w:rsidRPr="00F26C49" w:rsidRDefault="00D97630" w:rsidP="00F26C49">
            <w:pPr>
              <w:pStyle w:val="NoSpacing"/>
              <w:rPr>
                <w:rFonts w:ascii="Times New Roman" w:hAnsi="Times New Roman" w:cs="Times New Roman"/>
              </w:rPr>
            </w:pPr>
            <w:r w:rsidRPr="00F26C49">
              <w:rPr>
                <w:rFonts w:ascii="Times New Roman" w:hAnsi="Times New Roman" w:cs="Times New Roman"/>
              </w:rPr>
              <w:t>C</w:t>
            </w:r>
            <w:r w:rsidR="00E81DE4">
              <w:rPr>
                <w:rFonts w:ascii="Times New Roman" w:hAnsi="Times New Roman" w:cs="Times New Roman"/>
              </w:rPr>
              <w:t>COVID</w:t>
            </w:r>
            <w:r w:rsidRPr="00F26C49">
              <w:rPr>
                <w:rFonts w:ascii="Times New Roman" w:hAnsi="Times New Roman" w:cs="Times New Roman"/>
              </w:rPr>
              <w:t>19-1</w:t>
            </w:r>
          </w:p>
        </w:tc>
        <w:tc>
          <w:tcPr>
            <w:tcW w:w="2485" w:type="dxa"/>
            <w:shd w:val="clear" w:color="auto" w:fill="auto"/>
            <w:noWrap/>
            <w:tcMar>
              <w:top w:w="0" w:type="dxa"/>
              <w:left w:w="15" w:type="dxa"/>
              <w:bottom w:w="0" w:type="dxa"/>
              <w:right w:w="15" w:type="dxa"/>
            </w:tcMar>
            <w:vAlign w:val="bottom"/>
            <w:hideMark/>
          </w:tcPr>
          <w:p w14:paraId="3680AF7F" w14:textId="3680802F" w:rsidR="00D97630" w:rsidRPr="00F26C49" w:rsidRDefault="00D97630" w:rsidP="00F26C49">
            <w:pPr>
              <w:pStyle w:val="NoSpacing"/>
              <w:rPr>
                <w:rFonts w:ascii="Times New Roman" w:hAnsi="Times New Roman" w:cs="Times New Roman"/>
              </w:rPr>
            </w:pPr>
            <w:r w:rsidRPr="00F26C49">
              <w:rPr>
                <w:rFonts w:ascii="Times New Roman" w:hAnsi="Times New Roman" w:cs="Times New Roman"/>
              </w:rPr>
              <w:t>-1.</w:t>
            </w:r>
            <w:r w:rsidR="0026259B">
              <w:rPr>
                <w:rFonts w:ascii="Times New Roman" w:hAnsi="Times New Roman" w:cs="Times New Roman"/>
                <w:lang w:val="en-US"/>
              </w:rPr>
              <w:t>26</w:t>
            </w:r>
            <w:r w:rsidRPr="00F26C49">
              <w:rPr>
                <w:rFonts w:ascii="Times New Roman" w:hAnsi="Times New Roman" w:cs="Times New Roman"/>
              </w:rPr>
              <w:t>(</w:t>
            </w:r>
            <w:r w:rsidR="0026259B">
              <w:rPr>
                <w:rFonts w:ascii="Times New Roman" w:hAnsi="Times New Roman" w:cs="Times New Roman"/>
                <w:lang w:val="en-US"/>
              </w:rPr>
              <w:t>3</w:t>
            </w:r>
            <w:r w:rsidRPr="00F26C49">
              <w:rPr>
                <w:rFonts w:ascii="Times New Roman" w:hAnsi="Times New Roman" w:cs="Times New Roman"/>
              </w:rPr>
              <w:t>)</w:t>
            </w:r>
          </w:p>
        </w:tc>
        <w:tc>
          <w:tcPr>
            <w:tcW w:w="3603" w:type="dxa"/>
            <w:shd w:val="clear" w:color="auto" w:fill="auto"/>
            <w:noWrap/>
            <w:tcMar>
              <w:top w:w="0" w:type="dxa"/>
              <w:left w:w="15" w:type="dxa"/>
              <w:bottom w:w="0" w:type="dxa"/>
              <w:right w:w="15" w:type="dxa"/>
            </w:tcMar>
            <w:vAlign w:val="bottom"/>
            <w:hideMark/>
          </w:tcPr>
          <w:p w14:paraId="01D96672" w14:textId="05B52E08" w:rsidR="00D97630" w:rsidRPr="00F26C49" w:rsidRDefault="00D97630" w:rsidP="00F26C49">
            <w:pPr>
              <w:pStyle w:val="NoSpacing"/>
              <w:rPr>
                <w:rFonts w:ascii="Times New Roman" w:hAnsi="Times New Roman" w:cs="Times New Roman"/>
              </w:rPr>
            </w:pPr>
            <w:r w:rsidRPr="00F26C49">
              <w:rPr>
                <w:rFonts w:ascii="Times New Roman" w:hAnsi="Times New Roman" w:cs="Times New Roman"/>
              </w:rPr>
              <w:t>-6.6</w:t>
            </w:r>
            <w:r w:rsidR="0026259B">
              <w:rPr>
                <w:rFonts w:ascii="Times New Roman" w:hAnsi="Times New Roman" w:cs="Times New Roman"/>
                <w:lang w:val="en-US"/>
              </w:rPr>
              <w:t>9</w:t>
            </w:r>
            <w:r w:rsidRPr="00F26C49">
              <w:rPr>
                <w:rFonts w:ascii="Times New Roman" w:hAnsi="Times New Roman" w:cs="Times New Roman"/>
              </w:rPr>
              <w:t>(3)***</w:t>
            </w:r>
          </w:p>
        </w:tc>
      </w:tr>
      <w:tr w:rsidR="00D97630" w14:paraId="14AC1FB8" w14:textId="77777777" w:rsidTr="004E7E7B">
        <w:trPr>
          <w:trHeight w:val="290"/>
        </w:trPr>
        <w:tc>
          <w:tcPr>
            <w:tcW w:w="2218" w:type="dxa"/>
            <w:shd w:val="clear" w:color="auto" w:fill="auto"/>
            <w:noWrap/>
            <w:tcMar>
              <w:top w:w="0" w:type="dxa"/>
              <w:left w:w="15" w:type="dxa"/>
              <w:bottom w:w="0" w:type="dxa"/>
              <w:right w:w="15" w:type="dxa"/>
            </w:tcMar>
            <w:vAlign w:val="bottom"/>
            <w:hideMark/>
          </w:tcPr>
          <w:p w14:paraId="6C17B860" w14:textId="64418E63" w:rsidR="00D97630" w:rsidRPr="00F26C49" w:rsidRDefault="00D97630" w:rsidP="00F26C49">
            <w:pPr>
              <w:pStyle w:val="NoSpacing"/>
              <w:rPr>
                <w:rFonts w:ascii="Times New Roman" w:hAnsi="Times New Roman" w:cs="Times New Roman"/>
              </w:rPr>
            </w:pPr>
            <w:r w:rsidRPr="00F26C49">
              <w:rPr>
                <w:rFonts w:ascii="Times New Roman" w:hAnsi="Times New Roman" w:cs="Times New Roman"/>
              </w:rPr>
              <w:t>C</w:t>
            </w:r>
            <w:r w:rsidR="00E81DE4">
              <w:rPr>
                <w:rFonts w:ascii="Times New Roman" w:hAnsi="Times New Roman" w:cs="Times New Roman"/>
              </w:rPr>
              <w:t>COVID</w:t>
            </w:r>
            <w:r w:rsidRPr="00F26C49">
              <w:rPr>
                <w:rFonts w:ascii="Times New Roman" w:hAnsi="Times New Roman" w:cs="Times New Roman"/>
              </w:rPr>
              <w:t>19-2</w:t>
            </w:r>
          </w:p>
        </w:tc>
        <w:tc>
          <w:tcPr>
            <w:tcW w:w="2485" w:type="dxa"/>
            <w:shd w:val="clear" w:color="auto" w:fill="auto"/>
            <w:noWrap/>
            <w:tcMar>
              <w:top w:w="0" w:type="dxa"/>
              <w:left w:w="15" w:type="dxa"/>
              <w:bottom w:w="0" w:type="dxa"/>
              <w:right w:w="15" w:type="dxa"/>
            </w:tcMar>
            <w:vAlign w:val="bottom"/>
            <w:hideMark/>
          </w:tcPr>
          <w:p w14:paraId="65092423" w14:textId="0A6E8BC3" w:rsidR="00D97630" w:rsidRPr="00F26C49" w:rsidRDefault="00D97630" w:rsidP="00F26C49">
            <w:pPr>
              <w:pStyle w:val="NoSpacing"/>
              <w:rPr>
                <w:rFonts w:ascii="Times New Roman" w:hAnsi="Times New Roman" w:cs="Times New Roman"/>
              </w:rPr>
            </w:pPr>
            <w:r w:rsidRPr="00F26C49">
              <w:rPr>
                <w:rFonts w:ascii="Times New Roman" w:hAnsi="Times New Roman" w:cs="Times New Roman"/>
              </w:rPr>
              <w:t>-1.2</w:t>
            </w:r>
            <w:r w:rsidR="0026259B">
              <w:rPr>
                <w:rFonts w:ascii="Times New Roman" w:hAnsi="Times New Roman" w:cs="Times New Roman"/>
                <w:lang w:val="en-US"/>
              </w:rPr>
              <w:t>2</w:t>
            </w:r>
            <w:r w:rsidRPr="00F26C49">
              <w:rPr>
                <w:rFonts w:ascii="Times New Roman" w:hAnsi="Times New Roman" w:cs="Times New Roman"/>
              </w:rPr>
              <w:t>(3)</w:t>
            </w:r>
          </w:p>
        </w:tc>
        <w:tc>
          <w:tcPr>
            <w:tcW w:w="3603" w:type="dxa"/>
            <w:shd w:val="clear" w:color="auto" w:fill="auto"/>
            <w:noWrap/>
            <w:tcMar>
              <w:top w:w="0" w:type="dxa"/>
              <w:left w:w="15" w:type="dxa"/>
              <w:bottom w:w="0" w:type="dxa"/>
              <w:right w:w="15" w:type="dxa"/>
            </w:tcMar>
            <w:vAlign w:val="bottom"/>
            <w:hideMark/>
          </w:tcPr>
          <w:p w14:paraId="2ABC4B93" w14:textId="0E1BDD71" w:rsidR="00D97630" w:rsidRPr="00F26C49" w:rsidRDefault="00D97630" w:rsidP="00F26C49">
            <w:pPr>
              <w:pStyle w:val="NoSpacing"/>
              <w:rPr>
                <w:rFonts w:ascii="Times New Roman" w:hAnsi="Times New Roman" w:cs="Times New Roman"/>
              </w:rPr>
            </w:pPr>
            <w:r w:rsidRPr="00F26C49">
              <w:rPr>
                <w:rFonts w:ascii="Times New Roman" w:hAnsi="Times New Roman" w:cs="Times New Roman"/>
              </w:rPr>
              <w:t>-6.7</w:t>
            </w:r>
            <w:r w:rsidR="0026259B">
              <w:rPr>
                <w:rFonts w:ascii="Times New Roman" w:hAnsi="Times New Roman" w:cs="Times New Roman"/>
                <w:lang w:val="en-US"/>
              </w:rPr>
              <w:t>8</w:t>
            </w:r>
            <w:r w:rsidRPr="00F26C49">
              <w:rPr>
                <w:rFonts w:ascii="Times New Roman" w:hAnsi="Times New Roman" w:cs="Times New Roman"/>
              </w:rPr>
              <w:t>(2)***</w:t>
            </w:r>
          </w:p>
        </w:tc>
      </w:tr>
    </w:tbl>
    <w:p w14:paraId="729579E7" w14:textId="1EBDA93F" w:rsidR="00210ABC" w:rsidRPr="00D97630" w:rsidRDefault="00D97630" w:rsidP="00D97630">
      <w:pPr>
        <w:spacing w:after="0" w:line="240" w:lineRule="auto"/>
        <w:jc w:val="both"/>
        <w:rPr>
          <w:rFonts w:ascii="Times New Roman" w:hAnsi="Times New Roman" w:cs="Times New Roman"/>
          <w:sz w:val="24"/>
          <w:szCs w:val="24"/>
          <w:lang w:val="en-GB"/>
        </w:rPr>
      </w:pPr>
      <w:r w:rsidRPr="008B3A38">
        <w:rPr>
          <w:rFonts w:ascii="Times New Roman" w:hAnsi="Times New Roman" w:cs="Times New Roman"/>
          <w:iCs/>
          <w:sz w:val="20"/>
          <w:szCs w:val="20"/>
          <w:lang w:val="en-US"/>
        </w:rPr>
        <w:t xml:space="preserve">Rejection of the null hypothesis indicates stationarity. Lags in parentheses denote the number of lags included in the test and determined through the Akaike information criterion. </w:t>
      </w:r>
      <w:r w:rsidRPr="001D514A">
        <w:rPr>
          <w:rFonts w:ascii="Times New Roman" w:hAnsi="Times New Roman" w:cs="Times New Roman"/>
          <w:iCs/>
          <w:sz w:val="20"/>
          <w:szCs w:val="20"/>
          <w:lang w:val="en-US"/>
        </w:rPr>
        <w:t>***: p≤0.01</w:t>
      </w:r>
      <w:r>
        <w:rPr>
          <w:rFonts w:ascii="Times New Roman" w:hAnsi="Times New Roman" w:cs="Times New Roman"/>
          <w:iCs/>
          <w:sz w:val="20"/>
          <w:szCs w:val="20"/>
          <w:lang w:val="en-GB"/>
        </w:rPr>
        <w:t>.</w:t>
      </w:r>
    </w:p>
    <w:p w14:paraId="57128F3E" w14:textId="77777777" w:rsidR="00BD4516" w:rsidRDefault="00031488" w:rsidP="00BD4516">
      <w:pPr>
        <w:pStyle w:val="ListParagraph"/>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14:paraId="4CE03B48" w14:textId="75FF925B" w:rsidR="007940C0" w:rsidRDefault="001D514A" w:rsidP="00A7028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Next, </w:t>
      </w:r>
      <w:r w:rsidR="005669B6">
        <w:rPr>
          <w:rFonts w:ascii="Times New Roman" w:hAnsi="Times New Roman" w:cs="Times New Roman"/>
          <w:sz w:val="24"/>
          <w:szCs w:val="24"/>
          <w:lang w:val="en-US"/>
        </w:rPr>
        <w:t>the analysis provides the</w:t>
      </w:r>
      <w:r w:rsidR="00BD4516">
        <w:rPr>
          <w:rFonts w:ascii="Times New Roman" w:hAnsi="Times New Roman" w:cs="Times New Roman"/>
          <w:sz w:val="24"/>
          <w:szCs w:val="24"/>
          <w:lang w:val="en-US"/>
        </w:rPr>
        <w:t xml:space="preserve"> estimat</w:t>
      </w:r>
      <w:r w:rsidR="005669B6">
        <w:rPr>
          <w:rFonts w:ascii="Times New Roman" w:hAnsi="Times New Roman" w:cs="Times New Roman"/>
          <w:sz w:val="24"/>
          <w:szCs w:val="24"/>
          <w:lang w:val="en-US"/>
        </w:rPr>
        <w:t>es</w:t>
      </w:r>
      <w:r w:rsidR="002B1C6C">
        <w:rPr>
          <w:rFonts w:ascii="Times New Roman" w:hAnsi="Times New Roman" w:cs="Times New Roman"/>
          <w:sz w:val="24"/>
          <w:szCs w:val="24"/>
          <w:lang w:val="en-US"/>
        </w:rPr>
        <w:t xml:space="preserve"> of</w:t>
      </w:r>
      <w:r w:rsidR="00BD4516">
        <w:rPr>
          <w:rFonts w:ascii="Times New Roman" w:hAnsi="Times New Roman" w:cs="Times New Roman"/>
          <w:sz w:val="24"/>
          <w:szCs w:val="24"/>
          <w:lang w:val="en-US"/>
        </w:rPr>
        <w:t xml:space="preserve"> the </w:t>
      </w:r>
      <w:r w:rsidR="002B1C6C">
        <w:rPr>
          <w:rFonts w:ascii="Times New Roman" w:hAnsi="Times New Roman" w:cs="Times New Roman"/>
          <w:sz w:val="24"/>
          <w:szCs w:val="24"/>
          <w:lang w:val="en-US"/>
        </w:rPr>
        <w:t xml:space="preserve">parameters of the </w:t>
      </w:r>
      <w:r w:rsidR="00BD4516">
        <w:rPr>
          <w:rFonts w:ascii="Times New Roman" w:hAnsi="Times New Roman" w:cs="Times New Roman"/>
          <w:sz w:val="24"/>
          <w:szCs w:val="24"/>
          <w:lang w:val="en-US"/>
        </w:rPr>
        <w:t>GARCHX</w:t>
      </w:r>
      <w:r w:rsidR="002B1C6C">
        <w:rPr>
          <w:rFonts w:ascii="Times New Roman" w:hAnsi="Times New Roman" w:cs="Times New Roman"/>
          <w:sz w:val="24"/>
          <w:szCs w:val="24"/>
          <w:lang w:val="en-US"/>
        </w:rPr>
        <w:t xml:space="preserve"> model</w:t>
      </w:r>
      <w:r w:rsidR="00534EFC">
        <w:rPr>
          <w:rFonts w:ascii="Times New Roman" w:hAnsi="Times New Roman" w:cs="Times New Roman"/>
          <w:sz w:val="24"/>
          <w:szCs w:val="24"/>
          <w:lang w:val="en-US"/>
        </w:rPr>
        <w:t xml:space="preserve">. </w:t>
      </w:r>
      <w:r w:rsidR="00534EFC" w:rsidRPr="00534EFC">
        <w:rPr>
          <w:rFonts w:ascii="Times New Roman" w:hAnsi="Times New Roman" w:cs="Times New Roman"/>
          <w:sz w:val="24"/>
          <w:szCs w:val="24"/>
          <w:lang w:val="en-US"/>
        </w:rPr>
        <w:t>The coe</w:t>
      </w:r>
      <w:r w:rsidR="00534EFC">
        <w:rPr>
          <w:rFonts w:ascii="Times New Roman" w:hAnsi="Times New Roman" w:cs="Times New Roman"/>
          <w:sz w:val="24"/>
          <w:szCs w:val="24"/>
          <w:lang w:val="en-US"/>
        </w:rPr>
        <w:t>ffi</w:t>
      </w:r>
      <w:r w:rsidR="00534EFC" w:rsidRPr="00534EFC">
        <w:rPr>
          <w:rFonts w:ascii="Times New Roman" w:hAnsi="Times New Roman" w:cs="Times New Roman"/>
          <w:sz w:val="24"/>
          <w:szCs w:val="24"/>
          <w:lang w:val="en-US"/>
        </w:rPr>
        <w:t xml:space="preserve">cient estimates for the model </w:t>
      </w:r>
      <w:r w:rsidR="00534EFC">
        <w:rPr>
          <w:rFonts w:ascii="Times New Roman" w:hAnsi="Times New Roman" w:cs="Times New Roman"/>
          <w:sz w:val="24"/>
          <w:szCs w:val="24"/>
          <w:lang w:val="en-US"/>
        </w:rPr>
        <w:t xml:space="preserve">in </w:t>
      </w:r>
      <w:r w:rsidR="005669B6">
        <w:rPr>
          <w:rFonts w:ascii="Times New Roman" w:hAnsi="Times New Roman" w:cs="Times New Roman"/>
          <w:sz w:val="24"/>
          <w:szCs w:val="24"/>
          <w:lang w:val="en-US"/>
        </w:rPr>
        <w:t>E</w:t>
      </w:r>
      <w:r w:rsidR="00534EFC">
        <w:rPr>
          <w:rFonts w:ascii="Times New Roman" w:hAnsi="Times New Roman" w:cs="Times New Roman"/>
          <w:sz w:val="24"/>
          <w:szCs w:val="24"/>
          <w:lang w:val="en-US"/>
        </w:rPr>
        <w:t>quation</w:t>
      </w:r>
      <w:r w:rsidR="005669B6">
        <w:rPr>
          <w:rFonts w:ascii="Times New Roman" w:hAnsi="Times New Roman" w:cs="Times New Roman"/>
          <w:sz w:val="24"/>
          <w:szCs w:val="24"/>
          <w:lang w:val="en-US"/>
        </w:rPr>
        <w:t>s</w:t>
      </w:r>
      <w:r w:rsidR="00534EFC">
        <w:rPr>
          <w:rFonts w:ascii="Times New Roman" w:hAnsi="Times New Roman" w:cs="Times New Roman"/>
          <w:sz w:val="24"/>
          <w:szCs w:val="24"/>
          <w:lang w:val="en-US"/>
        </w:rPr>
        <w:t xml:space="preserve"> (</w:t>
      </w:r>
      <w:r w:rsidR="00A92632">
        <w:rPr>
          <w:rFonts w:ascii="Times New Roman" w:hAnsi="Times New Roman" w:cs="Times New Roman"/>
          <w:sz w:val="24"/>
          <w:szCs w:val="24"/>
          <w:lang w:val="en-US"/>
        </w:rPr>
        <w:t>3</w:t>
      </w:r>
      <w:r w:rsidR="00534EFC">
        <w:rPr>
          <w:rFonts w:ascii="Times New Roman" w:hAnsi="Times New Roman" w:cs="Times New Roman"/>
          <w:sz w:val="24"/>
          <w:szCs w:val="24"/>
          <w:lang w:val="en-US"/>
        </w:rPr>
        <w:t>) and (</w:t>
      </w:r>
      <w:r w:rsidR="00A92632">
        <w:rPr>
          <w:rFonts w:ascii="Times New Roman" w:hAnsi="Times New Roman" w:cs="Times New Roman"/>
          <w:sz w:val="24"/>
          <w:szCs w:val="24"/>
          <w:lang w:val="en-US"/>
        </w:rPr>
        <w:t>5</w:t>
      </w:r>
      <w:r w:rsidR="00534EFC">
        <w:rPr>
          <w:rFonts w:ascii="Times New Roman" w:hAnsi="Times New Roman" w:cs="Times New Roman"/>
          <w:sz w:val="24"/>
          <w:szCs w:val="24"/>
          <w:lang w:val="en-US"/>
        </w:rPr>
        <w:t xml:space="preserve">) </w:t>
      </w:r>
      <w:r w:rsidR="00534EFC" w:rsidRPr="00534EFC">
        <w:rPr>
          <w:rFonts w:ascii="Times New Roman" w:hAnsi="Times New Roman" w:cs="Times New Roman"/>
          <w:sz w:val="24"/>
          <w:szCs w:val="24"/>
          <w:lang w:val="en-US"/>
        </w:rPr>
        <w:t xml:space="preserve">are presented in Table </w:t>
      </w:r>
      <w:r w:rsidR="00534EFC">
        <w:rPr>
          <w:rFonts w:ascii="Times New Roman" w:hAnsi="Times New Roman" w:cs="Times New Roman"/>
          <w:sz w:val="24"/>
          <w:szCs w:val="24"/>
          <w:lang w:val="en-US"/>
        </w:rPr>
        <w:t xml:space="preserve">3. </w:t>
      </w:r>
      <w:r w:rsidR="005669B6">
        <w:rPr>
          <w:rFonts w:ascii="Times New Roman" w:hAnsi="Times New Roman" w:cs="Times New Roman"/>
          <w:sz w:val="24"/>
          <w:szCs w:val="24"/>
          <w:lang w:val="en-US"/>
        </w:rPr>
        <w:t xml:space="preserve">The findings with respect to the </w:t>
      </w:r>
      <w:r w:rsidR="0026259B">
        <w:rPr>
          <w:rFonts w:ascii="Times New Roman" w:hAnsi="Times New Roman" w:cs="Times New Roman"/>
          <w:sz w:val="24"/>
          <w:szCs w:val="24"/>
          <w:lang w:val="en-US"/>
        </w:rPr>
        <w:t>two</w:t>
      </w:r>
      <w:r w:rsidR="005669B6">
        <w:rPr>
          <w:rFonts w:ascii="Times New Roman" w:hAnsi="Times New Roman" w:cs="Times New Roman"/>
          <w:sz w:val="24"/>
          <w:szCs w:val="24"/>
          <w:lang w:val="en-US"/>
        </w:rPr>
        <w:t xml:space="preserve"> alternative</w:t>
      </w:r>
      <w:r w:rsidR="00534EFC">
        <w:rPr>
          <w:rFonts w:ascii="Times New Roman" w:hAnsi="Times New Roman" w:cs="Times New Roman"/>
          <w:sz w:val="24"/>
          <w:szCs w:val="24"/>
          <w:lang w:val="en-US"/>
        </w:rPr>
        <w:t xml:space="preserve"> model</w:t>
      </w:r>
      <w:r w:rsidR="005669B6">
        <w:rPr>
          <w:rFonts w:ascii="Times New Roman" w:hAnsi="Times New Roman" w:cs="Times New Roman"/>
          <w:sz w:val="24"/>
          <w:szCs w:val="24"/>
          <w:lang w:val="en-US"/>
        </w:rPr>
        <w:t xml:space="preserve"> specifications</w:t>
      </w:r>
      <w:r w:rsidR="00534EFC">
        <w:rPr>
          <w:rFonts w:ascii="Times New Roman" w:hAnsi="Times New Roman" w:cs="Times New Roman"/>
          <w:sz w:val="24"/>
          <w:szCs w:val="24"/>
          <w:lang w:val="en-US"/>
        </w:rPr>
        <w:t xml:space="preserve"> </w:t>
      </w:r>
      <w:r w:rsidR="005669B6">
        <w:rPr>
          <w:rFonts w:ascii="Times New Roman" w:hAnsi="Times New Roman" w:cs="Times New Roman"/>
          <w:sz w:val="24"/>
          <w:szCs w:val="24"/>
          <w:lang w:val="en-US"/>
        </w:rPr>
        <w:t xml:space="preserve">correspond to the </w:t>
      </w:r>
      <w:r w:rsidR="0026259B">
        <w:rPr>
          <w:rFonts w:ascii="Times New Roman" w:hAnsi="Times New Roman" w:cs="Times New Roman"/>
          <w:sz w:val="24"/>
          <w:szCs w:val="24"/>
          <w:lang w:val="en-US"/>
        </w:rPr>
        <w:t>two</w:t>
      </w:r>
      <w:r w:rsidR="000649F3">
        <w:rPr>
          <w:rFonts w:ascii="Times New Roman" w:hAnsi="Times New Roman" w:cs="Times New Roman"/>
          <w:sz w:val="24"/>
          <w:szCs w:val="24"/>
          <w:lang w:val="en-US"/>
        </w:rPr>
        <w:t xml:space="preserve"> alternative </w:t>
      </w:r>
      <w:r w:rsidR="007940C0">
        <w:rPr>
          <w:rFonts w:ascii="Times New Roman" w:hAnsi="Times New Roman" w:cs="Times New Roman"/>
          <w:sz w:val="24"/>
          <w:szCs w:val="24"/>
          <w:lang w:val="en-US"/>
        </w:rPr>
        <w:t xml:space="preserve">proxies of </w:t>
      </w:r>
      <w:r w:rsidR="005669B6">
        <w:rPr>
          <w:rFonts w:ascii="Times New Roman" w:hAnsi="Times New Roman" w:cs="Times New Roman"/>
          <w:sz w:val="24"/>
          <w:szCs w:val="24"/>
          <w:lang w:val="en-US"/>
        </w:rPr>
        <w:t xml:space="preserve">the </w:t>
      </w:r>
      <w:r w:rsidR="007940C0">
        <w:rPr>
          <w:rFonts w:ascii="Times New Roman" w:hAnsi="Times New Roman" w:cs="Times New Roman"/>
          <w:sz w:val="24"/>
          <w:szCs w:val="24"/>
          <w:lang w:val="en-US"/>
        </w:rPr>
        <w:t>C</w:t>
      </w:r>
      <w:r w:rsidR="005669B6">
        <w:rPr>
          <w:rFonts w:ascii="Times New Roman" w:hAnsi="Times New Roman" w:cs="Times New Roman"/>
          <w:sz w:val="24"/>
          <w:szCs w:val="24"/>
          <w:lang w:val="en-US"/>
        </w:rPr>
        <w:t>ovid</w:t>
      </w:r>
      <w:r w:rsidR="007940C0">
        <w:rPr>
          <w:rFonts w:ascii="Times New Roman" w:hAnsi="Times New Roman" w:cs="Times New Roman"/>
          <w:sz w:val="24"/>
          <w:szCs w:val="24"/>
          <w:lang w:val="en-US"/>
        </w:rPr>
        <w:t xml:space="preserve">-19 </w:t>
      </w:r>
      <w:r w:rsidR="005669B6">
        <w:rPr>
          <w:rFonts w:ascii="Times New Roman" w:hAnsi="Times New Roman" w:cs="Times New Roman"/>
          <w:sz w:val="24"/>
          <w:szCs w:val="24"/>
          <w:lang w:val="en-US"/>
        </w:rPr>
        <w:t>variable:</w:t>
      </w:r>
      <w:r w:rsidR="007940C0">
        <w:rPr>
          <w:rFonts w:ascii="Times New Roman" w:hAnsi="Times New Roman" w:cs="Times New Roman"/>
          <w:sz w:val="24"/>
          <w:szCs w:val="24"/>
          <w:lang w:val="en-US"/>
        </w:rPr>
        <w:t xml:space="preserve"> </w:t>
      </w:r>
      <w:proofErr w:type="spellStart"/>
      <w:r w:rsidR="007940C0">
        <w:rPr>
          <w:rFonts w:ascii="Times New Roman" w:hAnsi="Times New Roman" w:cs="Times New Roman"/>
          <w:sz w:val="24"/>
          <w:szCs w:val="24"/>
          <w:lang w:val="en-US"/>
        </w:rPr>
        <w:t>i</w:t>
      </w:r>
      <w:proofErr w:type="spellEnd"/>
      <w:r w:rsidR="007940C0">
        <w:rPr>
          <w:rFonts w:ascii="Times New Roman" w:hAnsi="Times New Roman" w:cs="Times New Roman"/>
          <w:sz w:val="24"/>
          <w:szCs w:val="24"/>
          <w:lang w:val="en-US"/>
        </w:rPr>
        <w:t xml:space="preserve">) </w:t>
      </w:r>
      <w:r w:rsidR="007940C0" w:rsidRPr="007940C0">
        <w:rPr>
          <w:rFonts w:ascii="Times New Roman" w:hAnsi="Times New Roman" w:cs="Times New Roman"/>
          <w:sz w:val="24"/>
          <w:szCs w:val="24"/>
          <w:lang w:val="en-US"/>
        </w:rPr>
        <w:t>CC</w:t>
      </w:r>
      <w:r w:rsidR="005669B6">
        <w:rPr>
          <w:rFonts w:ascii="Times New Roman" w:hAnsi="Times New Roman" w:cs="Times New Roman"/>
          <w:sz w:val="24"/>
          <w:szCs w:val="24"/>
          <w:lang w:val="en-US"/>
        </w:rPr>
        <w:t>ovid</w:t>
      </w:r>
      <w:r w:rsidR="007940C0" w:rsidRPr="007940C0">
        <w:rPr>
          <w:rFonts w:ascii="Times New Roman" w:hAnsi="Times New Roman" w:cs="Times New Roman"/>
          <w:sz w:val="24"/>
          <w:szCs w:val="24"/>
          <w:lang w:val="en-US"/>
        </w:rPr>
        <w:t>19-1:</w:t>
      </w:r>
      <w:r w:rsidR="007940C0">
        <w:rPr>
          <w:rFonts w:ascii="Times New Roman" w:hAnsi="Times New Roman" w:cs="Times New Roman"/>
          <w:sz w:val="24"/>
          <w:szCs w:val="24"/>
          <w:lang w:val="en-US"/>
        </w:rPr>
        <w:t xml:space="preserve"> daily total confirmed </w:t>
      </w:r>
      <w:r w:rsidR="0026259B">
        <w:rPr>
          <w:rFonts w:ascii="Times New Roman" w:hAnsi="Times New Roman" w:cs="Times New Roman"/>
          <w:sz w:val="24"/>
          <w:szCs w:val="24"/>
          <w:lang w:val="en-US"/>
        </w:rPr>
        <w:t>cases</w:t>
      </w:r>
      <w:r w:rsidR="007940C0">
        <w:rPr>
          <w:rFonts w:ascii="Times New Roman" w:hAnsi="Times New Roman" w:cs="Times New Roman"/>
          <w:sz w:val="24"/>
          <w:szCs w:val="24"/>
          <w:lang w:val="en-US"/>
        </w:rPr>
        <w:t xml:space="preserve"> in C</w:t>
      </w:r>
      <w:r w:rsidR="0026259B">
        <w:rPr>
          <w:rFonts w:ascii="Times New Roman" w:hAnsi="Times New Roman" w:cs="Times New Roman"/>
          <w:sz w:val="24"/>
          <w:szCs w:val="24"/>
          <w:lang w:val="en-US"/>
        </w:rPr>
        <w:t>hina</w:t>
      </w:r>
      <w:r w:rsidR="007940C0">
        <w:rPr>
          <w:rFonts w:ascii="Times New Roman" w:hAnsi="Times New Roman" w:cs="Times New Roman"/>
          <w:sz w:val="24"/>
          <w:szCs w:val="24"/>
          <w:lang w:val="en-US"/>
        </w:rPr>
        <w:t xml:space="preserve"> from C</w:t>
      </w:r>
      <w:r w:rsidR="005669B6">
        <w:rPr>
          <w:rFonts w:ascii="Times New Roman" w:hAnsi="Times New Roman" w:cs="Times New Roman"/>
          <w:sz w:val="24"/>
          <w:szCs w:val="24"/>
          <w:lang w:val="en-US"/>
        </w:rPr>
        <w:t>ovid</w:t>
      </w:r>
      <w:r w:rsidR="007940C0">
        <w:rPr>
          <w:rFonts w:ascii="Times New Roman" w:hAnsi="Times New Roman" w:cs="Times New Roman"/>
          <w:sz w:val="24"/>
          <w:szCs w:val="24"/>
          <w:lang w:val="en-US"/>
        </w:rPr>
        <w:t>-19</w:t>
      </w:r>
      <w:r w:rsidR="005669B6">
        <w:rPr>
          <w:rFonts w:ascii="Times New Roman" w:hAnsi="Times New Roman" w:cs="Times New Roman"/>
          <w:sz w:val="24"/>
          <w:szCs w:val="24"/>
          <w:lang w:val="en-US"/>
        </w:rPr>
        <w:t>,</w:t>
      </w:r>
      <w:r w:rsidR="007940C0">
        <w:rPr>
          <w:rFonts w:ascii="Times New Roman" w:hAnsi="Times New Roman" w:cs="Times New Roman"/>
          <w:sz w:val="24"/>
          <w:szCs w:val="24"/>
          <w:lang w:val="en-US"/>
        </w:rPr>
        <w:t xml:space="preserve"> ii) </w:t>
      </w:r>
      <w:r w:rsidR="007940C0" w:rsidRPr="007940C0">
        <w:rPr>
          <w:rFonts w:ascii="Times New Roman" w:hAnsi="Times New Roman" w:cs="Times New Roman"/>
          <w:sz w:val="24"/>
          <w:szCs w:val="24"/>
          <w:lang w:val="en-US"/>
        </w:rPr>
        <w:t>CC</w:t>
      </w:r>
      <w:r w:rsidR="005669B6">
        <w:rPr>
          <w:rFonts w:ascii="Times New Roman" w:hAnsi="Times New Roman" w:cs="Times New Roman"/>
          <w:sz w:val="24"/>
          <w:szCs w:val="24"/>
          <w:lang w:val="en-US"/>
        </w:rPr>
        <w:t>ovid</w:t>
      </w:r>
      <w:r w:rsidR="007940C0" w:rsidRPr="007940C0">
        <w:rPr>
          <w:rFonts w:ascii="Times New Roman" w:hAnsi="Times New Roman" w:cs="Times New Roman"/>
          <w:sz w:val="24"/>
          <w:szCs w:val="24"/>
          <w:lang w:val="en-US"/>
        </w:rPr>
        <w:t>19-2:  total</w:t>
      </w:r>
      <w:r w:rsidR="007940C0">
        <w:rPr>
          <w:rFonts w:ascii="Times New Roman" w:hAnsi="Times New Roman" w:cs="Times New Roman"/>
          <w:sz w:val="24"/>
          <w:szCs w:val="24"/>
          <w:lang w:val="en-US"/>
        </w:rPr>
        <w:t xml:space="preserve"> daily deaths in C</w:t>
      </w:r>
      <w:r w:rsidR="0026259B">
        <w:rPr>
          <w:rFonts w:ascii="Times New Roman" w:hAnsi="Times New Roman" w:cs="Times New Roman"/>
          <w:sz w:val="24"/>
          <w:szCs w:val="24"/>
          <w:lang w:val="en-US"/>
        </w:rPr>
        <w:t>hina</w:t>
      </w:r>
      <w:r w:rsidR="007940C0">
        <w:rPr>
          <w:rFonts w:ascii="Times New Roman" w:hAnsi="Times New Roman" w:cs="Times New Roman"/>
          <w:sz w:val="24"/>
          <w:szCs w:val="24"/>
          <w:lang w:val="en-US"/>
        </w:rPr>
        <w:t xml:space="preserve"> from C</w:t>
      </w:r>
      <w:r w:rsidR="005669B6">
        <w:rPr>
          <w:rFonts w:ascii="Times New Roman" w:hAnsi="Times New Roman" w:cs="Times New Roman"/>
          <w:sz w:val="24"/>
          <w:szCs w:val="24"/>
          <w:lang w:val="en-US"/>
        </w:rPr>
        <w:t>ovid</w:t>
      </w:r>
      <w:r w:rsidR="007940C0">
        <w:rPr>
          <w:rFonts w:ascii="Times New Roman" w:hAnsi="Times New Roman" w:cs="Times New Roman"/>
          <w:sz w:val="24"/>
          <w:szCs w:val="24"/>
          <w:lang w:val="en-US"/>
        </w:rPr>
        <w:t>-19.</w:t>
      </w:r>
    </w:p>
    <w:p w14:paraId="5E96A197" w14:textId="41C73098" w:rsidR="004D0FDA" w:rsidRDefault="005669B6" w:rsidP="00A70284">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results document</w:t>
      </w:r>
      <w:r w:rsidR="00380BA9">
        <w:rPr>
          <w:rFonts w:ascii="Times New Roman" w:hAnsi="Times New Roman" w:cs="Times New Roman"/>
          <w:sz w:val="24"/>
          <w:szCs w:val="24"/>
          <w:lang w:val="en-US"/>
        </w:rPr>
        <w:t xml:space="preserve"> that </w:t>
      </w:r>
      <w:r>
        <w:rPr>
          <w:rFonts w:ascii="Times New Roman" w:hAnsi="Times New Roman" w:cs="Times New Roman"/>
          <w:sz w:val="24"/>
          <w:szCs w:val="24"/>
          <w:lang w:val="en-US"/>
        </w:rPr>
        <w:t>the</w:t>
      </w:r>
      <w:r w:rsidR="00380BA9">
        <w:rPr>
          <w:rFonts w:ascii="Times New Roman" w:hAnsi="Times New Roman" w:cs="Times New Roman"/>
          <w:sz w:val="24"/>
          <w:szCs w:val="24"/>
          <w:lang w:val="en-US"/>
        </w:rPr>
        <w:t xml:space="preserve"> </w:t>
      </w:r>
      <w:r w:rsidR="00380BA9" w:rsidRPr="00380BA9">
        <w:rPr>
          <w:rFonts w:ascii="Times New Roman" w:hAnsi="Times New Roman" w:cs="Times New Roman"/>
          <w:sz w:val="24"/>
          <w:szCs w:val="24"/>
          <w:lang w:val="en-US"/>
        </w:rPr>
        <w:t xml:space="preserve">estimated coefficients of the </w:t>
      </w:r>
      <w:r w:rsidR="00380BA9">
        <w:rPr>
          <w:rFonts w:ascii="Times New Roman" w:hAnsi="Times New Roman" w:cs="Times New Roman"/>
          <w:sz w:val="24"/>
          <w:szCs w:val="24"/>
          <w:lang w:val="en-US"/>
        </w:rPr>
        <w:t xml:space="preserve">GARCHX model meet </w:t>
      </w:r>
      <w:r w:rsidR="00380BA9" w:rsidRPr="00380BA9">
        <w:rPr>
          <w:rFonts w:ascii="Times New Roman" w:hAnsi="Times New Roman" w:cs="Times New Roman"/>
          <w:sz w:val="24"/>
          <w:szCs w:val="24"/>
          <w:lang w:val="en-US"/>
        </w:rPr>
        <w:t xml:space="preserve">the </w:t>
      </w:r>
      <w:r w:rsidR="00380BA9">
        <w:rPr>
          <w:rFonts w:ascii="Times New Roman" w:hAnsi="Times New Roman" w:cs="Times New Roman"/>
          <w:sz w:val="24"/>
          <w:szCs w:val="24"/>
          <w:lang w:val="en-US"/>
        </w:rPr>
        <w:t>required condition</w:t>
      </w:r>
      <w:r w:rsidR="00380BA9" w:rsidRPr="00380BA9">
        <w:rPr>
          <w:rFonts w:ascii="Times New Roman" w:hAnsi="Times New Roman" w:cs="Times New Roman"/>
          <w:sz w:val="24"/>
          <w:szCs w:val="24"/>
          <w:lang w:val="en-US"/>
        </w:rPr>
        <w:t xml:space="preserve"> that </w:t>
      </w:r>
      <w:proofErr w:type="spellStart"/>
      <w:r>
        <w:rPr>
          <w:rFonts w:ascii="Times New Roman" w:hAnsi="Times New Roman" w:cs="Times New Roman"/>
          <w:sz w:val="24"/>
          <w:szCs w:val="24"/>
          <w:lang w:val="en-US"/>
        </w:rPr>
        <w:t>g+m</w:t>
      </w:r>
      <w:proofErr w:type="spellEnd"/>
      <w:r>
        <w:rPr>
          <w:rFonts w:ascii="Times New Roman" w:hAnsi="Times New Roman" w:cs="Times New Roman"/>
          <w:sz w:val="24"/>
          <w:szCs w:val="24"/>
          <w:lang w:val="en-US"/>
        </w:rPr>
        <w:t>&lt;1</w:t>
      </w:r>
      <w:r w:rsidR="00380BA9" w:rsidRPr="00380BA9">
        <w:rPr>
          <w:rFonts w:ascii="Times New Roman" w:hAnsi="Times New Roman" w:cs="Times New Roman"/>
          <w:sz w:val="24"/>
          <w:szCs w:val="24"/>
          <w:lang w:val="en-US"/>
        </w:rPr>
        <w:t>, whi</w:t>
      </w:r>
      <w:r w:rsidR="00380BA9" w:rsidRPr="005669B6">
        <w:rPr>
          <w:rFonts w:ascii="Times New Roman" w:hAnsi="Times New Roman" w:cs="Times New Roman"/>
          <w:color w:val="000000" w:themeColor="text1"/>
          <w:sz w:val="24"/>
          <w:szCs w:val="24"/>
          <w:lang w:val="en-US"/>
        </w:rPr>
        <w:t xml:space="preserve">ch is a vital requirement for a mean reverting process. </w:t>
      </w:r>
      <w:r w:rsidR="00595450" w:rsidRPr="005669B6">
        <w:rPr>
          <w:rFonts w:ascii="Times New Roman" w:hAnsi="Times New Roman" w:cs="Times New Roman"/>
          <w:color w:val="000000" w:themeColor="text1"/>
          <w:sz w:val="24"/>
          <w:szCs w:val="24"/>
          <w:lang w:val="en-US"/>
        </w:rPr>
        <w:t xml:space="preserve">This sum </w:t>
      </w:r>
      <w:proofErr w:type="spellStart"/>
      <w:r w:rsidRPr="005669B6">
        <w:rPr>
          <w:rFonts w:ascii="Times New Roman" w:hAnsi="Times New Roman" w:cs="Times New Roman"/>
          <w:color w:val="000000" w:themeColor="text1"/>
          <w:sz w:val="24"/>
          <w:szCs w:val="24"/>
          <w:lang w:val="en-US"/>
        </w:rPr>
        <w:t>g+m</w:t>
      </w:r>
      <w:proofErr w:type="spellEnd"/>
      <w:r w:rsidRPr="005669B6">
        <w:rPr>
          <w:rFonts w:ascii="Times New Roman" w:hAnsi="Times New Roman" w:cs="Times New Roman"/>
          <w:color w:val="000000" w:themeColor="text1"/>
          <w:sz w:val="24"/>
          <w:szCs w:val="24"/>
          <w:lang w:val="en-US"/>
        </w:rPr>
        <w:t xml:space="preserve"> </w:t>
      </w:r>
      <w:r w:rsidR="00595450" w:rsidRPr="005669B6">
        <w:rPr>
          <w:rFonts w:ascii="Times New Roman" w:hAnsi="Times New Roman" w:cs="Times New Roman"/>
          <w:color w:val="000000" w:themeColor="text1"/>
          <w:sz w:val="24"/>
          <w:szCs w:val="24"/>
          <w:lang w:val="en-US"/>
        </w:rPr>
        <w:t>measure</w:t>
      </w:r>
      <w:r w:rsidRPr="005669B6">
        <w:rPr>
          <w:rFonts w:ascii="Times New Roman" w:hAnsi="Times New Roman" w:cs="Times New Roman"/>
          <w:color w:val="000000" w:themeColor="text1"/>
          <w:sz w:val="24"/>
          <w:szCs w:val="24"/>
          <w:lang w:val="en-US"/>
        </w:rPr>
        <w:t>s</w:t>
      </w:r>
      <w:r w:rsidR="00595450" w:rsidRPr="005669B6">
        <w:rPr>
          <w:rFonts w:ascii="Times New Roman" w:hAnsi="Times New Roman" w:cs="Times New Roman"/>
          <w:color w:val="000000" w:themeColor="text1"/>
          <w:sz w:val="24"/>
          <w:szCs w:val="24"/>
          <w:lang w:val="en-US"/>
        </w:rPr>
        <w:t xml:space="preserve"> volatility persistence. </w:t>
      </w:r>
      <w:r w:rsidR="00380BA9" w:rsidRPr="005669B6">
        <w:rPr>
          <w:rFonts w:ascii="Times New Roman" w:hAnsi="Times New Roman" w:cs="Times New Roman"/>
          <w:color w:val="000000" w:themeColor="text1"/>
          <w:sz w:val="24"/>
          <w:szCs w:val="24"/>
          <w:lang w:val="en-US"/>
        </w:rPr>
        <w:t xml:space="preserve">Therefore, we </w:t>
      </w:r>
      <w:r>
        <w:rPr>
          <w:rFonts w:ascii="Times New Roman" w:hAnsi="Times New Roman" w:cs="Times New Roman"/>
          <w:color w:val="000000" w:themeColor="text1"/>
          <w:sz w:val="24"/>
          <w:szCs w:val="24"/>
          <w:lang w:val="en-US"/>
        </w:rPr>
        <w:t xml:space="preserve">can </w:t>
      </w:r>
      <w:r w:rsidR="00380BA9" w:rsidRPr="005669B6">
        <w:rPr>
          <w:rFonts w:ascii="Times New Roman" w:hAnsi="Times New Roman" w:cs="Times New Roman"/>
          <w:color w:val="000000" w:themeColor="text1"/>
          <w:sz w:val="24"/>
          <w:szCs w:val="24"/>
          <w:lang w:val="en-US"/>
        </w:rPr>
        <w:t xml:space="preserve">conclude that </w:t>
      </w:r>
      <w:r>
        <w:rPr>
          <w:rFonts w:ascii="Times New Roman" w:hAnsi="Times New Roman" w:cs="Times New Roman"/>
          <w:color w:val="000000" w:themeColor="text1"/>
          <w:sz w:val="24"/>
          <w:szCs w:val="24"/>
          <w:lang w:val="en-US"/>
        </w:rPr>
        <w:t xml:space="preserve">the </w:t>
      </w:r>
      <w:r w:rsidR="00380BA9" w:rsidRPr="005669B6">
        <w:rPr>
          <w:rFonts w:ascii="Times New Roman" w:hAnsi="Times New Roman" w:cs="Times New Roman"/>
          <w:color w:val="000000" w:themeColor="text1"/>
          <w:sz w:val="24"/>
          <w:szCs w:val="24"/>
          <w:lang w:val="en-US"/>
        </w:rPr>
        <w:t>conditional volatilities are mean r</w:t>
      </w:r>
      <w:r w:rsidR="00380BA9" w:rsidRPr="00380BA9">
        <w:rPr>
          <w:rFonts w:ascii="Times New Roman" w:hAnsi="Times New Roman" w:cs="Times New Roman"/>
          <w:sz w:val="24"/>
          <w:szCs w:val="24"/>
          <w:lang w:val="en-US"/>
        </w:rPr>
        <w:t xml:space="preserve">everting </w:t>
      </w:r>
      <w:r w:rsidR="00380BA9">
        <w:rPr>
          <w:rFonts w:ascii="Times New Roman" w:hAnsi="Times New Roman" w:cs="Times New Roman"/>
          <w:sz w:val="24"/>
          <w:szCs w:val="24"/>
          <w:lang w:val="en-US"/>
        </w:rPr>
        <w:t xml:space="preserve">for </w:t>
      </w:r>
      <w:r>
        <w:rPr>
          <w:rFonts w:ascii="Times New Roman" w:hAnsi="Times New Roman" w:cs="Times New Roman"/>
          <w:sz w:val="24"/>
          <w:szCs w:val="24"/>
          <w:lang w:val="en-US"/>
        </w:rPr>
        <w:t>the daily</w:t>
      </w:r>
      <w:r w:rsidR="00380BA9">
        <w:rPr>
          <w:rFonts w:ascii="Times New Roman" w:hAnsi="Times New Roman" w:cs="Times New Roman"/>
          <w:sz w:val="24"/>
          <w:szCs w:val="24"/>
          <w:lang w:val="en-US"/>
        </w:rPr>
        <w:t xml:space="preserve"> </w:t>
      </w:r>
      <w:r w:rsidR="00380BA9" w:rsidRPr="00380BA9">
        <w:rPr>
          <w:rFonts w:ascii="Times New Roman" w:hAnsi="Times New Roman" w:cs="Times New Roman"/>
          <w:sz w:val="24"/>
          <w:szCs w:val="24"/>
          <w:lang w:val="en-US"/>
        </w:rPr>
        <w:t xml:space="preserve">returns </w:t>
      </w:r>
      <w:r>
        <w:rPr>
          <w:rFonts w:ascii="Times New Roman" w:hAnsi="Times New Roman" w:cs="Times New Roman"/>
          <w:sz w:val="24"/>
          <w:szCs w:val="24"/>
          <w:lang w:val="en-US"/>
        </w:rPr>
        <w:t>on the</w:t>
      </w:r>
      <w:r w:rsidR="00380BA9" w:rsidRPr="00380BA9">
        <w:rPr>
          <w:rFonts w:ascii="Times New Roman" w:hAnsi="Times New Roman" w:cs="Times New Roman"/>
          <w:sz w:val="24"/>
          <w:szCs w:val="24"/>
          <w:lang w:val="en-US"/>
        </w:rPr>
        <w:t xml:space="preserve"> </w:t>
      </w:r>
      <w:r w:rsidR="0026259B">
        <w:rPr>
          <w:rFonts w:ascii="Times New Roman" w:hAnsi="Times New Roman" w:cs="Times New Roman"/>
          <w:sz w:val="24"/>
          <w:szCs w:val="24"/>
          <w:lang w:val="en-US"/>
        </w:rPr>
        <w:t>average</w:t>
      </w:r>
      <w:r w:rsidR="00380BA9">
        <w:rPr>
          <w:rFonts w:ascii="Times New Roman" w:hAnsi="Times New Roman" w:cs="Times New Roman"/>
          <w:sz w:val="24"/>
          <w:szCs w:val="24"/>
          <w:lang w:val="en-US"/>
        </w:rPr>
        <w:t xml:space="preserve"> index</w:t>
      </w:r>
      <w:r w:rsidR="00380BA9" w:rsidRPr="00380BA9">
        <w:rPr>
          <w:rFonts w:ascii="Times New Roman" w:hAnsi="Times New Roman" w:cs="Times New Roman"/>
          <w:sz w:val="24"/>
          <w:szCs w:val="24"/>
          <w:lang w:val="en-US"/>
        </w:rPr>
        <w:t>.</w:t>
      </w:r>
      <w:r w:rsidR="00380BA9">
        <w:rPr>
          <w:rFonts w:ascii="Times New Roman" w:hAnsi="Times New Roman" w:cs="Times New Roman"/>
          <w:sz w:val="24"/>
          <w:szCs w:val="24"/>
          <w:lang w:val="en-US"/>
        </w:rPr>
        <w:t xml:space="preserve"> </w:t>
      </w:r>
      <w:r>
        <w:rPr>
          <w:rFonts w:ascii="Times New Roman" w:hAnsi="Times New Roman" w:cs="Times New Roman"/>
          <w:sz w:val="24"/>
          <w:szCs w:val="24"/>
          <w:lang w:val="en-US"/>
        </w:rPr>
        <w:t>Moreover,</w:t>
      </w:r>
      <w:r w:rsidR="00380BA9">
        <w:rPr>
          <w:rFonts w:ascii="Times New Roman" w:hAnsi="Times New Roman" w:cs="Times New Roman"/>
          <w:sz w:val="24"/>
          <w:szCs w:val="24"/>
          <w:lang w:val="en-US"/>
        </w:rPr>
        <w:t xml:space="preserve"> </w:t>
      </w:r>
      <w:r>
        <w:rPr>
          <w:rFonts w:ascii="Times New Roman" w:hAnsi="Times New Roman" w:cs="Times New Roman"/>
          <w:sz w:val="24"/>
          <w:szCs w:val="24"/>
          <w:lang w:val="en-US"/>
        </w:rPr>
        <w:t>the estimates illustrate</w:t>
      </w:r>
      <w:r w:rsidR="00380BA9">
        <w:rPr>
          <w:rFonts w:ascii="Times New Roman" w:hAnsi="Times New Roman" w:cs="Times New Roman"/>
          <w:sz w:val="24"/>
          <w:szCs w:val="24"/>
          <w:lang w:val="en-US"/>
        </w:rPr>
        <w:t xml:space="preserve"> that all estimated coefficients in the </w:t>
      </w:r>
      <w:r>
        <w:rPr>
          <w:rFonts w:ascii="Times New Roman" w:hAnsi="Times New Roman" w:cs="Times New Roman"/>
          <w:sz w:val="24"/>
          <w:szCs w:val="24"/>
          <w:lang w:val="en-US"/>
        </w:rPr>
        <w:t xml:space="preserve">conditional </w:t>
      </w:r>
      <w:r w:rsidR="00380BA9">
        <w:rPr>
          <w:rFonts w:ascii="Times New Roman" w:hAnsi="Times New Roman" w:cs="Times New Roman"/>
          <w:sz w:val="24"/>
          <w:szCs w:val="24"/>
          <w:lang w:val="en-US"/>
        </w:rPr>
        <w:t xml:space="preserve">variance equation </w:t>
      </w:r>
      <w:r w:rsidR="00595450">
        <w:rPr>
          <w:rFonts w:ascii="Times New Roman" w:hAnsi="Times New Roman" w:cs="Times New Roman"/>
          <w:sz w:val="24"/>
          <w:szCs w:val="24"/>
          <w:lang w:val="en-US"/>
        </w:rPr>
        <w:t xml:space="preserve">are statistically significant at the standard levels of significance.  Therefore, we reject </w:t>
      </w:r>
      <w:r w:rsidR="00380BA9" w:rsidRPr="00380BA9">
        <w:rPr>
          <w:rFonts w:ascii="Times New Roman" w:hAnsi="Times New Roman" w:cs="Times New Roman"/>
          <w:sz w:val="24"/>
          <w:szCs w:val="24"/>
          <w:lang w:val="en-US"/>
        </w:rPr>
        <w:t>the null hypothesis that coefficients of the variance equation are zero</w:t>
      </w:r>
      <w:r w:rsidR="00380BA9">
        <w:rPr>
          <w:rFonts w:ascii="Times New Roman" w:hAnsi="Times New Roman" w:cs="Times New Roman"/>
          <w:sz w:val="24"/>
          <w:szCs w:val="24"/>
          <w:lang w:val="en-US"/>
        </w:rPr>
        <w:t>.</w:t>
      </w:r>
      <w:r>
        <w:rPr>
          <w:rFonts w:ascii="Times New Roman" w:hAnsi="Times New Roman" w:cs="Times New Roman"/>
          <w:sz w:val="24"/>
          <w:szCs w:val="24"/>
          <w:lang w:val="en-US"/>
        </w:rPr>
        <w:t xml:space="preserve"> More importantly, the</w:t>
      </w:r>
      <w:r w:rsidR="000649F3">
        <w:rPr>
          <w:rFonts w:ascii="Times New Roman" w:hAnsi="Times New Roman" w:cs="Times New Roman"/>
          <w:sz w:val="24"/>
          <w:szCs w:val="24"/>
          <w:lang w:val="en-US"/>
        </w:rPr>
        <w:t xml:space="preserve"> </w:t>
      </w:r>
      <w:r>
        <w:rPr>
          <w:rFonts w:ascii="Times New Roman" w:hAnsi="Times New Roman" w:cs="Times New Roman"/>
          <w:sz w:val="24"/>
          <w:szCs w:val="24"/>
          <w:lang w:val="en-US"/>
        </w:rPr>
        <w:t>findings</w:t>
      </w:r>
      <w:r w:rsidR="00595450">
        <w:rPr>
          <w:rFonts w:ascii="Times New Roman" w:hAnsi="Times New Roman" w:cs="Times New Roman"/>
          <w:sz w:val="24"/>
          <w:szCs w:val="24"/>
          <w:lang w:val="en-US"/>
        </w:rPr>
        <w:t xml:space="preserve"> provide</w:t>
      </w:r>
      <w:r w:rsidR="0091232D">
        <w:rPr>
          <w:rFonts w:ascii="Times New Roman" w:hAnsi="Times New Roman" w:cs="Times New Roman"/>
          <w:sz w:val="24"/>
          <w:szCs w:val="24"/>
          <w:lang w:val="en-US"/>
        </w:rPr>
        <w:t xml:space="preserve"> </w:t>
      </w:r>
      <w:r w:rsidR="00595450">
        <w:rPr>
          <w:rFonts w:ascii="Times New Roman" w:hAnsi="Times New Roman" w:cs="Times New Roman"/>
          <w:sz w:val="24"/>
          <w:szCs w:val="24"/>
          <w:lang w:val="en-US"/>
        </w:rPr>
        <w:t xml:space="preserve">strong </w:t>
      </w:r>
      <w:r w:rsidR="0091232D">
        <w:rPr>
          <w:rFonts w:ascii="Times New Roman" w:hAnsi="Times New Roman" w:cs="Times New Roman"/>
          <w:sz w:val="24"/>
          <w:szCs w:val="24"/>
          <w:lang w:val="en-US"/>
        </w:rPr>
        <w:t xml:space="preserve">evidence </w:t>
      </w:r>
      <w:r w:rsidR="00595450">
        <w:rPr>
          <w:rFonts w:ascii="Times New Roman" w:hAnsi="Times New Roman" w:cs="Times New Roman"/>
          <w:sz w:val="24"/>
          <w:szCs w:val="24"/>
          <w:lang w:val="en-US"/>
        </w:rPr>
        <w:t xml:space="preserve">that </w:t>
      </w:r>
      <w:r>
        <w:rPr>
          <w:rFonts w:ascii="Times New Roman" w:hAnsi="Times New Roman" w:cs="Times New Roman"/>
          <w:sz w:val="24"/>
          <w:szCs w:val="24"/>
          <w:lang w:val="en-US"/>
        </w:rPr>
        <w:t xml:space="preserve">the </w:t>
      </w:r>
      <w:r w:rsidR="00595450">
        <w:rPr>
          <w:rFonts w:ascii="Times New Roman" w:hAnsi="Times New Roman" w:cs="Times New Roman"/>
          <w:sz w:val="24"/>
          <w:szCs w:val="24"/>
          <w:lang w:val="en-US"/>
        </w:rPr>
        <w:t>C</w:t>
      </w:r>
      <w:r>
        <w:rPr>
          <w:rFonts w:ascii="Times New Roman" w:hAnsi="Times New Roman" w:cs="Times New Roman"/>
          <w:sz w:val="24"/>
          <w:szCs w:val="24"/>
          <w:lang w:val="en-US"/>
        </w:rPr>
        <w:t>ovid</w:t>
      </w:r>
      <w:r w:rsidR="00595450">
        <w:rPr>
          <w:rFonts w:ascii="Times New Roman" w:hAnsi="Times New Roman" w:cs="Times New Roman"/>
          <w:sz w:val="24"/>
          <w:szCs w:val="24"/>
          <w:lang w:val="en-US"/>
        </w:rPr>
        <w:t>-19 factor exert</w:t>
      </w:r>
      <w:r w:rsidR="0091232D">
        <w:rPr>
          <w:rFonts w:ascii="Times New Roman" w:hAnsi="Times New Roman" w:cs="Times New Roman"/>
          <w:sz w:val="24"/>
          <w:szCs w:val="24"/>
          <w:lang w:val="en-US"/>
        </w:rPr>
        <w:t>s</w:t>
      </w:r>
      <w:r w:rsidR="00595450">
        <w:rPr>
          <w:rFonts w:ascii="Times New Roman" w:hAnsi="Times New Roman" w:cs="Times New Roman"/>
          <w:sz w:val="24"/>
          <w:szCs w:val="24"/>
          <w:lang w:val="en-US"/>
        </w:rPr>
        <w:t xml:space="preserve"> a </w:t>
      </w:r>
      <w:r w:rsidR="0091232D">
        <w:rPr>
          <w:rFonts w:ascii="Times New Roman" w:hAnsi="Times New Roman" w:cs="Times New Roman"/>
          <w:sz w:val="24"/>
          <w:szCs w:val="24"/>
          <w:lang w:val="en-US"/>
        </w:rPr>
        <w:t xml:space="preserve">significant </w:t>
      </w:r>
      <w:r w:rsidR="00595450">
        <w:rPr>
          <w:rFonts w:ascii="Times New Roman" w:hAnsi="Times New Roman" w:cs="Times New Roman"/>
          <w:sz w:val="24"/>
          <w:szCs w:val="24"/>
          <w:lang w:val="en-US"/>
        </w:rPr>
        <w:t xml:space="preserve">negative impact </w:t>
      </w:r>
      <w:r w:rsidR="0091232D">
        <w:rPr>
          <w:rFonts w:ascii="Times New Roman" w:hAnsi="Times New Roman" w:cs="Times New Roman"/>
          <w:sz w:val="24"/>
          <w:szCs w:val="24"/>
          <w:lang w:val="en-US"/>
        </w:rPr>
        <w:t xml:space="preserve">on </w:t>
      </w:r>
      <w:r>
        <w:rPr>
          <w:rFonts w:ascii="Times New Roman" w:hAnsi="Times New Roman" w:cs="Times New Roman"/>
          <w:sz w:val="24"/>
          <w:szCs w:val="24"/>
          <w:lang w:val="en-US"/>
        </w:rPr>
        <w:t xml:space="preserve">mean </w:t>
      </w:r>
      <w:r w:rsidR="0091232D">
        <w:rPr>
          <w:rFonts w:ascii="Times New Roman" w:hAnsi="Times New Roman" w:cs="Times New Roman"/>
          <w:sz w:val="24"/>
          <w:szCs w:val="24"/>
          <w:lang w:val="en-US"/>
        </w:rPr>
        <w:t>stock</w:t>
      </w:r>
      <w:r w:rsidR="00595450">
        <w:rPr>
          <w:rFonts w:ascii="Times New Roman" w:hAnsi="Times New Roman" w:cs="Times New Roman"/>
          <w:sz w:val="24"/>
          <w:szCs w:val="24"/>
          <w:lang w:val="en-US"/>
        </w:rPr>
        <w:t xml:space="preserve"> returns</w:t>
      </w:r>
      <w:r w:rsidR="0091232D">
        <w:rPr>
          <w:rFonts w:ascii="Times New Roman" w:hAnsi="Times New Roman" w:cs="Times New Roman"/>
          <w:sz w:val="24"/>
          <w:szCs w:val="24"/>
          <w:lang w:val="en-US"/>
        </w:rPr>
        <w:t xml:space="preserve"> in C</w:t>
      </w:r>
      <w:r w:rsidR="0026259B">
        <w:rPr>
          <w:rFonts w:ascii="Times New Roman" w:hAnsi="Times New Roman" w:cs="Times New Roman"/>
          <w:sz w:val="24"/>
          <w:szCs w:val="24"/>
          <w:lang w:val="en-US"/>
        </w:rPr>
        <w:t>hina</w:t>
      </w:r>
      <w:r w:rsidR="0091232D">
        <w:rPr>
          <w:rFonts w:ascii="Times New Roman" w:hAnsi="Times New Roman" w:cs="Times New Roman"/>
          <w:sz w:val="24"/>
          <w:szCs w:val="24"/>
          <w:lang w:val="en-US"/>
        </w:rPr>
        <w:t xml:space="preserve">. These results hold </w:t>
      </w:r>
      <w:r>
        <w:rPr>
          <w:rFonts w:ascii="Times New Roman" w:hAnsi="Times New Roman" w:cs="Times New Roman"/>
          <w:sz w:val="24"/>
          <w:szCs w:val="24"/>
          <w:lang w:val="en-US"/>
        </w:rPr>
        <w:t>across</w:t>
      </w:r>
      <w:r w:rsidR="0091232D">
        <w:rPr>
          <w:rFonts w:ascii="Times New Roman" w:hAnsi="Times New Roman" w:cs="Times New Roman"/>
          <w:sz w:val="24"/>
          <w:szCs w:val="24"/>
          <w:lang w:val="en-US"/>
        </w:rPr>
        <w:t xml:space="preserve"> </w:t>
      </w:r>
      <w:r w:rsidR="0026259B">
        <w:rPr>
          <w:rFonts w:ascii="Times New Roman" w:hAnsi="Times New Roman" w:cs="Times New Roman"/>
          <w:sz w:val="24"/>
          <w:szCs w:val="24"/>
          <w:lang w:val="en-US"/>
        </w:rPr>
        <w:t>both</w:t>
      </w:r>
      <w:r w:rsidR="0091232D">
        <w:rPr>
          <w:rFonts w:ascii="Times New Roman" w:hAnsi="Times New Roman" w:cs="Times New Roman"/>
          <w:sz w:val="24"/>
          <w:szCs w:val="24"/>
          <w:lang w:val="en-US"/>
        </w:rPr>
        <w:t xml:space="preserve"> model</w:t>
      </w:r>
      <w:r>
        <w:rPr>
          <w:rFonts w:ascii="Times New Roman" w:hAnsi="Times New Roman" w:cs="Times New Roman"/>
          <w:sz w:val="24"/>
          <w:szCs w:val="24"/>
          <w:lang w:val="en-US"/>
        </w:rPr>
        <w:t>s</w:t>
      </w:r>
      <w:r w:rsidR="0026259B">
        <w:rPr>
          <w:rFonts w:ascii="Times New Roman" w:hAnsi="Times New Roman" w:cs="Times New Roman"/>
          <w:sz w:val="24"/>
          <w:szCs w:val="24"/>
          <w:lang w:val="en-US"/>
        </w:rPr>
        <w:t>,</w:t>
      </w:r>
      <w:r>
        <w:rPr>
          <w:rFonts w:ascii="Times New Roman" w:hAnsi="Times New Roman" w:cs="Times New Roman"/>
          <w:sz w:val="24"/>
          <w:szCs w:val="24"/>
          <w:lang w:val="en-US"/>
        </w:rPr>
        <w:t xml:space="preserve"> corresponding to the</w:t>
      </w:r>
      <w:r w:rsidR="0091232D">
        <w:rPr>
          <w:rFonts w:ascii="Times New Roman" w:hAnsi="Times New Roman" w:cs="Times New Roman"/>
          <w:sz w:val="24"/>
          <w:szCs w:val="24"/>
          <w:lang w:val="en-US"/>
        </w:rPr>
        <w:t xml:space="preserve"> </w:t>
      </w:r>
      <w:r w:rsidR="0026259B">
        <w:rPr>
          <w:rFonts w:ascii="Times New Roman" w:hAnsi="Times New Roman" w:cs="Times New Roman"/>
          <w:sz w:val="24"/>
          <w:szCs w:val="24"/>
          <w:lang w:val="en-US"/>
        </w:rPr>
        <w:t>two</w:t>
      </w:r>
      <w:r w:rsidR="0091232D">
        <w:rPr>
          <w:rFonts w:ascii="Times New Roman" w:hAnsi="Times New Roman" w:cs="Times New Roman"/>
          <w:sz w:val="24"/>
          <w:szCs w:val="24"/>
          <w:lang w:val="en-US"/>
        </w:rPr>
        <w:t xml:space="preserve"> alternative definitions of the C</w:t>
      </w:r>
      <w:r>
        <w:rPr>
          <w:rFonts w:ascii="Times New Roman" w:hAnsi="Times New Roman" w:cs="Times New Roman"/>
          <w:sz w:val="24"/>
          <w:szCs w:val="24"/>
          <w:lang w:val="en-US"/>
        </w:rPr>
        <w:t>ovid</w:t>
      </w:r>
      <w:r w:rsidR="0091232D">
        <w:rPr>
          <w:rFonts w:ascii="Times New Roman" w:hAnsi="Times New Roman" w:cs="Times New Roman"/>
          <w:sz w:val="24"/>
          <w:szCs w:val="24"/>
          <w:lang w:val="en-US"/>
        </w:rPr>
        <w:t xml:space="preserve">-19 </w:t>
      </w:r>
      <w:r>
        <w:rPr>
          <w:rFonts w:ascii="Times New Roman" w:hAnsi="Times New Roman" w:cs="Times New Roman"/>
          <w:sz w:val="24"/>
          <w:szCs w:val="24"/>
          <w:lang w:val="en-US"/>
        </w:rPr>
        <w:t>measure</w:t>
      </w:r>
      <w:r w:rsidR="0091232D">
        <w:rPr>
          <w:rFonts w:ascii="Times New Roman" w:hAnsi="Times New Roman" w:cs="Times New Roman"/>
          <w:sz w:val="24"/>
          <w:szCs w:val="24"/>
          <w:lang w:val="en-US"/>
        </w:rPr>
        <w:t>. However, the negative impact of the C</w:t>
      </w:r>
      <w:r>
        <w:rPr>
          <w:rFonts w:ascii="Times New Roman" w:hAnsi="Times New Roman" w:cs="Times New Roman"/>
          <w:sz w:val="24"/>
          <w:szCs w:val="24"/>
          <w:lang w:val="en-US"/>
        </w:rPr>
        <w:t>ovid</w:t>
      </w:r>
      <w:r w:rsidR="0091232D">
        <w:rPr>
          <w:rFonts w:ascii="Times New Roman" w:hAnsi="Times New Roman" w:cs="Times New Roman"/>
          <w:sz w:val="24"/>
          <w:szCs w:val="24"/>
          <w:lang w:val="en-US"/>
        </w:rPr>
        <w:t>-19 on stock returns is more pronounced when we use total cases of deaths to proxy the effect of this infectious disease.</w:t>
      </w:r>
      <w:r w:rsidR="006D61E8">
        <w:rPr>
          <w:rFonts w:ascii="Times New Roman" w:hAnsi="Times New Roman" w:cs="Times New Roman"/>
          <w:sz w:val="24"/>
          <w:szCs w:val="24"/>
          <w:lang w:val="en-US"/>
        </w:rPr>
        <w:t xml:space="preserve"> </w:t>
      </w:r>
      <w:r w:rsidR="0091232D">
        <w:rPr>
          <w:rFonts w:ascii="Times New Roman" w:hAnsi="Times New Roman" w:cs="Times New Roman"/>
          <w:sz w:val="24"/>
          <w:szCs w:val="24"/>
          <w:lang w:val="en-US"/>
        </w:rPr>
        <w:t xml:space="preserve">Similarly, </w:t>
      </w:r>
      <w:r>
        <w:rPr>
          <w:rFonts w:ascii="Times New Roman" w:hAnsi="Times New Roman" w:cs="Times New Roman"/>
          <w:sz w:val="24"/>
          <w:szCs w:val="24"/>
          <w:lang w:val="en-US"/>
        </w:rPr>
        <w:t>the</w:t>
      </w:r>
      <w:r w:rsidR="0091232D">
        <w:rPr>
          <w:rFonts w:ascii="Times New Roman" w:hAnsi="Times New Roman" w:cs="Times New Roman"/>
          <w:sz w:val="24"/>
          <w:szCs w:val="24"/>
          <w:lang w:val="en-US"/>
        </w:rPr>
        <w:t xml:space="preserve"> results</w:t>
      </w:r>
      <w:r w:rsidR="006D61E8">
        <w:rPr>
          <w:rFonts w:ascii="Times New Roman" w:hAnsi="Times New Roman" w:cs="Times New Roman"/>
          <w:sz w:val="24"/>
          <w:szCs w:val="24"/>
          <w:lang w:val="en-US"/>
        </w:rPr>
        <w:t xml:space="preserve"> of</w:t>
      </w:r>
      <w:r w:rsidR="0091232D">
        <w:rPr>
          <w:rFonts w:ascii="Times New Roman" w:hAnsi="Times New Roman" w:cs="Times New Roman"/>
          <w:sz w:val="24"/>
          <w:szCs w:val="24"/>
          <w:lang w:val="en-US"/>
        </w:rPr>
        <w:t xml:space="preserve"> </w:t>
      </w:r>
      <w:r w:rsidR="006D61E8">
        <w:rPr>
          <w:rFonts w:ascii="Times New Roman" w:hAnsi="Times New Roman" w:cs="Times New Roman"/>
          <w:sz w:val="24"/>
          <w:szCs w:val="24"/>
          <w:lang w:val="en-US"/>
        </w:rPr>
        <w:t xml:space="preserve">the conditional volatility equation </w:t>
      </w:r>
      <w:r w:rsidR="0091232D">
        <w:rPr>
          <w:rFonts w:ascii="Times New Roman" w:hAnsi="Times New Roman" w:cs="Times New Roman"/>
          <w:sz w:val="24"/>
          <w:szCs w:val="24"/>
          <w:lang w:val="en-US"/>
        </w:rPr>
        <w:t>document that C</w:t>
      </w:r>
      <w:r>
        <w:rPr>
          <w:rFonts w:ascii="Times New Roman" w:hAnsi="Times New Roman" w:cs="Times New Roman"/>
          <w:sz w:val="24"/>
          <w:szCs w:val="24"/>
          <w:lang w:val="en-US"/>
        </w:rPr>
        <w:t>ovid</w:t>
      </w:r>
      <w:r w:rsidR="0091232D">
        <w:rPr>
          <w:rFonts w:ascii="Times New Roman" w:hAnsi="Times New Roman" w:cs="Times New Roman"/>
          <w:sz w:val="24"/>
          <w:szCs w:val="24"/>
          <w:lang w:val="en-US"/>
        </w:rPr>
        <w:t xml:space="preserve">-19 has a positive and statistically significant effect on </w:t>
      </w:r>
      <w:r>
        <w:rPr>
          <w:rFonts w:ascii="Times New Roman" w:hAnsi="Times New Roman" w:cs="Times New Roman"/>
          <w:sz w:val="24"/>
          <w:szCs w:val="24"/>
          <w:lang w:val="en-US"/>
        </w:rPr>
        <w:t xml:space="preserve">the </w:t>
      </w:r>
      <w:r w:rsidR="0091232D">
        <w:rPr>
          <w:rFonts w:ascii="Times New Roman" w:hAnsi="Times New Roman" w:cs="Times New Roman"/>
          <w:sz w:val="24"/>
          <w:szCs w:val="24"/>
          <w:lang w:val="en-US"/>
        </w:rPr>
        <w:t xml:space="preserve">volatility of stock returns. </w:t>
      </w:r>
      <w:r w:rsidR="006D61E8">
        <w:rPr>
          <w:rFonts w:ascii="Times New Roman" w:hAnsi="Times New Roman" w:cs="Times New Roman"/>
          <w:sz w:val="24"/>
          <w:szCs w:val="24"/>
          <w:lang w:val="en-US"/>
        </w:rPr>
        <w:t xml:space="preserve">As in the case of </w:t>
      </w:r>
      <w:r>
        <w:rPr>
          <w:rFonts w:ascii="Times New Roman" w:hAnsi="Times New Roman" w:cs="Times New Roman"/>
          <w:sz w:val="24"/>
          <w:szCs w:val="24"/>
          <w:lang w:val="en-US"/>
        </w:rPr>
        <w:t xml:space="preserve">the </w:t>
      </w:r>
      <w:r w:rsidR="006D61E8">
        <w:rPr>
          <w:rFonts w:ascii="Times New Roman" w:hAnsi="Times New Roman" w:cs="Times New Roman"/>
          <w:sz w:val="24"/>
          <w:szCs w:val="24"/>
          <w:lang w:val="en-US"/>
        </w:rPr>
        <w:t xml:space="preserve">mean equation, we find that these effects are </w:t>
      </w:r>
      <w:r w:rsidR="00833E81">
        <w:rPr>
          <w:rFonts w:ascii="Times New Roman" w:hAnsi="Times New Roman" w:cs="Times New Roman"/>
          <w:sz w:val="24"/>
          <w:szCs w:val="24"/>
          <w:lang w:val="en-US"/>
        </w:rPr>
        <w:t>strong</w:t>
      </w:r>
      <w:r w:rsidR="00A92632">
        <w:rPr>
          <w:rFonts w:ascii="Times New Roman" w:hAnsi="Times New Roman" w:cs="Times New Roman"/>
          <w:sz w:val="24"/>
          <w:szCs w:val="24"/>
          <w:lang w:val="en-US"/>
        </w:rPr>
        <w:t>er</w:t>
      </w:r>
      <w:r w:rsidR="00833E81">
        <w:rPr>
          <w:rFonts w:ascii="Times New Roman" w:hAnsi="Times New Roman" w:cs="Times New Roman"/>
          <w:sz w:val="24"/>
          <w:szCs w:val="24"/>
          <w:lang w:val="en-US"/>
        </w:rPr>
        <w:t xml:space="preserve"> </w:t>
      </w:r>
      <w:r>
        <w:rPr>
          <w:rFonts w:ascii="Times New Roman" w:hAnsi="Times New Roman" w:cs="Times New Roman"/>
          <w:sz w:val="24"/>
          <w:szCs w:val="24"/>
          <w:lang w:val="en-US"/>
        </w:rPr>
        <w:t>when</w:t>
      </w:r>
      <w:r w:rsidR="006D61E8">
        <w:rPr>
          <w:rFonts w:ascii="Times New Roman" w:hAnsi="Times New Roman" w:cs="Times New Roman"/>
          <w:sz w:val="24"/>
          <w:szCs w:val="24"/>
          <w:lang w:val="en-US"/>
        </w:rPr>
        <w:t xml:space="preserve"> employing </w:t>
      </w:r>
      <w:r>
        <w:rPr>
          <w:rFonts w:ascii="Times New Roman" w:hAnsi="Times New Roman" w:cs="Times New Roman"/>
          <w:sz w:val="24"/>
          <w:szCs w:val="24"/>
          <w:lang w:val="en-US"/>
        </w:rPr>
        <w:t xml:space="preserve">the </w:t>
      </w:r>
      <w:r w:rsidR="006D61E8">
        <w:rPr>
          <w:rFonts w:ascii="Times New Roman" w:hAnsi="Times New Roman" w:cs="Times New Roman"/>
          <w:sz w:val="24"/>
          <w:szCs w:val="24"/>
          <w:lang w:val="en-US"/>
        </w:rPr>
        <w:t xml:space="preserve">total number of </w:t>
      </w:r>
      <w:r w:rsidR="00833E81">
        <w:rPr>
          <w:rFonts w:ascii="Times New Roman" w:hAnsi="Times New Roman" w:cs="Times New Roman"/>
          <w:sz w:val="24"/>
          <w:szCs w:val="24"/>
          <w:lang w:val="en-US"/>
        </w:rPr>
        <w:t>deaths</w:t>
      </w:r>
      <w:r w:rsidR="006D61E8">
        <w:rPr>
          <w:rFonts w:ascii="Times New Roman" w:hAnsi="Times New Roman" w:cs="Times New Roman"/>
          <w:sz w:val="24"/>
          <w:szCs w:val="24"/>
          <w:lang w:val="en-US"/>
        </w:rPr>
        <w:t xml:space="preserve"> </w:t>
      </w:r>
      <w:r>
        <w:rPr>
          <w:rFonts w:ascii="Times New Roman" w:hAnsi="Times New Roman" w:cs="Times New Roman"/>
          <w:sz w:val="24"/>
          <w:szCs w:val="24"/>
          <w:lang w:val="en-US"/>
        </w:rPr>
        <w:t>as a</w:t>
      </w:r>
      <w:r w:rsidR="006D61E8">
        <w:rPr>
          <w:rFonts w:ascii="Times New Roman" w:hAnsi="Times New Roman" w:cs="Times New Roman"/>
          <w:sz w:val="24"/>
          <w:szCs w:val="24"/>
          <w:lang w:val="en-US"/>
        </w:rPr>
        <w:t xml:space="preserve"> proxy </w:t>
      </w:r>
      <w:r>
        <w:rPr>
          <w:rFonts w:ascii="Times New Roman" w:hAnsi="Times New Roman" w:cs="Times New Roman"/>
          <w:sz w:val="24"/>
          <w:szCs w:val="24"/>
          <w:lang w:val="en-US"/>
        </w:rPr>
        <w:t xml:space="preserve">for </w:t>
      </w:r>
      <w:r w:rsidR="006D61E8">
        <w:rPr>
          <w:rFonts w:ascii="Times New Roman" w:hAnsi="Times New Roman" w:cs="Times New Roman"/>
          <w:sz w:val="24"/>
          <w:szCs w:val="24"/>
          <w:lang w:val="en-US"/>
        </w:rPr>
        <w:t>C</w:t>
      </w:r>
      <w:r>
        <w:rPr>
          <w:rFonts w:ascii="Times New Roman" w:hAnsi="Times New Roman" w:cs="Times New Roman"/>
          <w:sz w:val="24"/>
          <w:szCs w:val="24"/>
          <w:lang w:val="en-US"/>
        </w:rPr>
        <w:t>ovid</w:t>
      </w:r>
      <w:r w:rsidR="006D61E8">
        <w:rPr>
          <w:rFonts w:ascii="Times New Roman" w:hAnsi="Times New Roman" w:cs="Times New Roman"/>
          <w:sz w:val="24"/>
          <w:szCs w:val="24"/>
          <w:lang w:val="en-US"/>
        </w:rPr>
        <w:t>-19</w:t>
      </w:r>
      <w:r w:rsidR="00833E81">
        <w:rPr>
          <w:rFonts w:ascii="Times New Roman" w:hAnsi="Times New Roman" w:cs="Times New Roman"/>
          <w:sz w:val="24"/>
          <w:szCs w:val="24"/>
          <w:lang w:val="en-US"/>
        </w:rPr>
        <w:t xml:space="preserve">. </w:t>
      </w:r>
      <w:r>
        <w:rPr>
          <w:rFonts w:ascii="Times New Roman" w:hAnsi="Times New Roman" w:cs="Times New Roman"/>
          <w:sz w:val="24"/>
          <w:szCs w:val="24"/>
          <w:lang w:val="en-US"/>
        </w:rPr>
        <w:t>In addition, t</w:t>
      </w:r>
      <w:r w:rsidR="00833E81">
        <w:rPr>
          <w:rFonts w:ascii="Times New Roman" w:hAnsi="Times New Roman" w:cs="Times New Roman"/>
          <w:sz w:val="24"/>
          <w:szCs w:val="24"/>
          <w:lang w:val="en-US"/>
        </w:rPr>
        <w:t xml:space="preserve">he drivers of oil prices and short-term interest rates have the expected impact on mean stock returns. Finally, </w:t>
      </w:r>
      <w:r>
        <w:rPr>
          <w:rFonts w:ascii="Times New Roman" w:hAnsi="Times New Roman" w:cs="Times New Roman"/>
          <w:sz w:val="24"/>
          <w:szCs w:val="24"/>
          <w:lang w:val="en-US"/>
        </w:rPr>
        <w:t xml:space="preserve">certain diagnostics across all models, such as </w:t>
      </w:r>
      <w:r w:rsidR="00833E81">
        <w:rPr>
          <w:rFonts w:ascii="Times New Roman" w:hAnsi="Times New Roman" w:cs="Times New Roman"/>
          <w:sz w:val="24"/>
          <w:szCs w:val="24"/>
          <w:lang w:val="en-US"/>
        </w:rPr>
        <w:t xml:space="preserve">the </w:t>
      </w:r>
      <w:r w:rsidR="00833E81" w:rsidRPr="00833E81">
        <w:rPr>
          <w:rFonts w:ascii="Times New Roman" w:hAnsi="Times New Roman" w:cs="Times New Roman"/>
          <w:sz w:val="24"/>
          <w:szCs w:val="24"/>
          <w:lang w:val="en-US"/>
        </w:rPr>
        <w:t>LM test statistic</w:t>
      </w:r>
      <w:r w:rsidR="00580588">
        <w:rPr>
          <w:rFonts w:ascii="Times New Roman" w:hAnsi="Times New Roman" w:cs="Times New Roman"/>
          <w:sz w:val="24"/>
          <w:szCs w:val="24"/>
          <w:lang w:val="en-US"/>
        </w:rPr>
        <w:t>,</w:t>
      </w:r>
      <w:r w:rsidR="00833E81" w:rsidRPr="00833E81">
        <w:rPr>
          <w:rFonts w:ascii="Times New Roman" w:hAnsi="Times New Roman" w:cs="Times New Roman"/>
          <w:sz w:val="24"/>
          <w:szCs w:val="24"/>
          <w:lang w:val="en-US"/>
        </w:rPr>
        <w:t xml:space="preserve"> </w:t>
      </w:r>
      <w:r>
        <w:rPr>
          <w:rFonts w:ascii="Times New Roman" w:hAnsi="Times New Roman" w:cs="Times New Roman"/>
          <w:sz w:val="24"/>
          <w:szCs w:val="24"/>
          <w:lang w:val="en-US"/>
        </w:rPr>
        <w:t>denotes the absence of serial correlation in the residuals</w:t>
      </w:r>
      <w:r w:rsidR="00580588">
        <w:rPr>
          <w:rFonts w:ascii="Times New Roman" w:hAnsi="Times New Roman" w:cs="Times New Roman"/>
          <w:sz w:val="24"/>
          <w:szCs w:val="24"/>
          <w:lang w:val="en-US"/>
        </w:rPr>
        <w:t xml:space="preserve">, </w:t>
      </w:r>
      <w:r w:rsidR="00833E81">
        <w:rPr>
          <w:rFonts w:ascii="Times New Roman" w:hAnsi="Times New Roman" w:cs="Times New Roman"/>
          <w:sz w:val="24"/>
          <w:szCs w:val="24"/>
          <w:lang w:val="en-US"/>
        </w:rPr>
        <w:t>imply</w:t>
      </w:r>
      <w:r w:rsidR="00580588">
        <w:rPr>
          <w:rFonts w:ascii="Times New Roman" w:hAnsi="Times New Roman" w:cs="Times New Roman"/>
          <w:sz w:val="24"/>
          <w:szCs w:val="24"/>
          <w:lang w:val="en-US"/>
        </w:rPr>
        <w:t>ing</w:t>
      </w:r>
      <w:r w:rsidR="00833E81">
        <w:rPr>
          <w:rFonts w:ascii="Times New Roman" w:hAnsi="Times New Roman" w:cs="Times New Roman"/>
          <w:sz w:val="24"/>
          <w:szCs w:val="24"/>
          <w:lang w:val="en-US"/>
        </w:rPr>
        <w:t xml:space="preserve"> that</w:t>
      </w:r>
      <w:r w:rsidR="00833E81" w:rsidRPr="00833E81">
        <w:rPr>
          <w:rFonts w:ascii="Times New Roman" w:hAnsi="Times New Roman" w:cs="Times New Roman"/>
          <w:sz w:val="24"/>
          <w:szCs w:val="24"/>
          <w:lang w:val="en-US"/>
        </w:rPr>
        <w:t xml:space="preserve"> the </w:t>
      </w:r>
      <w:r>
        <w:rPr>
          <w:rFonts w:ascii="Times New Roman" w:hAnsi="Times New Roman" w:cs="Times New Roman"/>
          <w:sz w:val="24"/>
          <w:szCs w:val="24"/>
          <w:lang w:val="en-US"/>
        </w:rPr>
        <w:t>GARCHX model</w:t>
      </w:r>
      <w:r w:rsidR="00833E81" w:rsidRPr="00833E81">
        <w:rPr>
          <w:rFonts w:ascii="Times New Roman" w:hAnsi="Times New Roman" w:cs="Times New Roman"/>
          <w:sz w:val="24"/>
          <w:szCs w:val="24"/>
          <w:lang w:val="en-US"/>
        </w:rPr>
        <w:t xml:space="preserve"> </w:t>
      </w:r>
      <w:r w:rsidR="00A92632">
        <w:rPr>
          <w:rFonts w:ascii="Times New Roman" w:hAnsi="Times New Roman" w:cs="Times New Roman"/>
          <w:sz w:val="24"/>
          <w:szCs w:val="24"/>
          <w:lang w:val="en-US"/>
        </w:rPr>
        <w:t>is</w:t>
      </w:r>
      <w:r w:rsidR="00833E81" w:rsidRPr="00833E81">
        <w:rPr>
          <w:rFonts w:ascii="Times New Roman" w:hAnsi="Times New Roman" w:cs="Times New Roman"/>
          <w:sz w:val="24"/>
          <w:szCs w:val="24"/>
          <w:lang w:val="en-US"/>
        </w:rPr>
        <w:t xml:space="preserve"> well specified. </w:t>
      </w:r>
      <w:r w:rsidR="00833E81" w:rsidRPr="00833E81">
        <w:rPr>
          <w:rFonts w:ascii="Times New Roman" w:hAnsi="Times New Roman" w:cs="Times New Roman"/>
          <w:sz w:val="24"/>
          <w:szCs w:val="24"/>
          <w:lang w:val="en-US"/>
        </w:rPr>
        <w:cr/>
      </w:r>
    </w:p>
    <w:p w14:paraId="6F9A3869" w14:textId="23DCD2DD" w:rsidR="00B43477" w:rsidRPr="0026259B" w:rsidRDefault="00150857" w:rsidP="004D0FDA">
      <w:pPr>
        <w:spacing w:line="480" w:lineRule="auto"/>
        <w:jc w:val="both"/>
        <w:rPr>
          <w:rFonts w:ascii="Times New Roman" w:hAnsi="Times New Roman" w:cs="Times New Roman"/>
          <w:sz w:val="24"/>
          <w:szCs w:val="24"/>
          <w:lang w:val="en-US"/>
        </w:rPr>
      </w:pPr>
      <w:r w:rsidRPr="00B43477">
        <w:rPr>
          <w:rFonts w:ascii="Times New Roman" w:hAnsi="Times New Roman" w:cs="Times New Roman"/>
          <w:b/>
          <w:bCs/>
          <w:sz w:val="24"/>
          <w:szCs w:val="24"/>
          <w:lang w:val="en-US"/>
        </w:rPr>
        <w:t>T</w:t>
      </w:r>
      <w:r w:rsidR="00D46294" w:rsidRPr="00B43477">
        <w:rPr>
          <w:rFonts w:ascii="Times New Roman" w:hAnsi="Times New Roman" w:cs="Times New Roman"/>
          <w:b/>
          <w:bCs/>
          <w:sz w:val="24"/>
          <w:szCs w:val="24"/>
          <w:lang w:val="en-US"/>
        </w:rPr>
        <w:t>able 3</w:t>
      </w:r>
      <w:r w:rsidR="00205375">
        <w:rPr>
          <w:rFonts w:ascii="Times New Roman" w:hAnsi="Times New Roman" w:cs="Times New Roman"/>
          <w:b/>
          <w:bCs/>
          <w:sz w:val="24"/>
          <w:szCs w:val="24"/>
          <w:lang w:val="en-US"/>
        </w:rPr>
        <w:t xml:space="preserve">. </w:t>
      </w:r>
      <w:r w:rsidR="00D46294" w:rsidRPr="0026259B">
        <w:rPr>
          <w:rFonts w:ascii="Times New Roman" w:hAnsi="Times New Roman" w:cs="Times New Roman"/>
          <w:sz w:val="24"/>
          <w:szCs w:val="24"/>
          <w:lang w:val="en-US"/>
        </w:rPr>
        <w:t xml:space="preserve">GARCHX estimates: the role of </w:t>
      </w:r>
      <w:r w:rsidR="00E81DE4" w:rsidRPr="0026259B">
        <w:rPr>
          <w:rFonts w:ascii="Times New Roman" w:hAnsi="Times New Roman" w:cs="Times New Roman"/>
          <w:sz w:val="24"/>
          <w:szCs w:val="24"/>
          <w:lang w:val="en-US"/>
        </w:rPr>
        <w:t>C</w:t>
      </w:r>
      <w:r w:rsidR="00580588" w:rsidRPr="0026259B">
        <w:rPr>
          <w:rFonts w:ascii="Times New Roman" w:hAnsi="Times New Roman" w:cs="Times New Roman"/>
          <w:sz w:val="24"/>
          <w:szCs w:val="24"/>
          <w:lang w:val="en-US"/>
        </w:rPr>
        <w:t>ovid</w:t>
      </w:r>
      <w:r w:rsidR="00D46294" w:rsidRPr="0026259B">
        <w:rPr>
          <w:rFonts w:ascii="Times New Roman" w:hAnsi="Times New Roman" w:cs="Times New Roman"/>
          <w:sz w:val="24"/>
          <w:szCs w:val="24"/>
          <w:lang w:val="en-US"/>
        </w:rPr>
        <w:t xml:space="preserve">-19 in stock </w:t>
      </w:r>
      <w:r w:rsidR="00B43477" w:rsidRPr="0026259B">
        <w:rPr>
          <w:rFonts w:ascii="Times New Roman" w:hAnsi="Times New Roman" w:cs="Times New Roman"/>
          <w:sz w:val="24"/>
          <w:szCs w:val="24"/>
          <w:lang w:val="en-US"/>
        </w:rPr>
        <w:t>returns</w:t>
      </w:r>
      <w:r w:rsidR="004D0FDA" w:rsidRPr="0026259B">
        <w:rPr>
          <w:rFonts w:ascii="Times New Roman" w:hAnsi="Times New Roman" w:cs="Times New Roman"/>
          <w:sz w:val="24"/>
          <w:szCs w:val="24"/>
          <w:lang w:val="en-US"/>
        </w:rPr>
        <w:t>.</w:t>
      </w:r>
    </w:p>
    <w:tbl>
      <w:tblPr>
        <w:tblW w:w="3354" w:type="pct"/>
        <w:tblCellMar>
          <w:left w:w="0" w:type="dxa"/>
          <w:right w:w="0" w:type="dxa"/>
        </w:tblCellMar>
        <w:tblLook w:val="04A0" w:firstRow="1" w:lastRow="0" w:firstColumn="1" w:lastColumn="0" w:noHBand="0" w:noVBand="1"/>
      </w:tblPr>
      <w:tblGrid>
        <w:gridCol w:w="3164"/>
        <w:gridCol w:w="1257"/>
        <w:gridCol w:w="1257"/>
      </w:tblGrid>
      <w:tr w:rsidR="0026259B" w:rsidRPr="0026259B" w14:paraId="0AF5D17F" w14:textId="77777777" w:rsidTr="0026259B">
        <w:trPr>
          <w:trHeight w:val="310"/>
        </w:trPr>
        <w:tc>
          <w:tcPr>
            <w:tcW w:w="2653" w:type="pct"/>
            <w:tcBorders>
              <w:top w:val="single" w:sz="4" w:space="0" w:color="auto"/>
              <w:left w:val="nil"/>
              <w:right w:val="nil"/>
            </w:tcBorders>
            <w:shd w:val="clear" w:color="auto" w:fill="auto"/>
            <w:noWrap/>
            <w:tcMar>
              <w:top w:w="15" w:type="dxa"/>
              <w:left w:w="15" w:type="dxa"/>
              <w:bottom w:w="0" w:type="dxa"/>
              <w:right w:w="15" w:type="dxa"/>
            </w:tcMar>
            <w:vAlign w:val="bottom"/>
          </w:tcPr>
          <w:p w14:paraId="78F77470" w14:textId="77777777" w:rsidR="0026259B" w:rsidRPr="0026259B" w:rsidRDefault="0026259B" w:rsidP="00F26C49">
            <w:pPr>
              <w:pStyle w:val="NoSpacing"/>
              <w:rPr>
                <w:rFonts w:ascii="Times New Roman" w:hAnsi="Times New Roman" w:cs="Times New Roman"/>
                <w:b/>
                <w:bCs/>
                <w:sz w:val="24"/>
                <w:szCs w:val="24"/>
                <w:lang w:val="en-US"/>
              </w:rPr>
            </w:pPr>
          </w:p>
        </w:tc>
        <w:tc>
          <w:tcPr>
            <w:tcW w:w="1174" w:type="pct"/>
            <w:tcBorders>
              <w:top w:val="single" w:sz="4" w:space="0" w:color="auto"/>
              <w:left w:val="nil"/>
              <w:right w:val="nil"/>
            </w:tcBorders>
            <w:shd w:val="clear" w:color="auto" w:fill="auto"/>
            <w:noWrap/>
            <w:tcMar>
              <w:top w:w="15" w:type="dxa"/>
              <w:left w:w="15" w:type="dxa"/>
              <w:bottom w:w="0" w:type="dxa"/>
              <w:right w:w="15" w:type="dxa"/>
            </w:tcMar>
            <w:vAlign w:val="bottom"/>
          </w:tcPr>
          <w:p w14:paraId="483AF0A3" w14:textId="79C7772C" w:rsidR="0026259B" w:rsidRPr="0026259B" w:rsidRDefault="0026259B" w:rsidP="00F26C49">
            <w:pPr>
              <w:pStyle w:val="NoSpacing"/>
              <w:rPr>
                <w:rFonts w:ascii="Times New Roman" w:hAnsi="Times New Roman" w:cs="Times New Roman"/>
                <w:b/>
                <w:bCs/>
                <w:sz w:val="24"/>
                <w:szCs w:val="24"/>
                <w:lang w:val="en-US"/>
              </w:rPr>
            </w:pPr>
            <w:r w:rsidRPr="0026259B">
              <w:rPr>
                <w:rFonts w:ascii="Times New Roman" w:hAnsi="Times New Roman" w:cs="Times New Roman"/>
                <w:b/>
                <w:bCs/>
                <w:sz w:val="24"/>
                <w:szCs w:val="24"/>
                <w:lang w:val="en-US"/>
              </w:rPr>
              <w:t>Model 1</w:t>
            </w:r>
          </w:p>
        </w:tc>
        <w:tc>
          <w:tcPr>
            <w:tcW w:w="1174" w:type="pct"/>
            <w:tcBorders>
              <w:top w:val="single" w:sz="4" w:space="0" w:color="auto"/>
              <w:left w:val="nil"/>
              <w:right w:val="nil"/>
            </w:tcBorders>
            <w:shd w:val="clear" w:color="auto" w:fill="auto"/>
            <w:noWrap/>
            <w:tcMar>
              <w:top w:w="15" w:type="dxa"/>
              <w:left w:w="15" w:type="dxa"/>
              <w:bottom w:w="0" w:type="dxa"/>
              <w:right w:w="15" w:type="dxa"/>
            </w:tcMar>
            <w:vAlign w:val="bottom"/>
          </w:tcPr>
          <w:p w14:paraId="182E721D" w14:textId="2714E49C" w:rsidR="0026259B" w:rsidRPr="0026259B" w:rsidRDefault="0026259B" w:rsidP="00F26C49">
            <w:pPr>
              <w:pStyle w:val="NoSpacing"/>
              <w:rPr>
                <w:rFonts w:ascii="Times New Roman" w:hAnsi="Times New Roman" w:cs="Times New Roman"/>
                <w:b/>
                <w:bCs/>
                <w:sz w:val="24"/>
                <w:szCs w:val="24"/>
                <w:lang w:val="en-US"/>
              </w:rPr>
            </w:pPr>
            <w:r w:rsidRPr="0026259B">
              <w:rPr>
                <w:rFonts w:ascii="Times New Roman" w:hAnsi="Times New Roman" w:cs="Times New Roman"/>
                <w:b/>
                <w:bCs/>
                <w:sz w:val="24"/>
                <w:szCs w:val="24"/>
                <w:lang w:val="en-US"/>
              </w:rPr>
              <w:t>Model 2</w:t>
            </w:r>
          </w:p>
        </w:tc>
      </w:tr>
      <w:tr w:rsidR="0026259B" w:rsidRPr="0026259B" w14:paraId="5872540F" w14:textId="77777777" w:rsidTr="0026259B">
        <w:trPr>
          <w:trHeight w:val="310"/>
        </w:trPr>
        <w:tc>
          <w:tcPr>
            <w:tcW w:w="2653"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417544C7" w14:textId="2BBAB5CB" w:rsidR="0026259B" w:rsidRPr="0026259B" w:rsidRDefault="0026259B" w:rsidP="00F26C49">
            <w:pPr>
              <w:pStyle w:val="NoSpacing"/>
              <w:rPr>
                <w:rFonts w:ascii="Times New Roman" w:hAnsi="Times New Roman" w:cs="Times New Roman"/>
                <w:b/>
                <w:bCs/>
                <w:sz w:val="24"/>
                <w:szCs w:val="24"/>
              </w:rPr>
            </w:pPr>
            <w:r w:rsidRPr="0026259B">
              <w:rPr>
                <w:rFonts w:ascii="Times New Roman" w:hAnsi="Times New Roman" w:cs="Times New Roman"/>
                <w:b/>
                <w:bCs/>
                <w:sz w:val="24"/>
                <w:szCs w:val="24"/>
              </w:rPr>
              <w:t xml:space="preserve">Mean </w:t>
            </w:r>
            <w:r w:rsidRPr="0026259B">
              <w:rPr>
                <w:rFonts w:ascii="Times New Roman" w:hAnsi="Times New Roman" w:cs="Times New Roman"/>
                <w:b/>
                <w:bCs/>
                <w:sz w:val="24"/>
                <w:szCs w:val="24"/>
                <w:lang w:val="en-US"/>
              </w:rPr>
              <w:t>e</w:t>
            </w:r>
            <w:r w:rsidRPr="0026259B">
              <w:rPr>
                <w:rFonts w:ascii="Times New Roman" w:hAnsi="Times New Roman" w:cs="Times New Roman"/>
                <w:b/>
                <w:bCs/>
                <w:sz w:val="24"/>
                <w:szCs w:val="24"/>
              </w:rPr>
              <w:t>quation</w:t>
            </w:r>
          </w:p>
        </w:tc>
        <w:tc>
          <w:tcPr>
            <w:tcW w:w="1174"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4ADC6381" w14:textId="19418604" w:rsidR="0026259B" w:rsidRPr="0026259B" w:rsidRDefault="0026259B" w:rsidP="00F26C49">
            <w:pPr>
              <w:pStyle w:val="NoSpacing"/>
              <w:rPr>
                <w:rFonts w:ascii="Times New Roman" w:hAnsi="Times New Roman" w:cs="Times New Roman"/>
                <w:b/>
                <w:bCs/>
                <w:sz w:val="24"/>
                <w:szCs w:val="24"/>
              </w:rPr>
            </w:pPr>
            <w:r w:rsidRPr="0026259B">
              <w:rPr>
                <w:rFonts w:ascii="Times New Roman" w:hAnsi="Times New Roman" w:cs="Times New Roman"/>
                <w:b/>
                <w:bCs/>
                <w:sz w:val="24"/>
                <w:szCs w:val="24"/>
                <w:lang w:val="en-US"/>
              </w:rPr>
              <w:t>CCovid19-1</w:t>
            </w:r>
          </w:p>
        </w:tc>
        <w:tc>
          <w:tcPr>
            <w:tcW w:w="1174" w:type="pct"/>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03E22435" w14:textId="40A5D0CB" w:rsidR="0026259B" w:rsidRPr="0026259B" w:rsidRDefault="0026259B" w:rsidP="00F26C49">
            <w:pPr>
              <w:pStyle w:val="NoSpacing"/>
              <w:rPr>
                <w:rFonts w:ascii="Times New Roman" w:hAnsi="Times New Roman" w:cs="Times New Roman"/>
                <w:b/>
                <w:bCs/>
                <w:sz w:val="24"/>
                <w:szCs w:val="24"/>
              </w:rPr>
            </w:pPr>
            <w:r w:rsidRPr="0026259B">
              <w:rPr>
                <w:rFonts w:ascii="Times New Roman" w:hAnsi="Times New Roman" w:cs="Times New Roman"/>
                <w:b/>
                <w:bCs/>
                <w:sz w:val="24"/>
                <w:szCs w:val="24"/>
                <w:lang w:val="en-US"/>
              </w:rPr>
              <w:t>CCovid19-2</w:t>
            </w:r>
          </w:p>
        </w:tc>
      </w:tr>
      <w:tr w:rsidR="0026259B" w:rsidRPr="0026259B" w14:paraId="067DA410" w14:textId="77777777" w:rsidTr="0026259B">
        <w:trPr>
          <w:trHeight w:val="290"/>
        </w:trPr>
        <w:tc>
          <w:tcPr>
            <w:tcW w:w="2653"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50FAF46" w14:textId="696F050F" w:rsidR="0026259B" w:rsidRPr="0026259B" w:rsidRDefault="0026259B" w:rsidP="00F26C49">
            <w:pPr>
              <w:pStyle w:val="NoSpacing"/>
              <w:rPr>
                <w:rFonts w:ascii="Times New Roman" w:hAnsi="Times New Roman" w:cs="Times New Roman"/>
                <w:sz w:val="24"/>
                <w:szCs w:val="24"/>
                <w:lang w:val="en-US"/>
              </w:rPr>
            </w:pPr>
            <w:r w:rsidRPr="0026259B">
              <w:rPr>
                <w:rFonts w:ascii="Times New Roman" w:hAnsi="Times New Roman" w:cs="Times New Roman"/>
                <w:sz w:val="24"/>
                <w:szCs w:val="24"/>
                <w:lang w:val="en-US"/>
              </w:rPr>
              <w:t>Constant</w:t>
            </w:r>
          </w:p>
        </w:tc>
        <w:tc>
          <w:tcPr>
            <w:tcW w:w="1174"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5C3D284" w14:textId="2D81F5C1" w:rsidR="0026259B" w:rsidRPr="0026259B" w:rsidRDefault="0026259B" w:rsidP="00F26C49">
            <w:pPr>
              <w:pStyle w:val="NoSpacing"/>
              <w:rPr>
                <w:rFonts w:ascii="Times New Roman" w:hAnsi="Times New Roman" w:cs="Times New Roman"/>
                <w:sz w:val="24"/>
                <w:szCs w:val="24"/>
                <w:lang w:val="en-US"/>
              </w:rPr>
            </w:pPr>
            <w:r w:rsidRPr="0026259B">
              <w:rPr>
                <w:rFonts w:ascii="Times New Roman" w:hAnsi="Times New Roman" w:cs="Times New Roman"/>
                <w:sz w:val="24"/>
                <w:szCs w:val="24"/>
                <w:lang w:val="en-US"/>
              </w:rPr>
              <w:t>0.04</w:t>
            </w:r>
            <w:r w:rsidR="00CB738E">
              <w:rPr>
                <w:rFonts w:ascii="Times New Roman" w:hAnsi="Times New Roman" w:cs="Times New Roman"/>
                <w:sz w:val="24"/>
                <w:szCs w:val="24"/>
                <w:lang w:val="en-US"/>
              </w:rPr>
              <w:t>1</w:t>
            </w:r>
          </w:p>
        </w:tc>
        <w:tc>
          <w:tcPr>
            <w:tcW w:w="1174" w:type="pct"/>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46FF3BC" w14:textId="5B3EC29A" w:rsidR="0026259B" w:rsidRPr="0026259B" w:rsidRDefault="0026259B" w:rsidP="00F26C49">
            <w:pPr>
              <w:pStyle w:val="NoSpacing"/>
              <w:rPr>
                <w:rFonts w:ascii="Times New Roman" w:hAnsi="Times New Roman" w:cs="Times New Roman"/>
                <w:sz w:val="24"/>
                <w:szCs w:val="24"/>
                <w:lang w:val="en-US"/>
              </w:rPr>
            </w:pPr>
            <w:r w:rsidRPr="0026259B">
              <w:rPr>
                <w:rFonts w:ascii="Times New Roman" w:hAnsi="Times New Roman" w:cs="Times New Roman"/>
                <w:sz w:val="24"/>
                <w:szCs w:val="24"/>
                <w:lang w:val="en-US"/>
              </w:rPr>
              <w:t>0.03</w:t>
            </w:r>
            <w:r w:rsidR="00CB738E">
              <w:rPr>
                <w:rFonts w:ascii="Times New Roman" w:hAnsi="Times New Roman" w:cs="Times New Roman"/>
                <w:sz w:val="24"/>
                <w:szCs w:val="24"/>
                <w:lang w:val="en-US"/>
              </w:rPr>
              <w:t>2</w:t>
            </w:r>
          </w:p>
        </w:tc>
      </w:tr>
      <w:tr w:rsidR="0026259B" w:rsidRPr="0026259B" w14:paraId="42C668EF"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1D0BA98B" w14:textId="77777777" w:rsidR="0026259B" w:rsidRPr="0026259B" w:rsidRDefault="0026259B" w:rsidP="00F26C49">
            <w:pPr>
              <w:pStyle w:val="NoSpacing"/>
              <w:rPr>
                <w:rFonts w:ascii="Times New Roman" w:hAnsi="Times New Roman" w:cs="Times New Roman"/>
                <w:sz w:val="24"/>
                <w:szCs w:val="24"/>
              </w:rPr>
            </w:pP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63740805" w14:textId="2056208E"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lang w:val="en-US"/>
              </w:rPr>
              <w:t>[0.2</w:t>
            </w:r>
            <w:r w:rsidR="00CB738E">
              <w:rPr>
                <w:rFonts w:ascii="Times New Roman" w:hAnsi="Times New Roman" w:cs="Times New Roman"/>
                <w:sz w:val="24"/>
                <w:szCs w:val="24"/>
                <w:lang w:val="en-US"/>
              </w:rPr>
              <w:t>7</w:t>
            </w:r>
            <w:r w:rsidRPr="0026259B">
              <w:rPr>
                <w:rFonts w:ascii="Times New Roman" w:hAnsi="Times New Roman" w:cs="Times New Roman"/>
                <w:sz w:val="24"/>
                <w:szCs w:val="24"/>
                <w:lang w:val="en-US"/>
              </w:rPr>
              <w:t>]</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75648F70" w14:textId="63761A02"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w:t>
            </w:r>
            <w:r w:rsidR="00CB738E">
              <w:rPr>
                <w:rFonts w:ascii="Times New Roman" w:hAnsi="Times New Roman" w:cs="Times New Roman"/>
                <w:sz w:val="24"/>
                <w:szCs w:val="24"/>
                <w:lang w:val="en-US"/>
              </w:rPr>
              <w:t>33</w:t>
            </w:r>
            <w:r w:rsidRPr="0026259B">
              <w:rPr>
                <w:rFonts w:ascii="Times New Roman" w:hAnsi="Times New Roman" w:cs="Times New Roman"/>
                <w:sz w:val="24"/>
                <w:szCs w:val="24"/>
              </w:rPr>
              <w:t>]</w:t>
            </w:r>
          </w:p>
        </w:tc>
      </w:tr>
      <w:tr w:rsidR="0026259B" w:rsidRPr="0026259B" w14:paraId="524C3AD7" w14:textId="77777777" w:rsidTr="0026259B">
        <w:trPr>
          <w:trHeight w:val="31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50B460AE" w14:textId="7777777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lang w:val="en-US"/>
              </w:rPr>
              <w:t xml:space="preserve">stock </w:t>
            </w:r>
            <w:proofErr w:type="gramStart"/>
            <w:r w:rsidRPr="0026259B">
              <w:rPr>
                <w:rFonts w:ascii="Times New Roman" w:hAnsi="Times New Roman" w:cs="Times New Roman"/>
                <w:sz w:val="24"/>
                <w:szCs w:val="24"/>
                <w:lang w:val="en-US"/>
              </w:rPr>
              <w:t>returns(</w:t>
            </w:r>
            <w:proofErr w:type="gramEnd"/>
            <w:r w:rsidRPr="0026259B">
              <w:rPr>
                <w:rFonts w:ascii="Times New Roman" w:hAnsi="Times New Roman" w:cs="Times New Roman"/>
                <w:sz w:val="24"/>
                <w:szCs w:val="24"/>
                <w:lang w:val="en-US"/>
              </w:rPr>
              <w:t>-1)</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32EDD478" w14:textId="64D0EA29"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w:t>
            </w:r>
            <w:r w:rsidR="00DE1765">
              <w:rPr>
                <w:rFonts w:ascii="Times New Roman" w:hAnsi="Times New Roman" w:cs="Times New Roman"/>
                <w:sz w:val="24"/>
                <w:szCs w:val="24"/>
                <w:lang w:val="en-US"/>
              </w:rPr>
              <w:t>615</w:t>
            </w:r>
            <w:r w:rsidRPr="0026259B">
              <w:rPr>
                <w:rFonts w:ascii="Times New Roman" w:hAnsi="Times New Roman" w:cs="Times New Roman"/>
                <w:sz w:val="24"/>
                <w:szCs w:val="24"/>
              </w:rPr>
              <w:t>***</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68FCD097" w14:textId="55824B08"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0.6</w:t>
            </w:r>
            <w:r w:rsidR="00DE1765">
              <w:rPr>
                <w:rFonts w:ascii="Times New Roman" w:hAnsi="Times New Roman" w:cs="Times New Roman"/>
                <w:sz w:val="24"/>
                <w:szCs w:val="24"/>
                <w:lang w:val="en-US"/>
              </w:rPr>
              <w:t>39</w:t>
            </w:r>
            <w:r w:rsidRPr="0026259B">
              <w:rPr>
                <w:rFonts w:ascii="Times New Roman" w:hAnsi="Times New Roman" w:cs="Times New Roman"/>
                <w:sz w:val="24"/>
                <w:szCs w:val="24"/>
              </w:rPr>
              <w:t>***</w:t>
            </w:r>
          </w:p>
        </w:tc>
      </w:tr>
      <w:tr w:rsidR="0026259B" w:rsidRPr="0026259B" w14:paraId="2383DF3C"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517A35C7" w14:textId="77777777" w:rsidR="0026259B" w:rsidRPr="0026259B" w:rsidRDefault="0026259B" w:rsidP="00F26C49">
            <w:pPr>
              <w:pStyle w:val="NoSpacing"/>
              <w:rPr>
                <w:rFonts w:ascii="Times New Roman" w:hAnsi="Times New Roman" w:cs="Times New Roman"/>
                <w:sz w:val="24"/>
                <w:szCs w:val="24"/>
              </w:rPr>
            </w:pP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586DF945" w14:textId="7777777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lang w:val="en-US"/>
              </w:rPr>
              <w:t>[0.00]</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0E00AE13" w14:textId="7777777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[0.00]</w:t>
            </w:r>
          </w:p>
        </w:tc>
      </w:tr>
      <w:tr w:rsidR="0026259B" w:rsidRPr="0026259B" w14:paraId="627F26C6"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1517CC54" w14:textId="2F80FD8A"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C</w:t>
            </w:r>
            <w:proofErr w:type="spellStart"/>
            <w:r w:rsidRPr="0026259B">
              <w:rPr>
                <w:rFonts w:ascii="Times New Roman" w:hAnsi="Times New Roman" w:cs="Times New Roman"/>
                <w:sz w:val="24"/>
                <w:szCs w:val="24"/>
                <w:lang w:val="en-US"/>
              </w:rPr>
              <w:t>ovid</w:t>
            </w:r>
            <w:proofErr w:type="spellEnd"/>
            <w:r w:rsidRPr="0026259B">
              <w:rPr>
                <w:rFonts w:ascii="Times New Roman" w:hAnsi="Times New Roman" w:cs="Times New Roman"/>
                <w:sz w:val="24"/>
                <w:szCs w:val="24"/>
                <w:lang w:val="en-US"/>
              </w:rPr>
              <w:t>-</w:t>
            </w:r>
            <w:r w:rsidRPr="0026259B">
              <w:rPr>
                <w:rFonts w:ascii="Times New Roman" w:hAnsi="Times New Roman" w:cs="Times New Roman"/>
                <w:sz w:val="24"/>
                <w:szCs w:val="24"/>
              </w:rPr>
              <w:t>19</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4D066996" w14:textId="2AB8633B"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-2.</w:t>
            </w:r>
            <w:r w:rsidR="00DE1765">
              <w:rPr>
                <w:rFonts w:ascii="Times New Roman" w:hAnsi="Times New Roman" w:cs="Times New Roman"/>
                <w:sz w:val="24"/>
                <w:szCs w:val="24"/>
                <w:lang w:val="en-US"/>
              </w:rPr>
              <w:t>652</w:t>
            </w:r>
            <w:r w:rsidRPr="0026259B">
              <w:rPr>
                <w:rFonts w:ascii="Times New Roman" w:hAnsi="Times New Roman" w:cs="Times New Roman"/>
                <w:sz w:val="24"/>
                <w:szCs w:val="24"/>
              </w:rPr>
              <w:t>***</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0A0D8CBE" w14:textId="6E4E555A"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-3.6</w:t>
            </w:r>
            <w:r w:rsidR="00DE1765">
              <w:rPr>
                <w:rFonts w:ascii="Times New Roman" w:hAnsi="Times New Roman" w:cs="Times New Roman"/>
                <w:sz w:val="24"/>
                <w:szCs w:val="24"/>
                <w:lang w:val="en-US"/>
              </w:rPr>
              <w:t>75</w:t>
            </w:r>
            <w:r w:rsidRPr="0026259B">
              <w:rPr>
                <w:rFonts w:ascii="Times New Roman" w:hAnsi="Times New Roman" w:cs="Times New Roman"/>
                <w:sz w:val="24"/>
                <w:szCs w:val="24"/>
              </w:rPr>
              <w:t>***</w:t>
            </w:r>
          </w:p>
        </w:tc>
      </w:tr>
      <w:tr w:rsidR="0026259B" w:rsidRPr="0026259B" w14:paraId="49EA2D38"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42FF74BD" w14:textId="77777777" w:rsidR="0026259B" w:rsidRPr="0026259B" w:rsidRDefault="0026259B" w:rsidP="00F26C49">
            <w:pPr>
              <w:pStyle w:val="NoSpacing"/>
              <w:rPr>
                <w:rFonts w:ascii="Times New Roman" w:hAnsi="Times New Roman" w:cs="Times New Roman"/>
                <w:sz w:val="24"/>
                <w:szCs w:val="24"/>
              </w:rPr>
            </w:pP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5D2E4555" w14:textId="7777777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lang w:val="en-US"/>
              </w:rPr>
              <w:t>[0.00]</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5326C371" w14:textId="7777777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lang w:val="en-US"/>
              </w:rPr>
              <w:t>[0.00]</w:t>
            </w:r>
          </w:p>
        </w:tc>
      </w:tr>
      <w:tr w:rsidR="0026259B" w:rsidRPr="0026259B" w14:paraId="0629016D"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37D58A72" w14:textId="758EF438"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O</w:t>
            </w:r>
            <w:proofErr w:type="spellStart"/>
            <w:r w:rsidRPr="0026259B">
              <w:rPr>
                <w:rFonts w:ascii="Times New Roman" w:hAnsi="Times New Roman" w:cs="Times New Roman"/>
                <w:sz w:val="24"/>
                <w:szCs w:val="24"/>
                <w:lang w:val="en-US"/>
              </w:rPr>
              <w:t>il</w:t>
            </w:r>
            <w:proofErr w:type="spellEnd"/>
            <w:r w:rsidRPr="0026259B">
              <w:rPr>
                <w:rFonts w:ascii="Times New Roman" w:hAnsi="Times New Roman" w:cs="Times New Roman"/>
                <w:sz w:val="24"/>
                <w:szCs w:val="24"/>
              </w:rPr>
              <w:t xml:space="preserve"> </w:t>
            </w:r>
            <w:r w:rsidRPr="0026259B">
              <w:rPr>
                <w:rFonts w:ascii="Times New Roman" w:hAnsi="Times New Roman" w:cs="Times New Roman"/>
                <w:sz w:val="24"/>
                <w:szCs w:val="24"/>
                <w:lang w:val="en-US"/>
              </w:rPr>
              <w:t>prices</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162D0DBC" w14:textId="12F17B5E"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w:t>
            </w:r>
            <w:r w:rsidR="00DE1765">
              <w:rPr>
                <w:rFonts w:ascii="Times New Roman" w:hAnsi="Times New Roman" w:cs="Times New Roman"/>
                <w:sz w:val="24"/>
                <w:szCs w:val="24"/>
                <w:lang w:val="en-US"/>
              </w:rPr>
              <w:t>573</w:t>
            </w:r>
            <w:r w:rsidRPr="0026259B">
              <w:rPr>
                <w:rFonts w:ascii="Times New Roman" w:hAnsi="Times New Roman" w:cs="Times New Roman"/>
                <w:sz w:val="24"/>
                <w:szCs w:val="24"/>
              </w:rPr>
              <w:t>***</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5974A25D" w14:textId="685DD7E6"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w:t>
            </w:r>
            <w:r w:rsidR="00DE1765">
              <w:rPr>
                <w:rFonts w:ascii="Times New Roman" w:hAnsi="Times New Roman" w:cs="Times New Roman"/>
                <w:sz w:val="24"/>
                <w:szCs w:val="24"/>
                <w:lang w:val="en-US"/>
              </w:rPr>
              <w:t>642</w:t>
            </w:r>
            <w:r w:rsidRPr="0026259B">
              <w:rPr>
                <w:rFonts w:ascii="Times New Roman" w:hAnsi="Times New Roman" w:cs="Times New Roman"/>
                <w:sz w:val="24"/>
                <w:szCs w:val="24"/>
              </w:rPr>
              <w:t>***</w:t>
            </w:r>
          </w:p>
        </w:tc>
      </w:tr>
      <w:tr w:rsidR="0026259B" w:rsidRPr="0026259B" w14:paraId="46435A9D"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6E286193" w14:textId="77777777" w:rsidR="0026259B" w:rsidRPr="0026259B" w:rsidRDefault="0026259B" w:rsidP="00F26C49">
            <w:pPr>
              <w:pStyle w:val="NoSpacing"/>
              <w:rPr>
                <w:rFonts w:ascii="Times New Roman" w:hAnsi="Times New Roman" w:cs="Times New Roman"/>
                <w:sz w:val="24"/>
                <w:szCs w:val="24"/>
              </w:rPr>
            </w:pP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1E344056" w14:textId="5AB3DD12"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lang w:val="en-US"/>
              </w:rPr>
              <w:t>[0.0</w:t>
            </w:r>
            <w:r w:rsidR="00DE1765">
              <w:rPr>
                <w:rFonts w:ascii="Times New Roman" w:hAnsi="Times New Roman" w:cs="Times New Roman"/>
                <w:sz w:val="24"/>
                <w:szCs w:val="24"/>
                <w:lang w:val="en-US"/>
              </w:rPr>
              <w:t>0</w:t>
            </w:r>
            <w:r w:rsidRPr="0026259B">
              <w:rPr>
                <w:rFonts w:ascii="Times New Roman" w:hAnsi="Times New Roman" w:cs="Times New Roman"/>
                <w:sz w:val="24"/>
                <w:szCs w:val="24"/>
                <w:lang w:val="en-US"/>
              </w:rPr>
              <w:t>]</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5594E780" w14:textId="29752E69"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[0.0</w:t>
            </w:r>
            <w:r w:rsidR="00DE1765">
              <w:rPr>
                <w:rFonts w:ascii="Times New Roman" w:hAnsi="Times New Roman" w:cs="Times New Roman"/>
                <w:sz w:val="24"/>
                <w:szCs w:val="24"/>
                <w:lang w:val="en-US"/>
              </w:rPr>
              <w:t>0</w:t>
            </w:r>
            <w:r w:rsidRPr="0026259B">
              <w:rPr>
                <w:rFonts w:ascii="Times New Roman" w:hAnsi="Times New Roman" w:cs="Times New Roman"/>
                <w:sz w:val="24"/>
                <w:szCs w:val="24"/>
              </w:rPr>
              <w:t>]</w:t>
            </w:r>
          </w:p>
        </w:tc>
      </w:tr>
      <w:tr w:rsidR="0026259B" w:rsidRPr="0026259B" w14:paraId="73835702"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20F81593" w14:textId="101508FD" w:rsidR="0026259B" w:rsidRPr="0026259B" w:rsidRDefault="0026259B" w:rsidP="00F26C49">
            <w:pPr>
              <w:pStyle w:val="NoSpacing"/>
              <w:rPr>
                <w:rFonts w:ascii="Times New Roman" w:hAnsi="Times New Roman" w:cs="Times New Roman"/>
                <w:sz w:val="24"/>
                <w:szCs w:val="24"/>
                <w:lang w:val="en-US"/>
              </w:rPr>
            </w:pPr>
            <w:r w:rsidRPr="0026259B">
              <w:rPr>
                <w:rFonts w:ascii="Times New Roman" w:hAnsi="Times New Roman" w:cs="Times New Roman"/>
                <w:sz w:val="24"/>
                <w:szCs w:val="24"/>
              </w:rPr>
              <w:t>T</w:t>
            </w:r>
            <w:r w:rsidR="00DE1765">
              <w:rPr>
                <w:rFonts w:ascii="Times New Roman" w:hAnsi="Times New Roman" w:cs="Times New Roman"/>
                <w:sz w:val="24"/>
                <w:szCs w:val="24"/>
                <w:lang w:val="en-US"/>
              </w:rPr>
              <w:t>-</w:t>
            </w:r>
            <w:r w:rsidRPr="0026259B">
              <w:rPr>
                <w:rFonts w:ascii="Times New Roman" w:hAnsi="Times New Roman" w:cs="Times New Roman"/>
                <w:sz w:val="24"/>
                <w:szCs w:val="24"/>
                <w:lang w:val="en-US"/>
              </w:rPr>
              <w:t>bill rates</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68606864" w14:textId="2E22F4D6"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w:t>
            </w:r>
            <w:r w:rsidR="00DE1765">
              <w:rPr>
                <w:rFonts w:ascii="Times New Roman" w:hAnsi="Times New Roman" w:cs="Times New Roman"/>
                <w:sz w:val="24"/>
                <w:szCs w:val="24"/>
                <w:lang w:val="en-US"/>
              </w:rPr>
              <w:t>497</w:t>
            </w:r>
            <w:r w:rsidRPr="0026259B">
              <w:rPr>
                <w:rFonts w:ascii="Times New Roman" w:hAnsi="Times New Roman" w:cs="Times New Roman"/>
                <w:sz w:val="24"/>
                <w:szCs w:val="24"/>
              </w:rPr>
              <w:t>**</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5591A2D0" w14:textId="004C2955"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w:t>
            </w:r>
            <w:r w:rsidR="00DE1765">
              <w:rPr>
                <w:rFonts w:ascii="Times New Roman" w:hAnsi="Times New Roman" w:cs="Times New Roman"/>
                <w:sz w:val="24"/>
                <w:szCs w:val="24"/>
                <w:lang w:val="en-US"/>
              </w:rPr>
              <w:t>548</w:t>
            </w:r>
            <w:r w:rsidRPr="0026259B">
              <w:rPr>
                <w:rFonts w:ascii="Times New Roman" w:hAnsi="Times New Roman" w:cs="Times New Roman"/>
                <w:sz w:val="24"/>
                <w:szCs w:val="24"/>
              </w:rPr>
              <w:t>**</w:t>
            </w:r>
          </w:p>
        </w:tc>
      </w:tr>
      <w:tr w:rsidR="0026259B" w:rsidRPr="0026259B" w14:paraId="21177485"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10ADE5AF" w14:textId="77777777" w:rsidR="0026259B" w:rsidRPr="0026259B" w:rsidRDefault="0026259B" w:rsidP="00F26C49">
            <w:pPr>
              <w:pStyle w:val="NoSpacing"/>
              <w:rPr>
                <w:rFonts w:ascii="Times New Roman" w:hAnsi="Times New Roman" w:cs="Times New Roman"/>
                <w:sz w:val="24"/>
                <w:szCs w:val="24"/>
              </w:rPr>
            </w:pP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7A512B16" w14:textId="7777777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lang w:val="en-US"/>
              </w:rPr>
              <w:t>[0.03]</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16EED3E5" w14:textId="4576E7D6"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[0.0</w:t>
            </w:r>
            <w:r w:rsidR="00DE1765">
              <w:rPr>
                <w:rFonts w:ascii="Times New Roman" w:hAnsi="Times New Roman" w:cs="Times New Roman"/>
                <w:sz w:val="24"/>
                <w:szCs w:val="24"/>
                <w:lang w:val="en-US"/>
              </w:rPr>
              <w:t>2</w:t>
            </w:r>
            <w:r w:rsidRPr="0026259B">
              <w:rPr>
                <w:rFonts w:ascii="Times New Roman" w:hAnsi="Times New Roman" w:cs="Times New Roman"/>
                <w:sz w:val="24"/>
                <w:szCs w:val="24"/>
              </w:rPr>
              <w:t>]</w:t>
            </w:r>
          </w:p>
        </w:tc>
      </w:tr>
      <w:tr w:rsidR="0026259B" w:rsidRPr="0026259B" w14:paraId="4F0D743D"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1BDDCCC3" w14:textId="7716D556" w:rsidR="0026259B" w:rsidRPr="0026259B" w:rsidRDefault="0026259B" w:rsidP="00F26C49">
            <w:pPr>
              <w:pStyle w:val="NoSpacing"/>
              <w:rPr>
                <w:rFonts w:ascii="Times New Roman" w:hAnsi="Times New Roman" w:cs="Times New Roman"/>
                <w:b/>
                <w:bCs/>
                <w:sz w:val="24"/>
                <w:szCs w:val="24"/>
              </w:rPr>
            </w:pPr>
            <w:r w:rsidRPr="0026259B">
              <w:rPr>
                <w:rFonts w:ascii="Times New Roman" w:hAnsi="Times New Roman" w:cs="Times New Roman"/>
                <w:b/>
                <w:bCs/>
                <w:sz w:val="24"/>
                <w:szCs w:val="24"/>
                <w:lang w:val="en-US"/>
              </w:rPr>
              <w:t>Conditional volatility equation</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27052264" w14:textId="77777777" w:rsidR="0026259B" w:rsidRPr="0026259B" w:rsidRDefault="0026259B" w:rsidP="00F26C49">
            <w:pPr>
              <w:pStyle w:val="NoSpacing"/>
              <w:rPr>
                <w:rFonts w:ascii="Times New Roman" w:hAnsi="Times New Roman" w:cs="Times New Roman"/>
                <w:sz w:val="24"/>
                <w:szCs w:val="24"/>
              </w:rPr>
            </w:pP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0B053019" w14:textId="77777777" w:rsidR="0026259B" w:rsidRPr="0026259B" w:rsidRDefault="0026259B" w:rsidP="00F26C49">
            <w:pPr>
              <w:pStyle w:val="NoSpacing"/>
              <w:rPr>
                <w:rFonts w:ascii="Times New Roman" w:hAnsi="Times New Roman" w:cs="Times New Roman"/>
                <w:sz w:val="24"/>
                <w:szCs w:val="24"/>
              </w:rPr>
            </w:pPr>
          </w:p>
        </w:tc>
      </w:tr>
      <w:tr w:rsidR="0026259B" w:rsidRPr="0026259B" w14:paraId="457D9532"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5231176F" w14:textId="1300D42E"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lang w:val="en-US"/>
              </w:rPr>
              <w:t>c</w:t>
            </w:r>
            <w:r w:rsidRPr="0026259B">
              <w:rPr>
                <w:rFonts w:ascii="Times New Roman" w:hAnsi="Times New Roman" w:cs="Times New Roman"/>
                <w:sz w:val="24"/>
                <w:szCs w:val="24"/>
              </w:rPr>
              <w:t>onstant</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405CDDE8" w14:textId="29F8BD71"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0.00</w:t>
            </w:r>
            <w:r w:rsidR="00DE1765">
              <w:rPr>
                <w:rFonts w:ascii="Times New Roman" w:hAnsi="Times New Roman" w:cs="Times New Roman"/>
                <w:sz w:val="24"/>
                <w:szCs w:val="24"/>
                <w:lang w:val="en-US"/>
              </w:rPr>
              <w:t>36</w:t>
            </w:r>
            <w:r w:rsidRPr="0026259B">
              <w:rPr>
                <w:rFonts w:ascii="Times New Roman" w:hAnsi="Times New Roman" w:cs="Times New Roman"/>
                <w:sz w:val="24"/>
                <w:szCs w:val="24"/>
              </w:rPr>
              <w:t>*</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45B9EC4A" w14:textId="794B4F69"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0.004</w:t>
            </w:r>
            <w:r w:rsidR="00DE1765">
              <w:rPr>
                <w:rFonts w:ascii="Times New Roman" w:hAnsi="Times New Roman" w:cs="Times New Roman"/>
                <w:sz w:val="24"/>
                <w:szCs w:val="24"/>
                <w:lang w:val="en-US"/>
              </w:rPr>
              <w:t>0</w:t>
            </w:r>
            <w:r w:rsidRPr="0026259B">
              <w:rPr>
                <w:rFonts w:ascii="Times New Roman" w:hAnsi="Times New Roman" w:cs="Times New Roman"/>
                <w:sz w:val="24"/>
                <w:szCs w:val="24"/>
              </w:rPr>
              <w:t>*</w:t>
            </w:r>
          </w:p>
        </w:tc>
      </w:tr>
      <w:tr w:rsidR="0026259B" w:rsidRPr="0026259B" w14:paraId="7543C38F"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7DD18477" w14:textId="77777777" w:rsidR="0026259B" w:rsidRPr="0026259B" w:rsidRDefault="0026259B" w:rsidP="00F26C49">
            <w:pPr>
              <w:pStyle w:val="NoSpacing"/>
              <w:rPr>
                <w:rFonts w:ascii="Times New Roman" w:hAnsi="Times New Roman" w:cs="Times New Roman"/>
                <w:sz w:val="24"/>
                <w:szCs w:val="24"/>
              </w:rPr>
            </w:pP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69D3B93F" w14:textId="796F618D"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lang w:val="en-US"/>
              </w:rPr>
              <w:t>[0.0</w:t>
            </w:r>
            <w:r w:rsidR="00DE1765">
              <w:rPr>
                <w:rFonts w:ascii="Times New Roman" w:hAnsi="Times New Roman" w:cs="Times New Roman"/>
                <w:sz w:val="24"/>
                <w:szCs w:val="24"/>
                <w:lang w:val="en-US"/>
              </w:rPr>
              <w:t>9</w:t>
            </w:r>
            <w:r w:rsidRPr="0026259B">
              <w:rPr>
                <w:rFonts w:ascii="Times New Roman" w:hAnsi="Times New Roman" w:cs="Times New Roman"/>
                <w:sz w:val="24"/>
                <w:szCs w:val="24"/>
                <w:lang w:val="en-US"/>
              </w:rPr>
              <w:t>]</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7A769501" w14:textId="7777777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[0.08]</w:t>
            </w:r>
          </w:p>
        </w:tc>
      </w:tr>
      <w:tr w:rsidR="0026259B" w:rsidRPr="0026259B" w14:paraId="6CE62ABA" w14:textId="77777777" w:rsidTr="0026259B">
        <w:trPr>
          <w:trHeight w:val="30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43B22C20" w14:textId="77777777" w:rsidR="0026259B" w:rsidRPr="0026259B" w:rsidRDefault="0026259B" w:rsidP="00F26C49">
            <w:pPr>
              <w:pStyle w:val="NoSpacing"/>
              <w:rPr>
                <w:rFonts w:ascii="Times New Roman" w:hAnsi="Times New Roman" w:cs="Times New Roman"/>
                <w:sz w:val="24"/>
                <w:szCs w:val="24"/>
              </w:rPr>
            </w:pPr>
            <w:proofErr w:type="gramStart"/>
            <w:r w:rsidRPr="0026259B">
              <w:rPr>
                <w:rFonts w:ascii="Times New Roman" w:hAnsi="Times New Roman" w:cs="Times New Roman"/>
                <w:sz w:val="24"/>
                <w:szCs w:val="24"/>
                <w:lang w:val="en-US"/>
              </w:rPr>
              <w:t>h(</w:t>
            </w:r>
            <w:proofErr w:type="gramEnd"/>
            <w:r w:rsidRPr="0026259B">
              <w:rPr>
                <w:rFonts w:ascii="Times New Roman" w:hAnsi="Times New Roman" w:cs="Times New Roman"/>
                <w:sz w:val="24"/>
                <w:szCs w:val="24"/>
                <w:lang w:val="en-US"/>
              </w:rPr>
              <w:t>-1)</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2553A61D" w14:textId="0E10E8B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0.4</w:t>
            </w:r>
            <w:r w:rsidR="00DE1765">
              <w:rPr>
                <w:rFonts w:ascii="Times New Roman" w:hAnsi="Times New Roman" w:cs="Times New Roman"/>
                <w:sz w:val="24"/>
                <w:szCs w:val="24"/>
                <w:lang w:val="en-US"/>
              </w:rPr>
              <w:t>84</w:t>
            </w:r>
            <w:r w:rsidRPr="0026259B">
              <w:rPr>
                <w:rFonts w:ascii="Times New Roman" w:hAnsi="Times New Roman" w:cs="Times New Roman"/>
                <w:sz w:val="24"/>
                <w:szCs w:val="24"/>
              </w:rPr>
              <w:t>***</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15185BE3" w14:textId="75615016"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w:t>
            </w:r>
            <w:r w:rsidR="00DE1765">
              <w:rPr>
                <w:rFonts w:ascii="Times New Roman" w:hAnsi="Times New Roman" w:cs="Times New Roman"/>
                <w:sz w:val="24"/>
                <w:szCs w:val="24"/>
                <w:lang w:val="en-US"/>
              </w:rPr>
              <w:t>503</w:t>
            </w:r>
            <w:r w:rsidRPr="0026259B">
              <w:rPr>
                <w:rFonts w:ascii="Times New Roman" w:hAnsi="Times New Roman" w:cs="Times New Roman"/>
                <w:sz w:val="24"/>
                <w:szCs w:val="24"/>
              </w:rPr>
              <w:t>***</w:t>
            </w:r>
          </w:p>
        </w:tc>
      </w:tr>
      <w:tr w:rsidR="0026259B" w:rsidRPr="0026259B" w14:paraId="7C4C0806"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5502085F" w14:textId="77777777" w:rsidR="0026259B" w:rsidRPr="0026259B" w:rsidRDefault="0026259B" w:rsidP="00F26C49">
            <w:pPr>
              <w:pStyle w:val="NoSpacing"/>
              <w:rPr>
                <w:rFonts w:ascii="Times New Roman" w:hAnsi="Times New Roman" w:cs="Times New Roman"/>
                <w:sz w:val="24"/>
                <w:szCs w:val="24"/>
              </w:rPr>
            </w:pP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4A080671" w14:textId="7777777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lang w:val="en-US"/>
              </w:rPr>
              <w:t>[0.00]</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30EC0667" w14:textId="7777777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[0.00]</w:t>
            </w:r>
          </w:p>
        </w:tc>
      </w:tr>
      <w:tr w:rsidR="0026259B" w:rsidRPr="0026259B" w14:paraId="42B54727" w14:textId="77777777" w:rsidTr="0026259B">
        <w:trPr>
          <w:trHeight w:val="37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0BDCC039" w14:textId="7777777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η</w:t>
            </w:r>
            <w:r w:rsidRPr="0026259B">
              <w:rPr>
                <w:rFonts w:ascii="Times New Roman" w:hAnsi="Times New Roman" w:cs="Times New Roman"/>
                <w:sz w:val="24"/>
                <w:szCs w:val="24"/>
                <w:vertAlign w:val="superscript"/>
              </w:rPr>
              <w:t>2</w:t>
            </w:r>
            <w:r w:rsidRPr="0026259B">
              <w:rPr>
                <w:rFonts w:ascii="Times New Roman" w:hAnsi="Times New Roman" w:cs="Times New Roman"/>
                <w:sz w:val="24"/>
                <w:szCs w:val="24"/>
              </w:rPr>
              <w:t>(-1)</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2EC70FDE" w14:textId="6CF68233"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0.3</w:t>
            </w:r>
            <w:r w:rsidR="00DE1765">
              <w:rPr>
                <w:rFonts w:ascii="Times New Roman" w:hAnsi="Times New Roman" w:cs="Times New Roman"/>
                <w:sz w:val="24"/>
                <w:szCs w:val="24"/>
                <w:lang w:val="en-US"/>
              </w:rPr>
              <w:t>42</w:t>
            </w:r>
            <w:r w:rsidRPr="0026259B">
              <w:rPr>
                <w:rFonts w:ascii="Times New Roman" w:hAnsi="Times New Roman" w:cs="Times New Roman"/>
                <w:sz w:val="24"/>
                <w:szCs w:val="24"/>
              </w:rPr>
              <w:t>***</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25B8843A" w14:textId="42C8CB5C"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w:t>
            </w:r>
            <w:r w:rsidR="00DE1765">
              <w:rPr>
                <w:rFonts w:ascii="Times New Roman" w:hAnsi="Times New Roman" w:cs="Times New Roman"/>
                <w:sz w:val="24"/>
                <w:szCs w:val="24"/>
                <w:lang w:val="en-US"/>
              </w:rPr>
              <w:t>369</w:t>
            </w:r>
            <w:r w:rsidRPr="0026259B">
              <w:rPr>
                <w:rFonts w:ascii="Times New Roman" w:hAnsi="Times New Roman" w:cs="Times New Roman"/>
                <w:sz w:val="24"/>
                <w:szCs w:val="24"/>
              </w:rPr>
              <w:t>***</w:t>
            </w:r>
          </w:p>
        </w:tc>
      </w:tr>
      <w:tr w:rsidR="0026259B" w:rsidRPr="0026259B" w14:paraId="602C7978"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3F777883" w14:textId="77777777" w:rsidR="0026259B" w:rsidRPr="0026259B" w:rsidRDefault="0026259B" w:rsidP="00F26C49">
            <w:pPr>
              <w:pStyle w:val="NoSpacing"/>
              <w:rPr>
                <w:rFonts w:ascii="Times New Roman" w:hAnsi="Times New Roman" w:cs="Times New Roman"/>
                <w:sz w:val="24"/>
                <w:szCs w:val="24"/>
              </w:rPr>
            </w:pP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65570F28" w14:textId="7777777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lang w:val="en-US"/>
              </w:rPr>
              <w:t>[0.00]</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57ED5C01" w14:textId="7777777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[0.00]</w:t>
            </w:r>
          </w:p>
        </w:tc>
      </w:tr>
      <w:tr w:rsidR="0026259B" w:rsidRPr="0026259B" w14:paraId="05ACDB9C"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253CD42D" w14:textId="7EF89928"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C</w:t>
            </w:r>
            <w:proofErr w:type="spellStart"/>
            <w:r w:rsidRPr="0026259B">
              <w:rPr>
                <w:rFonts w:ascii="Times New Roman" w:hAnsi="Times New Roman" w:cs="Times New Roman"/>
                <w:sz w:val="24"/>
                <w:szCs w:val="24"/>
                <w:lang w:val="en-US"/>
              </w:rPr>
              <w:t>ovid</w:t>
            </w:r>
            <w:proofErr w:type="spellEnd"/>
            <w:r w:rsidRPr="0026259B">
              <w:rPr>
                <w:rFonts w:ascii="Times New Roman" w:hAnsi="Times New Roman" w:cs="Times New Roman"/>
                <w:sz w:val="24"/>
                <w:szCs w:val="24"/>
                <w:lang w:val="en-US"/>
              </w:rPr>
              <w:t>-</w:t>
            </w:r>
            <w:r w:rsidRPr="0026259B">
              <w:rPr>
                <w:rFonts w:ascii="Times New Roman" w:hAnsi="Times New Roman" w:cs="Times New Roman"/>
                <w:sz w:val="24"/>
                <w:szCs w:val="24"/>
              </w:rPr>
              <w:t>19</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29A4852F" w14:textId="4C982264" w:rsidR="0026259B" w:rsidRPr="00DE1765" w:rsidRDefault="0026259B" w:rsidP="00F26C49">
            <w:pPr>
              <w:pStyle w:val="NoSpacing"/>
              <w:rPr>
                <w:rFonts w:ascii="Times New Roman" w:hAnsi="Times New Roman" w:cs="Times New Roman"/>
                <w:sz w:val="24"/>
                <w:szCs w:val="24"/>
                <w:lang w:val="en-US"/>
              </w:rPr>
            </w:pPr>
            <w:r w:rsidRPr="0026259B">
              <w:rPr>
                <w:rFonts w:ascii="Times New Roman" w:hAnsi="Times New Roman" w:cs="Times New Roman"/>
                <w:sz w:val="24"/>
                <w:szCs w:val="24"/>
              </w:rPr>
              <w:t>0.09</w:t>
            </w:r>
            <w:r w:rsidR="00DE1765">
              <w:rPr>
                <w:rFonts w:ascii="Times New Roman" w:hAnsi="Times New Roman" w:cs="Times New Roman"/>
                <w:sz w:val="24"/>
                <w:szCs w:val="24"/>
                <w:lang w:val="en-US"/>
              </w:rPr>
              <w:t>8</w:t>
            </w:r>
            <w:r w:rsidRPr="0026259B">
              <w:rPr>
                <w:rFonts w:ascii="Times New Roman" w:hAnsi="Times New Roman" w:cs="Times New Roman"/>
                <w:sz w:val="24"/>
                <w:szCs w:val="24"/>
              </w:rPr>
              <w:t>*</w:t>
            </w:r>
            <w:r w:rsidR="00DE1765">
              <w:rPr>
                <w:rFonts w:ascii="Times New Roman" w:hAnsi="Times New Roman" w:cs="Times New Roman"/>
                <w:sz w:val="24"/>
                <w:szCs w:val="24"/>
                <w:lang w:val="en-US"/>
              </w:rPr>
              <w:t>*</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279636D0" w14:textId="12695A7B"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0.1</w:t>
            </w:r>
            <w:r w:rsidR="00DE1765">
              <w:rPr>
                <w:rFonts w:ascii="Times New Roman" w:hAnsi="Times New Roman" w:cs="Times New Roman"/>
                <w:sz w:val="24"/>
                <w:szCs w:val="24"/>
                <w:lang w:val="en-US"/>
              </w:rPr>
              <w:t>29</w:t>
            </w:r>
            <w:r w:rsidRPr="0026259B">
              <w:rPr>
                <w:rFonts w:ascii="Times New Roman" w:hAnsi="Times New Roman" w:cs="Times New Roman"/>
                <w:sz w:val="24"/>
                <w:szCs w:val="24"/>
              </w:rPr>
              <w:t>***</w:t>
            </w:r>
          </w:p>
        </w:tc>
      </w:tr>
      <w:tr w:rsidR="0026259B" w:rsidRPr="0026259B" w14:paraId="3B552DA4"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5371912A" w14:textId="77777777" w:rsidR="0026259B" w:rsidRPr="0026259B" w:rsidRDefault="0026259B" w:rsidP="00F26C49">
            <w:pPr>
              <w:pStyle w:val="NoSpacing"/>
              <w:rPr>
                <w:rFonts w:ascii="Times New Roman" w:hAnsi="Times New Roman" w:cs="Times New Roman"/>
                <w:sz w:val="24"/>
                <w:szCs w:val="24"/>
              </w:rPr>
            </w:pP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46DAD984" w14:textId="752DCADC"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lang w:val="en-US"/>
              </w:rPr>
              <w:t>[0.0</w:t>
            </w:r>
            <w:r w:rsidR="00DE1765">
              <w:rPr>
                <w:rFonts w:ascii="Times New Roman" w:hAnsi="Times New Roman" w:cs="Times New Roman"/>
                <w:sz w:val="24"/>
                <w:szCs w:val="24"/>
                <w:lang w:val="en-US"/>
              </w:rPr>
              <w:t>3</w:t>
            </w:r>
            <w:r w:rsidRPr="0026259B">
              <w:rPr>
                <w:rFonts w:ascii="Times New Roman" w:hAnsi="Times New Roman" w:cs="Times New Roman"/>
                <w:sz w:val="24"/>
                <w:szCs w:val="24"/>
                <w:lang w:val="en-US"/>
              </w:rPr>
              <w:t>]</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54D76DF3" w14:textId="7777777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lang w:val="en-US"/>
              </w:rPr>
              <w:t>[0.00]</w:t>
            </w:r>
          </w:p>
        </w:tc>
      </w:tr>
      <w:tr w:rsidR="0026259B" w:rsidRPr="0026259B" w14:paraId="68849DB2"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4DC4B1E3" w14:textId="77777777" w:rsidR="0026259B" w:rsidRPr="0026259B" w:rsidRDefault="0026259B" w:rsidP="00F26C49">
            <w:pPr>
              <w:pStyle w:val="NoSpacing"/>
              <w:rPr>
                <w:rFonts w:ascii="Times New Roman" w:hAnsi="Times New Roman" w:cs="Times New Roman"/>
                <w:i/>
                <w:iCs/>
                <w:sz w:val="24"/>
                <w:szCs w:val="24"/>
              </w:rPr>
            </w:pPr>
            <w:r w:rsidRPr="0026259B">
              <w:rPr>
                <w:rFonts w:ascii="Times New Roman" w:hAnsi="Times New Roman" w:cs="Times New Roman"/>
                <w:i/>
                <w:iCs/>
                <w:sz w:val="24"/>
                <w:szCs w:val="24"/>
                <w:lang w:val="en-US"/>
              </w:rPr>
              <w:t>Diagnostics</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0DE92BFB" w14:textId="77777777" w:rsidR="0026259B" w:rsidRPr="0026259B" w:rsidRDefault="0026259B" w:rsidP="00F26C49">
            <w:pPr>
              <w:pStyle w:val="NoSpacing"/>
              <w:rPr>
                <w:rFonts w:ascii="Times New Roman" w:hAnsi="Times New Roman" w:cs="Times New Roman"/>
                <w:sz w:val="24"/>
                <w:szCs w:val="24"/>
              </w:rPr>
            </w:pP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4548FFD8" w14:textId="77777777" w:rsidR="0026259B" w:rsidRPr="0026259B" w:rsidRDefault="0026259B" w:rsidP="00F26C49">
            <w:pPr>
              <w:pStyle w:val="NoSpacing"/>
              <w:rPr>
                <w:rFonts w:ascii="Times New Roman" w:hAnsi="Times New Roman" w:cs="Times New Roman"/>
                <w:sz w:val="24"/>
                <w:szCs w:val="24"/>
              </w:rPr>
            </w:pPr>
          </w:p>
        </w:tc>
      </w:tr>
      <w:tr w:rsidR="0026259B" w:rsidRPr="0026259B" w14:paraId="2CC5A2C7" w14:textId="77777777" w:rsidTr="0026259B">
        <w:trPr>
          <w:trHeight w:val="290"/>
        </w:trPr>
        <w:tc>
          <w:tcPr>
            <w:tcW w:w="2653" w:type="pct"/>
            <w:tcBorders>
              <w:top w:val="nil"/>
              <w:left w:val="nil"/>
              <w:bottom w:val="nil"/>
              <w:right w:val="nil"/>
            </w:tcBorders>
            <w:shd w:val="clear" w:color="auto" w:fill="auto"/>
            <w:noWrap/>
            <w:tcMar>
              <w:top w:w="15" w:type="dxa"/>
              <w:left w:w="15" w:type="dxa"/>
              <w:bottom w:w="0" w:type="dxa"/>
              <w:right w:w="15" w:type="dxa"/>
            </w:tcMar>
            <w:vAlign w:val="bottom"/>
            <w:hideMark/>
          </w:tcPr>
          <w:p w14:paraId="42A2AE60" w14:textId="7777777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lang w:val="en-US"/>
              </w:rPr>
              <w:t>Log-likelihood</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76086440" w14:textId="2EF04708" w:rsidR="0026259B" w:rsidRPr="00DE1765" w:rsidRDefault="0026259B" w:rsidP="00F26C49">
            <w:pPr>
              <w:pStyle w:val="NoSpacing"/>
              <w:rPr>
                <w:rFonts w:ascii="Times New Roman" w:hAnsi="Times New Roman" w:cs="Times New Roman"/>
                <w:sz w:val="24"/>
                <w:szCs w:val="24"/>
                <w:lang w:val="en-US"/>
              </w:rPr>
            </w:pPr>
            <w:r w:rsidRPr="0026259B">
              <w:rPr>
                <w:rFonts w:ascii="Times New Roman" w:hAnsi="Times New Roman" w:cs="Times New Roman"/>
                <w:sz w:val="24"/>
                <w:szCs w:val="24"/>
              </w:rPr>
              <w:t>3</w:t>
            </w:r>
            <w:r w:rsidRPr="0026259B">
              <w:rPr>
                <w:rFonts w:ascii="Times New Roman" w:hAnsi="Times New Roman" w:cs="Times New Roman"/>
                <w:sz w:val="24"/>
                <w:szCs w:val="24"/>
                <w:lang w:val="en-US"/>
              </w:rPr>
              <w:t>,</w:t>
            </w:r>
            <w:r w:rsidRPr="0026259B">
              <w:rPr>
                <w:rFonts w:ascii="Times New Roman" w:hAnsi="Times New Roman" w:cs="Times New Roman"/>
                <w:sz w:val="24"/>
                <w:szCs w:val="24"/>
              </w:rPr>
              <w:t>4</w:t>
            </w:r>
            <w:r w:rsidR="00DE1765">
              <w:rPr>
                <w:rFonts w:ascii="Times New Roman" w:hAnsi="Times New Roman" w:cs="Times New Roman"/>
                <w:sz w:val="24"/>
                <w:szCs w:val="24"/>
                <w:lang w:val="en-US"/>
              </w:rPr>
              <w:t>53</w:t>
            </w:r>
            <w:r w:rsidRPr="0026259B">
              <w:rPr>
                <w:rFonts w:ascii="Times New Roman" w:hAnsi="Times New Roman" w:cs="Times New Roman"/>
                <w:sz w:val="24"/>
                <w:szCs w:val="24"/>
              </w:rPr>
              <w:t>.</w:t>
            </w:r>
            <w:r w:rsidR="00DE1765">
              <w:rPr>
                <w:rFonts w:ascii="Times New Roman" w:hAnsi="Times New Roman" w:cs="Times New Roman"/>
                <w:sz w:val="24"/>
                <w:szCs w:val="24"/>
                <w:lang w:val="en-US"/>
              </w:rPr>
              <w:t>9</w:t>
            </w:r>
          </w:p>
        </w:tc>
        <w:tc>
          <w:tcPr>
            <w:tcW w:w="1174" w:type="pct"/>
            <w:tcBorders>
              <w:top w:val="nil"/>
              <w:left w:val="nil"/>
              <w:bottom w:val="nil"/>
              <w:right w:val="nil"/>
            </w:tcBorders>
            <w:shd w:val="clear" w:color="auto" w:fill="auto"/>
            <w:noWrap/>
            <w:tcMar>
              <w:top w:w="15" w:type="dxa"/>
              <w:left w:w="15" w:type="dxa"/>
              <w:bottom w:w="0" w:type="dxa"/>
              <w:right w:w="15" w:type="dxa"/>
            </w:tcMar>
            <w:vAlign w:val="bottom"/>
            <w:hideMark/>
          </w:tcPr>
          <w:p w14:paraId="3AFAE11D" w14:textId="5B468739" w:rsidR="0026259B" w:rsidRPr="00DE1765" w:rsidRDefault="0026259B" w:rsidP="00F26C49">
            <w:pPr>
              <w:pStyle w:val="NoSpacing"/>
              <w:rPr>
                <w:rFonts w:ascii="Times New Roman" w:hAnsi="Times New Roman" w:cs="Times New Roman"/>
                <w:sz w:val="24"/>
                <w:szCs w:val="24"/>
                <w:lang w:val="en-US"/>
              </w:rPr>
            </w:pPr>
            <w:r w:rsidRPr="0026259B">
              <w:rPr>
                <w:rFonts w:ascii="Times New Roman" w:hAnsi="Times New Roman" w:cs="Times New Roman"/>
                <w:sz w:val="24"/>
                <w:szCs w:val="24"/>
              </w:rPr>
              <w:t>3</w:t>
            </w:r>
            <w:r w:rsidRPr="0026259B">
              <w:rPr>
                <w:rFonts w:ascii="Times New Roman" w:hAnsi="Times New Roman" w:cs="Times New Roman"/>
                <w:sz w:val="24"/>
                <w:szCs w:val="24"/>
                <w:lang w:val="en-US"/>
              </w:rPr>
              <w:t>,</w:t>
            </w:r>
            <w:r w:rsidR="00DE1765">
              <w:rPr>
                <w:rFonts w:ascii="Times New Roman" w:hAnsi="Times New Roman" w:cs="Times New Roman"/>
                <w:sz w:val="24"/>
                <w:szCs w:val="24"/>
                <w:lang w:val="en-US"/>
              </w:rPr>
              <w:t>6</w:t>
            </w:r>
            <w:r w:rsidRPr="0026259B">
              <w:rPr>
                <w:rFonts w:ascii="Times New Roman" w:hAnsi="Times New Roman" w:cs="Times New Roman"/>
                <w:sz w:val="24"/>
                <w:szCs w:val="24"/>
              </w:rPr>
              <w:t>1</w:t>
            </w:r>
            <w:r w:rsidR="00DE1765">
              <w:rPr>
                <w:rFonts w:ascii="Times New Roman" w:hAnsi="Times New Roman" w:cs="Times New Roman"/>
                <w:sz w:val="24"/>
                <w:szCs w:val="24"/>
                <w:lang w:val="en-US"/>
              </w:rPr>
              <w:t>8</w:t>
            </w:r>
            <w:r w:rsidRPr="0026259B">
              <w:rPr>
                <w:rFonts w:ascii="Times New Roman" w:hAnsi="Times New Roman" w:cs="Times New Roman"/>
                <w:sz w:val="24"/>
                <w:szCs w:val="24"/>
              </w:rPr>
              <w:t>.</w:t>
            </w:r>
            <w:r w:rsidR="00DE1765">
              <w:rPr>
                <w:rFonts w:ascii="Times New Roman" w:hAnsi="Times New Roman" w:cs="Times New Roman"/>
                <w:sz w:val="24"/>
                <w:szCs w:val="24"/>
                <w:lang w:val="en-US"/>
              </w:rPr>
              <w:t>1</w:t>
            </w:r>
          </w:p>
        </w:tc>
      </w:tr>
      <w:tr w:rsidR="0026259B" w:rsidRPr="0026259B" w14:paraId="434CE6E5" w14:textId="77777777" w:rsidTr="0026259B">
        <w:trPr>
          <w:trHeight w:val="290"/>
        </w:trPr>
        <w:tc>
          <w:tcPr>
            <w:tcW w:w="265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5026BAF" w14:textId="7777777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lang w:val="en-US"/>
              </w:rPr>
              <w:t>LM test for Heteroscedasticity</w:t>
            </w:r>
          </w:p>
        </w:tc>
        <w:tc>
          <w:tcPr>
            <w:tcW w:w="1174"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8E9E5AD" w14:textId="13F81D77"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[0.6</w:t>
            </w:r>
            <w:r w:rsidR="00DE1765">
              <w:rPr>
                <w:rFonts w:ascii="Times New Roman" w:hAnsi="Times New Roman" w:cs="Times New Roman"/>
                <w:sz w:val="24"/>
                <w:szCs w:val="24"/>
                <w:lang w:val="en-US"/>
              </w:rPr>
              <w:t>5</w:t>
            </w:r>
            <w:r w:rsidRPr="0026259B">
              <w:rPr>
                <w:rFonts w:ascii="Times New Roman" w:hAnsi="Times New Roman" w:cs="Times New Roman"/>
                <w:sz w:val="24"/>
                <w:szCs w:val="24"/>
              </w:rPr>
              <w:t>]</w:t>
            </w:r>
          </w:p>
        </w:tc>
        <w:tc>
          <w:tcPr>
            <w:tcW w:w="1174"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01CF42B" w14:textId="6A203831" w:rsidR="0026259B" w:rsidRPr="0026259B" w:rsidRDefault="0026259B" w:rsidP="00F26C49">
            <w:pPr>
              <w:pStyle w:val="NoSpacing"/>
              <w:rPr>
                <w:rFonts w:ascii="Times New Roman" w:hAnsi="Times New Roman" w:cs="Times New Roman"/>
                <w:sz w:val="24"/>
                <w:szCs w:val="24"/>
              </w:rPr>
            </w:pPr>
            <w:r w:rsidRPr="0026259B">
              <w:rPr>
                <w:rFonts w:ascii="Times New Roman" w:hAnsi="Times New Roman" w:cs="Times New Roman"/>
                <w:sz w:val="24"/>
                <w:szCs w:val="24"/>
              </w:rPr>
              <w:t>[0.</w:t>
            </w:r>
            <w:r w:rsidR="00DE1765">
              <w:rPr>
                <w:rFonts w:ascii="Times New Roman" w:hAnsi="Times New Roman" w:cs="Times New Roman"/>
                <w:sz w:val="24"/>
                <w:szCs w:val="24"/>
                <w:lang w:val="en-US"/>
              </w:rPr>
              <w:t>73</w:t>
            </w:r>
            <w:r w:rsidRPr="0026259B">
              <w:rPr>
                <w:rFonts w:ascii="Times New Roman" w:hAnsi="Times New Roman" w:cs="Times New Roman"/>
                <w:sz w:val="24"/>
                <w:szCs w:val="24"/>
              </w:rPr>
              <w:t>]</w:t>
            </w:r>
          </w:p>
        </w:tc>
      </w:tr>
    </w:tbl>
    <w:p w14:paraId="48E19A4F" w14:textId="64FB434B" w:rsidR="00B43477" w:rsidRPr="0026259B" w:rsidRDefault="008D19E7" w:rsidP="008D19E7">
      <w:pPr>
        <w:jc w:val="both"/>
        <w:rPr>
          <w:rFonts w:ascii="Times New Roman" w:hAnsi="Times New Roman" w:cs="Times New Roman"/>
          <w:sz w:val="20"/>
          <w:szCs w:val="20"/>
          <w:lang w:val="en-US"/>
        </w:rPr>
      </w:pPr>
      <w:r w:rsidRPr="0026259B">
        <w:rPr>
          <w:rFonts w:ascii="Times New Roman" w:hAnsi="Times New Roman" w:cs="Times New Roman"/>
          <w:sz w:val="20"/>
          <w:szCs w:val="20"/>
          <w:lang w:val="en-US"/>
        </w:rPr>
        <w:t>Figures in brackets denote p-values, C</w:t>
      </w:r>
      <w:r w:rsidR="00E81DE4" w:rsidRPr="0026259B">
        <w:rPr>
          <w:rFonts w:ascii="Times New Roman" w:hAnsi="Times New Roman" w:cs="Times New Roman"/>
          <w:sz w:val="20"/>
          <w:szCs w:val="20"/>
          <w:lang w:val="en-US"/>
        </w:rPr>
        <w:t>C</w:t>
      </w:r>
      <w:r w:rsidR="00580588" w:rsidRPr="0026259B">
        <w:rPr>
          <w:rFonts w:ascii="Times New Roman" w:hAnsi="Times New Roman" w:cs="Times New Roman"/>
          <w:sz w:val="20"/>
          <w:szCs w:val="20"/>
          <w:lang w:val="en-US"/>
        </w:rPr>
        <w:t>ovid</w:t>
      </w:r>
      <w:r w:rsidRPr="0026259B">
        <w:rPr>
          <w:rFonts w:ascii="Times New Roman" w:hAnsi="Times New Roman" w:cs="Times New Roman"/>
          <w:sz w:val="20"/>
          <w:szCs w:val="20"/>
          <w:lang w:val="en-US"/>
        </w:rPr>
        <w:t>19-1 denotes C</w:t>
      </w:r>
      <w:r w:rsidR="0026259B" w:rsidRPr="0026259B">
        <w:rPr>
          <w:rFonts w:ascii="Times New Roman" w:hAnsi="Times New Roman" w:cs="Times New Roman"/>
          <w:sz w:val="20"/>
          <w:szCs w:val="20"/>
          <w:lang w:val="en-US"/>
        </w:rPr>
        <w:t>hinese</w:t>
      </w:r>
      <w:r w:rsidRPr="0026259B">
        <w:rPr>
          <w:rFonts w:ascii="Times New Roman" w:hAnsi="Times New Roman" w:cs="Times New Roman"/>
          <w:sz w:val="20"/>
          <w:szCs w:val="20"/>
          <w:lang w:val="en-US"/>
        </w:rPr>
        <w:t xml:space="preserve"> </w:t>
      </w:r>
      <w:r w:rsidR="00E81DE4" w:rsidRPr="0026259B">
        <w:rPr>
          <w:rFonts w:ascii="Times New Roman" w:hAnsi="Times New Roman" w:cs="Times New Roman"/>
          <w:sz w:val="20"/>
          <w:szCs w:val="20"/>
          <w:lang w:val="en-US"/>
        </w:rPr>
        <w:t>C</w:t>
      </w:r>
      <w:r w:rsidR="00580588" w:rsidRPr="0026259B">
        <w:rPr>
          <w:rFonts w:ascii="Times New Roman" w:hAnsi="Times New Roman" w:cs="Times New Roman"/>
          <w:sz w:val="20"/>
          <w:szCs w:val="20"/>
          <w:lang w:val="en-US"/>
        </w:rPr>
        <w:t>ovid</w:t>
      </w:r>
      <w:r w:rsidRPr="0026259B">
        <w:rPr>
          <w:rFonts w:ascii="Times New Roman" w:hAnsi="Times New Roman" w:cs="Times New Roman"/>
          <w:sz w:val="20"/>
          <w:szCs w:val="20"/>
          <w:lang w:val="en-US"/>
        </w:rPr>
        <w:t xml:space="preserve">-19 incidences, </w:t>
      </w:r>
      <w:r w:rsidR="0026259B" w:rsidRPr="0026259B">
        <w:rPr>
          <w:rFonts w:ascii="Times New Roman" w:hAnsi="Times New Roman" w:cs="Times New Roman"/>
          <w:sz w:val="20"/>
          <w:szCs w:val="20"/>
          <w:lang w:val="en-US"/>
        </w:rPr>
        <w:t xml:space="preserve">and </w:t>
      </w:r>
      <w:r w:rsidRPr="0026259B">
        <w:rPr>
          <w:rFonts w:ascii="Times New Roman" w:hAnsi="Times New Roman" w:cs="Times New Roman"/>
          <w:sz w:val="20"/>
          <w:szCs w:val="20"/>
          <w:lang w:val="en-US"/>
        </w:rPr>
        <w:t>C</w:t>
      </w:r>
      <w:r w:rsidR="00E81DE4" w:rsidRPr="0026259B">
        <w:rPr>
          <w:rFonts w:ascii="Times New Roman" w:hAnsi="Times New Roman" w:cs="Times New Roman"/>
          <w:sz w:val="20"/>
          <w:szCs w:val="20"/>
          <w:lang w:val="en-US"/>
        </w:rPr>
        <w:t>C</w:t>
      </w:r>
      <w:r w:rsidR="00580588" w:rsidRPr="0026259B">
        <w:rPr>
          <w:rFonts w:ascii="Times New Roman" w:hAnsi="Times New Roman" w:cs="Times New Roman"/>
          <w:sz w:val="20"/>
          <w:szCs w:val="20"/>
          <w:lang w:val="en-US"/>
        </w:rPr>
        <w:t>ovid19</w:t>
      </w:r>
      <w:r w:rsidRPr="0026259B">
        <w:rPr>
          <w:rFonts w:ascii="Times New Roman" w:hAnsi="Times New Roman" w:cs="Times New Roman"/>
          <w:sz w:val="20"/>
          <w:szCs w:val="20"/>
          <w:lang w:val="en-US"/>
        </w:rPr>
        <w:t>-2 denotes C</w:t>
      </w:r>
      <w:r w:rsidR="0026259B" w:rsidRPr="0026259B">
        <w:rPr>
          <w:rFonts w:ascii="Times New Roman" w:hAnsi="Times New Roman" w:cs="Times New Roman"/>
          <w:sz w:val="20"/>
          <w:szCs w:val="20"/>
          <w:lang w:val="en-US"/>
        </w:rPr>
        <w:t>hinese</w:t>
      </w:r>
      <w:r w:rsidRPr="0026259B">
        <w:rPr>
          <w:rFonts w:ascii="Times New Roman" w:hAnsi="Times New Roman" w:cs="Times New Roman"/>
          <w:sz w:val="20"/>
          <w:szCs w:val="20"/>
          <w:lang w:val="en-US"/>
        </w:rPr>
        <w:t xml:space="preserve"> </w:t>
      </w:r>
      <w:r w:rsidR="00E81DE4" w:rsidRPr="0026259B">
        <w:rPr>
          <w:rFonts w:ascii="Times New Roman" w:hAnsi="Times New Roman" w:cs="Times New Roman"/>
          <w:sz w:val="20"/>
          <w:szCs w:val="20"/>
          <w:lang w:val="en-US"/>
        </w:rPr>
        <w:t>C</w:t>
      </w:r>
      <w:r w:rsidR="00580588" w:rsidRPr="0026259B">
        <w:rPr>
          <w:rFonts w:ascii="Times New Roman" w:hAnsi="Times New Roman" w:cs="Times New Roman"/>
          <w:sz w:val="20"/>
          <w:szCs w:val="20"/>
          <w:lang w:val="en-US"/>
        </w:rPr>
        <w:t>ovid</w:t>
      </w:r>
      <w:r w:rsidRPr="0026259B">
        <w:rPr>
          <w:rFonts w:ascii="Times New Roman" w:hAnsi="Times New Roman" w:cs="Times New Roman"/>
          <w:sz w:val="20"/>
          <w:szCs w:val="20"/>
          <w:lang w:val="en-US"/>
        </w:rPr>
        <w:t>-19 deaths.</w:t>
      </w:r>
    </w:p>
    <w:p w14:paraId="4935EF04" w14:textId="77777777" w:rsidR="00B43477" w:rsidRDefault="00B43477" w:rsidP="00B43477">
      <w:pPr>
        <w:rPr>
          <w:lang w:val="en-US"/>
        </w:rPr>
      </w:pPr>
    </w:p>
    <w:p w14:paraId="5B3FD619" w14:textId="7E27B266" w:rsidR="00867693" w:rsidRDefault="00833E81" w:rsidP="0080439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final step of the empirical analysis </w:t>
      </w:r>
      <w:r w:rsidRPr="00833E81">
        <w:rPr>
          <w:rFonts w:ascii="Times New Roman" w:hAnsi="Times New Roman" w:cs="Times New Roman"/>
          <w:sz w:val="24"/>
          <w:szCs w:val="24"/>
          <w:lang w:val="en-US"/>
        </w:rPr>
        <w:t>investigate</w:t>
      </w:r>
      <w:r>
        <w:rPr>
          <w:rFonts w:ascii="Times New Roman" w:hAnsi="Times New Roman" w:cs="Times New Roman"/>
          <w:sz w:val="24"/>
          <w:szCs w:val="24"/>
          <w:lang w:val="en-US"/>
        </w:rPr>
        <w:t xml:space="preserve">s </w:t>
      </w:r>
      <w:r w:rsidRPr="00833E81">
        <w:rPr>
          <w:rFonts w:ascii="Times New Roman" w:hAnsi="Times New Roman" w:cs="Times New Roman"/>
          <w:sz w:val="24"/>
          <w:szCs w:val="24"/>
          <w:lang w:val="en-US"/>
        </w:rPr>
        <w:t>the forecasting performance of the GARCHX model</w:t>
      </w:r>
      <w:r>
        <w:rPr>
          <w:rFonts w:ascii="Times New Roman" w:hAnsi="Times New Roman" w:cs="Times New Roman"/>
          <w:sz w:val="24"/>
          <w:szCs w:val="24"/>
          <w:lang w:val="en-US"/>
        </w:rPr>
        <w:t>. The model is estimated from January 2</w:t>
      </w:r>
      <w:r w:rsidR="00DE1765">
        <w:rPr>
          <w:rFonts w:ascii="Times New Roman" w:hAnsi="Times New Roman" w:cs="Times New Roman"/>
          <w:sz w:val="24"/>
          <w:szCs w:val="24"/>
          <w:lang w:val="en-US"/>
        </w:rPr>
        <w:t>2</w:t>
      </w:r>
      <w:r>
        <w:rPr>
          <w:rFonts w:ascii="Times New Roman" w:hAnsi="Times New Roman" w:cs="Times New Roman"/>
          <w:sz w:val="24"/>
          <w:szCs w:val="24"/>
          <w:lang w:val="en-US"/>
        </w:rPr>
        <w:t xml:space="preserve">, 2020 to </w:t>
      </w:r>
      <w:r w:rsidR="002D2439">
        <w:rPr>
          <w:rFonts w:ascii="Times New Roman" w:hAnsi="Times New Roman" w:cs="Times New Roman"/>
          <w:sz w:val="24"/>
          <w:szCs w:val="24"/>
          <w:lang w:val="en-US"/>
        </w:rPr>
        <w:t>April</w:t>
      </w:r>
      <w:r w:rsidR="00804394">
        <w:rPr>
          <w:rFonts w:ascii="Times New Roman" w:hAnsi="Times New Roman" w:cs="Times New Roman"/>
          <w:sz w:val="24"/>
          <w:szCs w:val="24"/>
          <w:lang w:val="en-US"/>
        </w:rPr>
        <w:t xml:space="preserve"> </w:t>
      </w:r>
      <w:r w:rsidR="00DE1765">
        <w:rPr>
          <w:rFonts w:ascii="Times New Roman" w:hAnsi="Times New Roman" w:cs="Times New Roman"/>
          <w:sz w:val="24"/>
          <w:szCs w:val="24"/>
          <w:lang w:val="en-US"/>
        </w:rPr>
        <w:t>1</w:t>
      </w:r>
      <w:r w:rsidR="002D2439">
        <w:rPr>
          <w:rFonts w:ascii="Times New Roman" w:hAnsi="Times New Roman" w:cs="Times New Roman"/>
          <w:sz w:val="24"/>
          <w:szCs w:val="24"/>
          <w:lang w:val="en-US"/>
        </w:rPr>
        <w:t>5</w:t>
      </w:r>
      <w:r w:rsidR="00804394">
        <w:rPr>
          <w:rFonts w:ascii="Times New Roman" w:hAnsi="Times New Roman" w:cs="Times New Roman"/>
          <w:sz w:val="24"/>
          <w:szCs w:val="24"/>
          <w:lang w:val="en-US"/>
        </w:rPr>
        <w:t>, 2020, while the out-of-sample forecasting horizon span the period April 1</w:t>
      </w:r>
      <w:r w:rsidR="002D2439">
        <w:rPr>
          <w:rFonts w:ascii="Times New Roman" w:hAnsi="Times New Roman" w:cs="Times New Roman"/>
          <w:sz w:val="24"/>
          <w:szCs w:val="24"/>
          <w:lang w:val="en-US"/>
        </w:rPr>
        <w:t>6</w:t>
      </w:r>
      <w:r w:rsidR="00804394">
        <w:rPr>
          <w:rFonts w:ascii="Times New Roman" w:hAnsi="Times New Roman" w:cs="Times New Roman"/>
          <w:sz w:val="24"/>
          <w:szCs w:val="24"/>
          <w:lang w:val="en-US"/>
        </w:rPr>
        <w:t xml:space="preserve">, 2020 to April 30, 2020. The forecasting exercise </w:t>
      </w:r>
      <w:r w:rsidR="00804394" w:rsidRPr="00804394">
        <w:rPr>
          <w:rFonts w:ascii="Times New Roman" w:hAnsi="Times New Roman" w:cs="Times New Roman"/>
          <w:sz w:val="24"/>
          <w:szCs w:val="24"/>
          <w:lang w:val="en-US"/>
        </w:rPr>
        <w:t>use</w:t>
      </w:r>
      <w:r w:rsidR="00804394">
        <w:rPr>
          <w:rFonts w:ascii="Times New Roman" w:hAnsi="Times New Roman" w:cs="Times New Roman"/>
          <w:sz w:val="24"/>
          <w:szCs w:val="24"/>
          <w:lang w:val="en-US"/>
        </w:rPr>
        <w:t>s</w:t>
      </w:r>
      <w:r w:rsidR="00804394" w:rsidRPr="00804394">
        <w:rPr>
          <w:rFonts w:ascii="Times New Roman" w:hAnsi="Times New Roman" w:cs="Times New Roman"/>
          <w:sz w:val="24"/>
          <w:szCs w:val="24"/>
          <w:lang w:val="en-US"/>
        </w:rPr>
        <w:t xml:space="preserve"> a rolling sample of the past volatilities. On day t, the conditional volatility</w:t>
      </w:r>
      <w:r w:rsidR="00804394">
        <w:rPr>
          <w:rFonts w:ascii="Times New Roman" w:hAnsi="Times New Roman" w:cs="Times New Roman"/>
          <w:sz w:val="24"/>
          <w:szCs w:val="24"/>
          <w:lang w:val="en-US"/>
        </w:rPr>
        <w:t xml:space="preserve"> </w:t>
      </w:r>
      <w:r w:rsidR="00804394" w:rsidRPr="00804394">
        <w:rPr>
          <w:rFonts w:ascii="Times New Roman" w:hAnsi="Times New Roman" w:cs="Times New Roman"/>
          <w:sz w:val="24"/>
          <w:szCs w:val="24"/>
          <w:lang w:val="en-US"/>
        </w:rPr>
        <w:t>of one period ahead, t+1, is constructed by using the estimates which are</w:t>
      </w:r>
      <w:r w:rsidR="00804394">
        <w:rPr>
          <w:rFonts w:ascii="Times New Roman" w:hAnsi="Times New Roman" w:cs="Times New Roman"/>
          <w:sz w:val="24"/>
          <w:szCs w:val="24"/>
          <w:lang w:val="en-US"/>
        </w:rPr>
        <w:t xml:space="preserve"> </w:t>
      </w:r>
      <w:r w:rsidR="00804394" w:rsidRPr="00804394">
        <w:rPr>
          <w:rFonts w:ascii="Times New Roman" w:hAnsi="Times New Roman" w:cs="Times New Roman"/>
          <w:sz w:val="24"/>
          <w:szCs w:val="24"/>
          <w:lang w:val="en-US"/>
        </w:rPr>
        <w:t>obtained from only the past observations. By</w:t>
      </w:r>
      <w:r w:rsidR="00804394">
        <w:rPr>
          <w:rFonts w:ascii="Times New Roman" w:hAnsi="Times New Roman" w:cs="Times New Roman"/>
          <w:sz w:val="24"/>
          <w:szCs w:val="24"/>
          <w:lang w:val="en-US"/>
        </w:rPr>
        <w:t xml:space="preserve"> </w:t>
      </w:r>
      <w:r w:rsidR="00A92632">
        <w:rPr>
          <w:rFonts w:ascii="Times New Roman" w:hAnsi="Times New Roman" w:cs="Times New Roman"/>
          <w:sz w:val="24"/>
          <w:szCs w:val="24"/>
          <w:lang w:val="en-US"/>
        </w:rPr>
        <w:t xml:space="preserve">the </w:t>
      </w:r>
      <w:r w:rsidR="00804394" w:rsidRPr="00804394">
        <w:rPr>
          <w:rFonts w:ascii="Times New Roman" w:hAnsi="Times New Roman" w:cs="Times New Roman"/>
          <w:sz w:val="24"/>
          <w:szCs w:val="24"/>
          <w:lang w:val="en-US"/>
        </w:rPr>
        <w:t xml:space="preserve">recursive substitution of the conditional volatility, forecasts for up to </w:t>
      </w:r>
      <w:r w:rsidR="002D2439">
        <w:rPr>
          <w:rFonts w:ascii="Times New Roman" w:hAnsi="Times New Roman" w:cs="Times New Roman"/>
          <w:sz w:val="24"/>
          <w:szCs w:val="24"/>
          <w:lang w:val="en-US"/>
        </w:rPr>
        <w:t>15</w:t>
      </w:r>
      <w:r w:rsidR="00804394" w:rsidRPr="00804394">
        <w:rPr>
          <w:rFonts w:ascii="Times New Roman" w:hAnsi="Times New Roman" w:cs="Times New Roman"/>
          <w:sz w:val="24"/>
          <w:szCs w:val="24"/>
          <w:lang w:val="en-US"/>
        </w:rPr>
        <w:t xml:space="preserve"> horizons</w:t>
      </w:r>
      <w:r w:rsidR="00804394">
        <w:rPr>
          <w:rFonts w:ascii="Times New Roman" w:hAnsi="Times New Roman" w:cs="Times New Roman"/>
          <w:sz w:val="24"/>
          <w:szCs w:val="24"/>
          <w:lang w:val="en-US"/>
        </w:rPr>
        <w:t xml:space="preserve"> </w:t>
      </w:r>
      <w:r w:rsidR="00804394" w:rsidRPr="00804394">
        <w:rPr>
          <w:rFonts w:ascii="Times New Roman" w:hAnsi="Times New Roman" w:cs="Times New Roman"/>
          <w:sz w:val="24"/>
          <w:szCs w:val="24"/>
          <w:lang w:val="en-US"/>
        </w:rPr>
        <w:t>are constructed</w:t>
      </w:r>
      <w:r w:rsidR="00804394">
        <w:rPr>
          <w:rFonts w:ascii="Times New Roman" w:hAnsi="Times New Roman" w:cs="Times New Roman"/>
          <w:sz w:val="24"/>
          <w:szCs w:val="24"/>
          <w:lang w:val="en-US"/>
        </w:rPr>
        <w:t xml:space="preserve">. The forecasting performance was compared against the model with the </w:t>
      </w:r>
      <w:r w:rsidR="00E81DE4">
        <w:rPr>
          <w:rFonts w:ascii="Times New Roman" w:hAnsi="Times New Roman" w:cs="Times New Roman"/>
          <w:sz w:val="24"/>
          <w:szCs w:val="24"/>
          <w:lang w:val="en-US"/>
        </w:rPr>
        <w:t>C</w:t>
      </w:r>
      <w:r w:rsidR="00580588">
        <w:rPr>
          <w:rFonts w:ascii="Times New Roman" w:hAnsi="Times New Roman" w:cs="Times New Roman"/>
          <w:sz w:val="24"/>
          <w:szCs w:val="24"/>
          <w:lang w:val="en-US"/>
        </w:rPr>
        <w:t>ovid</w:t>
      </w:r>
      <w:r w:rsidR="00804394">
        <w:rPr>
          <w:rFonts w:ascii="Times New Roman" w:hAnsi="Times New Roman" w:cs="Times New Roman"/>
          <w:sz w:val="24"/>
          <w:szCs w:val="24"/>
          <w:lang w:val="en-US"/>
        </w:rPr>
        <w:t xml:space="preserve">-19 factor. </w:t>
      </w:r>
      <w:r w:rsidR="00804394" w:rsidRPr="00804394">
        <w:rPr>
          <w:rFonts w:ascii="Times New Roman" w:hAnsi="Times New Roman" w:cs="Times New Roman"/>
          <w:sz w:val="24"/>
          <w:szCs w:val="24"/>
          <w:lang w:val="en-US"/>
        </w:rPr>
        <w:t xml:space="preserve">Table </w:t>
      </w:r>
      <w:r w:rsidR="00804394">
        <w:rPr>
          <w:rFonts w:ascii="Times New Roman" w:hAnsi="Times New Roman" w:cs="Times New Roman"/>
          <w:sz w:val="24"/>
          <w:szCs w:val="24"/>
          <w:lang w:val="en-US"/>
        </w:rPr>
        <w:t>4</w:t>
      </w:r>
      <w:r w:rsidR="00804394" w:rsidRPr="00804394">
        <w:rPr>
          <w:rFonts w:ascii="Times New Roman" w:hAnsi="Times New Roman" w:cs="Times New Roman"/>
          <w:sz w:val="24"/>
          <w:szCs w:val="24"/>
          <w:lang w:val="en-US"/>
        </w:rPr>
        <w:t xml:space="preserve"> </w:t>
      </w:r>
      <w:r w:rsidR="00804394">
        <w:rPr>
          <w:rFonts w:ascii="Times New Roman" w:hAnsi="Times New Roman" w:cs="Times New Roman"/>
          <w:sz w:val="24"/>
          <w:szCs w:val="24"/>
          <w:lang w:val="en-US"/>
        </w:rPr>
        <w:t>reports the forecasting results which highlight</w:t>
      </w:r>
      <w:r w:rsidR="00804394" w:rsidRPr="00804394">
        <w:rPr>
          <w:rFonts w:ascii="Times New Roman" w:hAnsi="Times New Roman" w:cs="Times New Roman"/>
          <w:sz w:val="24"/>
          <w:szCs w:val="24"/>
          <w:lang w:val="en-US"/>
        </w:rPr>
        <w:t xml:space="preserve"> that the GARCH</w:t>
      </w:r>
      <w:r w:rsidR="00804394">
        <w:rPr>
          <w:rFonts w:ascii="Times New Roman" w:hAnsi="Times New Roman" w:cs="Times New Roman"/>
          <w:sz w:val="24"/>
          <w:szCs w:val="24"/>
          <w:lang w:val="en-US"/>
        </w:rPr>
        <w:t xml:space="preserve">X model with the </w:t>
      </w:r>
      <w:r w:rsidR="00E81DE4">
        <w:rPr>
          <w:rFonts w:ascii="Times New Roman" w:hAnsi="Times New Roman" w:cs="Times New Roman"/>
          <w:sz w:val="24"/>
          <w:szCs w:val="24"/>
          <w:lang w:val="en-US"/>
        </w:rPr>
        <w:t>C</w:t>
      </w:r>
      <w:r w:rsidR="00580588">
        <w:rPr>
          <w:rFonts w:ascii="Times New Roman" w:hAnsi="Times New Roman" w:cs="Times New Roman"/>
          <w:sz w:val="24"/>
          <w:szCs w:val="24"/>
          <w:lang w:val="en-US"/>
        </w:rPr>
        <w:t>ovid</w:t>
      </w:r>
      <w:r w:rsidR="00804394">
        <w:rPr>
          <w:rFonts w:ascii="Times New Roman" w:hAnsi="Times New Roman" w:cs="Times New Roman"/>
          <w:sz w:val="24"/>
          <w:szCs w:val="24"/>
          <w:lang w:val="en-US"/>
        </w:rPr>
        <w:t>-19 factor</w:t>
      </w:r>
      <w:r w:rsidR="00804394" w:rsidRPr="00804394">
        <w:rPr>
          <w:rFonts w:ascii="Times New Roman" w:hAnsi="Times New Roman" w:cs="Times New Roman"/>
          <w:sz w:val="24"/>
          <w:szCs w:val="24"/>
          <w:lang w:val="en-US"/>
        </w:rPr>
        <w:t xml:space="preserve"> </w:t>
      </w:r>
      <w:r w:rsidR="00F07CC5">
        <w:rPr>
          <w:rFonts w:ascii="Times New Roman" w:hAnsi="Times New Roman" w:cs="Times New Roman"/>
          <w:sz w:val="24"/>
          <w:szCs w:val="24"/>
          <w:lang w:val="en-US"/>
        </w:rPr>
        <w:t>(Panel I with respect to the C</w:t>
      </w:r>
      <w:r w:rsidR="00DE1765">
        <w:rPr>
          <w:rFonts w:ascii="Times New Roman" w:hAnsi="Times New Roman" w:cs="Times New Roman"/>
          <w:sz w:val="24"/>
          <w:szCs w:val="24"/>
          <w:lang w:val="en-US"/>
        </w:rPr>
        <w:t>hinese</w:t>
      </w:r>
      <w:r w:rsidR="00F07CC5">
        <w:rPr>
          <w:rFonts w:ascii="Times New Roman" w:hAnsi="Times New Roman" w:cs="Times New Roman"/>
          <w:sz w:val="24"/>
          <w:szCs w:val="24"/>
          <w:lang w:val="en-US"/>
        </w:rPr>
        <w:t xml:space="preserve"> </w:t>
      </w:r>
      <w:r w:rsidR="00A92632">
        <w:rPr>
          <w:rFonts w:ascii="Times New Roman" w:hAnsi="Times New Roman" w:cs="Times New Roman"/>
          <w:sz w:val="24"/>
          <w:szCs w:val="24"/>
          <w:lang w:val="en-US"/>
        </w:rPr>
        <w:t xml:space="preserve">confirmed </w:t>
      </w:r>
      <w:r w:rsidR="00DE1765">
        <w:rPr>
          <w:rFonts w:ascii="Times New Roman" w:hAnsi="Times New Roman" w:cs="Times New Roman"/>
          <w:sz w:val="24"/>
          <w:szCs w:val="24"/>
          <w:lang w:val="en-US"/>
        </w:rPr>
        <w:t>cases</w:t>
      </w:r>
      <w:r w:rsidR="00F07CC5">
        <w:rPr>
          <w:rFonts w:ascii="Times New Roman" w:hAnsi="Times New Roman" w:cs="Times New Roman"/>
          <w:sz w:val="24"/>
          <w:szCs w:val="24"/>
          <w:lang w:val="en-US"/>
        </w:rPr>
        <w:t xml:space="preserve"> and Panel II with respect to the </w:t>
      </w:r>
      <w:r w:rsidR="00DE1765">
        <w:rPr>
          <w:rFonts w:ascii="Times New Roman" w:hAnsi="Times New Roman" w:cs="Times New Roman"/>
          <w:sz w:val="24"/>
          <w:szCs w:val="24"/>
          <w:lang w:val="en-US"/>
        </w:rPr>
        <w:t>Chinese</w:t>
      </w:r>
      <w:r w:rsidR="00F07CC5">
        <w:rPr>
          <w:rFonts w:ascii="Times New Roman" w:hAnsi="Times New Roman" w:cs="Times New Roman"/>
          <w:sz w:val="24"/>
          <w:szCs w:val="24"/>
          <w:lang w:val="en-US"/>
        </w:rPr>
        <w:t xml:space="preserve"> </w:t>
      </w:r>
      <w:r w:rsidR="00A92632">
        <w:rPr>
          <w:rFonts w:ascii="Times New Roman" w:hAnsi="Times New Roman" w:cs="Times New Roman"/>
          <w:sz w:val="24"/>
          <w:szCs w:val="24"/>
          <w:lang w:val="en-US"/>
        </w:rPr>
        <w:t xml:space="preserve">confirmed </w:t>
      </w:r>
      <w:r w:rsidR="00F07CC5">
        <w:rPr>
          <w:rFonts w:ascii="Times New Roman" w:hAnsi="Times New Roman" w:cs="Times New Roman"/>
          <w:sz w:val="24"/>
          <w:szCs w:val="24"/>
          <w:lang w:val="en-US"/>
        </w:rPr>
        <w:t xml:space="preserve">deaths) </w:t>
      </w:r>
      <w:r w:rsidR="00804394" w:rsidRPr="00804394">
        <w:rPr>
          <w:rFonts w:ascii="Times New Roman" w:hAnsi="Times New Roman" w:cs="Times New Roman"/>
          <w:sz w:val="24"/>
          <w:szCs w:val="24"/>
          <w:lang w:val="en-US"/>
        </w:rPr>
        <w:t>performs</w:t>
      </w:r>
      <w:r w:rsidR="00804394">
        <w:rPr>
          <w:rFonts w:ascii="Times New Roman" w:hAnsi="Times New Roman" w:cs="Times New Roman"/>
          <w:sz w:val="24"/>
          <w:szCs w:val="24"/>
          <w:lang w:val="en-US"/>
        </w:rPr>
        <w:t xml:space="preserve"> better in terms of volatility</w:t>
      </w:r>
      <w:r w:rsidR="00804394" w:rsidRPr="00804394">
        <w:rPr>
          <w:rFonts w:ascii="Times New Roman" w:hAnsi="Times New Roman" w:cs="Times New Roman"/>
          <w:sz w:val="24"/>
          <w:szCs w:val="24"/>
          <w:lang w:val="en-US"/>
        </w:rPr>
        <w:t xml:space="preserve"> forecasts</w:t>
      </w:r>
      <w:r w:rsidR="00867693">
        <w:rPr>
          <w:rFonts w:ascii="Times New Roman" w:hAnsi="Times New Roman" w:cs="Times New Roman"/>
          <w:sz w:val="24"/>
          <w:szCs w:val="24"/>
          <w:lang w:val="en-US"/>
        </w:rPr>
        <w:t>.</w:t>
      </w:r>
    </w:p>
    <w:p w14:paraId="69E431A2" w14:textId="74829B16" w:rsidR="00804394" w:rsidRPr="00804394" w:rsidRDefault="00867693" w:rsidP="00867693">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Two popular</w:t>
      </w:r>
      <w:r w:rsidRPr="00867693">
        <w:rPr>
          <w:rFonts w:ascii="Times New Roman" w:hAnsi="Times New Roman" w:cs="Times New Roman"/>
          <w:sz w:val="24"/>
          <w:szCs w:val="24"/>
          <w:lang w:val="en-US"/>
        </w:rPr>
        <w:t xml:space="preserve"> measures derived from the forecast error are designed to evaluate </w:t>
      </w:r>
      <w:r>
        <w:rPr>
          <w:rFonts w:ascii="Times New Roman" w:hAnsi="Times New Roman" w:cs="Times New Roman"/>
          <w:sz w:val="24"/>
          <w:szCs w:val="24"/>
          <w:lang w:val="en-US"/>
        </w:rPr>
        <w:t>the</w:t>
      </w:r>
      <w:r w:rsidRPr="00867693">
        <w:rPr>
          <w:rFonts w:ascii="Times New Roman" w:hAnsi="Times New Roman" w:cs="Times New Roman"/>
          <w:sz w:val="24"/>
          <w:szCs w:val="24"/>
          <w:lang w:val="en-US"/>
        </w:rPr>
        <w:t xml:space="preserve"> forecasts. Th</w:t>
      </w:r>
      <w:r>
        <w:rPr>
          <w:rFonts w:ascii="Times New Roman" w:hAnsi="Times New Roman" w:cs="Times New Roman"/>
          <w:sz w:val="24"/>
          <w:szCs w:val="24"/>
          <w:lang w:val="en-US"/>
        </w:rPr>
        <w:t>ese</w:t>
      </w:r>
      <w:r w:rsidRPr="00867693">
        <w:rPr>
          <w:rFonts w:ascii="Times New Roman" w:hAnsi="Times New Roman" w:cs="Times New Roman"/>
          <w:sz w:val="24"/>
          <w:szCs w:val="24"/>
          <w:lang w:val="en-US"/>
        </w:rPr>
        <w:t xml:space="preserve"> include </w:t>
      </w:r>
      <w:r>
        <w:rPr>
          <w:rFonts w:ascii="Times New Roman" w:hAnsi="Times New Roman" w:cs="Times New Roman"/>
          <w:sz w:val="24"/>
          <w:szCs w:val="24"/>
          <w:lang w:val="en-US"/>
        </w:rPr>
        <w:t xml:space="preserve">the </w:t>
      </w:r>
      <w:r w:rsidRPr="00867693">
        <w:rPr>
          <w:rFonts w:ascii="Times New Roman" w:hAnsi="Times New Roman" w:cs="Times New Roman"/>
          <w:sz w:val="24"/>
          <w:szCs w:val="24"/>
          <w:lang w:val="en-US"/>
        </w:rPr>
        <w:t xml:space="preserve">mean </w:t>
      </w:r>
      <w:r>
        <w:rPr>
          <w:rFonts w:ascii="Times New Roman" w:hAnsi="Times New Roman" w:cs="Times New Roman"/>
          <w:sz w:val="24"/>
          <w:szCs w:val="24"/>
          <w:lang w:val="en-US"/>
        </w:rPr>
        <w:t xml:space="preserve">absolute forecasting error (MAFE) and the mean </w:t>
      </w:r>
      <w:r w:rsidRPr="00867693">
        <w:rPr>
          <w:rFonts w:ascii="Times New Roman" w:hAnsi="Times New Roman" w:cs="Times New Roman"/>
          <w:sz w:val="24"/>
          <w:szCs w:val="24"/>
          <w:lang w:val="en-US"/>
        </w:rPr>
        <w:t xml:space="preserve">squared </w:t>
      </w:r>
      <w:r>
        <w:rPr>
          <w:rFonts w:ascii="Times New Roman" w:hAnsi="Times New Roman" w:cs="Times New Roman"/>
          <w:sz w:val="24"/>
          <w:szCs w:val="24"/>
          <w:lang w:val="en-US"/>
        </w:rPr>
        <w:t xml:space="preserve">forecasting </w:t>
      </w:r>
      <w:r w:rsidRPr="00867693">
        <w:rPr>
          <w:rFonts w:ascii="Times New Roman" w:hAnsi="Times New Roman" w:cs="Times New Roman"/>
          <w:sz w:val="24"/>
          <w:szCs w:val="24"/>
          <w:lang w:val="en-US"/>
        </w:rPr>
        <w:t>error (MS</w:t>
      </w:r>
      <w:r>
        <w:rPr>
          <w:rFonts w:ascii="Times New Roman" w:hAnsi="Times New Roman" w:cs="Times New Roman"/>
          <w:sz w:val="24"/>
          <w:szCs w:val="24"/>
          <w:lang w:val="en-US"/>
        </w:rPr>
        <w:t>F</w:t>
      </w:r>
      <w:r w:rsidRPr="00867693">
        <w:rPr>
          <w:rFonts w:ascii="Times New Roman" w:hAnsi="Times New Roman" w:cs="Times New Roman"/>
          <w:sz w:val="24"/>
          <w:szCs w:val="24"/>
          <w:lang w:val="en-US"/>
        </w:rPr>
        <w:t>E)</w:t>
      </w:r>
      <w:r>
        <w:rPr>
          <w:rFonts w:ascii="Times New Roman" w:hAnsi="Times New Roman" w:cs="Times New Roman"/>
          <w:sz w:val="24"/>
          <w:szCs w:val="24"/>
          <w:lang w:val="en-US"/>
        </w:rPr>
        <w:t xml:space="preserve"> </w:t>
      </w:r>
      <w:r w:rsidRPr="00867693">
        <w:rPr>
          <w:rFonts w:ascii="Times New Roman" w:hAnsi="Times New Roman" w:cs="Times New Roman"/>
          <w:sz w:val="24"/>
          <w:szCs w:val="24"/>
          <w:lang w:val="en-US"/>
        </w:rPr>
        <w:t>(Diebold</w:t>
      </w:r>
      <w:r>
        <w:rPr>
          <w:rFonts w:ascii="Times New Roman" w:hAnsi="Times New Roman" w:cs="Times New Roman"/>
          <w:sz w:val="24"/>
          <w:szCs w:val="24"/>
          <w:lang w:val="en-US"/>
        </w:rPr>
        <w:t>,</w:t>
      </w:r>
      <w:r w:rsidRPr="00867693">
        <w:rPr>
          <w:rFonts w:ascii="Times New Roman" w:hAnsi="Times New Roman" w:cs="Times New Roman"/>
          <w:sz w:val="24"/>
          <w:szCs w:val="24"/>
          <w:lang w:val="en-US"/>
        </w:rPr>
        <w:t xml:space="preserve"> 2004</w:t>
      </w:r>
      <w:r>
        <w:rPr>
          <w:rFonts w:ascii="Times New Roman" w:hAnsi="Times New Roman" w:cs="Times New Roman"/>
          <w:sz w:val="24"/>
          <w:szCs w:val="24"/>
          <w:lang w:val="en-US"/>
        </w:rPr>
        <w:t>).</w:t>
      </w:r>
      <w:r w:rsidR="00804394">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00804394">
        <w:rPr>
          <w:rFonts w:ascii="Times New Roman" w:hAnsi="Times New Roman" w:cs="Times New Roman"/>
          <w:sz w:val="24"/>
          <w:szCs w:val="24"/>
          <w:lang w:val="en-US"/>
        </w:rPr>
        <w:t>he</w:t>
      </w:r>
      <w:r w:rsidR="00804394" w:rsidRPr="00804394">
        <w:rPr>
          <w:rFonts w:ascii="Times New Roman" w:hAnsi="Times New Roman" w:cs="Times New Roman"/>
          <w:sz w:val="24"/>
          <w:szCs w:val="24"/>
          <w:lang w:val="en-US"/>
        </w:rPr>
        <w:t xml:space="preserve"> GARCHX model </w:t>
      </w:r>
      <w:r w:rsidR="00804394">
        <w:rPr>
          <w:rFonts w:ascii="Times New Roman" w:hAnsi="Times New Roman" w:cs="Times New Roman"/>
          <w:sz w:val="24"/>
          <w:szCs w:val="24"/>
          <w:lang w:val="en-US"/>
        </w:rPr>
        <w:t xml:space="preserve">with the </w:t>
      </w:r>
      <w:r w:rsidR="00E81DE4">
        <w:rPr>
          <w:rFonts w:ascii="Times New Roman" w:hAnsi="Times New Roman" w:cs="Times New Roman"/>
          <w:sz w:val="24"/>
          <w:szCs w:val="24"/>
          <w:lang w:val="en-US"/>
        </w:rPr>
        <w:t>C</w:t>
      </w:r>
      <w:r w:rsidR="00580588">
        <w:rPr>
          <w:rFonts w:ascii="Times New Roman" w:hAnsi="Times New Roman" w:cs="Times New Roman"/>
          <w:sz w:val="24"/>
          <w:szCs w:val="24"/>
          <w:lang w:val="en-US"/>
        </w:rPr>
        <w:t>ovid</w:t>
      </w:r>
      <w:r w:rsidR="00804394">
        <w:rPr>
          <w:rFonts w:ascii="Times New Roman" w:hAnsi="Times New Roman" w:cs="Times New Roman"/>
          <w:sz w:val="24"/>
          <w:szCs w:val="24"/>
          <w:lang w:val="en-US"/>
        </w:rPr>
        <w:t xml:space="preserve">-19 variable included </w:t>
      </w:r>
      <w:r w:rsidR="00804394" w:rsidRPr="00804394">
        <w:rPr>
          <w:rFonts w:ascii="Times New Roman" w:hAnsi="Times New Roman" w:cs="Times New Roman"/>
          <w:sz w:val="24"/>
          <w:szCs w:val="24"/>
          <w:lang w:val="en-US"/>
        </w:rPr>
        <w:t>shows smaller</w:t>
      </w:r>
      <w:r w:rsidR="00804394">
        <w:rPr>
          <w:rFonts w:ascii="Times New Roman" w:hAnsi="Times New Roman" w:cs="Times New Roman"/>
          <w:sz w:val="24"/>
          <w:szCs w:val="24"/>
          <w:lang w:val="en-US"/>
        </w:rPr>
        <w:t xml:space="preserve"> </w:t>
      </w:r>
      <w:r w:rsidR="00804394" w:rsidRPr="00804394">
        <w:rPr>
          <w:rFonts w:ascii="Times New Roman" w:hAnsi="Times New Roman" w:cs="Times New Roman"/>
          <w:sz w:val="24"/>
          <w:szCs w:val="24"/>
          <w:lang w:val="en-US"/>
        </w:rPr>
        <w:t>MAFE</w:t>
      </w:r>
      <w:r w:rsidR="00804394">
        <w:rPr>
          <w:rFonts w:ascii="Times New Roman" w:hAnsi="Times New Roman" w:cs="Times New Roman"/>
          <w:sz w:val="24"/>
          <w:szCs w:val="24"/>
          <w:lang w:val="en-US"/>
        </w:rPr>
        <w:t>, as well as</w:t>
      </w:r>
      <w:r w:rsidR="00804394" w:rsidRPr="00804394">
        <w:rPr>
          <w:rFonts w:ascii="Times New Roman" w:hAnsi="Times New Roman" w:cs="Times New Roman"/>
          <w:sz w:val="24"/>
          <w:szCs w:val="24"/>
          <w:lang w:val="en-US"/>
        </w:rPr>
        <w:t xml:space="preserve"> MSFE</w:t>
      </w:r>
      <w:r w:rsidR="00580588">
        <w:rPr>
          <w:rFonts w:ascii="Times New Roman" w:hAnsi="Times New Roman" w:cs="Times New Roman"/>
          <w:sz w:val="24"/>
          <w:szCs w:val="24"/>
          <w:lang w:val="en-US"/>
        </w:rPr>
        <w:t>,</w:t>
      </w:r>
      <w:r w:rsidR="00804394" w:rsidRPr="00804394">
        <w:rPr>
          <w:rFonts w:ascii="Times New Roman" w:hAnsi="Times New Roman" w:cs="Times New Roman"/>
          <w:sz w:val="24"/>
          <w:szCs w:val="24"/>
          <w:lang w:val="en-US"/>
        </w:rPr>
        <w:t xml:space="preserve"> than the GARCH</w:t>
      </w:r>
      <w:r w:rsidR="00804394">
        <w:rPr>
          <w:rFonts w:ascii="Times New Roman" w:hAnsi="Times New Roman" w:cs="Times New Roman"/>
          <w:sz w:val="24"/>
          <w:szCs w:val="24"/>
          <w:lang w:val="en-US"/>
        </w:rPr>
        <w:t>X</w:t>
      </w:r>
      <w:r w:rsidR="00804394" w:rsidRPr="00804394">
        <w:rPr>
          <w:rFonts w:ascii="Times New Roman" w:hAnsi="Times New Roman" w:cs="Times New Roman"/>
          <w:sz w:val="24"/>
          <w:szCs w:val="24"/>
          <w:lang w:val="en-US"/>
        </w:rPr>
        <w:t xml:space="preserve"> model </w:t>
      </w:r>
      <w:r w:rsidR="00804394">
        <w:rPr>
          <w:rFonts w:ascii="Times New Roman" w:hAnsi="Times New Roman" w:cs="Times New Roman"/>
          <w:sz w:val="24"/>
          <w:szCs w:val="24"/>
          <w:lang w:val="en-US"/>
        </w:rPr>
        <w:t xml:space="preserve">without the </w:t>
      </w:r>
      <w:r w:rsidR="00E81DE4">
        <w:rPr>
          <w:rFonts w:ascii="Times New Roman" w:hAnsi="Times New Roman" w:cs="Times New Roman"/>
          <w:sz w:val="24"/>
          <w:szCs w:val="24"/>
          <w:lang w:val="en-US"/>
        </w:rPr>
        <w:t>C</w:t>
      </w:r>
      <w:r w:rsidR="00580588">
        <w:rPr>
          <w:rFonts w:ascii="Times New Roman" w:hAnsi="Times New Roman" w:cs="Times New Roman"/>
          <w:sz w:val="24"/>
          <w:szCs w:val="24"/>
          <w:lang w:val="en-US"/>
        </w:rPr>
        <w:t>ovid</w:t>
      </w:r>
      <w:r w:rsidR="00804394">
        <w:rPr>
          <w:rFonts w:ascii="Times New Roman" w:hAnsi="Times New Roman" w:cs="Times New Roman"/>
          <w:sz w:val="24"/>
          <w:szCs w:val="24"/>
          <w:lang w:val="en-US"/>
        </w:rPr>
        <w:t>-19 factor.</w:t>
      </w:r>
      <w:r>
        <w:rPr>
          <w:rFonts w:ascii="Times New Roman" w:hAnsi="Times New Roman" w:cs="Times New Roman"/>
          <w:sz w:val="24"/>
          <w:szCs w:val="24"/>
          <w:lang w:val="en-US"/>
        </w:rPr>
        <w:t xml:space="preserve"> </w:t>
      </w:r>
      <w:r w:rsidRPr="00867693">
        <w:rPr>
          <w:rFonts w:ascii="Times New Roman" w:hAnsi="Times New Roman" w:cs="Times New Roman"/>
          <w:sz w:val="24"/>
          <w:szCs w:val="24"/>
          <w:lang w:val="en-US"/>
        </w:rPr>
        <w:t xml:space="preserve">The lower the forecast error measure, the better the </w:t>
      </w:r>
      <w:r w:rsidRPr="00867693">
        <w:rPr>
          <w:rFonts w:ascii="Times New Roman" w:hAnsi="Times New Roman" w:cs="Times New Roman"/>
          <w:sz w:val="24"/>
          <w:szCs w:val="24"/>
          <w:lang w:val="en-US"/>
        </w:rPr>
        <w:lastRenderedPageBreak/>
        <w:t>forecasting performance. However, it does not</w:t>
      </w:r>
      <w:r>
        <w:rPr>
          <w:rFonts w:ascii="Times New Roman" w:hAnsi="Times New Roman" w:cs="Times New Roman"/>
          <w:sz w:val="24"/>
          <w:szCs w:val="24"/>
          <w:lang w:val="en-US"/>
        </w:rPr>
        <w:t xml:space="preserve"> </w:t>
      </w:r>
      <w:r w:rsidRPr="00867693">
        <w:rPr>
          <w:rFonts w:ascii="Times New Roman" w:hAnsi="Times New Roman" w:cs="Times New Roman"/>
          <w:sz w:val="24"/>
          <w:szCs w:val="24"/>
          <w:lang w:val="en-US"/>
        </w:rPr>
        <w:t xml:space="preserve">necessarily mean that a lower </w:t>
      </w:r>
      <w:r>
        <w:rPr>
          <w:rFonts w:ascii="Times New Roman" w:hAnsi="Times New Roman" w:cs="Times New Roman"/>
          <w:sz w:val="24"/>
          <w:szCs w:val="24"/>
          <w:lang w:val="en-US"/>
        </w:rPr>
        <w:t xml:space="preserve">MAFE or </w:t>
      </w:r>
      <w:r w:rsidRPr="00867693">
        <w:rPr>
          <w:rFonts w:ascii="Times New Roman" w:hAnsi="Times New Roman" w:cs="Times New Roman"/>
          <w:sz w:val="24"/>
          <w:szCs w:val="24"/>
          <w:lang w:val="en-US"/>
        </w:rPr>
        <w:t>MS</w:t>
      </w:r>
      <w:r>
        <w:rPr>
          <w:rFonts w:ascii="Times New Roman" w:hAnsi="Times New Roman" w:cs="Times New Roman"/>
          <w:sz w:val="24"/>
          <w:szCs w:val="24"/>
          <w:lang w:val="en-US"/>
        </w:rPr>
        <w:t>F</w:t>
      </w:r>
      <w:r w:rsidRPr="00867693">
        <w:rPr>
          <w:rFonts w:ascii="Times New Roman" w:hAnsi="Times New Roman" w:cs="Times New Roman"/>
          <w:sz w:val="24"/>
          <w:szCs w:val="24"/>
          <w:lang w:val="en-US"/>
        </w:rPr>
        <w:t>E completely testifies superior forecasting ability, since the difference may be not significantly different from zero. Therefore, it is important to check</w:t>
      </w:r>
      <w:r>
        <w:rPr>
          <w:rFonts w:ascii="Times New Roman" w:hAnsi="Times New Roman" w:cs="Times New Roman"/>
          <w:sz w:val="24"/>
          <w:szCs w:val="24"/>
          <w:lang w:val="en-US"/>
        </w:rPr>
        <w:t xml:space="preserve"> </w:t>
      </w:r>
      <w:r w:rsidR="00A92632">
        <w:rPr>
          <w:rFonts w:ascii="Times New Roman" w:hAnsi="Times New Roman" w:cs="Times New Roman"/>
          <w:sz w:val="24"/>
          <w:szCs w:val="24"/>
          <w:lang w:val="en-US"/>
        </w:rPr>
        <w:t xml:space="preserve">out </w:t>
      </w:r>
      <w:r w:rsidRPr="00867693">
        <w:rPr>
          <w:rFonts w:ascii="Times New Roman" w:hAnsi="Times New Roman" w:cs="Times New Roman"/>
          <w:sz w:val="24"/>
          <w:szCs w:val="24"/>
          <w:lang w:val="en-US"/>
        </w:rPr>
        <w:t xml:space="preserve">whether any reductions in </w:t>
      </w:r>
      <w:r>
        <w:rPr>
          <w:rFonts w:ascii="Times New Roman" w:hAnsi="Times New Roman" w:cs="Times New Roman"/>
          <w:sz w:val="24"/>
          <w:szCs w:val="24"/>
          <w:lang w:val="en-US"/>
        </w:rPr>
        <w:t>the two measures</w:t>
      </w:r>
      <w:r w:rsidRPr="00867693">
        <w:rPr>
          <w:rFonts w:ascii="Times New Roman" w:hAnsi="Times New Roman" w:cs="Times New Roman"/>
          <w:sz w:val="24"/>
          <w:szCs w:val="24"/>
          <w:lang w:val="en-US"/>
        </w:rPr>
        <w:t xml:space="preserve"> are statistically significant, rather than just compare the</w:t>
      </w:r>
      <w:r>
        <w:rPr>
          <w:rFonts w:ascii="Times New Roman" w:hAnsi="Times New Roman" w:cs="Times New Roman"/>
          <w:sz w:val="24"/>
          <w:szCs w:val="24"/>
          <w:lang w:val="en-US"/>
        </w:rPr>
        <w:t xml:space="preserve">m in each case </w:t>
      </w:r>
      <w:r w:rsidRPr="00867693">
        <w:rPr>
          <w:rFonts w:ascii="Times New Roman" w:hAnsi="Times New Roman" w:cs="Times New Roman"/>
          <w:sz w:val="24"/>
          <w:szCs w:val="24"/>
          <w:lang w:val="en-US"/>
        </w:rPr>
        <w:t xml:space="preserve">(Harris and </w:t>
      </w:r>
      <w:proofErr w:type="spellStart"/>
      <w:r w:rsidRPr="00867693">
        <w:rPr>
          <w:rFonts w:ascii="Times New Roman" w:hAnsi="Times New Roman" w:cs="Times New Roman"/>
          <w:sz w:val="24"/>
          <w:szCs w:val="24"/>
          <w:lang w:val="en-US"/>
        </w:rPr>
        <w:t>Sollis</w:t>
      </w:r>
      <w:proofErr w:type="spellEnd"/>
      <w:r>
        <w:rPr>
          <w:rFonts w:ascii="Times New Roman" w:hAnsi="Times New Roman" w:cs="Times New Roman"/>
          <w:sz w:val="24"/>
          <w:szCs w:val="24"/>
          <w:lang w:val="en-US"/>
        </w:rPr>
        <w:t>,</w:t>
      </w:r>
      <w:r w:rsidRPr="00867693">
        <w:rPr>
          <w:rFonts w:ascii="Times New Roman" w:hAnsi="Times New Roman" w:cs="Times New Roman"/>
          <w:sz w:val="24"/>
          <w:szCs w:val="24"/>
          <w:lang w:val="en-US"/>
        </w:rPr>
        <w:t xml:space="preserve"> 2003</w:t>
      </w:r>
      <w:r>
        <w:rPr>
          <w:rFonts w:ascii="Times New Roman" w:hAnsi="Times New Roman" w:cs="Times New Roman"/>
          <w:sz w:val="24"/>
          <w:szCs w:val="24"/>
          <w:lang w:val="en-US"/>
        </w:rPr>
        <w:t xml:space="preserve">). To this end, the forecasting analysis makes use of the </w:t>
      </w:r>
      <w:r w:rsidRPr="00867693">
        <w:rPr>
          <w:rFonts w:ascii="Times New Roman" w:hAnsi="Times New Roman" w:cs="Times New Roman"/>
          <w:sz w:val="24"/>
          <w:szCs w:val="24"/>
          <w:lang w:val="en-US"/>
        </w:rPr>
        <w:t>Diebold and Mariano (1995) test of equal forecast accuracy</w:t>
      </w:r>
      <w:r>
        <w:rPr>
          <w:rFonts w:ascii="Times New Roman" w:hAnsi="Times New Roman" w:cs="Times New Roman"/>
          <w:sz w:val="24"/>
          <w:szCs w:val="24"/>
          <w:lang w:val="en-US"/>
        </w:rPr>
        <w:t>, which investigates</w:t>
      </w:r>
      <w:r w:rsidRPr="00867693">
        <w:rPr>
          <w:rFonts w:ascii="Times New Roman" w:hAnsi="Times New Roman" w:cs="Times New Roman"/>
          <w:sz w:val="24"/>
          <w:szCs w:val="24"/>
          <w:lang w:val="en-US"/>
        </w:rPr>
        <w:t xml:space="preserve"> whether two sets of</w:t>
      </w:r>
      <w:r>
        <w:rPr>
          <w:rFonts w:ascii="Times New Roman" w:hAnsi="Times New Roman" w:cs="Times New Roman"/>
          <w:sz w:val="24"/>
          <w:szCs w:val="24"/>
          <w:lang w:val="en-US"/>
        </w:rPr>
        <w:t xml:space="preserve"> </w:t>
      </w:r>
      <w:r w:rsidRPr="00867693">
        <w:rPr>
          <w:rFonts w:ascii="Times New Roman" w:hAnsi="Times New Roman" w:cs="Times New Roman"/>
          <w:sz w:val="24"/>
          <w:szCs w:val="24"/>
          <w:lang w:val="en-US"/>
        </w:rPr>
        <w:t>forecast errors have equal mean value</w:t>
      </w:r>
      <w:r>
        <w:rPr>
          <w:rFonts w:ascii="Times New Roman" w:hAnsi="Times New Roman" w:cs="Times New Roman"/>
          <w:sz w:val="24"/>
          <w:szCs w:val="24"/>
          <w:lang w:val="en-US"/>
        </w:rPr>
        <w:t>, i.e.</w:t>
      </w:r>
      <w:r w:rsidRPr="00867693">
        <w:rPr>
          <w:rFonts w:ascii="Times New Roman" w:hAnsi="Times New Roman" w:cs="Times New Roman"/>
          <w:sz w:val="24"/>
          <w:szCs w:val="24"/>
          <w:lang w:val="en-US"/>
        </w:rPr>
        <w:t xml:space="preserve"> the null hypothesis</w:t>
      </w:r>
      <w:r>
        <w:rPr>
          <w:rFonts w:ascii="Times New Roman" w:hAnsi="Times New Roman" w:cs="Times New Roman"/>
          <w:sz w:val="24"/>
          <w:szCs w:val="24"/>
          <w:lang w:val="en-US"/>
        </w:rPr>
        <w:t xml:space="preserve"> is that </w:t>
      </w:r>
      <w:r w:rsidRPr="00867693">
        <w:rPr>
          <w:rFonts w:ascii="Times New Roman" w:hAnsi="Times New Roman" w:cs="Times New Roman"/>
          <w:sz w:val="24"/>
          <w:szCs w:val="24"/>
          <w:lang w:val="en-US"/>
        </w:rPr>
        <w:t>of equal forecast accuracy</w:t>
      </w:r>
      <w:r>
        <w:rPr>
          <w:rFonts w:ascii="Times New Roman" w:hAnsi="Times New Roman" w:cs="Times New Roman"/>
          <w:sz w:val="24"/>
          <w:szCs w:val="24"/>
          <w:lang w:val="en-US"/>
        </w:rPr>
        <w:t xml:space="preserve">. The results also presented in Table 4 reject the null hypothesis </w:t>
      </w:r>
      <w:r w:rsidR="00753269">
        <w:rPr>
          <w:rFonts w:ascii="Times New Roman" w:hAnsi="Times New Roman" w:cs="Times New Roman"/>
          <w:sz w:val="24"/>
          <w:szCs w:val="24"/>
          <w:lang w:val="en-US"/>
        </w:rPr>
        <w:t xml:space="preserve">of forecasting accuracy </w:t>
      </w:r>
      <w:r>
        <w:rPr>
          <w:rFonts w:ascii="Times New Roman" w:hAnsi="Times New Roman" w:cs="Times New Roman"/>
          <w:sz w:val="24"/>
          <w:szCs w:val="24"/>
          <w:lang w:val="en-US"/>
        </w:rPr>
        <w:t xml:space="preserve">in both cases of the </w:t>
      </w:r>
      <w:r w:rsidR="00E81DE4">
        <w:rPr>
          <w:rFonts w:ascii="Times New Roman" w:hAnsi="Times New Roman" w:cs="Times New Roman"/>
          <w:sz w:val="24"/>
          <w:szCs w:val="24"/>
          <w:lang w:val="en-US"/>
        </w:rPr>
        <w:t>C</w:t>
      </w:r>
      <w:r w:rsidR="00580588">
        <w:rPr>
          <w:rFonts w:ascii="Times New Roman" w:hAnsi="Times New Roman" w:cs="Times New Roman"/>
          <w:sz w:val="24"/>
          <w:szCs w:val="24"/>
          <w:lang w:val="en-US"/>
        </w:rPr>
        <w:t>ovid</w:t>
      </w:r>
      <w:r>
        <w:rPr>
          <w:rFonts w:ascii="Times New Roman" w:hAnsi="Times New Roman" w:cs="Times New Roman"/>
          <w:sz w:val="24"/>
          <w:szCs w:val="24"/>
          <w:lang w:val="en-US"/>
        </w:rPr>
        <w:t>-19 definition</w:t>
      </w:r>
      <w:r w:rsidR="00753269">
        <w:rPr>
          <w:rFonts w:ascii="Times New Roman" w:hAnsi="Times New Roman" w:cs="Times New Roman"/>
          <w:sz w:val="24"/>
          <w:szCs w:val="24"/>
          <w:lang w:val="en-US"/>
        </w:rPr>
        <w:t xml:space="preserve">, thus providing solid support to the forecasting superiority of the model that explicitly considers the </w:t>
      </w:r>
      <w:r w:rsidR="00E81DE4">
        <w:rPr>
          <w:rFonts w:ascii="Times New Roman" w:hAnsi="Times New Roman" w:cs="Times New Roman"/>
          <w:sz w:val="24"/>
          <w:szCs w:val="24"/>
          <w:lang w:val="en-US"/>
        </w:rPr>
        <w:t>C</w:t>
      </w:r>
      <w:r w:rsidR="00580588">
        <w:rPr>
          <w:rFonts w:ascii="Times New Roman" w:hAnsi="Times New Roman" w:cs="Times New Roman"/>
          <w:sz w:val="24"/>
          <w:szCs w:val="24"/>
          <w:lang w:val="en-US"/>
        </w:rPr>
        <w:t>ovid</w:t>
      </w:r>
      <w:r w:rsidR="00753269">
        <w:rPr>
          <w:rFonts w:ascii="Times New Roman" w:hAnsi="Times New Roman" w:cs="Times New Roman"/>
          <w:sz w:val="24"/>
          <w:szCs w:val="24"/>
          <w:lang w:val="en-US"/>
        </w:rPr>
        <w:t>-19 factor</w:t>
      </w:r>
      <w:r>
        <w:rPr>
          <w:rFonts w:ascii="Times New Roman" w:hAnsi="Times New Roman" w:cs="Times New Roman"/>
          <w:sz w:val="24"/>
          <w:szCs w:val="24"/>
          <w:lang w:val="en-US"/>
        </w:rPr>
        <w:t xml:space="preserve">. </w:t>
      </w:r>
    </w:p>
    <w:p w14:paraId="2F452AC3" w14:textId="0DFA0FA8" w:rsidR="00D87000" w:rsidRDefault="00804394" w:rsidP="008D7C0F">
      <w:pPr>
        <w:spacing w:line="360" w:lineRule="auto"/>
        <w:jc w:val="both"/>
        <w:rPr>
          <w:rFonts w:ascii="Times New Roman" w:hAnsi="Times New Roman" w:cs="Times New Roman"/>
          <w:sz w:val="24"/>
          <w:szCs w:val="24"/>
          <w:lang w:val="en-US"/>
        </w:rPr>
      </w:pPr>
      <w:r w:rsidRPr="008D19E7">
        <w:rPr>
          <w:rFonts w:ascii="Times New Roman" w:hAnsi="Times New Roman" w:cs="Times New Roman"/>
          <w:b/>
          <w:bCs/>
          <w:sz w:val="24"/>
          <w:szCs w:val="24"/>
          <w:lang w:val="en-US"/>
        </w:rPr>
        <w:t>Table 4</w:t>
      </w:r>
      <w:r w:rsidR="00205375">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 xml:space="preserve">Forecasting performance </w:t>
      </w:r>
      <w:r w:rsidRPr="00804394">
        <w:rPr>
          <w:rFonts w:ascii="Times New Roman" w:hAnsi="Times New Roman" w:cs="Times New Roman"/>
          <w:sz w:val="24"/>
          <w:szCs w:val="24"/>
          <w:lang w:val="en-US"/>
        </w:rPr>
        <w:t xml:space="preserve">of </w:t>
      </w:r>
      <w:r w:rsidR="00580588">
        <w:rPr>
          <w:rFonts w:ascii="Times New Roman" w:hAnsi="Times New Roman" w:cs="Times New Roman"/>
          <w:sz w:val="24"/>
          <w:szCs w:val="24"/>
          <w:lang w:val="en-US"/>
        </w:rPr>
        <w:t xml:space="preserve">the </w:t>
      </w:r>
      <w:r w:rsidRPr="00804394">
        <w:rPr>
          <w:rFonts w:ascii="Times New Roman" w:hAnsi="Times New Roman" w:cs="Times New Roman"/>
          <w:sz w:val="24"/>
          <w:szCs w:val="24"/>
          <w:lang w:val="en-US"/>
        </w:rPr>
        <w:t>GARCH</w:t>
      </w:r>
      <w:r w:rsidR="00DC2361">
        <w:rPr>
          <w:rFonts w:ascii="Times New Roman" w:hAnsi="Times New Roman" w:cs="Times New Roman"/>
          <w:sz w:val="24"/>
          <w:szCs w:val="24"/>
          <w:lang w:val="en-US"/>
        </w:rPr>
        <w:t xml:space="preserve">X model with </w:t>
      </w:r>
      <w:r w:rsidR="00E81DE4">
        <w:rPr>
          <w:rFonts w:ascii="Times New Roman" w:hAnsi="Times New Roman" w:cs="Times New Roman"/>
          <w:sz w:val="24"/>
          <w:szCs w:val="24"/>
          <w:lang w:val="en-US"/>
        </w:rPr>
        <w:t>C</w:t>
      </w:r>
      <w:r w:rsidR="00580588">
        <w:rPr>
          <w:rFonts w:ascii="Times New Roman" w:hAnsi="Times New Roman" w:cs="Times New Roman"/>
          <w:sz w:val="24"/>
          <w:szCs w:val="24"/>
          <w:lang w:val="en-US"/>
        </w:rPr>
        <w:t>ovid</w:t>
      </w:r>
      <w:r w:rsidR="00DC2361">
        <w:rPr>
          <w:rFonts w:ascii="Times New Roman" w:hAnsi="Times New Roman" w:cs="Times New Roman"/>
          <w:sz w:val="24"/>
          <w:szCs w:val="24"/>
          <w:lang w:val="en-US"/>
        </w:rPr>
        <w:t>-19</w:t>
      </w:r>
      <w:r w:rsidR="004D0FDA">
        <w:rPr>
          <w:rFonts w:ascii="Times New Roman" w:hAnsi="Times New Roman" w:cs="Times New Roman"/>
          <w:sz w:val="24"/>
          <w:szCs w:val="24"/>
          <w:lang w:val="en-US"/>
        </w:rPr>
        <w:t>.</w:t>
      </w:r>
    </w:p>
    <w:tbl>
      <w:tblPr>
        <w:tblW w:w="9600" w:type="dxa"/>
        <w:tblCellMar>
          <w:left w:w="0" w:type="dxa"/>
          <w:right w:w="0" w:type="dxa"/>
        </w:tblCellMar>
        <w:tblLook w:val="04A0" w:firstRow="1" w:lastRow="0" w:firstColumn="1" w:lastColumn="0" w:noHBand="0" w:noVBand="1"/>
      </w:tblPr>
      <w:tblGrid>
        <w:gridCol w:w="1073"/>
        <w:gridCol w:w="1078"/>
        <w:gridCol w:w="955"/>
        <w:gridCol w:w="965"/>
        <w:gridCol w:w="955"/>
        <w:gridCol w:w="1073"/>
        <w:gridCol w:w="1078"/>
        <w:gridCol w:w="955"/>
        <w:gridCol w:w="965"/>
        <w:gridCol w:w="955"/>
      </w:tblGrid>
      <w:tr w:rsidR="0098131F" w:rsidRPr="00580588" w14:paraId="2336C4D9" w14:textId="77777777" w:rsidTr="0098131F">
        <w:trPr>
          <w:trHeight w:val="290"/>
        </w:trPr>
        <w:tc>
          <w:tcPr>
            <w:tcW w:w="960" w:type="dxa"/>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0FB61F2B"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Forecasting Horizon</w:t>
            </w:r>
          </w:p>
        </w:tc>
        <w:tc>
          <w:tcPr>
            <w:tcW w:w="3840" w:type="dxa"/>
            <w:gridSpan w:val="4"/>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58D67728" w14:textId="3F8F5D54"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 xml:space="preserve">I. </w:t>
            </w:r>
            <w:r w:rsidR="00DE1765">
              <w:rPr>
                <w:rFonts w:ascii="Times New Roman" w:hAnsi="Times New Roman" w:cs="Times New Roman"/>
                <w:sz w:val="18"/>
                <w:szCs w:val="18"/>
                <w:lang w:val="en-US"/>
              </w:rPr>
              <w:t>Cases</w:t>
            </w:r>
            <w:r w:rsidRPr="00580588">
              <w:rPr>
                <w:rFonts w:ascii="Times New Roman" w:hAnsi="Times New Roman" w:cs="Times New Roman"/>
                <w:sz w:val="18"/>
                <w:szCs w:val="18"/>
              </w:rPr>
              <w:t xml:space="preserve"> in C</w:t>
            </w:r>
            <w:proofErr w:type="spellStart"/>
            <w:r w:rsidR="00DE1765">
              <w:rPr>
                <w:rFonts w:ascii="Times New Roman" w:hAnsi="Times New Roman" w:cs="Times New Roman"/>
                <w:sz w:val="18"/>
                <w:szCs w:val="18"/>
                <w:lang w:val="en-US"/>
              </w:rPr>
              <w:t>hina</w:t>
            </w:r>
            <w:proofErr w:type="spellEnd"/>
          </w:p>
        </w:tc>
        <w:tc>
          <w:tcPr>
            <w:tcW w:w="96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6A61EC3"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 </w:t>
            </w:r>
          </w:p>
        </w:tc>
        <w:tc>
          <w:tcPr>
            <w:tcW w:w="3840" w:type="dxa"/>
            <w:gridSpan w:val="4"/>
            <w:tcBorders>
              <w:top w:val="single" w:sz="4" w:space="0" w:color="auto"/>
              <w:left w:val="nil"/>
              <w:bottom w:val="nil"/>
              <w:right w:val="nil"/>
            </w:tcBorders>
            <w:shd w:val="clear" w:color="auto" w:fill="auto"/>
            <w:noWrap/>
            <w:tcMar>
              <w:top w:w="15" w:type="dxa"/>
              <w:left w:w="15" w:type="dxa"/>
              <w:bottom w:w="0" w:type="dxa"/>
              <w:right w:w="15" w:type="dxa"/>
            </w:tcMar>
            <w:vAlign w:val="center"/>
            <w:hideMark/>
          </w:tcPr>
          <w:p w14:paraId="1DF6E187" w14:textId="66FC7F38"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 xml:space="preserve">II. </w:t>
            </w:r>
            <w:r w:rsidR="00DE1765">
              <w:rPr>
                <w:rFonts w:ascii="Times New Roman" w:hAnsi="Times New Roman" w:cs="Times New Roman"/>
                <w:sz w:val="18"/>
                <w:szCs w:val="18"/>
                <w:lang w:val="en-US"/>
              </w:rPr>
              <w:t>D</w:t>
            </w:r>
            <w:r w:rsidRPr="00580588">
              <w:rPr>
                <w:rFonts w:ascii="Times New Roman" w:hAnsi="Times New Roman" w:cs="Times New Roman"/>
                <w:sz w:val="18"/>
                <w:szCs w:val="18"/>
                <w:lang w:val="en-US"/>
              </w:rPr>
              <w:t>eaths</w:t>
            </w:r>
            <w:r w:rsidR="00DE1765">
              <w:rPr>
                <w:rFonts w:ascii="Times New Roman" w:hAnsi="Times New Roman" w:cs="Times New Roman"/>
                <w:sz w:val="18"/>
                <w:szCs w:val="18"/>
                <w:lang w:val="en-US"/>
              </w:rPr>
              <w:t xml:space="preserve"> in China</w:t>
            </w:r>
          </w:p>
        </w:tc>
      </w:tr>
      <w:tr w:rsidR="0098131F" w:rsidRPr="00580588" w14:paraId="04FD96C3" w14:textId="77777777" w:rsidTr="0098131F">
        <w:trPr>
          <w:trHeight w:val="290"/>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72A7348"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(days)</w:t>
            </w:r>
          </w:p>
        </w:tc>
        <w:tc>
          <w:tcPr>
            <w:tcW w:w="0" w:type="auto"/>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2953859" w14:textId="15E9C684" w:rsidR="0098131F" w:rsidRPr="00580588" w:rsidRDefault="0098131F" w:rsidP="0098131F">
            <w:pPr>
              <w:pStyle w:val="NoSpacing"/>
              <w:rPr>
                <w:rFonts w:ascii="Times New Roman" w:hAnsi="Times New Roman" w:cs="Times New Roman"/>
                <w:sz w:val="18"/>
                <w:szCs w:val="18"/>
              </w:rPr>
            </w:pPr>
            <w:proofErr w:type="spellStart"/>
            <w:r w:rsidRPr="00580588">
              <w:rPr>
                <w:rFonts w:ascii="Times New Roman" w:hAnsi="Times New Roman" w:cs="Times New Roman"/>
                <w:sz w:val="18"/>
                <w:szCs w:val="18"/>
              </w:rPr>
              <w:t>Without</w:t>
            </w:r>
            <w:proofErr w:type="spellEnd"/>
            <w:r w:rsidRPr="00580588">
              <w:rPr>
                <w:rFonts w:ascii="Times New Roman" w:hAnsi="Times New Roman" w:cs="Times New Roman"/>
                <w:sz w:val="18"/>
                <w:szCs w:val="18"/>
              </w:rPr>
              <w:t xml:space="preserve"> C</w:t>
            </w:r>
            <w:proofErr w:type="spellStart"/>
            <w:r w:rsidR="00580588">
              <w:rPr>
                <w:rFonts w:ascii="Times New Roman" w:hAnsi="Times New Roman" w:cs="Times New Roman"/>
                <w:sz w:val="18"/>
                <w:szCs w:val="18"/>
                <w:lang w:val="en-US"/>
              </w:rPr>
              <w:t>ovid</w:t>
            </w:r>
            <w:proofErr w:type="spellEnd"/>
            <w:r w:rsidRPr="00580588">
              <w:rPr>
                <w:rFonts w:ascii="Times New Roman" w:hAnsi="Times New Roman" w:cs="Times New Roman"/>
                <w:sz w:val="18"/>
                <w:szCs w:val="18"/>
              </w:rPr>
              <w:t>-19</w:t>
            </w:r>
          </w:p>
        </w:tc>
        <w:tc>
          <w:tcPr>
            <w:tcW w:w="0" w:type="auto"/>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319F61BC" w14:textId="06EA3907" w:rsidR="0098131F" w:rsidRPr="00580588" w:rsidRDefault="0098131F" w:rsidP="0098131F">
            <w:pPr>
              <w:pStyle w:val="NoSpacing"/>
              <w:rPr>
                <w:rFonts w:ascii="Times New Roman" w:hAnsi="Times New Roman" w:cs="Times New Roman"/>
                <w:sz w:val="18"/>
                <w:szCs w:val="18"/>
              </w:rPr>
            </w:pPr>
            <w:proofErr w:type="spellStart"/>
            <w:r w:rsidRPr="00580588">
              <w:rPr>
                <w:rFonts w:ascii="Times New Roman" w:hAnsi="Times New Roman" w:cs="Times New Roman"/>
                <w:sz w:val="18"/>
                <w:szCs w:val="18"/>
              </w:rPr>
              <w:t>With</w:t>
            </w:r>
            <w:proofErr w:type="spellEnd"/>
            <w:r w:rsidRPr="00580588">
              <w:rPr>
                <w:rFonts w:ascii="Times New Roman" w:hAnsi="Times New Roman" w:cs="Times New Roman"/>
                <w:sz w:val="18"/>
                <w:szCs w:val="18"/>
              </w:rPr>
              <w:t xml:space="preserve"> C</w:t>
            </w:r>
            <w:proofErr w:type="spellStart"/>
            <w:r w:rsidR="00580588">
              <w:rPr>
                <w:rFonts w:ascii="Times New Roman" w:hAnsi="Times New Roman" w:cs="Times New Roman"/>
                <w:sz w:val="18"/>
                <w:szCs w:val="18"/>
                <w:lang w:val="en-US"/>
              </w:rPr>
              <w:t>ovid</w:t>
            </w:r>
            <w:proofErr w:type="spellEnd"/>
            <w:r w:rsidRPr="00580588">
              <w:rPr>
                <w:rFonts w:ascii="Times New Roman" w:hAnsi="Times New Roman" w:cs="Times New Roman"/>
                <w:sz w:val="18"/>
                <w:szCs w:val="18"/>
              </w:rPr>
              <w:t>-19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A753401"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 </w:t>
            </w:r>
          </w:p>
        </w:tc>
        <w:tc>
          <w:tcPr>
            <w:tcW w:w="0" w:type="auto"/>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D58D884" w14:textId="75ABD52A" w:rsidR="0098131F" w:rsidRPr="00580588" w:rsidRDefault="0098131F" w:rsidP="0098131F">
            <w:pPr>
              <w:pStyle w:val="NoSpacing"/>
              <w:rPr>
                <w:rFonts w:ascii="Times New Roman" w:hAnsi="Times New Roman" w:cs="Times New Roman"/>
                <w:sz w:val="18"/>
                <w:szCs w:val="18"/>
              </w:rPr>
            </w:pPr>
            <w:proofErr w:type="spellStart"/>
            <w:r w:rsidRPr="00580588">
              <w:rPr>
                <w:rFonts w:ascii="Times New Roman" w:hAnsi="Times New Roman" w:cs="Times New Roman"/>
                <w:sz w:val="18"/>
                <w:szCs w:val="18"/>
              </w:rPr>
              <w:t>Without</w:t>
            </w:r>
            <w:proofErr w:type="spellEnd"/>
            <w:r w:rsidRPr="00580588">
              <w:rPr>
                <w:rFonts w:ascii="Times New Roman" w:hAnsi="Times New Roman" w:cs="Times New Roman"/>
                <w:sz w:val="18"/>
                <w:szCs w:val="18"/>
              </w:rPr>
              <w:t xml:space="preserve"> C</w:t>
            </w:r>
            <w:proofErr w:type="spellStart"/>
            <w:r w:rsidR="00580588">
              <w:rPr>
                <w:rFonts w:ascii="Times New Roman" w:hAnsi="Times New Roman" w:cs="Times New Roman"/>
                <w:sz w:val="18"/>
                <w:szCs w:val="18"/>
                <w:lang w:val="en-US"/>
              </w:rPr>
              <w:t>ovid</w:t>
            </w:r>
            <w:proofErr w:type="spellEnd"/>
            <w:r w:rsidRPr="00580588">
              <w:rPr>
                <w:rFonts w:ascii="Times New Roman" w:hAnsi="Times New Roman" w:cs="Times New Roman"/>
                <w:sz w:val="18"/>
                <w:szCs w:val="18"/>
              </w:rPr>
              <w:t>-19</w:t>
            </w:r>
          </w:p>
        </w:tc>
        <w:tc>
          <w:tcPr>
            <w:tcW w:w="0" w:type="auto"/>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247704BD" w14:textId="66CFBF91" w:rsidR="0098131F" w:rsidRPr="00580588" w:rsidRDefault="0098131F" w:rsidP="0098131F">
            <w:pPr>
              <w:pStyle w:val="NoSpacing"/>
              <w:rPr>
                <w:rFonts w:ascii="Times New Roman" w:hAnsi="Times New Roman" w:cs="Times New Roman"/>
                <w:sz w:val="18"/>
                <w:szCs w:val="18"/>
              </w:rPr>
            </w:pPr>
            <w:proofErr w:type="spellStart"/>
            <w:r w:rsidRPr="00580588">
              <w:rPr>
                <w:rFonts w:ascii="Times New Roman" w:hAnsi="Times New Roman" w:cs="Times New Roman"/>
                <w:sz w:val="18"/>
                <w:szCs w:val="18"/>
              </w:rPr>
              <w:t>With</w:t>
            </w:r>
            <w:proofErr w:type="spellEnd"/>
            <w:r w:rsidRPr="00580588">
              <w:rPr>
                <w:rFonts w:ascii="Times New Roman" w:hAnsi="Times New Roman" w:cs="Times New Roman"/>
                <w:sz w:val="18"/>
                <w:szCs w:val="18"/>
              </w:rPr>
              <w:t xml:space="preserve"> C</w:t>
            </w:r>
            <w:proofErr w:type="spellStart"/>
            <w:r w:rsidR="00580588">
              <w:rPr>
                <w:rFonts w:ascii="Times New Roman" w:hAnsi="Times New Roman" w:cs="Times New Roman"/>
                <w:sz w:val="18"/>
                <w:szCs w:val="18"/>
                <w:lang w:val="en-US"/>
              </w:rPr>
              <w:t>ovid</w:t>
            </w:r>
            <w:proofErr w:type="spellEnd"/>
            <w:r w:rsidRPr="00580588">
              <w:rPr>
                <w:rFonts w:ascii="Times New Roman" w:hAnsi="Times New Roman" w:cs="Times New Roman"/>
                <w:sz w:val="18"/>
                <w:szCs w:val="18"/>
              </w:rPr>
              <w:t>-19</w:t>
            </w:r>
          </w:p>
        </w:tc>
      </w:tr>
      <w:tr w:rsidR="0098131F" w:rsidRPr="00580588" w14:paraId="2180BA9C"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8D70FD" w14:textId="77777777" w:rsidR="0098131F" w:rsidRPr="00580588" w:rsidRDefault="0098131F" w:rsidP="0098131F">
            <w:pPr>
              <w:pStyle w:val="NoSpacing"/>
              <w:rPr>
                <w:rFonts w:ascii="Times New Roman" w:hAnsi="Times New Roman" w:cs="Times New Roman"/>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344B97"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MAFE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44A3BE"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MSFE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4A793B"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MAFE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11991AC"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MSFE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F620AB" w14:textId="77777777" w:rsidR="0098131F" w:rsidRPr="00580588" w:rsidRDefault="0098131F" w:rsidP="0098131F">
            <w:pPr>
              <w:pStyle w:val="NoSpacing"/>
              <w:rPr>
                <w:rFonts w:ascii="Times New Roman" w:hAnsi="Times New Roman" w:cs="Times New Roman"/>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95007E7"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MAFE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4C0334"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MSFE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23DD5F"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MAFE</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F06C8B"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MSFE</w:t>
            </w:r>
          </w:p>
        </w:tc>
      </w:tr>
      <w:tr w:rsidR="0098131F" w:rsidRPr="00580588" w14:paraId="4564C99B"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83A94B"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0028C0B" w14:textId="24D34244"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0.174</w:t>
            </w:r>
            <w:r w:rsidR="00DE1765">
              <w:rPr>
                <w:rFonts w:ascii="Times New Roman" w:hAnsi="Times New Roman" w:cs="Times New Roman"/>
                <w:sz w:val="18"/>
                <w:szCs w:val="18"/>
                <w:lang w:val="en-US"/>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C36E1E" w14:textId="57C0B8E3"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0.07</w:t>
            </w:r>
            <w:r w:rsidR="00DE1765">
              <w:rPr>
                <w:rFonts w:ascii="Times New Roman" w:hAnsi="Times New Roman" w:cs="Times New Roman"/>
                <w:sz w:val="18"/>
                <w:szCs w:val="18"/>
                <w:lang w:val="en-US"/>
              </w:rPr>
              <w:t>65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6452EF" w14:textId="63719AA0"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0.114</w:t>
            </w:r>
            <w:r w:rsidR="00DE1765">
              <w:rPr>
                <w:rFonts w:ascii="Times New Roman" w:hAnsi="Times New Roman" w:cs="Times New Roman"/>
                <w:sz w:val="18"/>
                <w:szCs w:val="18"/>
                <w:lang w:val="en-US"/>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CE7318" w14:textId="1BD4A966"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0.043</w:t>
            </w:r>
            <w:r w:rsidR="00DE1765">
              <w:rPr>
                <w:rFonts w:ascii="Times New Roman" w:hAnsi="Times New Roman" w:cs="Times New Roman"/>
                <w:sz w:val="18"/>
                <w:szCs w:val="18"/>
                <w:lang w:val="en-US"/>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221226"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1EF8A6" w14:textId="2C905EE0"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0.165</w:t>
            </w:r>
            <w:r w:rsidR="00DE1765">
              <w:rPr>
                <w:rFonts w:ascii="Times New Roman" w:hAnsi="Times New Roman" w:cs="Times New Roman"/>
                <w:sz w:val="18"/>
                <w:szCs w:val="18"/>
                <w:lang w:val="en-US"/>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35BEAA" w14:textId="5DD309AE"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0.06</w:t>
            </w:r>
            <w:r w:rsidR="002D2439">
              <w:rPr>
                <w:rFonts w:ascii="Times New Roman" w:hAnsi="Times New Roman" w:cs="Times New Roman"/>
                <w:sz w:val="18"/>
                <w:szCs w:val="18"/>
                <w:lang w:val="en-US"/>
              </w:rPr>
              <w:t>45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E048BE" w14:textId="4581B525"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0.104</w:t>
            </w:r>
            <w:r w:rsidR="002D2439">
              <w:rPr>
                <w:rFonts w:ascii="Times New Roman" w:hAnsi="Times New Roman" w:cs="Times New Roman"/>
                <w:sz w:val="18"/>
                <w:szCs w:val="18"/>
                <w:lang w:val="en-US"/>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653515B" w14:textId="2CAD5704"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0.03</w:t>
            </w:r>
            <w:r w:rsidR="002D2439">
              <w:rPr>
                <w:rFonts w:ascii="Times New Roman" w:hAnsi="Times New Roman" w:cs="Times New Roman"/>
                <w:sz w:val="18"/>
                <w:szCs w:val="18"/>
                <w:lang w:val="en-US"/>
              </w:rPr>
              <w:t>65</w:t>
            </w:r>
          </w:p>
        </w:tc>
      </w:tr>
      <w:tr w:rsidR="0098131F" w:rsidRPr="00580588" w14:paraId="6B18EEC1"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69705F7"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ACCB996" w14:textId="7D0B205F"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0.17</w:t>
            </w:r>
            <w:r w:rsidR="00DE1765">
              <w:rPr>
                <w:rFonts w:ascii="Times New Roman" w:hAnsi="Times New Roman" w:cs="Times New Roman"/>
                <w:sz w:val="18"/>
                <w:szCs w:val="18"/>
                <w:lang w:val="en-US"/>
              </w:rPr>
              <w:t>5</w:t>
            </w:r>
            <w:r w:rsidRPr="00580588">
              <w:rPr>
                <w:rFonts w:ascii="Times New Roman" w:hAnsi="Times New Roman" w:cs="Times New Roman"/>
                <w:sz w:val="18"/>
                <w:szCs w:val="18"/>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F875B4" w14:textId="69801A5F"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0.07</w:t>
            </w:r>
            <w:r w:rsidR="00DE1765">
              <w:rPr>
                <w:rFonts w:ascii="Times New Roman" w:hAnsi="Times New Roman" w:cs="Times New Roman"/>
                <w:sz w:val="18"/>
                <w:szCs w:val="18"/>
                <w:lang w:val="en-US"/>
              </w:rPr>
              <w:t>6</w:t>
            </w:r>
            <w:r w:rsidRPr="00580588">
              <w:rPr>
                <w:rFonts w:ascii="Times New Roman" w:hAnsi="Times New Roman" w:cs="Times New Roman"/>
                <w:sz w:val="18"/>
                <w:szCs w:val="18"/>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C8356E" w14:textId="05777857"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0.11</w:t>
            </w:r>
            <w:r w:rsidR="00DE1765">
              <w:rPr>
                <w:rFonts w:ascii="Times New Roman" w:hAnsi="Times New Roman" w:cs="Times New Roman"/>
                <w:sz w:val="18"/>
                <w:szCs w:val="18"/>
                <w:lang w:val="en-US"/>
              </w:rPr>
              <w:t>46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B6C242" w14:textId="0C96F9E9"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0.044</w:t>
            </w:r>
            <w:r w:rsidR="00DE1765">
              <w:rPr>
                <w:rFonts w:ascii="Times New Roman" w:hAnsi="Times New Roman" w:cs="Times New Roman"/>
                <w:sz w:val="18"/>
                <w:szCs w:val="18"/>
                <w:lang w:val="en-US"/>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473D37"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904154A" w14:textId="119413AD"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0.166</w:t>
            </w:r>
            <w:r w:rsidR="00DE1765">
              <w:rPr>
                <w:rFonts w:ascii="Times New Roman" w:hAnsi="Times New Roman" w:cs="Times New Roman"/>
                <w:sz w:val="18"/>
                <w:szCs w:val="18"/>
                <w:lang w:val="en-US"/>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CB17519" w14:textId="71BD2B9A"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0.06</w:t>
            </w:r>
            <w:r w:rsidR="002D2439">
              <w:rPr>
                <w:rFonts w:ascii="Times New Roman" w:hAnsi="Times New Roman" w:cs="Times New Roman"/>
                <w:sz w:val="18"/>
                <w:szCs w:val="18"/>
                <w:lang w:val="en-US"/>
              </w:rPr>
              <w:t>5</w:t>
            </w:r>
            <w:r w:rsidRPr="00580588">
              <w:rPr>
                <w:rFonts w:ascii="Times New Roman" w:hAnsi="Times New Roman" w:cs="Times New Roman"/>
                <w:sz w:val="18"/>
                <w:szCs w:val="18"/>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E62948" w14:textId="09FD83B2"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0.105</w:t>
            </w:r>
            <w:r w:rsidR="002D2439">
              <w:rPr>
                <w:rFonts w:ascii="Times New Roman" w:hAnsi="Times New Roman" w:cs="Times New Roman"/>
                <w:sz w:val="18"/>
                <w:szCs w:val="18"/>
                <w:lang w:val="en-US"/>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CA89E4" w14:textId="623EFD7D"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0.03</w:t>
            </w:r>
            <w:r w:rsidR="002D2439">
              <w:rPr>
                <w:rFonts w:ascii="Times New Roman" w:hAnsi="Times New Roman" w:cs="Times New Roman"/>
                <w:sz w:val="18"/>
                <w:szCs w:val="18"/>
                <w:lang w:val="en-US"/>
              </w:rPr>
              <w:t>6</w:t>
            </w:r>
            <w:r w:rsidRPr="00580588">
              <w:rPr>
                <w:rFonts w:ascii="Times New Roman" w:hAnsi="Times New Roman" w:cs="Times New Roman"/>
                <w:sz w:val="18"/>
                <w:szCs w:val="18"/>
              </w:rPr>
              <w:t>9</w:t>
            </w:r>
          </w:p>
        </w:tc>
      </w:tr>
      <w:tr w:rsidR="0098131F" w:rsidRPr="00580588" w14:paraId="2201749B"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8C56ED"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0EFA2D5" w14:textId="4425E0A8"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0.179</w:t>
            </w:r>
            <w:r w:rsidR="00DE1765">
              <w:rPr>
                <w:rFonts w:ascii="Times New Roman" w:hAnsi="Times New Roman" w:cs="Times New Roman"/>
                <w:sz w:val="18"/>
                <w:szCs w:val="18"/>
                <w:lang w:val="en-US"/>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468BF6" w14:textId="6597F0DC"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0.08</w:t>
            </w:r>
            <w:r w:rsidR="00DE1765">
              <w:rPr>
                <w:rFonts w:ascii="Times New Roman" w:hAnsi="Times New Roman" w:cs="Times New Roman"/>
                <w:sz w:val="18"/>
                <w:szCs w:val="18"/>
                <w:lang w:val="en-US"/>
              </w:rPr>
              <w:t>01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743A40" w14:textId="4D5B271A"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0.11</w:t>
            </w:r>
            <w:r w:rsidR="00DE1765">
              <w:rPr>
                <w:rFonts w:ascii="Times New Roman" w:hAnsi="Times New Roman" w:cs="Times New Roman"/>
                <w:sz w:val="18"/>
                <w:szCs w:val="18"/>
                <w:lang w:val="en-US"/>
              </w:rPr>
              <w:t>4</w:t>
            </w:r>
            <w:r w:rsidRPr="00580588">
              <w:rPr>
                <w:rFonts w:ascii="Times New Roman" w:hAnsi="Times New Roman" w:cs="Times New Roman"/>
                <w:sz w:val="18"/>
                <w:szCs w:val="18"/>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2EB99F1" w14:textId="2D1093D9"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0.045</w:t>
            </w:r>
            <w:r w:rsidR="00DE1765">
              <w:rPr>
                <w:rFonts w:ascii="Times New Roman" w:hAnsi="Times New Roman" w:cs="Times New Roman"/>
                <w:sz w:val="18"/>
                <w:szCs w:val="18"/>
                <w:lang w:val="en-US"/>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7D9395"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939D95" w14:textId="37963E12"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0.16</w:t>
            </w:r>
            <w:r w:rsidR="00DE1765">
              <w:rPr>
                <w:rFonts w:ascii="Times New Roman" w:hAnsi="Times New Roman" w:cs="Times New Roman"/>
                <w:sz w:val="18"/>
                <w:szCs w:val="18"/>
                <w:lang w:val="en-US"/>
              </w:rPr>
              <w:t>68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1150E5" w14:textId="5DF2A48C"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0.066</w:t>
            </w:r>
            <w:r w:rsidR="002D2439">
              <w:rPr>
                <w:rFonts w:ascii="Times New Roman" w:hAnsi="Times New Roman" w:cs="Times New Roman"/>
                <w:sz w:val="18"/>
                <w:szCs w:val="18"/>
                <w:lang w:val="en-US"/>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592D06" w14:textId="121A9275"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0.105</w:t>
            </w:r>
            <w:r w:rsidR="002D2439">
              <w:rPr>
                <w:rFonts w:ascii="Times New Roman" w:hAnsi="Times New Roman" w:cs="Times New Roman"/>
                <w:sz w:val="18"/>
                <w:szCs w:val="18"/>
                <w:lang w:val="en-US"/>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20EBC2" w14:textId="0F35948B"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0.03</w:t>
            </w:r>
            <w:r w:rsidR="002D2439">
              <w:rPr>
                <w:rFonts w:ascii="Times New Roman" w:hAnsi="Times New Roman" w:cs="Times New Roman"/>
                <w:sz w:val="18"/>
                <w:szCs w:val="18"/>
                <w:lang w:val="en-US"/>
              </w:rPr>
              <w:t>7</w:t>
            </w:r>
            <w:r w:rsidRPr="00580588">
              <w:rPr>
                <w:rFonts w:ascii="Times New Roman" w:hAnsi="Times New Roman" w:cs="Times New Roman"/>
                <w:sz w:val="18"/>
                <w:szCs w:val="18"/>
              </w:rPr>
              <w:t>6</w:t>
            </w:r>
          </w:p>
        </w:tc>
      </w:tr>
      <w:tr w:rsidR="0098131F" w:rsidRPr="00580588" w14:paraId="5C918041"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E31B3A"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F984D66" w14:textId="36441C12"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0.180</w:t>
            </w:r>
            <w:r w:rsidR="00DE1765">
              <w:rPr>
                <w:rFonts w:ascii="Times New Roman" w:hAnsi="Times New Roman" w:cs="Times New Roman"/>
                <w:sz w:val="18"/>
                <w:szCs w:val="18"/>
                <w:lang w:val="en-US"/>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DE06EA" w14:textId="25CC5A04"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0.08</w:t>
            </w:r>
            <w:r w:rsidR="00DE1765">
              <w:rPr>
                <w:rFonts w:ascii="Times New Roman" w:hAnsi="Times New Roman" w:cs="Times New Roman"/>
                <w:sz w:val="18"/>
                <w:szCs w:val="18"/>
                <w:lang w:val="en-U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BC1613" w14:textId="0C2BF7FB"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0.11</w:t>
            </w:r>
            <w:r w:rsidR="00DE1765">
              <w:rPr>
                <w:rFonts w:ascii="Times New Roman" w:hAnsi="Times New Roman" w:cs="Times New Roman"/>
                <w:sz w:val="18"/>
                <w:szCs w:val="18"/>
                <w:lang w:val="en-US"/>
              </w:rPr>
              <w:t>5</w:t>
            </w:r>
            <w:r w:rsidRPr="00580588">
              <w:rPr>
                <w:rFonts w:ascii="Times New Roman" w:hAnsi="Times New Roman" w:cs="Times New Roman"/>
                <w:sz w:val="18"/>
                <w:szCs w:val="18"/>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A7B34A" w14:textId="7004B6AF"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0.046</w:t>
            </w:r>
            <w:r w:rsidR="00DE1765">
              <w:rPr>
                <w:rFonts w:ascii="Times New Roman" w:hAnsi="Times New Roman" w:cs="Times New Roman"/>
                <w:sz w:val="18"/>
                <w:szCs w:val="18"/>
                <w:lang w:val="en-US"/>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E95F64C"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A16A857" w14:textId="0F042A5F"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0.167</w:t>
            </w:r>
            <w:r w:rsidR="00DE1765">
              <w:rPr>
                <w:rFonts w:ascii="Times New Roman" w:hAnsi="Times New Roman" w:cs="Times New Roman"/>
                <w:sz w:val="18"/>
                <w:szCs w:val="18"/>
                <w:lang w:val="en-US"/>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244C648" w14:textId="2630D1AF"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0.06</w:t>
            </w:r>
            <w:r w:rsidR="002D2439">
              <w:rPr>
                <w:rFonts w:ascii="Times New Roman" w:hAnsi="Times New Roman" w:cs="Times New Roman"/>
                <w:sz w:val="18"/>
                <w:szCs w:val="18"/>
                <w:lang w:val="en-US"/>
              </w:rPr>
              <w:t>74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377863B" w14:textId="348B0060"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0.106</w:t>
            </w:r>
            <w:r w:rsidR="002D2439">
              <w:rPr>
                <w:rFonts w:ascii="Times New Roman" w:hAnsi="Times New Roman" w:cs="Times New Roman"/>
                <w:sz w:val="18"/>
                <w:szCs w:val="18"/>
                <w:lang w:val="en-US"/>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65699D" w14:textId="5C2C9C37"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0.039</w:t>
            </w:r>
            <w:r w:rsidR="002D2439">
              <w:rPr>
                <w:rFonts w:ascii="Times New Roman" w:hAnsi="Times New Roman" w:cs="Times New Roman"/>
                <w:sz w:val="18"/>
                <w:szCs w:val="18"/>
                <w:lang w:val="en-US"/>
              </w:rPr>
              <w:t>2</w:t>
            </w:r>
          </w:p>
        </w:tc>
      </w:tr>
      <w:tr w:rsidR="0098131F" w:rsidRPr="00580588" w14:paraId="04EA1D3F"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F21DBF"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76C03F2" w14:textId="7D568DD3"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0.18</w:t>
            </w:r>
            <w:r w:rsidR="00DE1765">
              <w:rPr>
                <w:rFonts w:ascii="Times New Roman" w:hAnsi="Times New Roman" w:cs="Times New Roman"/>
                <w:sz w:val="18"/>
                <w:szCs w:val="18"/>
                <w:lang w:val="en-US"/>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E059C5" w14:textId="1B84F2E0"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0.08</w:t>
            </w:r>
            <w:r w:rsidR="00DE1765">
              <w:rPr>
                <w:rFonts w:ascii="Times New Roman" w:hAnsi="Times New Roman" w:cs="Times New Roman"/>
                <w:sz w:val="18"/>
                <w:szCs w:val="18"/>
                <w:lang w:val="en-US"/>
              </w:rPr>
              <w:t>1</w:t>
            </w:r>
            <w:r w:rsidRPr="00580588">
              <w:rPr>
                <w:rFonts w:ascii="Times New Roman" w:hAnsi="Times New Roman" w:cs="Times New Roman"/>
                <w:sz w:val="18"/>
                <w:szCs w:val="18"/>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E0A1E5" w14:textId="439CE801"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0.11</w:t>
            </w:r>
            <w:r w:rsidR="00DE1765">
              <w:rPr>
                <w:rFonts w:ascii="Times New Roman" w:hAnsi="Times New Roman" w:cs="Times New Roman"/>
                <w:sz w:val="18"/>
                <w:szCs w:val="18"/>
                <w:lang w:val="en-US"/>
              </w:rPr>
              <w:t>5</w:t>
            </w:r>
            <w:r w:rsidRPr="00580588">
              <w:rPr>
                <w:rFonts w:ascii="Times New Roman" w:hAnsi="Times New Roman" w:cs="Times New Roman"/>
                <w:sz w:val="18"/>
                <w:szCs w:val="18"/>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AFCB66" w14:textId="7FD502EF"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0.046</w:t>
            </w:r>
            <w:r w:rsidR="00DE1765">
              <w:rPr>
                <w:rFonts w:ascii="Times New Roman" w:hAnsi="Times New Roman" w:cs="Times New Roman"/>
                <w:sz w:val="18"/>
                <w:szCs w:val="18"/>
                <w:lang w:val="en-US"/>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11ACF9C"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9B7F6C" w14:textId="28DEB003"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0.168</w:t>
            </w:r>
            <w:r w:rsidR="00DE1765">
              <w:rPr>
                <w:rFonts w:ascii="Times New Roman" w:hAnsi="Times New Roman" w:cs="Times New Roman"/>
                <w:sz w:val="18"/>
                <w:szCs w:val="18"/>
                <w:lang w:val="en-US"/>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740D80" w14:textId="3977230E"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0.06</w:t>
            </w:r>
            <w:r w:rsidR="002D2439">
              <w:rPr>
                <w:rFonts w:ascii="Times New Roman" w:hAnsi="Times New Roman" w:cs="Times New Roman"/>
                <w:sz w:val="18"/>
                <w:szCs w:val="18"/>
                <w:lang w:val="en-US"/>
              </w:rPr>
              <w:t>7</w:t>
            </w:r>
            <w:r w:rsidRPr="00580588">
              <w:rPr>
                <w:rFonts w:ascii="Times New Roman" w:hAnsi="Times New Roman" w:cs="Times New Roman"/>
                <w:sz w:val="18"/>
                <w:szCs w:val="18"/>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336DB57" w14:textId="5BBF70B1"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0.107</w:t>
            </w:r>
            <w:r w:rsidR="002D2439">
              <w:rPr>
                <w:rFonts w:ascii="Times New Roman" w:hAnsi="Times New Roman" w:cs="Times New Roman"/>
                <w:sz w:val="18"/>
                <w:szCs w:val="18"/>
                <w:lang w:val="en-US"/>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A896B66" w14:textId="44E8272B"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0.039</w:t>
            </w:r>
            <w:r w:rsidR="002D2439">
              <w:rPr>
                <w:rFonts w:ascii="Times New Roman" w:hAnsi="Times New Roman" w:cs="Times New Roman"/>
                <w:sz w:val="18"/>
                <w:szCs w:val="18"/>
                <w:lang w:val="en-US"/>
              </w:rPr>
              <w:t>7</w:t>
            </w:r>
          </w:p>
        </w:tc>
      </w:tr>
      <w:tr w:rsidR="0098131F" w:rsidRPr="00580588" w14:paraId="77B6A7FD"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470B0A9"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23614C5" w14:textId="1869A666"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0.182</w:t>
            </w:r>
            <w:r w:rsidR="00DE1765">
              <w:rPr>
                <w:rFonts w:ascii="Times New Roman" w:hAnsi="Times New Roman" w:cs="Times New Roman"/>
                <w:sz w:val="18"/>
                <w:szCs w:val="18"/>
                <w:lang w:val="en-US"/>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FC78715" w14:textId="2AEC1E2D"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0.08</w:t>
            </w:r>
            <w:r w:rsidR="00DE1765">
              <w:rPr>
                <w:rFonts w:ascii="Times New Roman" w:hAnsi="Times New Roman" w:cs="Times New Roman"/>
                <w:sz w:val="18"/>
                <w:szCs w:val="18"/>
                <w:lang w:val="en-US"/>
              </w:rPr>
              <w:t>1</w:t>
            </w:r>
            <w:r w:rsidRPr="00580588">
              <w:rPr>
                <w:rFonts w:ascii="Times New Roman" w:hAnsi="Times New Roman" w:cs="Times New Roman"/>
                <w:sz w:val="18"/>
                <w:szCs w:val="18"/>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960F56" w14:textId="606D79E6"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0.11</w:t>
            </w:r>
            <w:r w:rsidR="00DE1765">
              <w:rPr>
                <w:rFonts w:ascii="Times New Roman" w:hAnsi="Times New Roman" w:cs="Times New Roman"/>
                <w:sz w:val="18"/>
                <w:szCs w:val="18"/>
                <w:lang w:val="en-US"/>
              </w:rPr>
              <w:t>6</w:t>
            </w:r>
            <w:r w:rsidRPr="00580588">
              <w:rPr>
                <w:rFonts w:ascii="Times New Roman" w:hAnsi="Times New Roman" w:cs="Times New Roman"/>
                <w:sz w:val="18"/>
                <w:szCs w:val="18"/>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BD746DB" w14:textId="15E05FFC"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w:t>
            </w:r>
            <w:r w:rsidR="00DE1765">
              <w:rPr>
                <w:rFonts w:ascii="Times New Roman" w:hAnsi="Times New Roman" w:cs="Times New Roman"/>
                <w:sz w:val="18"/>
                <w:szCs w:val="18"/>
                <w:lang w:val="en-US"/>
              </w:rPr>
              <w:t>84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C63FFC"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C918D47" w14:textId="34A86411"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0.169</w:t>
            </w:r>
            <w:r w:rsidR="00DE1765">
              <w:rPr>
                <w:rFonts w:ascii="Times New Roman" w:hAnsi="Times New Roman" w:cs="Times New Roman"/>
                <w:sz w:val="18"/>
                <w:szCs w:val="18"/>
                <w:lang w:val="en-US"/>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6E59165" w14:textId="5423065A"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0.06</w:t>
            </w:r>
            <w:r w:rsidR="002D2439">
              <w:rPr>
                <w:rFonts w:ascii="Times New Roman" w:hAnsi="Times New Roman" w:cs="Times New Roman"/>
                <w:sz w:val="18"/>
                <w:szCs w:val="18"/>
                <w:lang w:val="en-US"/>
              </w:rPr>
              <w:t>8</w:t>
            </w:r>
            <w:r w:rsidRPr="00580588">
              <w:rPr>
                <w:rFonts w:ascii="Times New Roman" w:hAnsi="Times New Roman" w:cs="Times New Roman"/>
                <w:sz w:val="18"/>
                <w:szCs w:val="18"/>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0796CD" w14:textId="7C14AC4D"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0.10</w:t>
            </w:r>
            <w:r w:rsidR="002D2439">
              <w:rPr>
                <w:rFonts w:ascii="Times New Roman" w:hAnsi="Times New Roman" w:cs="Times New Roman"/>
                <w:sz w:val="18"/>
                <w:szCs w:val="18"/>
                <w:lang w:val="en-US"/>
              </w:rPr>
              <w:t>78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30F869" w14:textId="19337C02"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0.041</w:t>
            </w:r>
            <w:r w:rsidR="002D2439">
              <w:rPr>
                <w:rFonts w:ascii="Times New Roman" w:hAnsi="Times New Roman" w:cs="Times New Roman"/>
                <w:sz w:val="18"/>
                <w:szCs w:val="18"/>
                <w:lang w:val="en-US"/>
              </w:rPr>
              <w:t>2</w:t>
            </w:r>
          </w:p>
        </w:tc>
      </w:tr>
      <w:tr w:rsidR="0098131F" w:rsidRPr="00580588" w14:paraId="0502276B"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5578634"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C444F1" w14:textId="22ECB5C9"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0.182</w:t>
            </w:r>
            <w:r w:rsidR="00DE1765">
              <w:rPr>
                <w:rFonts w:ascii="Times New Roman" w:hAnsi="Times New Roman" w:cs="Times New Roman"/>
                <w:sz w:val="18"/>
                <w:szCs w:val="18"/>
                <w:lang w:val="en-US"/>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995B966" w14:textId="4026964D"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0.08</w:t>
            </w:r>
            <w:r w:rsidR="00DE1765">
              <w:rPr>
                <w:rFonts w:ascii="Times New Roman" w:hAnsi="Times New Roman" w:cs="Times New Roman"/>
                <w:sz w:val="18"/>
                <w:szCs w:val="18"/>
                <w:lang w:val="en-US"/>
              </w:rPr>
              <w:t>2</w:t>
            </w:r>
            <w:r w:rsidRPr="00580588">
              <w:rPr>
                <w:rFonts w:ascii="Times New Roman" w:hAnsi="Times New Roman" w:cs="Times New Roman"/>
                <w:sz w:val="18"/>
                <w:szCs w:val="18"/>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FF674F6" w14:textId="54B77307"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0.118</w:t>
            </w:r>
            <w:r w:rsidR="00DE1765">
              <w:rPr>
                <w:rFonts w:ascii="Times New Roman" w:hAnsi="Times New Roman" w:cs="Times New Roman"/>
                <w:sz w:val="18"/>
                <w:szCs w:val="18"/>
                <w:lang w:val="en-US"/>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CF20BC3" w14:textId="3140287D"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0.048</w:t>
            </w:r>
            <w:r w:rsidR="00DE1765">
              <w:rPr>
                <w:rFonts w:ascii="Times New Roman" w:hAnsi="Times New Roman" w:cs="Times New Roman"/>
                <w:sz w:val="18"/>
                <w:szCs w:val="18"/>
                <w:lang w:val="en-US"/>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B9FE32"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659B381" w14:textId="7FEDC773"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0.170</w:t>
            </w:r>
            <w:r w:rsidR="00DE1765">
              <w:rPr>
                <w:rFonts w:ascii="Times New Roman" w:hAnsi="Times New Roman" w:cs="Times New Roman"/>
                <w:sz w:val="18"/>
                <w:szCs w:val="18"/>
                <w:lang w:val="en-US"/>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A4858EC" w14:textId="427B20E6"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0.070</w:t>
            </w:r>
            <w:r w:rsidR="002D2439">
              <w:rPr>
                <w:rFonts w:ascii="Times New Roman" w:hAnsi="Times New Roman" w:cs="Times New Roman"/>
                <w:sz w:val="18"/>
                <w:szCs w:val="18"/>
                <w:lang w:val="en-US"/>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4880F47" w14:textId="18945669"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0.108</w:t>
            </w:r>
            <w:r w:rsidR="002D2439">
              <w:rPr>
                <w:rFonts w:ascii="Times New Roman" w:hAnsi="Times New Roman" w:cs="Times New Roman"/>
                <w:sz w:val="18"/>
                <w:szCs w:val="18"/>
                <w:lang w:val="en-US"/>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BF03D0" w14:textId="2E16496F"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0.041</w:t>
            </w:r>
            <w:r w:rsidR="002D2439">
              <w:rPr>
                <w:rFonts w:ascii="Times New Roman" w:hAnsi="Times New Roman" w:cs="Times New Roman"/>
                <w:sz w:val="18"/>
                <w:szCs w:val="18"/>
                <w:lang w:val="en-US"/>
              </w:rPr>
              <w:t>8</w:t>
            </w:r>
          </w:p>
        </w:tc>
      </w:tr>
      <w:tr w:rsidR="0098131F" w:rsidRPr="00580588" w14:paraId="5BF694E0"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EAEFA14"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BCB2AC" w14:textId="0D49C154"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0.183</w:t>
            </w:r>
            <w:r w:rsidR="00DE1765">
              <w:rPr>
                <w:rFonts w:ascii="Times New Roman" w:hAnsi="Times New Roman" w:cs="Times New Roman"/>
                <w:sz w:val="18"/>
                <w:szCs w:val="18"/>
                <w:lang w:val="en-US"/>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1F4F6B" w14:textId="56733DDB"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0.08</w:t>
            </w:r>
            <w:r w:rsidR="00DE1765">
              <w:rPr>
                <w:rFonts w:ascii="Times New Roman" w:hAnsi="Times New Roman" w:cs="Times New Roman"/>
                <w:sz w:val="18"/>
                <w:szCs w:val="18"/>
                <w:lang w:val="en-US"/>
              </w:rPr>
              <w:t>3</w:t>
            </w:r>
            <w:r w:rsidRPr="00580588">
              <w:rPr>
                <w:rFonts w:ascii="Times New Roman" w:hAnsi="Times New Roman" w:cs="Times New Roman"/>
                <w:sz w:val="18"/>
                <w:szCs w:val="18"/>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7369B08" w14:textId="7BCAF443"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0.11</w:t>
            </w:r>
            <w:r w:rsidR="00DE1765">
              <w:rPr>
                <w:rFonts w:ascii="Times New Roman" w:hAnsi="Times New Roman" w:cs="Times New Roman"/>
                <w:sz w:val="18"/>
                <w:szCs w:val="18"/>
                <w:lang w:val="en-US"/>
              </w:rPr>
              <w:t>93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4E64F9C" w14:textId="0267A209"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0.049</w:t>
            </w:r>
            <w:r w:rsidR="00DE1765">
              <w:rPr>
                <w:rFonts w:ascii="Times New Roman" w:hAnsi="Times New Roman" w:cs="Times New Roman"/>
                <w:sz w:val="18"/>
                <w:szCs w:val="18"/>
                <w:lang w:val="en-US"/>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288D502"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660968D" w14:textId="0486D19B"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0.17</w:t>
            </w:r>
            <w:r w:rsidR="00DE1765">
              <w:rPr>
                <w:rFonts w:ascii="Times New Roman" w:hAnsi="Times New Roman" w:cs="Times New Roman"/>
                <w:sz w:val="18"/>
                <w:szCs w:val="18"/>
                <w:lang w:val="en-US"/>
              </w:rPr>
              <w:t>07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27C7D7C" w14:textId="78233DF1"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0.071</w:t>
            </w:r>
            <w:r w:rsidR="002D2439">
              <w:rPr>
                <w:rFonts w:ascii="Times New Roman" w:hAnsi="Times New Roman" w:cs="Times New Roman"/>
                <w:sz w:val="18"/>
                <w:szCs w:val="18"/>
                <w:lang w:val="en-US"/>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E6C4DA" w14:textId="29020640"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0.109</w:t>
            </w:r>
            <w:r w:rsidR="002D2439">
              <w:rPr>
                <w:rFonts w:ascii="Times New Roman" w:hAnsi="Times New Roman" w:cs="Times New Roman"/>
                <w:sz w:val="18"/>
                <w:szCs w:val="18"/>
                <w:lang w:val="en-US"/>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C1AD1FC" w14:textId="6C3FC056"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0.042</w:t>
            </w:r>
            <w:r w:rsidR="002D2439">
              <w:rPr>
                <w:rFonts w:ascii="Times New Roman" w:hAnsi="Times New Roman" w:cs="Times New Roman"/>
                <w:sz w:val="18"/>
                <w:szCs w:val="18"/>
                <w:lang w:val="en-US"/>
              </w:rPr>
              <w:t>5</w:t>
            </w:r>
          </w:p>
        </w:tc>
      </w:tr>
      <w:tr w:rsidR="0098131F" w:rsidRPr="00580588" w14:paraId="48F0DC78"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BA379C"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F4142C" w14:textId="727448AF"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0.18</w:t>
            </w:r>
            <w:r w:rsidR="00DE1765">
              <w:rPr>
                <w:rFonts w:ascii="Times New Roman" w:hAnsi="Times New Roman" w:cs="Times New Roman"/>
                <w:sz w:val="18"/>
                <w:szCs w:val="18"/>
                <w:lang w:val="en-US"/>
              </w:rPr>
              <w:t>40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DB68DD0" w14:textId="39935EFC"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0.08</w:t>
            </w:r>
            <w:r w:rsidR="00DE1765">
              <w:rPr>
                <w:rFonts w:ascii="Times New Roman" w:hAnsi="Times New Roman" w:cs="Times New Roman"/>
                <w:sz w:val="18"/>
                <w:szCs w:val="18"/>
                <w:lang w:val="en-US"/>
              </w:rPr>
              <w:t>3</w:t>
            </w:r>
            <w:r w:rsidRPr="00580588">
              <w:rPr>
                <w:rFonts w:ascii="Times New Roman" w:hAnsi="Times New Roman" w:cs="Times New Roman"/>
                <w:sz w:val="18"/>
                <w:szCs w:val="18"/>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F6B3662" w14:textId="72CA589E"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0.119</w:t>
            </w:r>
            <w:r w:rsidR="00DE1765">
              <w:rPr>
                <w:rFonts w:ascii="Times New Roman" w:hAnsi="Times New Roman" w:cs="Times New Roman"/>
                <w:sz w:val="18"/>
                <w:szCs w:val="18"/>
                <w:lang w:val="en-US"/>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1234ED" w14:textId="6351485B"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0.05</w:t>
            </w:r>
            <w:r w:rsidR="00DE1765">
              <w:rPr>
                <w:rFonts w:ascii="Times New Roman" w:hAnsi="Times New Roman" w:cs="Times New Roman"/>
                <w:sz w:val="18"/>
                <w:szCs w:val="18"/>
                <w:lang w:val="en-U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855471"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0565EB" w14:textId="521CDC39"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0.171</w:t>
            </w:r>
            <w:r w:rsidR="00DE1765">
              <w:rPr>
                <w:rFonts w:ascii="Times New Roman" w:hAnsi="Times New Roman" w:cs="Times New Roman"/>
                <w:sz w:val="18"/>
                <w:szCs w:val="18"/>
                <w:lang w:val="en-US"/>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23AD4F" w14:textId="1F739DC4"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0.072</w:t>
            </w:r>
            <w:r w:rsidR="002D2439">
              <w:rPr>
                <w:rFonts w:ascii="Times New Roman" w:hAnsi="Times New Roman" w:cs="Times New Roman"/>
                <w:sz w:val="18"/>
                <w:szCs w:val="18"/>
                <w:lang w:val="en-US"/>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BC675E" w14:textId="716F6D9F"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0.110</w:t>
            </w:r>
            <w:r w:rsidR="002D2439">
              <w:rPr>
                <w:rFonts w:ascii="Times New Roman" w:hAnsi="Times New Roman" w:cs="Times New Roman"/>
                <w:sz w:val="18"/>
                <w:szCs w:val="18"/>
                <w:lang w:val="en-US"/>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DD67FC8" w14:textId="19670534"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0.042</w:t>
            </w:r>
            <w:r w:rsidR="002D2439">
              <w:rPr>
                <w:rFonts w:ascii="Times New Roman" w:hAnsi="Times New Roman" w:cs="Times New Roman"/>
                <w:sz w:val="18"/>
                <w:szCs w:val="18"/>
                <w:lang w:val="en-US"/>
              </w:rPr>
              <w:t>1</w:t>
            </w:r>
          </w:p>
        </w:tc>
      </w:tr>
      <w:tr w:rsidR="0098131F" w:rsidRPr="00580588" w14:paraId="458A104C"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46C601"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526E91B" w14:textId="38384DC5"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0.183</w:t>
            </w:r>
            <w:r w:rsidR="00DE1765">
              <w:rPr>
                <w:rFonts w:ascii="Times New Roman" w:hAnsi="Times New Roman" w:cs="Times New Roman"/>
                <w:sz w:val="18"/>
                <w:szCs w:val="18"/>
                <w:lang w:val="en-US"/>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C99B5C" w14:textId="24127130"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0.08</w:t>
            </w:r>
            <w:r w:rsidR="00DE1765">
              <w:rPr>
                <w:rFonts w:ascii="Times New Roman" w:hAnsi="Times New Roman" w:cs="Times New Roman"/>
                <w:sz w:val="18"/>
                <w:szCs w:val="18"/>
                <w:lang w:val="en-US"/>
              </w:rPr>
              <w:t>5</w:t>
            </w:r>
            <w:r w:rsidRPr="00580588">
              <w:rPr>
                <w:rFonts w:ascii="Times New Roman" w:hAnsi="Times New Roman" w:cs="Times New Roman"/>
                <w:sz w:val="18"/>
                <w:szCs w:val="18"/>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159D723" w14:textId="15EA6C09"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0.121</w:t>
            </w:r>
            <w:r w:rsidR="00DE1765">
              <w:rPr>
                <w:rFonts w:ascii="Times New Roman" w:hAnsi="Times New Roman" w:cs="Times New Roman"/>
                <w:sz w:val="18"/>
                <w:szCs w:val="18"/>
                <w:lang w:val="en-US"/>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E9F34D3" w14:textId="4051A679"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0.051</w:t>
            </w:r>
            <w:r w:rsidR="00DE1765">
              <w:rPr>
                <w:rFonts w:ascii="Times New Roman" w:hAnsi="Times New Roman" w:cs="Times New Roman"/>
                <w:sz w:val="18"/>
                <w:szCs w:val="18"/>
                <w:lang w:val="en-US"/>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BA8986"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10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B3AB1B8" w14:textId="0D6033AB"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0.171</w:t>
            </w:r>
            <w:r w:rsidR="00DE1765">
              <w:rPr>
                <w:rFonts w:ascii="Times New Roman" w:hAnsi="Times New Roman" w:cs="Times New Roman"/>
                <w:sz w:val="18"/>
                <w:szCs w:val="18"/>
                <w:lang w:val="en-US"/>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5C0CA17" w14:textId="6757B90E"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0.071</w:t>
            </w:r>
            <w:r w:rsidR="002D2439">
              <w:rPr>
                <w:rFonts w:ascii="Times New Roman" w:hAnsi="Times New Roman" w:cs="Times New Roman"/>
                <w:sz w:val="18"/>
                <w:szCs w:val="18"/>
                <w:lang w:val="en-US"/>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015C3EE" w14:textId="12C954DC"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0.111</w:t>
            </w:r>
            <w:r w:rsidR="002D2439">
              <w:rPr>
                <w:rFonts w:ascii="Times New Roman" w:hAnsi="Times New Roman" w:cs="Times New Roman"/>
                <w:sz w:val="18"/>
                <w:szCs w:val="18"/>
                <w:lang w:val="en-US"/>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E0A2068" w14:textId="11189DB1"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w:t>
            </w:r>
            <w:r w:rsidR="002D2439">
              <w:rPr>
                <w:rFonts w:ascii="Times New Roman" w:hAnsi="Times New Roman" w:cs="Times New Roman"/>
                <w:sz w:val="18"/>
                <w:szCs w:val="18"/>
                <w:lang w:val="en-US"/>
              </w:rPr>
              <w:t>16</w:t>
            </w:r>
          </w:p>
        </w:tc>
      </w:tr>
      <w:tr w:rsidR="0098131F" w:rsidRPr="00580588" w14:paraId="1D59DBBA"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CA004E8"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1E91532" w14:textId="69807848"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0.184</w:t>
            </w:r>
            <w:r w:rsidR="00DE1765">
              <w:rPr>
                <w:rFonts w:ascii="Times New Roman" w:hAnsi="Times New Roman" w:cs="Times New Roman"/>
                <w:sz w:val="18"/>
                <w:szCs w:val="18"/>
                <w:lang w:val="en-US"/>
              </w:rPr>
              <w:t>7</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5DEDBA1" w14:textId="28DAF9A0"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0.08</w:t>
            </w:r>
            <w:r w:rsidR="00DE1765">
              <w:rPr>
                <w:rFonts w:ascii="Times New Roman" w:hAnsi="Times New Roman" w:cs="Times New Roman"/>
                <w:sz w:val="18"/>
                <w:szCs w:val="18"/>
                <w:lang w:val="en-US"/>
              </w:rPr>
              <w:t>6</w:t>
            </w:r>
            <w:r w:rsidRPr="00580588">
              <w:rPr>
                <w:rFonts w:ascii="Times New Roman" w:hAnsi="Times New Roman" w:cs="Times New Roman"/>
                <w:sz w:val="18"/>
                <w:szCs w:val="18"/>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19C9FBC" w14:textId="6225BC8C"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0.12</w:t>
            </w:r>
            <w:r w:rsidR="00DE1765">
              <w:rPr>
                <w:rFonts w:ascii="Times New Roman" w:hAnsi="Times New Roman" w:cs="Times New Roman"/>
                <w:sz w:val="18"/>
                <w:szCs w:val="18"/>
                <w:lang w:val="en-US"/>
              </w:rPr>
              <w:t>06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A8BD85" w14:textId="2E0D832A"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0.050</w:t>
            </w:r>
            <w:r w:rsidR="00DE1765">
              <w:rPr>
                <w:rFonts w:ascii="Times New Roman" w:hAnsi="Times New Roman" w:cs="Times New Roman"/>
                <w:sz w:val="18"/>
                <w:szCs w:val="18"/>
                <w:lang w:val="en-US"/>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47B896F"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11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54334D" w14:textId="3BD02E69"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0.172</w:t>
            </w:r>
            <w:r w:rsidR="00DE1765">
              <w:rPr>
                <w:rFonts w:ascii="Times New Roman" w:hAnsi="Times New Roman" w:cs="Times New Roman"/>
                <w:sz w:val="18"/>
                <w:szCs w:val="18"/>
                <w:lang w:val="en-US"/>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340F1DC" w14:textId="17A32DE4"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0.072</w:t>
            </w:r>
            <w:r w:rsidR="002D2439">
              <w:rPr>
                <w:rFonts w:ascii="Times New Roman" w:hAnsi="Times New Roman" w:cs="Times New Roman"/>
                <w:sz w:val="18"/>
                <w:szCs w:val="18"/>
                <w:lang w:val="en-US"/>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D8B3313" w14:textId="5511A0D9"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0.111</w:t>
            </w:r>
            <w:r w:rsidR="002D2439">
              <w:rPr>
                <w:rFonts w:ascii="Times New Roman" w:hAnsi="Times New Roman" w:cs="Times New Roman"/>
                <w:sz w:val="18"/>
                <w:szCs w:val="18"/>
                <w:lang w:val="en-US"/>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335BEA" w14:textId="786655E1"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0.043</w:t>
            </w:r>
            <w:r w:rsidR="002D2439">
              <w:rPr>
                <w:rFonts w:ascii="Times New Roman" w:hAnsi="Times New Roman" w:cs="Times New Roman"/>
                <w:sz w:val="18"/>
                <w:szCs w:val="18"/>
                <w:lang w:val="en-US"/>
              </w:rPr>
              <w:t>0</w:t>
            </w:r>
          </w:p>
        </w:tc>
      </w:tr>
      <w:tr w:rsidR="0098131F" w:rsidRPr="00580588" w14:paraId="265D492D"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B4F3F7F"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43A535" w14:textId="2EF80EB4"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0.184</w:t>
            </w:r>
            <w:r w:rsidR="00DE1765">
              <w:rPr>
                <w:rFonts w:ascii="Times New Roman" w:hAnsi="Times New Roman" w:cs="Times New Roman"/>
                <w:sz w:val="18"/>
                <w:szCs w:val="18"/>
                <w:lang w:val="en-US"/>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25B354" w14:textId="6E65B9ED"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0.08</w:t>
            </w:r>
            <w:r w:rsidR="00DE1765">
              <w:rPr>
                <w:rFonts w:ascii="Times New Roman" w:hAnsi="Times New Roman" w:cs="Times New Roman"/>
                <w:sz w:val="18"/>
                <w:szCs w:val="18"/>
                <w:lang w:val="en-US"/>
              </w:rPr>
              <w:t>6</w:t>
            </w:r>
            <w:r w:rsidRPr="00580588">
              <w:rPr>
                <w:rFonts w:ascii="Times New Roman" w:hAnsi="Times New Roman" w:cs="Times New Roman"/>
                <w:sz w:val="18"/>
                <w:szCs w:val="18"/>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15D6585" w14:textId="2C44D9F7"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0.121</w:t>
            </w:r>
            <w:r w:rsidR="00DE1765">
              <w:rPr>
                <w:rFonts w:ascii="Times New Roman" w:hAnsi="Times New Roman" w:cs="Times New Roman"/>
                <w:sz w:val="18"/>
                <w:szCs w:val="18"/>
                <w:lang w:val="en-US"/>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70C8E82" w14:textId="27462339"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0.051</w:t>
            </w:r>
            <w:r w:rsidR="00DE1765">
              <w:rPr>
                <w:rFonts w:ascii="Times New Roman" w:hAnsi="Times New Roman" w:cs="Times New Roman"/>
                <w:sz w:val="18"/>
                <w:szCs w:val="18"/>
                <w:lang w:val="en-US"/>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7C40059"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12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54E181E" w14:textId="2AF4ED0D"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0.172</w:t>
            </w:r>
            <w:r w:rsidR="00DE1765">
              <w:rPr>
                <w:rFonts w:ascii="Times New Roman" w:hAnsi="Times New Roman" w:cs="Times New Roman"/>
                <w:sz w:val="18"/>
                <w:szCs w:val="18"/>
                <w:lang w:val="en-US"/>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000232C" w14:textId="0C2AE8D6"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0.073</w:t>
            </w:r>
            <w:r w:rsidR="002D2439">
              <w:rPr>
                <w:rFonts w:ascii="Times New Roman" w:hAnsi="Times New Roman" w:cs="Times New Roman"/>
                <w:sz w:val="18"/>
                <w:szCs w:val="18"/>
                <w:lang w:val="en-US"/>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0521485" w14:textId="68A58EF3"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0.111</w:t>
            </w:r>
            <w:r w:rsidR="002D2439">
              <w:rPr>
                <w:rFonts w:ascii="Times New Roman" w:hAnsi="Times New Roman" w:cs="Times New Roman"/>
                <w:sz w:val="18"/>
                <w:szCs w:val="18"/>
                <w:lang w:val="en-US"/>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7E9FB5F" w14:textId="6B086050"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0.043</w:t>
            </w:r>
            <w:r w:rsidR="002D2439">
              <w:rPr>
                <w:rFonts w:ascii="Times New Roman" w:hAnsi="Times New Roman" w:cs="Times New Roman"/>
                <w:sz w:val="18"/>
                <w:szCs w:val="18"/>
                <w:lang w:val="en-US"/>
              </w:rPr>
              <w:t>4</w:t>
            </w:r>
          </w:p>
        </w:tc>
      </w:tr>
      <w:tr w:rsidR="0098131F" w:rsidRPr="00580588" w14:paraId="30F3AB0D"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3CCF8C5"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9708AF6" w14:textId="52B40AC0"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0.183</w:t>
            </w:r>
            <w:r w:rsidR="00DE1765">
              <w:rPr>
                <w:rFonts w:ascii="Times New Roman" w:hAnsi="Times New Roman" w:cs="Times New Roman"/>
                <w:sz w:val="18"/>
                <w:szCs w:val="18"/>
                <w:lang w:val="en-US"/>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D8FE0B2" w14:textId="798AC158"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0.086</w:t>
            </w:r>
            <w:r w:rsidR="00DE1765">
              <w:rPr>
                <w:rFonts w:ascii="Times New Roman" w:hAnsi="Times New Roman" w:cs="Times New Roman"/>
                <w:sz w:val="18"/>
                <w:szCs w:val="18"/>
                <w:lang w:val="en-US"/>
              </w:rPr>
              <w:t>9</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13AC0AFF" w14:textId="3C225FF4"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0.12</w:t>
            </w:r>
            <w:r w:rsidR="00DE1765">
              <w:rPr>
                <w:rFonts w:ascii="Times New Roman" w:hAnsi="Times New Roman" w:cs="Times New Roman"/>
                <w:sz w:val="18"/>
                <w:szCs w:val="18"/>
                <w:lang w:val="en-US"/>
              </w:rPr>
              <w:t>30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A2E95B4" w14:textId="55F8C5F3"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0.051</w:t>
            </w:r>
            <w:r w:rsidR="00DE1765">
              <w:rPr>
                <w:rFonts w:ascii="Times New Roman" w:hAnsi="Times New Roman" w:cs="Times New Roman"/>
                <w:sz w:val="18"/>
                <w:szCs w:val="18"/>
                <w:lang w:val="en-US"/>
              </w:rPr>
              <w:t>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831F5A6"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FA9EAA6" w14:textId="4357481A"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0.171</w:t>
            </w:r>
            <w:r w:rsidR="002D2439">
              <w:rPr>
                <w:rFonts w:ascii="Times New Roman" w:hAnsi="Times New Roman" w:cs="Times New Roman"/>
                <w:sz w:val="18"/>
                <w:szCs w:val="18"/>
                <w:lang w:val="en-US"/>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49BBA33" w14:textId="73E21FC1"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0.072</w:t>
            </w:r>
            <w:r w:rsidR="002D2439">
              <w:rPr>
                <w:rFonts w:ascii="Times New Roman" w:hAnsi="Times New Roman" w:cs="Times New Roman"/>
                <w:sz w:val="18"/>
                <w:szCs w:val="18"/>
                <w:lang w:val="en-US"/>
              </w:rPr>
              <w:t>8</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542EC7B" w14:textId="265C6EF9"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0.110</w:t>
            </w:r>
            <w:r w:rsidR="002D2439">
              <w:rPr>
                <w:rFonts w:ascii="Times New Roman" w:hAnsi="Times New Roman" w:cs="Times New Roman"/>
                <w:sz w:val="18"/>
                <w:szCs w:val="18"/>
                <w:lang w:val="en-US"/>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376D5C4" w14:textId="7D8BD525"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0.042</w:t>
            </w:r>
            <w:r w:rsidR="002D2439">
              <w:rPr>
                <w:rFonts w:ascii="Times New Roman" w:hAnsi="Times New Roman" w:cs="Times New Roman"/>
                <w:sz w:val="18"/>
                <w:szCs w:val="18"/>
                <w:lang w:val="en-US"/>
              </w:rPr>
              <w:t>1</w:t>
            </w:r>
          </w:p>
        </w:tc>
      </w:tr>
      <w:tr w:rsidR="0098131F" w:rsidRPr="00580588" w14:paraId="1202C4FA"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EF5EC77"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B7D4370" w14:textId="78592F7E"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0.18</w:t>
            </w:r>
            <w:r w:rsidR="00DE1765">
              <w:rPr>
                <w:rFonts w:ascii="Times New Roman" w:hAnsi="Times New Roman" w:cs="Times New Roman"/>
                <w:sz w:val="18"/>
                <w:szCs w:val="18"/>
                <w:lang w:val="en-US"/>
              </w:rPr>
              <w:t>44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F90C79F" w14:textId="3BFF739E"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0.08</w:t>
            </w:r>
            <w:r w:rsidR="00DE1765">
              <w:rPr>
                <w:rFonts w:ascii="Times New Roman" w:hAnsi="Times New Roman" w:cs="Times New Roman"/>
                <w:sz w:val="18"/>
                <w:szCs w:val="18"/>
                <w:lang w:val="en-US"/>
              </w:rPr>
              <w:t>72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04717D8" w14:textId="5C0FDF89"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0.12</w:t>
            </w:r>
            <w:r w:rsidR="00DE1765">
              <w:rPr>
                <w:rFonts w:ascii="Times New Roman" w:hAnsi="Times New Roman" w:cs="Times New Roman"/>
                <w:sz w:val="18"/>
                <w:szCs w:val="18"/>
                <w:lang w:val="en-US"/>
              </w:rPr>
              <w:t>13</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6AA7B0" w14:textId="721A62D3"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0.050</w:t>
            </w:r>
            <w:r w:rsidR="00DE1765">
              <w:rPr>
                <w:rFonts w:ascii="Times New Roman" w:hAnsi="Times New Roman" w:cs="Times New Roman"/>
                <w:sz w:val="18"/>
                <w:szCs w:val="18"/>
                <w:lang w:val="en-US"/>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AFEC31"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14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8050B29" w14:textId="7253C2EA"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0.171</w:t>
            </w:r>
            <w:r w:rsidR="002D2439">
              <w:rPr>
                <w:rFonts w:ascii="Times New Roman" w:hAnsi="Times New Roman" w:cs="Times New Roman"/>
                <w:sz w:val="18"/>
                <w:szCs w:val="18"/>
                <w:lang w:val="en-US"/>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48A0B4B" w14:textId="44E914F1"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0.071</w:t>
            </w:r>
            <w:r w:rsidR="002D2439">
              <w:rPr>
                <w:rFonts w:ascii="Times New Roman" w:hAnsi="Times New Roman" w:cs="Times New Roman"/>
                <w:sz w:val="18"/>
                <w:szCs w:val="18"/>
                <w:lang w:val="en-US"/>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E02F8F" w14:textId="5750EF17"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0.109</w:t>
            </w:r>
            <w:r w:rsidR="002D2439">
              <w:rPr>
                <w:rFonts w:ascii="Times New Roman" w:hAnsi="Times New Roman" w:cs="Times New Roman"/>
                <w:sz w:val="18"/>
                <w:szCs w:val="18"/>
                <w:lang w:val="en-US"/>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8D6FB2" w14:textId="69C07C95"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0.041</w:t>
            </w:r>
            <w:r w:rsidR="002D2439">
              <w:rPr>
                <w:rFonts w:ascii="Times New Roman" w:hAnsi="Times New Roman" w:cs="Times New Roman"/>
                <w:sz w:val="18"/>
                <w:szCs w:val="18"/>
                <w:lang w:val="en-US"/>
              </w:rPr>
              <w:t>1</w:t>
            </w:r>
          </w:p>
        </w:tc>
      </w:tr>
      <w:tr w:rsidR="0098131F" w:rsidRPr="00580588" w14:paraId="5EFD3D23"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F4B5EF9"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9873A1E" w14:textId="16DA98AC"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0.18</w:t>
            </w:r>
            <w:r w:rsidR="00DE1765">
              <w:rPr>
                <w:rFonts w:ascii="Times New Roman" w:hAnsi="Times New Roman" w:cs="Times New Roman"/>
                <w:sz w:val="18"/>
                <w:szCs w:val="18"/>
                <w:lang w:val="en-US"/>
              </w:rPr>
              <w:t>4</w:t>
            </w:r>
            <w:r w:rsidRPr="00580588">
              <w:rPr>
                <w:rFonts w:ascii="Times New Roman" w:hAnsi="Times New Roman" w:cs="Times New Roman"/>
                <w:sz w:val="18"/>
                <w:szCs w:val="18"/>
              </w:rPr>
              <w:t>6</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CD6B90" w14:textId="65A0978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0.08</w:t>
            </w:r>
            <w:r w:rsidR="00DE1765">
              <w:rPr>
                <w:rFonts w:ascii="Times New Roman" w:hAnsi="Times New Roman" w:cs="Times New Roman"/>
                <w:sz w:val="18"/>
                <w:szCs w:val="18"/>
                <w:lang w:val="en-US"/>
              </w:rPr>
              <w:t>6</w:t>
            </w:r>
            <w:r w:rsidRPr="00580588">
              <w:rPr>
                <w:rFonts w:ascii="Times New Roman" w:hAnsi="Times New Roman" w:cs="Times New Roman"/>
                <w:sz w:val="18"/>
                <w:szCs w:val="18"/>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AA444E8" w14:textId="4ECBA36D"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0.120</w:t>
            </w:r>
            <w:r w:rsidR="00DE1765">
              <w:rPr>
                <w:rFonts w:ascii="Times New Roman" w:hAnsi="Times New Roman" w:cs="Times New Roman"/>
                <w:sz w:val="18"/>
                <w:szCs w:val="18"/>
                <w:lang w:val="en-US"/>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AF47111" w14:textId="476C8C60" w:rsidR="0098131F" w:rsidRPr="00DE1765"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0.050</w:t>
            </w:r>
            <w:r w:rsidR="00DE1765">
              <w:rPr>
                <w:rFonts w:ascii="Times New Roman" w:hAnsi="Times New Roman" w:cs="Times New Roman"/>
                <w:sz w:val="18"/>
                <w:szCs w:val="18"/>
                <w:lang w:val="en-US"/>
              </w:rPr>
              <w:t>0</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EA26B85"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15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4803BF0F" w14:textId="76422608"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0.170</w:t>
            </w:r>
            <w:r w:rsidR="002D2439">
              <w:rPr>
                <w:rFonts w:ascii="Times New Roman" w:hAnsi="Times New Roman" w:cs="Times New Roman"/>
                <w:sz w:val="18"/>
                <w:szCs w:val="18"/>
                <w:lang w:val="en-US"/>
              </w:rPr>
              <w:t>2</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2C571F3" w14:textId="5A79C6D4"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0.070</w:t>
            </w:r>
            <w:r w:rsidR="002D2439">
              <w:rPr>
                <w:rFonts w:ascii="Times New Roman" w:hAnsi="Times New Roman" w:cs="Times New Roman"/>
                <w:sz w:val="18"/>
                <w:szCs w:val="18"/>
                <w:lang w:val="en-US"/>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BB14666" w14:textId="7B4F3272"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0.109</w:t>
            </w:r>
            <w:r w:rsidR="002D2439">
              <w:rPr>
                <w:rFonts w:ascii="Times New Roman" w:hAnsi="Times New Roman" w:cs="Times New Roman"/>
                <w:sz w:val="18"/>
                <w:szCs w:val="18"/>
                <w:lang w:val="en-US"/>
              </w:rPr>
              <w:t>5</w:t>
            </w: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5AE6B010" w14:textId="5B0F05D4" w:rsidR="0098131F" w:rsidRPr="002D2439" w:rsidRDefault="0098131F" w:rsidP="0098131F">
            <w:pPr>
              <w:pStyle w:val="NoSpacing"/>
              <w:rPr>
                <w:rFonts w:ascii="Times New Roman" w:hAnsi="Times New Roman" w:cs="Times New Roman"/>
                <w:sz w:val="18"/>
                <w:szCs w:val="18"/>
                <w:lang w:val="en-US"/>
              </w:rPr>
            </w:pPr>
            <w:r w:rsidRPr="00580588">
              <w:rPr>
                <w:rFonts w:ascii="Times New Roman" w:hAnsi="Times New Roman" w:cs="Times New Roman"/>
                <w:sz w:val="18"/>
                <w:szCs w:val="18"/>
              </w:rPr>
              <w:t>0.040</w:t>
            </w:r>
            <w:r w:rsidR="002D2439">
              <w:rPr>
                <w:rFonts w:ascii="Times New Roman" w:hAnsi="Times New Roman" w:cs="Times New Roman"/>
                <w:sz w:val="18"/>
                <w:szCs w:val="18"/>
                <w:lang w:val="en-US"/>
              </w:rPr>
              <w:t>5</w:t>
            </w:r>
          </w:p>
        </w:tc>
      </w:tr>
      <w:tr w:rsidR="0098131F" w:rsidRPr="00580588" w14:paraId="302AAFF8" w14:textId="77777777" w:rsidTr="0098131F">
        <w:trPr>
          <w:trHeight w:val="29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41F5410"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DM test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E8B651" w14:textId="77777777" w:rsidR="0098131F" w:rsidRPr="00580588" w:rsidRDefault="0098131F" w:rsidP="0098131F">
            <w:pPr>
              <w:pStyle w:val="NoSpacing"/>
              <w:rPr>
                <w:rFonts w:ascii="Times New Roman" w:hAnsi="Times New Roman" w:cs="Times New Roman"/>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A7065C" w14:textId="77777777" w:rsidR="0098131F" w:rsidRPr="00580588" w:rsidRDefault="0098131F" w:rsidP="0098131F">
            <w:pPr>
              <w:pStyle w:val="NoSpacing"/>
              <w:rPr>
                <w:rFonts w:ascii="Times New Roman" w:hAnsi="Times New Roman" w:cs="Times New Roman"/>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ABD575" w14:textId="77777777" w:rsidR="0098131F" w:rsidRPr="00580588" w:rsidRDefault="0098131F" w:rsidP="0098131F">
            <w:pPr>
              <w:pStyle w:val="NoSpacing"/>
              <w:rPr>
                <w:rFonts w:ascii="Times New Roman" w:hAnsi="Times New Roman" w:cs="Times New Roman"/>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28C1C4" w14:textId="77777777" w:rsidR="0098131F" w:rsidRPr="00580588" w:rsidRDefault="0098131F" w:rsidP="0098131F">
            <w:pPr>
              <w:pStyle w:val="NoSpacing"/>
              <w:rPr>
                <w:rFonts w:ascii="Times New Roman" w:hAnsi="Times New Roman" w:cs="Times New Roman"/>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099E7B5C"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DM test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EF3557" w14:textId="77777777" w:rsidR="0098131F" w:rsidRPr="00580588" w:rsidRDefault="0098131F" w:rsidP="0098131F">
            <w:pPr>
              <w:pStyle w:val="NoSpacing"/>
              <w:rPr>
                <w:rFonts w:ascii="Times New Roman" w:hAnsi="Times New Roman" w:cs="Times New Roman"/>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DE17EF" w14:textId="77777777" w:rsidR="0098131F" w:rsidRPr="00580588" w:rsidRDefault="0098131F" w:rsidP="0098131F">
            <w:pPr>
              <w:pStyle w:val="NoSpacing"/>
              <w:rPr>
                <w:rFonts w:ascii="Times New Roman" w:hAnsi="Times New Roman" w:cs="Times New Roman"/>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48F0B0" w14:textId="77777777" w:rsidR="0098131F" w:rsidRPr="00580588" w:rsidRDefault="0098131F" w:rsidP="0098131F">
            <w:pPr>
              <w:pStyle w:val="NoSpacing"/>
              <w:rPr>
                <w:rFonts w:ascii="Times New Roman" w:hAnsi="Times New Roman" w:cs="Times New Roman"/>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4640A4" w14:textId="77777777" w:rsidR="0098131F" w:rsidRPr="00580588" w:rsidRDefault="0098131F" w:rsidP="0098131F">
            <w:pPr>
              <w:pStyle w:val="NoSpacing"/>
              <w:rPr>
                <w:rFonts w:ascii="Times New Roman" w:hAnsi="Times New Roman" w:cs="Times New Roman"/>
                <w:sz w:val="18"/>
                <w:szCs w:val="18"/>
              </w:rPr>
            </w:pPr>
          </w:p>
        </w:tc>
      </w:tr>
      <w:tr w:rsidR="0098131F" w:rsidRPr="00580588" w14:paraId="337C0928" w14:textId="77777777" w:rsidTr="0098131F">
        <w:trPr>
          <w:trHeight w:val="290"/>
        </w:trPr>
        <w:tc>
          <w:tcPr>
            <w:tcW w:w="0" w:type="auto"/>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70AD7A9B"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MAFE: [0.00], MSFE: [0.00]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A459162"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9E726DA"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3CA799F"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 </w:t>
            </w:r>
          </w:p>
        </w:tc>
        <w:tc>
          <w:tcPr>
            <w:tcW w:w="0" w:type="auto"/>
            <w:gridSpan w:val="2"/>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9A8AF56"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lang w:val="en-US"/>
              </w:rPr>
              <w:t>MAFE: [0.00], MSFE: [0.00]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075B69A3"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58F03B33"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131BFB15" w14:textId="77777777" w:rsidR="0098131F" w:rsidRPr="00580588" w:rsidRDefault="0098131F" w:rsidP="0098131F">
            <w:pPr>
              <w:pStyle w:val="NoSpacing"/>
              <w:rPr>
                <w:rFonts w:ascii="Times New Roman" w:hAnsi="Times New Roman" w:cs="Times New Roman"/>
                <w:sz w:val="18"/>
                <w:szCs w:val="18"/>
              </w:rPr>
            </w:pPr>
            <w:r w:rsidRPr="00580588">
              <w:rPr>
                <w:rFonts w:ascii="Times New Roman" w:hAnsi="Times New Roman" w:cs="Times New Roman"/>
                <w:sz w:val="18"/>
                <w:szCs w:val="18"/>
              </w:rPr>
              <w:t> </w:t>
            </w:r>
          </w:p>
        </w:tc>
      </w:tr>
    </w:tbl>
    <w:p w14:paraId="38758BFD" w14:textId="55CE4E65" w:rsidR="00F26C49" w:rsidRPr="0098131F" w:rsidRDefault="00F26C49" w:rsidP="0098131F">
      <w:pPr>
        <w:spacing w:line="240" w:lineRule="auto"/>
        <w:jc w:val="both"/>
        <w:rPr>
          <w:rFonts w:ascii="Times New Roman" w:hAnsi="Times New Roman" w:cs="Times New Roman"/>
          <w:sz w:val="16"/>
          <w:szCs w:val="16"/>
          <w:lang w:val="en-US"/>
        </w:rPr>
      </w:pPr>
      <w:r w:rsidRPr="0098131F">
        <w:rPr>
          <w:rFonts w:ascii="Times New Roman" w:hAnsi="Times New Roman" w:cs="Times New Roman"/>
          <w:sz w:val="16"/>
          <w:szCs w:val="16"/>
          <w:lang w:val="en-US"/>
        </w:rPr>
        <w:t>MAFE and MSFE represent mean absolute forecast error and mean squared forecast error, respectively. DM is the Diebold-Mariano test statistic, using MAFE and MSFE as the error criterion. Figures in brackets denote p-values. The results are based on 15 out-of-sample forecasts.</w:t>
      </w:r>
    </w:p>
    <w:p w14:paraId="5AC1A3E8" w14:textId="480F77E9" w:rsidR="00EA78F0" w:rsidRDefault="00EA78F0">
      <w:pPr>
        <w:rPr>
          <w:rFonts w:ascii="Times New Roman" w:hAnsi="Times New Roman" w:cs="Times New Roman"/>
          <w:sz w:val="24"/>
          <w:szCs w:val="24"/>
          <w:lang w:val="en-US"/>
        </w:rPr>
      </w:pPr>
    </w:p>
    <w:p w14:paraId="5BBD39AF" w14:textId="0FB55AE0" w:rsidR="008D7C0F" w:rsidRDefault="008B0C0D" w:rsidP="00580588">
      <w:pPr>
        <w:pStyle w:val="Heading1"/>
        <w:numPr>
          <w:ilvl w:val="0"/>
          <w:numId w:val="0"/>
        </w:numPr>
      </w:pPr>
      <w:r>
        <w:lastRenderedPageBreak/>
        <w:t>V</w:t>
      </w:r>
      <w:r w:rsidR="004D0FDA">
        <w:t xml:space="preserve">. </w:t>
      </w:r>
      <w:r w:rsidR="008D7C0F" w:rsidRPr="00134AC2">
        <w:t>Conclusion</w:t>
      </w:r>
    </w:p>
    <w:p w14:paraId="0D66D7EA" w14:textId="771EE248" w:rsidR="000B08F5" w:rsidRDefault="00B54305" w:rsidP="008B0C0D">
      <w:pPr>
        <w:spacing w:line="360" w:lineRule="auto"/>
        <w:jc w:val="both"/>
        <w:rPr>
          <w:rFonts w:ascii="Times New Roman" w:hAnsi="Times New Roman" w:cs="Times New Roman"/>
          <w:sz w:val="24"/>
          <w:szCs w:val="24"/>
          <w:lang w:val="en-US"/>
        </w:rPr>
      </w:pPr>
      <w:r w:rsidRPr="00B54305">
        <w:rPr>
          <w:rFonts w:ascii="Times New Roman" w:hAnsi="Times New Roman" w:cs="Times New Roman"/>
          <w:sz w:val="24"/>
          <w:szCs w:val="24"/>
          <w:lang w:val="en-US"/>
        </w:rPr>
        <w:t>This study provide</w:t>
      </w:r>
      <w:r w:rsidR="00580588">
        <w:rPr>
          <w:rFonts w:ascii="Times New Roman" w:hAnsi="Times New Roman" w:cs="Times New Roman"/>
          <w:sz w:val="24"/>
          <w:szCs w:val="24"/>
          <w:lang w:val="en-US"/>
        </w:rPr>
        <w:t>d</w:t>
      </w:r>
      <w:r w:rsidRPr="00B54305">
        <w:rPr>
          <w:rFonts w:ascii="Times New Roman" w:hAnsi="Times New Roman" w:cs="Times New Roman"/>
          <w:sz w:val="24"/>
          <w:szCs w:val="24"/>
          <w:lang w:val="en-US"/>
        </w:rPr>
        <w:t xml:space="preserve"> the first examination of the effects of C</w:t>
      </w:r>
      <w:r w:rsidR="00580588">
        <w:rPr>
          <w:rFonts w:ascii="Times New Roman" w:hAnsi="Times New Roman" w:cs="Times New Roman"/>
          <w:sz w:val="24"/>
          <w:szCs w:val="24"/>
          <w:lang w:val="en-US"/>
        </w:rPr>
        <w:t>ovid</w:t>
      </w:r>
      <w:r w:rsidRPr="00B54305">
        <w:rPr>
          <w:rFonts w:ascii="Times New Roman" w:hAnsi="Times New Roman" w:cs="Times New Roman"/>
          <w:sz w:val="24"/>
          <w:szCs w:val="24"/>
          <w:lang w:val="en-US"/>
        </w:rPr>
        <w:t xml:space="preserve">-19 </w:t>
      </w:r>
      <w:r>
        <w:rPr>
          <w:rFonts w:ascii="Times New Roman" w:hAnsi="Times New Roman" w:cs="Times New Roman"/>
          <w:sz w:val="24"/>
          <w:szCs w:val="24"/>
          <w:lang w:val="en-US"/>
        </w:rPr>
        <w:t>on both the mean and the conditional volatility of the C</w:t>
      </w:r>
      <w:r w:rsidR="002D2439">
        <w:rPr>
          <w:rFonts w:ascii="Times New Roman" w:hAnsi="Times New Roman" w:cs="Times New Roman"/>
          <w:sz w:val="24"/>
          <w:szCs w:val="24"/>
          <w:lang w:val="en-US"/>
        </w:rPr>
        <w:t>hinese</w:t>
      </w:r>
      <w:r>
        <w:rPr>
          <w:rFonts w:ascii="Times New Roman" w:hAnsi="Times New Roman" w:cs="Times New Roman"/>
          <w:sz w:val="24"/>
          <w:szCs w:val="24"/>
          <w:lang w:val="en-US"/>
        </w:rPr>
        <w:t xml:space="preserve"> stock market </w:t>
      </w:r>
      <w:r w:rsidR="00580588">
        <w:rPr>
          <w:rFonts w:ascii="Times New Roman" w:hAnsi="Times New Roman" w:cs="Times New Roman"/>
          <w:sz w:val="24"/>
          <w:szCs w:val="24"/>
          <w:lang w:val="en-US"/>
        </w:rPr>
        <w:t>returns,</w:t>
      </w:r>
      <w:r>
        <w:rPr>
          <w:rFonts w:ascii="Times New Roman" w:hAnsi="Times New Roman" w:cs="Times New Roman"/>
          <w:sz w:val="24"/>
          <w:szCs w:val="24"/>
          <w:lang w:val="en-US"/>
        </w:rPr>
        <w:t xml:space="preserve"> using </w:t>
      </w:r>
      <w:r w:rsidRPr="000B08F5">
        <w:rPr>
          <w:rFonts w:ascii="Times New Roman" w:hAnsi="Times New Roman" w:cs="Times New Roman"/>
          <w:sz w:val="24"/>
          <w:szCs w:val="24"/>
          <w:lang w:val="en-US"/>
        </w:rPr>
        <w:t xml:space="preserve">a simple </w:t>
      </w:r>
      <w:r>
        <w:rPr>
          <w:rFonts w:ascii="Times New Roman" w:hAnsi="Times New Roman" w:cs="Times New Roman"/>
          <w:sz w:val="24"/>
          <w:szCs w:val="24"/>
          <w:lang w:val="en-US"/>
        </w:rPr>
        <w:t>GARCHX</w:t>
      </w:r>
      <w:r w:rsidRPr="000B08F5">
        <w:rPr>
          <w:rFonts w:ascii="Times New Roman" w:hAnsi="Times New Roman" w:cs="Times New Roman"/>
          <w:sz w:val="24"/>
          <w:szCs w:val="24"/>
          <w:lang w:val="en-US"/>
        </w:rPr>
        <w:t xml:space="preserve"> conditional volatility model</w:t>
      </w:r>
      <w:r w:rsidR="00580588">
        <w:rPr>
          <w:rFonts w:ascii="Times New Roman" w:hAnsi="Times New Roman" w:cs="Times New Roman"/>
          <w:sz w:val="24"/>
          <w:szCs w:val="24"/>
          <w:lang w:val="en-US"/>
        </w:rPr>
        <w:t>, spanning the period</w:t>
      </w:r>
      <w:r>
        <w:rPr>
          <w:rFonts w:ascii="Times New Roman" w:hAnsi="Times New Roman" w:cs="Times New Roman"/>
          <w:sz w:val="24"/>
          <w:szCs w:val="24"/>
          <w:lang w:val="en-US"/>
        </w:rPr>
        <w:t xml:space="preserve"> January 2</w:t>
      </w:r>
      <w:r w:rsidR="002D2439">
        <w:rPr>
          <w:rFonts w:ascii="Times New Roman" w:hAnsi="Times New Roman" w:cs="Times New Roman"/>
          <w:sz w:val="24"/>
          <w:szCs w:val="24"/>
          <w:lang w:val="en-US"/>
        </w:rPr>
        <w:t>2</w:t>
      </w:r>
      <w:r>
        <w:rPr>
          <w:rFonts w:ascii="Times New Roman" w:hAnsi="Times New Roman" w:cs="Times New Roman"/>
          <w:sz w:val="24"/>
          <w:szCs w:val="24"/>
          <w:lang w:val="en-US"/>
        </w:rPr>
        <w:t xml:space="preserve">, 2020 </w:t>
      </w:r>
      <w:r w:rsidR="00580588">
        <w:rPr>
          <w:rFonts w:ascii="Times New Roman" w:hAnsi="Times New Roman" w:cs="Times New Roman"/>
          <w:sz w:val="24"/>
          <w:szCs w:val="24"/>
          <w:lang w:val="en-US"/>
        </w:rPr>
        <w:t>to</w:t>
      </w:r>
      <w:r>
        <w:rPr>
          <w:rFonts w:ascii="Times New Roman" w:hAnsi="Times New Roman" w:cs="Times New Roman"/>
          <w:sz w:val="24"/>
          <w:szCs w:val="24"/>
          <w:lang w:val="en-US"/>
        </w:rPr>
        <w:t xml:space="preserve"> April 30, 2020. </w:t>
      </w:r>
      <w:r w:rsidR="00580588">
        <w:rPr>
          <w:rFonts w:ascii="Times New Roman" w:hAnsi="Times New Roman" w:cs="Times New Roman"/>
          <w:sz w:val="24"/>
          <w:szCs w:val="24"/>
          <w:lang w:val="en-US"/>
        </w:rPr>
        <w:t>The analysis</w:t>
      </w:r>
      <w:r>
        <w:rPr>
          <w:rFonts w:ascii="Times New Roman" w:hAnsi="Times New Roman" w:cs="Times New Roman"/>
          <w:sz w:val="24"/>
          <w:szCs w:val="24"/>
          <w:lang w:val="en-US"/>
        </w:rPr>
        <w:t xml:space="preserve"> use</w:t>
      </w:r>
      <w:r w:rsidR="00580588">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00823BE5">
        <w:rPr>
          <w:rFonts w:ascii="Times New Roman" w:hAnsi="Times New Roman" w:cs="Times New Roman"/>
          <w:sz w:val="24"/>
          <w:szCs w:val="24"/>
          <w:lang w:val="en-US"/>
        </w:rPr>
        <w:t>two</w:t>
      </w:r>
      <w:r>
        <w:rPr>
          <w:rFonts w:ascii="Times New Roman" w:hAnsi="Times New Roman" w:cs="Times New Roman"/>
          <w:sz w:val="24"/>
          <w:szCs w:val="24"/>
          <w:lang w:val="en-US"/>
        </w:rPr>
        <w:t xml:space="preserve"> </w:t>
      </w:r>
      <w:r w:rsidR="00580588">
        <w:rPr>
          <w:rFonts w:ascii="Times New Roman" w:hAnsi="Times New Roman" w:cs="Times New Roman"/>
          <w:sz w:val="24"/>
          <w:szCs w:val="24"/>
          <w:lang w:val="en-US"/>
        </w:rPr>
        <w:t xml:space="preserve">alternative </w:t>
      </w:r>
      <w:r>
        <w:rPr>
          <w:rFonts w:ascii="Times New Roman" w:hAnsi="Times New Roman" w:cs="Times New Roman"/>
          <w:sz w:val="24"/>
          <w:szCs w:val="24"/>
          <w:lang w:val="en-US"/>
        </w:rPr>
        <w:t xml:space="preserve">proxies of </w:t>
      </w:r>
      <w:r w:rsidR="00580588">
        <w:rPr>
          <w:rFonts w:ascii="Times New Roman" w:hAnsi="Times New Roman" w:cs="Times New Roman"/>
          <w:sz w:val="24"/>
          <w:szCs w:val="24"/>
          <w:lang w:val="en-US"/>
        </w:rPr>
        <w:t xml:space="preserve">the </w:t>
      </w:r>
      <w:r>
        <w:rPr>
          <w:rFonts w:ascii="Times New Roman" w:hAnsi="Times New Roman" w:cs="Times New Roman"/>
          <w:sz w:val="24"/>
          <w:szCs w:val="24"/>
          <w:lang w:val="en-US"/>
        </w:rPr>
        <w:t>C</w:t>
      </w:r>
      <w:r w:rsidR="00580588">
        <w:rPr>
          <w:rFonts w:ascii="Times New Roman" w:hAnsi="Times New Roman" w:cs="Times New Roman"/>
          <w:sz w:val="24"/>
          <w:szCs w:val="24"/>
          <w:lang w:val="en-US"/>
        </w:rPr>
        <w:t>ovid</w:t>
      </w:r>
      <w:r>
        <w:rPr>
          <w:rFonts w:ascii="Times New Roman" w:hAnsi="Times New Roman" w:cs="Times New Roman"/>
          <w:sz w:val="24"/>
          <w:szCs w:val="24"/>
          <w:lang w:val="en-US"/>
        </w:rPr>
        <w:t xml:space="preserve">-19 </w:t>
      </w:r>
      <w:r w:rsidR="00580588">
        <w:rPr>
          <w:rFonts w:ascii="Times New Roman" w:hAnsi="Times New Roman" w:cs="Times New Roman"/>
          <w:sz w:val="24"/>
          <w:szCs w:val="24"/>
          <w:lang w:val="en-US"/>
        </w:rPr>
        <w:t>factor:</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total confirmed </w:t>
      </w:r>
      <w:r w:rsidR="002D2439">
        <w:rPr>
          <w:rFonts w:ascii="Times New Roman" w:hAnsi="Times New Roman" w:cs="Times New Roman"/>
          <w:sz w:val="24"/>
          <w:szCs w:val="24"/>
          <w:lang w:val="en-US"/>
        </w:rPr>
        <w:t>cases</w:t>
      </w:r>
      <w:r w:rsidR="0058058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2D2439">
        <w:rPr>
          <w:rFonts w:ascii="Times New Roman" w:hAnsi="Times New Roman" w:cs="Times New Roman"/>
          <w:sz w:val="24"/>
          <w:szCs w:val="24"/>
          <w:lang w:val="en-US"/>
        </w:rPr>
        <w:t xml:space="preserve">and </w:t>
      </w:r>
      <w:r>
        <w:rPr>
          <w:rFonts w:ascii="Times New Roman" w:hAnsi="Times New Roman" w:cs="Times New Roman"/>
          <w:sz w:val="24"/>
          <w:szCs w:val="24"/>
          <w:lang w:val="en-US"/>
        </w:rPr>
        <w:t xml:space="preserve">ii) </w:t>
      </w:r>
      <w:r w:rsidRPr="00580588">
        <w:rPr>
          <w:rFonts w:ascii="Times New Roman" w:hAnsi="Times New Roman" w:cs="Times New Roman"/>
          <w:sz w:val="24"/>
          <w:szCs w:val="24"/>
          <w:lang w:val="en-US"/>
        </w:rPr>
        <w:t>total</w:t>
      </w:r>
      <w:r>
        <w:rPr>
          <w:rFonts w:ascii="Times New Roman" w:hAnsi="Times New Roman" w:cs="Times New Roman"/>
          <w:sz w:val="24"/>
          <w:szCs w:val="24"/>
          <w:lang w:val="en-US"/>
        </w:rPr>
        <w:t xml:space="preserve"> daily deaths. </w:t>
      </w:r>
      <w:r w:rsidR="00580588">
        <w:rPr>
          <w:rFonts w:ascii="Times New Roman" w:hAnsi="Times New Roman" w:cs="Times New Roman"/>
          <w:sz w:val="24"/>
          <w:szCs w:val="24"/>
          <w:lang w:val="en-US"/>
        </w:rPr>
        <w:t xml:space="preserve">The findings </w:t>
      </w:r>
      <w:r w:rsidR="00212A17">
        <w:rPr>
          <w:rFonts w:ascii="Times New Roman" w:hAnsi="Times New Roman" w:cs="Times New Roman"/>
          <w:sz w:val="24"/>
          <w:szCs w:val="24"/>
          <w:lang w:val="en-US"/>
        </w:rPr>
        <w:t>document</w:t>
      </w:r>
      <w:r w:rsidR="00580588">
        <w:rPr>
          <w:rFonts w:ascii="Times New Roman" w:hAnsi="Times New Roman" w:cs="Times New Roman"/>
          <w:sz w:val="24"/>
          <w:szCs w:val="24"/>
          <w:lang w:val="en-US"/>
        </w:rPr>
        <w:t>ed</w:t>
      </w:r>
      <w:r w:rsidR="00212A17">
        <w:rPr>
          <w:rFonts w:ascii="Times New Roman" w:hAnsi="Times New Roman" w:cs="Times New Roman"/>
          <w:sz w:val="24"/>
          <w:szCs w:val="24"/>
          <w:lang w:val="en-US"/>
        </w:rPr>
        <w:t xml:space="preserve"> that C</w:t>
      </w:r>
      <w:r w:rsidR="00580588">
        <w:rPr>
          <w:rFonts w:ascii="Times New Roman" w:hAnsi="Times New Roman" w:cs="Times New Roman"/>
          <w:sz w:val="24"/>
          <w:szCs w:val="24"/>
          <w:lang w:val="en-US"/>
        </w:rPr>
        <w:t>ovid</w:t>
      </w:r>
      <w:r w:rsidR="00212A17">
        <w:rPr>
          <w:rFonts w:ascii="Times New Roman" w:hAnsi="Times New Roman" w:cs="Times New Roman"/>
          <w:sz w:val="24"/>
          <w:szCs w:val="24"/>
          <w:lang w:val="en-US"/>
        </w:rPr>
        <w:t>-19 ha</w:t>
      </w:r>
      <w:r w:rsidR="00580588">
        <w:rPr>
          <w:rFonts w:ascii="Times New Roman" w:hAnsi="Times New Roman" w:cs="Times New Roman"/>
          <w:sz w:val="24"/>
          <w:szCs w:val="24"/>
          <w:lang w:val="en-US"/>
        </w:rPr>
        <w:t>d</w:t>
      </w:r>
      <w:r w:rsidR="00212A17">
        <w:rPr>
          <w:rFonts w:ascii="Times New Roman" w:hAnsi="Times New Roman" w:cs="Times New Roman"/>
          <w:sz w:val="24"/>
          <w:szCs w:val="24"/>
          <w:lang w:val="en-US"/>
        </w:rPr>
        <w:t xml:space="preserve"> a significant negative impact on stock returns and </w:t>
      </w:r>
      <w:r w:rsidR="00580588">
        <w:rPr>
          <w:rFonts w:ascii="Times New Roman" w:hAnsi="Times New Roman" w:cs="Times New Roman"/>
          <w:sz w:val="24"/>
          <w:szCs w:val="24"/>
          <w:lang w:val="en-US"/>
        </w:rPr>
        <w:t xml:space="preserve">their associated </w:t>
      </w:r>
      <w:r w:rsidR="00212A17">
        <w:rPr>
          <w:rFonts w:ascii="Times New Roman" w:hAnsi="Times New Roman" w:cs="Times New Roman"/>
          <w:sz w:val="24"/>
          <w:szCs w:val="24"/>
          <w:lang w:val="en-US"/>
        </w:rPr>
        <w:t>volatility</w:t>
      </w:r>
      <w:r w:rsidR="00580588">
        <w:rPr>
          <w:rFonts w:ascii="Times New Roman" w:hAnsi="Times New Roman" w:cs="Times New Roman"/>
          <w:sz w:val="24"/>
          <w:szCs w:val="24"/>
          <w:lang w:val="en-US"/>
        </w:rPr>
        <w:t xml:space="preserve"> across</w:t>
      </w:r>
      <w:r w:rsidR="00212A17">
        <w:rPr>
          <w:rFonts w:ascii="Times New Roman" w:hAnsi="Times New Roman" w:cs="Times New Roman"/>
          <w:sz w:val="24"/>
          <w:szCs w:val="24"/>
          <w:lang w:val="en-US"/>
        </w:rPr>
        <w:t xml:space="preserve"> </w:t>
      </w:r>
      <w:r w:rsidR="002D2439">
        <w:rPr>
          <w:rFonts w:ascii="Times New Roman" w:hAnsi="Times New Roman" w:cs="Times New Roman"/>
          <w:sz w:val="24"/>
          <w:szCs w:val="24"/>
          <w:lang w:val="en-US"/>
        </w:rPr>
        <w:t>both</w:t>
      </w:r>
      <w:r w:rsidR="00212A17">
        <w:rPr>
          <w:rFonts w:ascii="Times New Roman" w:hAnsi="Times New Roman" w:cs="Times New Roman"/>
          <w:sz w:val="24"/>
          <w:szCs w:val="24"/>
          <w:lang w:val="en-US"/>
        </w:rPr>
        <w:t xml:space="preserve"> </w:t>
      </w:r>
      <w:r w:rsidR="00580588">
        <w:rPr>
          <w:rFonts w:ascii="Times New Roman" w:hAnsi="Times New Roman" w:cs="Times New Roman"/>
          <w:sz w:val="24"/>
          <w:szCs w:val="24"/>
          <w:lang w:val="en-US"/>
        </w:rPr>
        <w:t>alternative Covid-19 measures</w:t>
      </w:r>
      <w:r w:rsidR="00212A17">
        <w:rPr>
          <w:rFonts w:ascii="Times New Roman" w:hAnsi="Times New Roman" w:cs="Times New Roman"/>
          <w:sz w:val="24"/>
          <w:szCs w:val="24"/>
          <w:lang w:val="en-US"/>
        </w:rPr>
        <w:t>. Similar</w:t>
      </w:r>
      <w:r w:rsidR="00580588">
        <w:rPr>
          <w:rFonts w:ascii="Times New Roman" w:hAnsi="Times New Roman" w:cs="Times New Roman"/>
          <w:sz w:val="24"/>
          <w:szCs w:val="24"/>
          <w:lang w:val="en-US"/>
        </w:rPr>
        <w:t xml:space="preserve"> findings </w:t>
      </w:r>
      <w:r w:rsidR="009C10BE">
        <w:rPr>
          <w:rFonts w:ascii="Times New Roman" w:hAnsi="Times New Roman" w:cs="Times New Roman"/>
          <w:sz w:val="24"/>
          <w:szCs w:val="24"/>
          <w:lang w:val="en-US"/>
        </w:rPr>
        <w:t xml:space="preserve">indicated that </w:t>
      </w:r>
      <w:r w:rsidR="00212A17">
        <w:rPr>
          <w:rFonts w:ascii="Times New Roman" w:hAnsi="Times New Roman" w:cs="Times New Roman"/>
          <w:sz w:val="24"/>
          <w:szCs w:val="24"/>
          <w:lang w:val="en-US"/>
        </w:rPr>
        <w:t>C</w:t>
      </w:r>
      <w:r w:rsidR="009C10BE">
        <w:rPr>
          <w:rFonts w:ascii="Times New Roman" w:hAnsi="Times New Roman" w:cs="Times New Roman"/>
          <w:sz w:val="24"/>
          <w:szCs w:val="24"/>
          <w:lang w:val="en-US"/>
        </w:rPr>
        <w:t>ovid</w:t>
      </w:r>
      <w:r w:rsidR="00212A17">
        <w:rPr>
          <w:rFonts w:ascii="Times New Roman" w:hAnsi="Times New Roman" w:cs="Times New Roman"/>
          <w:sz w:val="24"/>
          <w:szCs w:val="24"/>
          <w:lang w:val="en-US"/>
        </w:rPr>
        <w:t>-19 ha</w:t>
      </w:r>
      <w:r w:rsidR="009C10BE">
        <w:rPr>
          <w:rFonts w:ascii="Times New Roman" w:hAnsi="Times New Roman" w:cs="Times New Roman"/>
          <w:sz w:val="24"/>
          <w:szCs w:val="24"/>
          <w:lang w:val="en-US"/>
        </w:rPr>
        <w:t>d</w:t>
      </w:r>
      <w:r w:rsidR="00212A17">
        <w:rPr>
          <w:rFonts w:ascii="Times New Roman" w:hAnsi="Times New Roman" w:cs="Times New Roman"/>
          <w:sz w:val="24"/>
          <w:szCs w:val="24"/>
          <w:lang w:val="en-US"/>
        </w:rPr>
        <w:t xml:space="preserve"> a positive and statistically significant effect on </w:t>
      </w:r>
      <w:r w:rsidR="009C10BE">
        <w:rPr>
          <w:rFonts w:ascii="Times New Roman" w:hAnsi="Times New Roman" w:cs="Times New Roman"/>
          <w:sz w:val="24"/>
          <w:szCs w:val="24"/>
          <w:lang w:val="en-US"/>
        </w:rPr>
        <w:t xml:space="preserve">the </w:t>
      </w:r>
      <w:r w:rsidR="00212A17">
        <w:rPr>
          <w:rFonts w:ascii="Times New Roman" w:hAnsi="Times New Roman" w:cs="Times New Roman"/>
          <w:sz w:val="24"/>
          <w:szCs w:val="24"/>
          <w:lang w:val="en-US"/>
        </w:rPr>
        <w:t>volatility of stock returns. The negative impact of C</w:t>
      </w:r>
      <w:r w:rsidR="009C10BE">
        <w:rPr>
          <w:rFonts w:ascii="Times New Roman" w:hAnsi="Times New Roman" w:cs="Times New Roman"/>
          <w:sz w:val="24"/>
          <w:szCs w:val="24"/>
          <w:lang w:val="en-US"/>
        </w:rPr>
        <w:t>ovid</w:t>
      </w:r>
      <w:r w:rsidR="00212A17">
        <w:rPr>
          <w:rFonts w:ascii="Times New Roman" w:hAnsi="Times New Roman" w:cs="Times New Roman"/>
          <w:sz w:val="24"/>
          <w:szCs w:val="24"/>
          <w:lang w:val="en-US"/>
        </w:rPr>
        <w:t xml:space="preserve">-19 on stock </w:t>
      </w:r>
      <w:r w:rsidR="009C10BE">
        <w:rPr>
          <w:rFonts w:ascii="Times New Roman" w:hAnsi="Times New Roman" w:cs="Times New Roman"/>
          <w:sz w:val="24"/>
          <w:szCs w:val="24"/>
          <w:lang w:val="en-US"/>
        </w:rPr>
        <w:t>returns turned out to be</w:t>
      </w:r>
      <w:r w:rsidR="00212A17">
        <w:rPr>
          <w:rFonts w:ascii="Times New Roman" w:hAnsi="Times New Roman" w:cs="Times New Roman"/>
          <w:sz w:val="24"/>
          <w:szCs w:val="24"/>
          <w:lang w:val="en-US"/>
        </w:rPr>
        <w:t xml:space="preserve"> more pronounced when </w:t>
      </w:r>
      <w:r w:rsidR="009C10BE">
        <w:rPr>
          <w:rFonts w:ascii="Times New Roman" w:hAnsi="Times New Roman" w:cs="Times New Roman"/>
          <w:sz w:val="24"/>
          <w:szCs w:val="24"/>
          <w:lang w:val="en-US"/>
        </w:rPr>
        <w:t>the pandemic measure was proxied by the</w:t>
      </w:r>
      <w:r w:rsidR="00212A17">
        <w:rPr>
          <w:rFonts w:ascii="Times New Roman" w:hAnsi="Times New Roman" w:cs="Times New Roman"/>
          <w:sz w:val="24"/>
          <w:szCs w:val="24"/>
          <w:lang w:val="en-US"/>
        </w:rPr>
        <w:t xml:space="preserve"> total cases of deaths. </w:t>
      </w:r>
      <w:r w:rsidR="00134AC2">
        <w:rPr>
          <w:rFonts w:ascii="Times New Roman" w:hAnsi="Times New Roman" w:cs="Times New Roman"/>
          <w:sz w:val="24"/>
          <w:szCs w:val="24"/>
          <w:lang w:val="en-US"/>
        </w:rPr>
        <w:t xml:space="preserve">Furthermore, the model that included the </w:t>
      </w:r>
      <w:r w:rsidR="00E81DE4">
        <w:rPr>
          <w:rFonts w:ascii="Times New Roman" w:hAnsi="Times New Roman" w:cs="Times New Roman"/>
          <w:sz w:val="24"/>
          <w:szCs w:val="24"/>
          <w:lang w:val="en-US"/>
        </w:rPr>
        <w:t>C</w:t>
      </w:r>
      <w:r w:rsidR="009C10BE">
        <w:rPr>
          <w:rFonts w:ascii="Times New Roman" w:hAnsi="Times New Roman" w:cs="Times New Roman"/>
          <w:sz w:val="24"/>
          <w:szCs w:val="24"/>
          <w:lang w:val="en-US"/>
        </w:rPr>
        <w:t>ovid</w:t>
      </w:r>
      <w:r w:rsidR="00134AC2">
        <w:rPr>
          <w:rFonts w:ascii="Times New Roman" w:hAnsi="Times New Roman" w:cs="Times New Roman"/>
          <w:sz w:val="24"/>
          <w:szCs w:val="24"/>
          <w:lang w:val="en-US"/>
        </w:rPr>
        <w:t xml:space="preserve">-19 factor </w:t>
      </w:r>
      <w:r w:rsidR="009C10BE">
        <w:rPr>
          <w:rFonts w:ascii="Times New Roman" w:hAnsi="Times New Roman" w:cs="Times New Roman"/>
          <w:sz w:val="24"/>
          <w:szCs w:val="24"/>
          <w:lang w:val="en-US"/>
        </w:rPr>
        <w:t>highlighted</w:t>
      </w:r>
      <w:r w:rsidR="00134AC2">
        <w:rPr>
          <w:rFonts w:ascii="Times New Roman" w:hAnsi="Times New Roman" w:cs="Times New Roman"/>
          <w:sz w:val="24"/>
          <w:szCs w:val="24"/>
          <w:lang w:val="en-US"/>
        </w:rPr>
        <w:t xml:space="preserve"> </w:t>
      </w:r>
      <w:r w:rsidR="009C10BE">
        <w:rPr>
          <w:rFonts w:ascii="Times New Roman" w:hAnsi="Times New Roman" w:cs="Times New Roman"/>
          <w:sz w:val="24"/>
          <w:szCs w:val="24"/>
          <w:lang w:val="en-US"/>
        </w:rPr>
        <w:t xml:space="preserve">a </w:t>
      </w:r>
      <w:r w:rsidR="00134AC2">
        <w:rPr>
          <w:rFonts w:ascii="Times New Roman" w:hAnsi="Times New Roman" w:cs="Times New Roman"/>
          <w:sz w:val="24"/>
          <w:szCs w:val="24"/>
          <w:lang w:val="en-US"/>
        </w:rPr>
        <w:t>better out-of-sample forecasting performance.</w:t>
      </w:r>
      <w:r w:rsidR="00EA78F0">
        <w:rPr>
          <w:rFonts w:ascii="Times New Roman" w:hAnsi="Times New Roman" w:cs="Times New Roman"/>
          <w:sz w:val="24"/>
          <w:szCs w:val="24"/>
          <w:lang w:val="en-US"/>
        </w:rPr>
        <w:t xml:space="preserve"> </w:t>
      </w:r>
    </w:p>
    <w:p w14:paraId="55F14B3C" w14:textId="2ECE0409" w:rsidR="009126CC" w:rsidRDefault="00C80780" w:rsidP="000B08F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C10BE">
        <w:rPr>
          <w:rFonts w:ascii="Times New Roman" w:hAnsi="Times New Roman" w:cs="Times New Roman"/>
          <w:sz w:val="24"/>
          <w:szCs w:val="24"/>
          <w:lang w:val="en-US"/>
        </w:rPr>
        <w:t>T</w:t>
      </w:r>
      <w:r>
        <w:rPr>
          <w:rFonts w:ascii="Times New Roman" w:hAnsi="Times New Roman" w:cs="Times New Roman"/>
          <w:sz w:val="24"/>
          <w:szCs w:val="24"/>
          <w:lang w:val="en-US"/>
        </w:rPr>
        <w:t xml:space="preserve">he empirical findings signify that the </w:t>
      </w:r>
      <w:r w:rsidR="00E81DE4">
        <w:rPr>
          <w:rFonts w:ascii="Times New Roman" w:hAnsi="Times New Roman" w:cs="Times New Roman"/>
          <w:sz w:val="24"/>
          <w:szCs w:val="24"/>
          <w:lang w:val="en-US"/>
        </w:rPr>
        <w:t>C</w:t>
      </w:r>
      <w:r w:rsidR="009C10BE">
        <w:rPr>
          <w:rFonts w:ascii="Times New Roman" w:hAnsi="Times New Roman" w:cs="Times New Roman"/>
          <w:sz w:val="24"/>
          <w:szCs w:val="24"/>
          <w:lang w:val="en-US"/>
        </w:rPr>
        <w:t>ovid</w:t>
      </w:r>
      <w:r>
        <w:rPr>
          <w:rFonts w:ascii="Times New Roman" w:hAnsi="Times New Roman" w:cs="Times New Roman"/>
          <w:sz w:val="24"/>
          <w:szCs w:val="24"/>
          <w:lang w:val="en-US"/>
        </w:rPr>
        <w:t xml:space="preserve">-19 </w:t>
      </w:r>
      <w:r w:rsidR="009C10BE">
        <w:rPr>
          <w:rFonts w:ascii="Times New Roman" w:hAnsi="Times New Roman" w:cs="Times New Roman"/>
          <w:sz w:val="24"/>
          <w:szCs w:val="24"/>
          <w:lang w:val="en-US"/>
        </w:rPr>
        <w:t xml:space="preserve">pandemic </w:t>
      </w:r>
      <w:r>
        <w:rPr>
          <w:rFonts w:ascii="Times New Roman" w:hAnsi="Times New Roman" w:cs="Times New Roman"/>
          <w:sz w:val="24"/>
          <w:szCs w:val="24"/>
          <w:lang w:val="en-US"/>
        </w:rPr>
        <w:t>shock dr</w:t>
      </w:r>
      <w:r w:rsidR="009C10BE">
        <w:rPr>
          <w:rFonts w:ascii="Times New Roman" w:hAnsi="Times New Roman" w:cs="Times New Roman"/>
          <w:sz w:val="24"/>
          <w:szCs w:val="24"/>
          <w:lang w:val="en-US"/>
        </w:rPr>
        <w:t>ives</w:t>
      </w:r>
      <w:r>
        <w:rPr>
          <w:rFonts w:ascii="Times New Roman" w:hAnsi="Times New Roman" w:cs="Times New Roman"/>
          <w:sz w:val="24"/>
          <w:szCs w:val="24"/>
          <w:lang w:val="en-US"/>
        </w:rPr>
        <w:t xml:space="preserve"> the C</w:t>
      </w:r>
      <w:r w:rsidR="002D2439">
        <w:rPr>
          <w:rFonts w:ascii="Times New Roman" w:hAnsi="Times New Roman" w:cs="Times New Roman"/>
          <w:sz w:val="24"/>
          <w:szCs w:val="24"/>
          <w:lang w:val="en-US"/>
        </w:rPr>
        <w:t>hinese</w:t>
      </w:r>
      <w:r>
        <w:rPr>
          <w:rFonts w:ascii="Times New Roman" w:hAnsi="Times New Roman" w:cs="Times New Roman"/>
          <w:sz w:val="24"/>
          <w:szCs w:val="24"/>
          <w:lang w:val="en-US"/>
        </w:rPr>
        <w:t xml:space="preserve"> market </w:t>
      </w:r>
      <w:r w:rsidRPr="00C80780">
        <w:rPr>
          <w:rFonts w:ascii="Times New Roman" w:hAnsi="Times New Roman" w:cs="Times New Roman"/>
          <w:sz w:val="24"/>
          <w:szCs w:val="24"/>
          <w:lang w:val="en-US"/>
        </w:rPr>
        <w:t>‘crazy’</w:t>
      </w:r>
      <w:r>
        <w:rPr>
          <w:rFonts w:ascii="Times New Roman" w:hAnsi="Times New Roman" w:cs="Times New Roman"/>
          <w:sz w:val="24"/>
          <w:szCs w:val="24"/>
          <w:lang w:val="en-US"/>
        </w:rPr>
        <w:t xml:space="preserve">, </w:t>
      </w:r>
      <w:r w:rsidR="00212A17">
        <w:rPr>
          <w:rFonts w:ascii="Times New Roman" w:hAnsi="Times New Roman" w:cs="Times New Roman"/>
          <w:sz w:val="24"/>
          <w:szCs w:val="24"/>
          <w:lang w:val="en-US"/>
        </w:rPr>
        <w:t>although</w:t>
      </w:r>
      <w:r>
        <w:rPr>
          <w:rFonts w:ascii="Times New Roman" w:hAnsi="Times New Roman" w:cs="Times New Roman"/>
          <w:sz w:val="24"/>
          <w:szCs w:val="24"/>
          <w:lang w:val="en-US"/>
        </w:rPr>
        <w:t xml:space="preserve"> the C</w:t>
      </w:r>
      <w:r w:rsidR="002D2439">
        <w:rPr>
          <w:rFonts w:ascii="Times New Roman" w:hAnsi="Times New Roman" w:cs="Times New Roman"/>
          <w:sz w:val="24"/>
          <w:szCs w:val="24"/>
          <w:lang w:val="en-US"/>
        </w:rPr>
        <w:t>hinese</w:t>
      </w:r>
      <w:r>
        <w:rPr>
          <w:rFonts w:ascii="Times New Roman" w:hAnsi="Times New Roman" w:cs="Times New Roman"/>
          <w:sz w:val="24"/>
          <w:szCs w:val="24"/>
          <w:lang w:val="en-US"/>
        </w:rPr>
        <w:t xml:space="preserve"> </w:t>
      </w:r>
      <w:r w:rsidR="00E81DE4">
        <w:rPr>
          <w:rFonts w:ascii="Times New Roman" w:hAnsi="Times New Roman" w:cs="Times New Roman"/>
          <w:sz w:val="24"/>
          <w:szCs w:val="24"/>
          <w:lang w:val="en-US"/>
        </w:rPr>
        <w:t>C</w:t>
      </w:r>
      <w:r w:rsidR="009C10BE">
        <w:rPr>
          <w:rFonts w:ascii="Times New Roman" w:hAnsi="Times New Roman" w:cs="Times New Roman"/>
          <w:sz w:val="24"/>
          <w:szCs w:val="24"/>
          <w:lang w:val="en-US"/>
        </w:rPr>
        <w:t>ovid</w:t>
      </w:r>
      <w:r>
        <w:rPr>
          <w:rFonts w:ascii="Times New Roman" w:hAnsi="Times New Roman" w:cs="Times New Roman"/>
          <w:sz w:val="24"/>
          <w:szCs w:val="24"/>
          <w:lang w:val="en-US"/>
        </w:rPr>
        <w:t xml:space="preserve">-19 experience was not among the worst cases in an international context. However, the reflection of </w:t>
      </w:r>
      <w:r w:rsidR="002D2439">
        <w:rPr>
          <w:rFonts w:ascii="Times New Roman" w:hAnsi="Times New Roman" w:cs="Times New Roman"/>
          <w:sz w:val="24"/>
          <w:szCs w:val="24"/>
          <w:lang w:val="en-US"/>
        </w:rPr>
        <w:t>death</w:t>
      </w:r>
      <w:r>
        <w:rPr>
          <w:rFonts w:ascii="Times New Roman" w:hAnsi="Times New Roman" w:cs="Times New Roman"/>
          <w:sz w:val="24"/>
          <w:szCs w:val="24"/>
          <w:lang w:val="en-US"/>
        </w:rPr>
        <w:t xml:space="preserve"> cases provided an informative </w:t>
      </w:r>
      <w:r w:rsidR="009C10BE">
        <w:rPr>
          <w:rFonts w:ascii="Times New Roman" w:hAnsi="Times New Roman" w:cs="Times New Roman"/>
          <w:sz w:val="24"/>
          <w:szCs w:val="24"/>
          <w:lang w:val="en-US"/>
        </w:rPr>
        <w:t>‘</w:t>
      </w:r>
      <w:r w:rsidRPr="00C80780">
        <w:rPr>
          <w:rFonts w:ascii="Times New Roman" w:hAnsi="Times New Roman" w:cs="Times New Roman"/>
          <w:sz w:val="24"/>
          <w:szCs w:val="24"/>
          <w:lang w:val="en-US"/>
        </w:rPr>
        <w:t>opportunity</w:t>
      </w:r>
      <w:r w:rsidR="009C10BE">
        <w:rPr>
          <w:rFonts w:ascii="Times New Roman" w:hAnsi="Times New Roman" w:cs="Times New Roman"/>
          <w:sz w:val="24"/>
          <w:szCs w:val="24"/>
          <w:lang w:val="en-US"/>
        </w:rPr>
        <w:t>’</w:t>
      </w:r>
      <w:r w:rsidRPr="00C807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for market participants </w:t>
      </w:r>
      <w:r w:rsidRPr="00C80780">
        <w:rPr>
          <w:rFonts w:ascii="Times New Roman" w:hAnsi="Times New Roman" w:cs="Times New Roman"/>
          <w:sz w:val="24"/>
          <w:szCs w:val="24"/>
          <w:lang w:val="en-US"/>
        </w:rPr>
        <w:t>to learn something about investor</w:t>
      </w:r>
      <w:r w:rsidR="009C10BE">
        <w:rPr>
          <w:rFonts w:ascii="Times New Roman" w:hAnsi="Times New Roman" w:cs="Times New Roman"/>
          <w:sz w:val="24"/>
          <w:szCs w:val="24"/>
          <w:lang w:val="en-US"/>
        </w:rPr>
        <w:t>s’</w:t>
      </w:r>
      <w:r w:rsidRPr="00C80780">
        <w:rPr>
          <w:rFonts w:ascii="Times New Roman" w:hAnsi="Times New Roman" w:cs="Times New Roman"/>
          <w:sz w:val="24"/>
          <w:szCs w:val="24"/>
          <w:lang w:val="en-US"/>
        </w:rPr>
        <w:t xml:space="preserve"> psychology and human </w:t>
      </w:r>
      <w:proofErr w:type="spellStart"/>
      <w:r w:rsidR="00212A17" w:rsidRPr="00C80780">
        <w:rPr>
          <w:rFonts w:ascii="Times New Roman" w:hAnsi="Times New Roman" w:cs="Times New Roman"/>
          <w:sz w:val="24"/>
          <w:szCs w:val="24"/>
          <w:lang w:val="en-US"/>
        </w:rPr>
        <w:t>behavio</w:t>
      </w:r>
      <w:r w:rsidR="009C10BE">
        <w:rPr>
          <w:rFonts w:ascii="Times New Roman" w:hAnsi="Times New Roman" w:cs="Times New Roman"/>
          <w:sz w:val="24"/>
          <w:szCs w:val="24"/>
          <w:lang w:val="en-US"/>
        </w:rPr>
        <w:t>u</w:t>
      </w:r>
      <w:r w:rsidR="00212A17" w:rsidRPr="00C80780">
        <w:rPr>
          <w:rFonts w:ascii="Times New Roman" w:hAnsi="Times New Roman" w:cs="Times New Roman"/>
          <w:sz w:val="24"/>
          <w:szCs w:val="24"/>
          <w:lang w:val="en-US"/>
        </w:rPr>
        <w:t>r</w:t>
      </w:r>
      <w:proofErr w:type="spellEnd"/>
      <w:r w:rsidRPr="00C8078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Borrowing what </w:t>
      </w:r>
      <w:r w:rsidRPr="00C80780">
        <w:rPr>
          <w:rFonts w:ascii="Times New Roman" w:hAnsi="Times New Roman" w:cs="Times New Roman"/>
          <w:sz w:val="24"/>
          <w:szCs w:val="24"/>
          <w:lang w:val="en-US"/>
        </w:rPr>
        <w:t xml:space="preserve">Keynes </w:t>
      </w:r>
      <w:r>
        <w:rPr>
          <w:rFonts w:ascii="Times New Roman" w:hAnsi="Times New Roman" w:cs="Times New Roman"/>
          <w:sz w:val="24"/>
          <w:szCs w:val="24"/>
          <w:lang w:val="en-US"/>
        </w:rPr>
        <w:t>had named as the</w:t>
      </w:r>
      <w:r w:rsidRPr="00C80780">
        <w:rPr>
          <w:rFonts w:ascii="Times New Roman" w:hAnsi="Times New Roman" w:cs="Times New Roman"/>
          <w:sz w:val="24"/>
          <w:szCs w:val="24"/>
          <w:lang w:val="en-US"/>
        </w:rPr>
        <w:t xml:space="preserve"> ‘beauty contest’ metaphor for this type of </w:t>
      </w:r>
      <w:proofErr w:type="spellStart"/>
      <w:r w:rsidR="00212A17" w:rsidRPr="00C80780">
        <w:rPr>
          <w:rFonts w:ascii="Times New Roman" w:hAnsi="Times New Roman" w:cs="Times New Roman"/>
          <w:sz w:val="24"/>
          <w:szCs w:val="24"/>
          <w:lang w:val="en-US"/>
        </w:rPr>
        <w:t>behavio</w:t>
      </w:r>
      <w:r w:rsidR="009C10BE">
        <w:rPr>
          <w:rFonts w:ascii="Times New Roman" w:hAnsi="Times New Roman" w:cs="Times New Roman"/>
          <w:sz w:val="24"/>
          <w:szCs w:val="24"/>
          <w:lang w:val="en-US"/>
        </w:rPr>
        <w:t>u</w:t>
      </w:r>
      <w:r w:rsidR="00212A17" w:rsidRPr="00C80780">
        <w:rPr>
          <w:rFonts w:ascii="Times New Roman" w:hAnsi="Times New Roman" w:cs="Times New Roman"/>
          <w:sz w:val="24"/>
          <w:szCs w:val="24"/>
          <w:lang w:val="en-US"/>
        </w:rPr>
        <w:t>r</w:t>
      </w:r>
      <w:proofErr w:type="spellEnd"/>
      <w:r>
        <w:rPr>
          <w:rFonts w:ascii="Times New Roman" w:hAnsi="Times New Roman" w:cs="Times New Roman"/>
          <w:sz w:val="24"/>
          <w:szCs w:val="24"/>
          <w:lang w:val="en-US"/>
        </w:rPr>
        <w:t xml:space="preserve">, we can clearly </w:t>
      </w:r>
      <w:r w:rsidR="00212A17">
        <w:rPr>
          <w:rFonts w:ascii="Times New Roman" w:hAnsi="Times New Roman" w:cs="Times New Roman"/>
          <w:sz w:val="24"/>
          <w:szCs w:val="24"/>
          <w:lang w:val="en-US"/>
        </w:rPr>
        <w:t>realize</w:t>
      </w:r>
      <w:r>
        <w:rPr>
          <w:rFonts w:ascii="Times New Roman" w:hAnsi="Times New Roman" w:cs="Times New Roman"/>
          <w:sz w:val="24"/>
          <w:szCs w:val="24"/>
          <w:lang w:val="en-US"/>
        </w:rPr>
        <w:t xml:space="preserve"> that </w:t>
      </w:r>
      <w:r w:rsidRPr="00C80780">
        <w:rPr>
          <w:rFonts w:ascii="Times New Roman" w:hAnsi="Times New Roman" w:cs="Times New Roman"/>
          <w:sz w:val="24"/>
          <w:szCs w:val="24"/>
          <w:lang w:val="en-US"/>
        </w:rPr>
        <w:t xml:space="preserve">financial markets are driven by humans, </w:t>
      </w:r>
      <w:r>
        <w:rPr>
          <w:rFonts w:ascii="Times New Roman" w:hAnsi="Times New Roman" w:cs="Times New Roman"/>
          <w:sz w:val="24"/>
          <w:szCs w:val="24"/>
          <w:lang w:val="en-US"/>
        </w:rPr>
        <w:t xml:space="preserve">and, thus, </w:t>
      </w:r>
      <w:r w:rsidRPr="00C80780">
        <w:rPr>
          <w:rFonts w:ascii="Times New Roman" w:hAnsi="Times New Roman" w:cs="Times New Roman"/>
          <w:sz w:val="24"/>
          <w:szCs w:val="24"/>
          <w:lang w:val="en-US"/>
        </w:rPr>
        <w:t xml:space="preserve">are </w:t>
      </w:r>
      <w:r>
        <w:rPr>
          <w:rFonts w:ascii="Times New Roman" w:hAnsi="Times New Roman" w:cs="Times New Roman"/>
          <w:sz w:val="24"/>
          <w:szCs w:val="24"/>
          <w:lang w:val="en-US"/>
        </w:rPr>
        <w:t>highly</w:t>
      </w:r>
      <w:r w:rsidRPr="00C80780">
        <w:rPr>
          <w:rFonts w:ascii="Times New Roman" w:hAnsi="Times New Roman" w:cs="Times New Roman"/>
          <w:sz w:val="24"/>
          <w:szCs w:val="24"/>
          <w:lang w:val="en-US"/>
        </w:rPr>
        <w:t xml:space="preserve"> </w:t>
      </w:r>
      <w:proofErr w:type="spellStart"/>
      <w:r w:rsidR="00212A17" w:rsidRPr="00C80780">
        <w:rPr>
          <w:rFonts w:ascii="Times New Roman" w:hAnsi="Times New Roman" w:cs="Times New Roman"/>
          <w:sz w:val="24"/>
          <w:szCs w:val="24"/>
          <w:lang w:val="en-US"/>
        </w:rPr>
        <w:t>behavio</w:t>
      </w:r>
      <w:r w:rsidR="009C10BE">
        <w:rPr>
          <w:rFonts w:ascii="Times New Roman" w:hAnsi="Times New Roman" w:cs="Times New Roman"/>
          <w:sz w:val="24"/>
          <w:szCs w:val="24"/>
          <w:lang w:val="en-US"/>
        </w:rPr>
        <w:t>u</w:t>
      </w:r>
      <w:r w:rsidR="00212A17" w:rsidRPr="00C80780">
        <w:rPr>
          <w:rFonts w:ascii="Times New Roman" w:hAnsi="Times New Roman" w:cs="Times New Roman"/>
          <w:sz w:val="24"/>
          <w:szCs w:val="24"/>
          <w:lang w:val="en-US"/>
        </w:rPr>
        <w:t>ral</w:t>
      </w:r>
      <w:proofErr w:type="spellEnd"/>
      <w:r w:rsidR="009C10BE">
        <w:rPr>
          <w:rFonts w:ascii="Times New Roman" w:hAnsi="Times New Roman" w:cs="Times New Roman"/>
          <w:sz w:val="24"/>
          <w:szCs w:val="24"/>
          <w:lang w:val="en-US"/>
        </w:rPr>
        <w:t>, with just ignoring trends in fundamentals</w:t>
      </w:r>
      <w:r w:rsidRPr="00C80780">
        <w:rPr>
          <w:rFonts w:ascii="Times New Roman" w:hAnsi="Times New Roman" w:cs="Times New Roman"/>
          <w:sz w:val="24"/>
          <w:szCs w:val="24"/>
          <w:lang w:val="en-US"/>
        </w:rPr>
        <w:t>.</w:t>
      </w:r>
      <w:r>
        <w:rPr>
          <w:rFonts w:ascii="Times New Roman" w:hAnsi="Times New Roman" w:cs="Times New Roman"/>
          <w:sz w:val="24"/>
          <w:szCs w:val="24"/>
          <w:lang w:val="en-US"/>
        </w:rPr>
        <w:t xml:space="preserve"> The </w:t>
      </w:r>
      <w:r w:rsidR="00E81DE4">
        <w:rPr>
          <w:rFonts w:ascii="Times New Roman" w:hAnsi="Times New Roman" w:cs="Times New Roman"/>
          <w:sz w:val="24"/>
          <w:szCs w:val="24"/>
          <w:lang w:val="en-US"/>
        </w:rPr>
        <w:t>C</w:t>
      </w:r>
      <w:r w:rsidR="009C10BE">
        <w:rPr>
          <w:rFonts w:ascii="Times New Roman" w:hAnsi="Times New Roman" w:cs="Times New Roman"/>
          <w:sz w:val="24"/>
          <w:szCs w:val="24"/>
          <w:lang w:val="en-US"/>
        </w:rPr>
        <w:t>ovid</w:t>
      </w:r>
      <w:r w:rsidRPr="00C80780">
        <w:rPr>
          <w:rFonts w:ascii="Times New Roman" w:hAnsi="Times New Roman" w:cs="Times New Roman"/>
          <w:sz w:val="24"/>
          <w:szCs w:val="24"/>
          <w:lang w:val="en-US"/>
        </w:rPr>
        <w:t xml:space="preserve">-19 </w:t>
      </w:r>
      <w:r>
        <w:rPr>
          <w:rFonts w:ascii="Times New Roman" w:hAnsi="Times New Roman" w:cs="Times New Roman"/>
          <w:sz w:val="24"/>
          <w:szCs w:val="24"/>
          <w:lang w:val="en-US"/>
        </w:rPr>
        <w:t xml:space="preserve">event </w:t>
      </w:r>
      <w:r w:rsidR="00212A17" w:rsidRPr="00C80780">
        <w:rPr>
          <w:rFonts w:ascii="Times New Roman" w:hAnsi="Times New Roman" w:cs="Times New Roman"/>
          <w:sz w:val="24"/>
          <w:szCs w:val="24"/>
          <w:lang w:val="en-US"/>
        </w:rPr>
        <w:t>represent</w:t>
      </w:r>
      <w:r w:rsidR="009C10BE">
        <w:rPr>
          <w:rFonts w:ascii="Times New Roman" w:hAnsi="Times New Roman" w:cs="Times New Roman"/>
          <w:sz w:val="24"/>
          <w:szCs w:val="24"/>
          <w:lang w:val="en-US"/>
        </w:rPr>
        <w:t>s</w:t>
      </w:r>
      <w:r w:rsidRPr="00C80780">
        <w:rPr>
          <w:rFonts w:ascii="Times New Roman" w:hAnsi="Times New Roman" w:cs="Times New Roman"/>
          <w:sz w:val="24"/>
          <w:szCs w:val="24"/>
          <w:lang w:val="en-US"/>
        </w:rPr>
        <w:t xml:space="preserve"> a fearsome and novel risk. As such, it stirr</w:t>
      </w:r>
      <w:r w:rsidR="009C10BE">
        <w:rPr>
          <w:rFonts w:ascii="Times New Roman" w:hAnsi="Times New Roman" w:cs="Times New Roman"/>
          <w:sz w:val="24"/>
          <w:szCs w:val="24"/>
          <w:lang w:val="en-US"/>
        </w:rPr>
        <w:t>ed</w:t>
      </w:r>
      <w:r w:rsidRPr="00C80780">
        <w:rPr>
          <w:rFonts w:ascii="Times New Roman" w:hAnsi="Times New Roman" w:cs="Times New Roman"/>
          <w:sz w:val="24"/>
          <w:szCs w:val="24"/>
          <w:lang w:val="en-US"/>
        </w:rPr>
        <w:t xml:space="preserve"> feverish </w:t>
      </w:r>
      <w:proofErr w:type="spellStart"/>
      <w:r w:rsidR="00212A17" w:rsidRPr="00C80780">
        <w:rPr>
          <w:rFonts w:ascii="Times New Roman" w:hAnsi="Times New Roman" w:cs="Times New Roman"/>
          <w:sz w:val="24"/>
          <w:szCs w:val="24"/>
          <w:lang w:val="en-US"/>
        </w:rPr>
        <w:t>behavio</w:t>
      </w:r>
      <w:r w:rsidR="009C10BE">
        <w:rPr>
          <w:rFonts w:ascii="Times New Roman" w:hAnsi="Times New Roman" w:cs="Times New Roman"/>
          <w:sz w:val="24"/>
          <w:szCs w:val="24"/>
          <w:lang w:val="en-US"/>
        </w:rPr>
        <w:t>u</w:t>
      </w:r>
      <w:r w:rsidR="00212A17" w:rsidRPr="00C80780">
        <w:rPr>
          <w:rFonts w:ascii="Times New Roman" w:hAnsi="Times New Roman" w:cs="Times New Roman"/>
          <w:sz w:val="24"/>
          <w:szCs w:val="24"/>
          <w:lang w:val="en-US"/>
        </w:rPr>
        <w:t>r</w:t>
      </w:r>
      <w:proofErr w:type="spellEnd"/>
      <w:r w:rsidRPr="00C80780">
        <w:rPr>
          <w:rFonts w:ascii="Times New Roman" w:hAnsi="Times New Roman" w:cs="Times New Roman"/>
          <w:sz w:val="24"/>
          <w:szCs w:val="24"/>
          <w:lang w:val="en-US"/>
        </w:rPr>
        <w:t xml:space="preserve"> by investors. </w:t>
      </w:r>
      <w:r>
        <w:rPr>
          <w:rFonts w:ascii="Times New Roman" w:hAnsi="Times New Roman" w:cs="Times New Roman"/>
          <w:sz w:val="24"/>
          <w:szCs w:val="24"/>
          <w:lang w:val="en-US"/>
        </w:rPr>
        <w:t xml:space="preserve">It is important for all stakeholders associated with the </w:t>
      </w:r>
      <w:r w:rsidR="009C10BE">
        <w:rPr>
          <w:rFonts w:ascii="Times New Roman" w:hAnsi="Times New Roman" w:cs="Times New Roman"/>
          <w:sz w:val="24"/>
          <w:szCs w:val="24"/>
          <w:lang w:val="en-US"/>
        </w:rPr>
        <w:t xml:space="preserve">stock </w:t>
      </w:r>
      <w:r>
        <w:rPr>
          <w:rFonts w:ascii="Times New Roman" w:hAnsi="Times New Roman" w:cs="Times New Roman"/>
          <w:sz w:val="24"/>
          <w:szCs w:val="24"/>
          <w:lang w:val="en-US"/>
        </w:rPr>
        <w:t xml:space="preserve">market, i.e. individual investors, fund </w:t>
      </w:r>
      <w:r w:rsidR="009C10BE">
        <w:rPr>
          <w:rFonts w:ascii="Times New Roman" w:hAnsi="Times New Roman" w:cs="Times New Roman"/>
          <w:sz w:val="24"/>
          <w:szCs w:val="24"/>
          <w:lang w:val="en-US"/>
        </w:rPr>
        <w:t xml:space="preserve">and portfolio </w:t>
      </w:r>
      <w:r>
        <w:rPr>
          <w:rFonts w:ascii="Times New Roman" w:hAnsi="Times New Roman" w:cs="Times New Roman"/>
          <w:sz w:val="24"/>
          <w:szCs w:val="24"/>
          <w:lang w:val="en-US"/>
        </w:rPr>
        <w:t xml:space="preserve">managers, firms, policymakers and regulators, to </w:t>
      </w:r>
      <w:r w:rsidRPr="00C80780">
        <w:rPr>
          <w:rFonts w:ascii="Times New Roman" w:hAnsi="Times New Roman" w:cs="Times New Roman"/>
          <w:sz w:val="24"/>
          <w:szCs w:val="24"/>
          <w:lang w:val="en-US"/>
        </w:rPr>
        <w:t xml:space="preserve">learn about the nature of the challenge </w:t>
      </w:r>
      <w:r>
        <w:rPr>
          <w:rFonts w:ascii="Times New Roman" w:hAnsi="Times New Roman" w:cs="Times New Roman"/>
          <w:sz w:val="24"/>
          <w:szCs w:val="24"/>
          <w:lang w:val="en-US"/>
        </w:rPr>
        <w:t>they</w:t>
      </w:r>
      <w:r w:rsidRPr="00C80780">
        <w:rPr>
          <w:rFonts w:ascii="Times New Roman" w:hAnsi="Times New Roman" w:cs="Times New Roman"/>
          <w:sz w:val="24"/>
          <w:szCs w:val="24"/>
          <w:lang w:val="en-US"/>
        </w:rPr>
        <w:t xml:space="preserve"> are facing in these </w:t>
      </w:r>
      <w:r w:rsidR="009C10BE">
        <w:rPr>
          <w:rFonts w:ascii="Times New Roman" w:hAnsi="Times New Roman" w:cs="Times New Roman"/>
          <w:sz w:val="24"/>
          <w:szCs w:val="24"/>
          <w:lang w:val="en-US"/>
        </w:rPr>
        <w:t>stressful</w:t>
      </w:r>
      <w:r w:rsidRPr="00C80780">
        <w:rPr>
          <w:rFonts w:ascii="Times New Roman" w:hAnsi="Times New Roman" w:cs="Times New Roman"/>
          <w:sz w:val="24"/>
          <w:szCs w:val="24"/>
          <w:lang w:val="en-US"/>
        </w:rPr>
        <w:t xml:space="preserve"> times. </w:t>
      </w:r>
      <w:r>
        <w:rPr>
          <w:rFonts w:ascii="Times New Roman" w:hAnsi="Times New Roman" w:cs="Times New Roman"/>
          <w:sz w:val="24"/>
          <w:szCs w:val="24"/>
          <w:lang w:val="en-US"/>
        </w:rPr>
        <w:t>Such</w:t>
      </w:r>
      <w:r w:rsidRPr="00C80780">
        <w:rPr>
          <w:rFonts w:ascii="Times New Roman" w:hAnsi="Times New Roman" w:cs="Times New Roman"/>
          <w:sz w:val="24"/>
          <w:szCs w:val="24"/>
          <w:lang w:val="en-US"/>
        </w:rPr>
        <w:t xml:space="preserve"> stock price reactions suggest that broad actions, including fiscal policy </w:t>
      </w:r>
      <w:r w:rsidR="00616BB3">
        <w:rPr>
          <w:rFonts w:ascii="Times New Roman" w:hAnsi="Times New Roman" w:cs="Times New Roman"/>
          <w:sz w:val="24"/>
          <w:szCs w:val="24"/>
          <w:lang w:val="en-US"/>
        </w:rPr>
        <w:t xml:space="preserve">or central bank </w:t>
      </w:r>
      <w:r w:rsidRPr="00C80780">
        <w:rPr>
          <w:rFonts w:ascii="Times New Roman" w:hAnsi="Times New Roman" w:cs="Times New Roman"/>
          <w:sz w:val="24"/>
          <w:szCs w:val="24"/>
          <w:lang w:val="en-US"/>
        </w:rPr>
        <w:t xml:space="preserve">interventions, are required to avoid further negative outcomes and propagations of the </w:t>
      </w:r>
      <w:r w:rsidR="00E81DE4">
        <w:rPr>
          <w:rFonts w:ascii="Times New Roman" w:hAnsi="Times New Roman" w:cs="Times New Roman"/>
          <w:sz w:val="24"/>
          <w:szCs w:val="24"/>
          <w:lang w:val="en-US"/>
        </w:rPr>
        <w:t>C</w:t>
      </w:r>
      <w:r w:rsidR="009C10BE">
        <w:rPr>
          <w:rFonts w:ascii="Times New Roman" w:hAnsi="Times New Roman" w:cs="Times New Roman"/>
          <w:sz w:val="24"/>
          <w:szCs w:val="24"/>
          <w:lang w:val="en-US"/>
        </w:rPr>
        <w:t>ovid</w:t>
      </w:r>
      <w:r w:rsidRPr="00C80780">
        <w:rPr>
          <w:rFonts w:ascii="Times New Roman" w:hAnsi="Times New Roman" w:cs="Times New Roman"/>
          <w:sz w:val="24"/>
          <w:szCs w:val="24"/>
          <w:lang w:val="en-US"/>
        </w:rPr>
        <w:t xml:space="preserve">-19 shock. </w:t>
      </w:r>
      <w:r>
        <w:rPr>
          <w:rFonts w:ascii="Times New Roman" w:hAnsi="Times New Roman" w:cs="Times New Roman"/>
          <w:sz w:val="24"/>
          <w:szCs w:val="24"/>
          <w:lang w:val="en-US"/>
        </w:rPr>
        <w:t>The changes behind this event</w:t>
      </w:r>
      <w:r w:rsidR="0040607A">
        <w:rPr>
          <w:rFonts w:ascii="Times New Roman" w:hAnsi="Times New Roman" w:cs="Times New Roman"/>
          <w:sz w:val="24"/>
          <w:szCs w:val="24"/>
          <w:lang w:val="en-US"/>
        </w:rPr>
        <w:t xml:space="preserve"> could</w:t>
      </w:r>
      <w:r w:rsidRPr="00C80780">
        <w:rPr>
          <w:rFonts w:ascii="Times New Roman" w:hAnsi="Times New Roman" w:cs="Times New Roman"/>
          <w:sz w:val="24"/>
          <w:szCs w:val="24"/>
          <w:lang w:val="en-US"/>
        </w:rPr>
        <w:t xml:space="preserve"> bring potentially massive social and political upheavals</w:t>
      </w:r>
      <w:r w:rsidR="0040607A">
        <w:rPr>
          <w:rFonts w:ascii="Times New Roman" w:hAnsi="Times New Roman" w:cs="Times New Roman"/>
          <w:sz w:val="24"/>
          <w:szCs w:val="24"/>
          <w:lang w:val="en-US"/>
        </w:rPr>
        <w:t xml:space="preserve">, especially if billions of wealth are lost through </w:t>
      </w:r>
      <w:r w:rsidR="009C10BE">
        <w:rPr>
          <w:rFonts w:ascii="Times New Roman" w:hAnsi="Times New Roman" w:cs="Times New Roman"/>
          <w:sz w:val="24"/>
          <w:szCs w:val="24"/>
          <w:lang w:val="en-US"/>
        </w:rPr>
        <w:t xml:space="preserve">the </w:t>
      </w:r>
      <w:r w:rsidR="0040607A">
        <w:rPr>
          <w:rFonts w:ascii="Times New Roman" w:hAnsi="Times New Roman" w:cs="Times New Roman"/>
          <w:sz w:val="24"/>
          <w:szCs w:val="24"/>
          <w:lang w:val="en-US"/>
        </w:rPr>
        <w:t>stock market</w:t>
      </w:r>
      <w:r w:rsidR="00104D89">
        <w:rPr>
          <w:rFonts w:ascii="Times New Roman" w:hAnsi="Times New Roman" w:cs="Times New Roman"/>
          <w:sz w:val="24"/>
          <w:szCs w:val="24"/>
          <w:lang w:val="en-US"/>
        </w:rPr>
        <w:t>, which necessitates the policymakers’ responses</w:t>
      </w:r>
      <w:r w:rsidR="002D2439">
        <w:rPr>
          <w:rFonts w:ascii="Times New Roman" w:hAnsi="Times New Roman" w:cs="Times New Roman"/>
          <w:sz w:val="24"/>
          <w:szCs w:val="24"/>
          <w:lang w:val="en-US"/>
        </w:rPr>
        <w:t>.</w:t>
      </w:r>
    </w:p>
    <w:p w14:paraId="2E99DF22" w14:textId="0CD06985" w:rsidR="009126CC" w:rsidRDefault="009126CC" w:rsidP="0007369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Moreover, the results imply that news on this</w:t>
      </w:r>
      <w:r w:rsidRPr="009126CC">
        <w:rPr>
          <w:rFonts w:ascii="Times New Roman" w:hAnsi="Times New Roman" w:cs="Times New Roman"/>
          <w:sz w:val="24"/>
          <w:szCs w:val="24"/>
          <w:lang w:val="en-US"/>
        </w:rPr>
        <w:t xml:space="preserve"> pandemic</w:t>
      </w:r>
      <w:r>
        <w:rPr>
          <w:rFonts w:ascii="Times New Roman" w:hAnsi="Times New Roman" w:cs="Times New Roman"/>
          <w:sz w:val="24"/>
          <w:szCs w:val="24"/>
          <w:lang w:val="en-US"/>
        </w:rPr>
        <w:t xml:space="preserve"> event</w:t>
      </w:r>
      <w:r w:rsidRPr="009126CC">
        <w:rPr>
          <w:rFonts w:ascii="Times New Roman" w:hAnsi="Times New Roman" w:cs="Times New Roman"/>
          <w:sz w:val="24"/>
          <w:szCs w:val="24"/>
          <w:lang w:val="en-US"/>
        </w:rPr>
        <w:t xml:space="preserve"> is richer and diffuses much more rapidly </w:t>
      </w:r>
      <w:r>
        <w:rPr>
          <w:rFonts w:ascii="Times New Roman" w:hAnsi="Times New Roman" w:cs="Times New Roman"/>
          <w:sz w:val="24"/>
          <w:szCs w:val="24"/>
          <w:lang w:val="en-US"/>
        </w:rPr>
        <w:t>across market environments.</w:t>
      </w:r>
      <w:r w:rsidRPr="009126CC">
        <w:rPr>
          <w:rFonts w:ascii="Times New Roman" w:hAnsi="Times New Roman" w:cs="Times New Roman"/>
          <w:sz w:val="24"/>
          <w:szCs w:val="24"/>
          <w:lang w:val="en-US"/>
        </w:rPr>
        <w:t xml:space="preserve"> </w:t>
      </w:r>
      <w:r>
        <w:rPr>
          <w:rFonts w:ascii="Times New Roman" w:hAnsi="Times New Roman" w:cs="Times New Roman"/>
          <w:sz w:val="24"/>
          <w:szCs w:val="24"/>
          <w:lang w:val="en-US"/>
        </w:rPr>
        <w:t>Therefore</w:t>
      </w:r>
      <w:r w:rsidRPr="009126CC">
        <w:rPr>
          <w:rFonts w:ascii="Times New Roman" w:hAnsi="Times New Roman" w:cs="Times New Roman"/>
          <w:sz w:val="24"/>
          <w:szCs w:val="24"/>
          <w:lang w:val="en-US"/>
        </w:rPr>
        <w:t xml:space="preserve">, the stock market impact of the </w:t>
      </w:r>
      <w:r w:rsidR="00E81DE4">
        <w:rPr>
          <w:rFonts w:ascii="Times New Roman" w:hAnsi="Times New Roman" w:cs="Times New Roman"/>
          <w:sz w:val="24"/>
          <w:szCs w:val="24"/>
          <w:lang w:val="en-US"/>
        </w:rPr>
        <w:t>C</w:t>
      </w:r>
      <w:r w:rsidR="009C10BE">
        <w:rPr>
          <w:rFonts w:ascii="Times New Roman" w:hAnsi="Times New Roman" w:cs="Times New Roman"/>
          <w:sz w:val="24"/>
          <w:szCs w:val="24"/>
          <w:lang w:val="en-US"/>
        </w:rPr>
        <w:t>ovid</w:t>
      </w:r>
      <w:r w:rsidRPr="009126CC">
        <w:rPr>
          <w:rFonts w:ascii="Times New Roman" w:hAnsi="Times New Roman" w:cs="Times New Roman"/>
          <w:sz w:val="24"/>
          <w:szCs w:val="24"/>
          <w:lang w:val="en-US"/>
        </w:rPr>
        <w:t xml:space="preserve">-19 pandemic is </w:t>
      </w:r>
      <w:r>
        <w:rPr>
          <w:rFonts w:ascii="Times New Roman" w:hAnsi="Times New Roman" w:cs="Times New Roman"/>
          <w:sz w:val="24"/>
          <w:szCs w:val="24"/>
          <w:lang w:val="en-US"/>
        </w:rPr>
        <w:t>highly</w:t>
      </w:r>
      <w:r w:rsidRPr="009126CC">
        <w:rPr>
          <w:rFonts w:ascii="Times New Roman" w:hAnsi="Times New Roman" w:cs="Times New Roman"/>
          <w:sz w:val="24"/>
          <w:szCs w:val="24"/>
          <w:lang w:val="en-US"/>
        </w:rPr>
        <w:t xml:space="preserve"> likely to trigger daily stock market jumps and high stock</w:t>
      </w:r>
      <w:r>
        <w:rPr>
          <w:rFonts w:ascii="Times New Roman" w:hAnsi="Times New Roman" w:cs="Times New Roman"/>
          <w:sz w:val="24"/>
          <w:szCs w:val="24"/>
          <w:lang w:val="en-US"/>
        </w:rPr>
        <w:t xml:space="preserve"> </w:t>
      </w:r>
      <w:r w:rsidRPr="009126CC">
        <w:rPr>
          <w:rFonts w:ascii="Times New Roman" w:hAnsi="Times New Roman" w:cs="Times New Roman"/>
          <w:sz w:val="24"/>
          <w:szCs w:val="24"/>
          <w:lang w:val="en-US"/>
        </w:rPr>
        <w:t>market volatility</w:t>
      </w:r>
      <w:r w:rsidR="009C10BE">
        <w:rPr>
          <w:rFonts w:ascii="Times New Roman" w:hAnsi="Times New Roman" w:cs="Times New Roman"/>
          <w:sz w:val="24"/>
          <w:szCs w:val="24"/>
          <w:lang w:val="en-US"/>
        </w:rPr>
        <w:t xml:space="preserve"> (events that deserve formal research in future empirical </w:t>
      </w:r>
      <w:r w:rsidR="009C10BE">
        <w:rPr>
          <w:rFonts w:ascii="Times New Roman" w:hAnsi="Times New Roman" w:cs="Times New Roman"/>
          <w:sz w:val="24"/>
          <w:szCs w:val="24"/>
          <w:lang w:val="en-US"/>
        </w:rPr>
        <w:lastRenderedPageBreak/>
        <w:t>attempts)</w:t>
      </w:r>
      <w:r w:rsidRPr="009126CC">
        <w:rPr>
          <w:rFonts w:ascii="Times New Roman" w:hAnsi="Times New Roman" w:cs="Times New Roman"/>
          <w:sz w:val="24"/>
          <w:szCs w:val="24"/>
          <w:lang w:val="en-US"/>
        </w:rPr>
        <w:t>. As Velde (2020) discusses, the</w:t>
      </w:r>
      <w:r>
        <w:rPr>
          <w:rFonts w:ascii="Times New Roman" w:hAnsi="Times New Roman" w:cs="Times New Roman"/>
          <w:sz w:val="24"/>
          <w:szCs w:val="24"/>
          <w:lang w:val="en-US"/>
        </w:rPr>
        <w:t xml:space="preserve"> </w:t>
      </w:r>
      <w:r w:rsidRPr="009126CC">
        <w:rPr>
          <w:rFonts w:ascii="Times New Roman" w:hAnsi="Times New Roman" w:cs="Times New Roman"/>
          <w:sz w:val="24"/>
          <w:szCs w:val="24"/>
          <w:lang w:val="en-US"/>
        </w:rPr>
        <w:t xml:space="preserve">negative stock market impact of </w:t>
      </w:r>
      <w:r>
        <w:rPr>
          <w:rFonts w:ascii="Times New Roman" w:hAnsi="Times New Roman" w:cs="Times New Roman"/>
          <w:sz w:val="24"/>
          <w:szCs w:val="24"/>
          <w:lang w:val="en-US"/>
        </w:rPr>
        <w:t>a pandemic event</w:t>
      </w:r>
      <w:r w:rsidRPr="009126CC">
        <w:rPr>
          <w:rFonts w:ascii="Times New Roman" w:hAnsi="Times New Roman" w:cs="Times New Roman"/>
          <w:sz w:val="24"/>
          <w:szCs w:val="24"/>
          <w:lang w:val="en-US"/>
        </w:rPr>
        <w:t xml:space="preserve"> </w:t>
      </w:r>
      <w:r w:rsidR="00823BE5">
        <w:rPr>
          <w:rFonts w:ascii="Times New Roman" w:hAnsi="Times New Roman" w:cs="Times New Roman"/>
          <w:sz w:val="24"/>
          <w:szCs w:val="24"/>
          <w:lang w:val="en-US"/>
        </w:rPr>
        <w:t>wa</w:t>
      </w:r>
      <w:r>
        <w:rPr>
          <w:rFonts w:ascii="Times New Roman" w:hAnsi="Times New Roman" w:cs="Times New Roman"/>
          <w:sz w:val="24"/>
          <w:szCs w:val="24"/>
          <w:lang w:val="en-US"/>
        </w:rPr>
        <w:t>s</w:t>
      </w:r>
      <w:r w:rsidRPr="009126CC">
        <w:rPr>
          <w:rFonts w:ascii="Times New Roman" w:hAnsi="Times New Roman" w:cs="Times New Roman"/>
          <w:sz w:val="24"/>
          <w:szCs w:val="24"/>
          <w:lang w:val="en-US"/>
        </w:rPr>
        <w:t xml:space="preserve"> fairly modest </w:t>
      </w:r>
      <w:r>
        <w:rPr>
          <w:rFonts w:ascii="Times New Roman" w:hAnsi="Times New Roman" w:cs="Times New Roman"/>
          <w:sz w:val="24"/>
          <w:szCs w:val="24"/>
          <w:lang w:val="en-US"/>
        </w:rPr>
        <w:t xml:space="preserve">in the past, </w:t>
      </w:r>
      <w:r w:rsidRPr="009126CC">
        <w:rPr>
          <w:rFonts w:ascii="Times New Roman" w:hAnsi="Times New Roman" w:cs="Times New Roman"/>
          <w:sz w:val="24"/>
          <w:szCs w:val="24"/>
          <w:lang w:val="en-US"/>
        </w:rPr>
        <w:t>even over time spans of</w:t>
      </w:r>
      <w:r>
        <w:rPr>
          <w:rFonts w:ascii="Times New Roman" w:hAnsi="Times New Roman" w:cs="Times New Roman"/>
          <w:sz w:val="24"/>
          <w:szCs w:val="24"/>
          <w:lang w:val="en-US"/>
        </w:rPr>
        <w:t xml:space="preserve"> </w:t>
      </w:r>
      <w:r w:rsidRPr="009126CC">
        <w:rPr>
          <w:rFonts w:ascii="Times New Roman" w:hAnsi="Times New Roman" w:cs="Times New Roman"/>
          <w:sz w:val="24"/>
          <w:szCs w:val="24"/>
          <w:lang w:val="en-US"/>
        </w:rPr>
        <w:t xml:space="preserve">several months. </w:t>
      </w:r>
      <w:r w:rsidR="0007369E">
        <w:rPr>
          <w:rFonts w:ascii="Times New Roman" w:hAnsi="Times New Roman" w:cs="Times New Roman"/>
          <w:sz w:val="24"/>
          <w:szCs w:val="24"/>
          <w:lang w:val="en-US"/>
        </w:rPr>
        <w:t>Today, however</w:t>
      </w:r>
      <w:r w:rsidRPr="009126CC">
        <w:rPr>
          <w:rFonts w:ascii="Times New Roman" w:hAnsi="Times New Roman" w:cs="Times New Roman"/>
          <w:sz w:val="24"/>
          <w:szCs w:val="24"/>
          <w:lang w:val="en-US"/>
        </w:rPr>
        <w:t>, explanations that stress greater information availability and its more</w:t>
      </w:r>
      <w:r>
        <w:rPr>
          <w:rFonts w:ascii="Times New Roman" w:hAnsi="Times New Roman" w:cs="Times New Roman"/>
          <w:sz w:val="24"/>
          <w:szCs w:val="24"/>
          <w:lang w:val="en-US"/>
        </w:rPr>
        <w:t xml:space="preserve"> </w:t>
      </w:r>
      <w:r w:rsidRPr="009126CC">
        <w:rPr>
          <w:rFonts w:ascii="Times New Roman" w:hAnsi="Times New Roman" w:cs="Times New Roman"/>
          <w:sz w:val="24"/>
          <w:szCs w:val="24"/>
          <w:lang w:val="en-US"/>
        </w:rPr>
        <w:t xml:space="preserve">rapid diffusion </w:t>
      </w:r>
      <w:r>
        <w:rPr>
          <w:rFonts w:ascii="Times New Roman" w:hAnsi="Times New Roman" w:cs="Times New Roman"/>
          <w:sz w:val="24"/>
          <w:szCs w:val="24"/>
          <w:lang w:val="en-US"/>
        </w:rPr>
        <w:t xml:space="preserve">clearly </w:t>
      </w:r>
      <w:r w:rsidR="00212A17">
        <w:rPr>
          <w:rFonts w:ascii="Times New Roman" w:hAnsi="Times New Roman" w:cs="Times New Roman"/>
          <w:sz w:val="24"/>
          <w:szCs w:val="24"/>
          <w:lang w:val="en-US"/>
        </w:rPr>
        <w:t>rationalize</w:t>
      </w:r>
      <w:r w:rsidRPr="009126CC">
        <w:rPr>
          <w:rFonts w:ascii="Times New Roman" w:hAnsi="Times New Roman" w:cs="Times New Roman"/>
          <w:sz w:val="24"/>
          <w:szCs w:val="24"/>
          <w:lang w:val="en-US"/>
        </w:rPr>
        <w:t xml:space="preserve"> the huge stock market </w:t>
      </w:r>
      <w:r>
        <w:rPr>
          <w:rFonts w:ascii="Times New Roman" w:hAnsi="Times New Roman" w:cs="Times New Roman"/>
          <w:sz w:val="24"/>
          <w:szCs w:val="24"/>
          <w:lang w:val="en-US"/>
        </w:rPr>
        <w:t>effect</w:t>
      </w:r>
      <w:r w:rsidRPr="009126CC">
        <w:rPr>
          <w:rFonts w:ascii="Times New Roman" w:hAnsi="Times New Roman" w:cs="Times New Roman"/>
          <w:sz w:val="24"/>
          <w:szCs w:val="24"/>
          <w:lang w:val="en-US"/>
        </w:rPr>
        <w:t xml:space="preserve"> since </w:t>
      </w:r>
      <w:r>
        <w:rPr>
          <w:rFonts w:ascii="Times New Roman" w:hAnsi="Times New Roman" w:cs="Times New Roman"/>
          <w:sz w:val="24"/>
          <w:szCs w:val="24"/>
          <w:lang w:val="en-US"/>
        </w:rPr>
        <w:t xml:space="preserve">the outbreak of the </w:t>
      </w:r>
      <w:r w:rsidR="00E81DE4">
        <w:rPr>
          <w:rFonts w:ascii="Times New Roman" w:hAnsi="Times New Roman" w:cs="Times New Roman"/>
          <w:sz w:val="24"/>
          <w:szCs w:val="24"/>
          <w:lang w:val="en-US"/>
        </w:rPr>
        <w:t>C</w:t>
      </w:r>
      <w:r w:rsidR="009C10BE">
        <w:rPr>
          <w:rFonts w:ascii="Times New Roman" w:hAnsi="Times New Roman" w:cs="Times New Roman"/>
          <w:sz w:val="24"/>
          <w:szCs w:val="24"/>
          <w:lang w:val="en-US"/>
        </w:rPr>
        <w:t>ovid</w:t>
      </w:r>
      <w:r>
        <w:rPr>
          <w:rFonts w:ascii="Times New Roman" w:hAnsi="Times New Roman" w:cs="Times New Roman"/>
          <w:sz w:val="24"/>
          <w:szCs w:val="24"/>
          <w:lang w:val="en-US"/>
        </w:rPr>
        <w:t>-19 pandemic</w:t>
      </w:r>
      <w:r w:rsidRPr="009126CC">
        <w:rPr>
          <w:rFonts w:ascii="Times New Roman" w:hAnsi="Times New Roman" w:cs="Times New Roman"/>
          <w:sz w:val="24"/>
          <w:szCs w:val="24"/>
          <w:lang w:val="en-US"/>
        </w:rPr>
        <w:t>.</w:t>
      </w:r>
      <w:r>
        <w:rPr>
          <w:rFonts w:ascii="Times New Roman" w:hAnsi="Times New Roman" w:cs="Times New Roman"/>
          <w:sz w:val="24"/>
          <w:szCs w:val="24"/>
          <w:lang w:val="en-US"/>
        </w:rPr>
        <w:t xml:space="preserve"> All the above, is the way such (adverse) news is reflected </w:t>
      </w:r>
      <w:r w:rsidR="009C10BE">
        <w:rPr>
          <w:rFonts w:ascii="Times New Roman" w:hAnsi="Times New Roman" w:cs="Times New Roman"/>
          <w:sz w:val="24"/>
          <w:szCs w:val="24"/>
          <w:lang w:val="en-US"/>
        </w:rPr>
        <w:t>onto</w:t>
      </w:r>
      <w:r>
        <w:rPr>
          <w:rFonts w:ascii="Times New Roman" w:hAnsi="Times New Roman" w:cs="Times New Roman"/>
          <w:sz w:val="24"/>
          <w:szCs w:val="24"/>
          <w:lang w:val="en-US"/>
        </w:rPr>
        <w:t xml:space="preserve"> stock prices </w:t>
      </w:r>
      <w:r w:rsidR="0007369E">
        <w:rPr>
          <w:rFonts w:ascii="Times New Roman" w:hAnsi="Times New Roman" w:cs="Times New Roman"/>
          <w:sz w:val="24"/>
          <w:szCs w:val="24"/>
          <w:lang w:val="en-US"/>
        </w:rPr>
        <w:t xml:space="preserve">as </w:t>
      </w:r>
      <w:r w:rsidRPr="009126CC">
        <w:rPr>
          <w:rFonts w:ascii="Times New Roman" w:hAnsi="Times New Roman" w:cs="Times New Roman"/>
          <w:sz w:val="24"/>
          <w:szCs w:val="24"/>
          <w:lang w:val="en-US"/>
        </w:rPr>
        <w:t xml:space="preserve">an early and visible reflection of the </w:t>
      </w:r>
      <w:r w:rsidR="0007369E">
        <w:rPr>
          <w:rFonts w:ascii="Times New Roman" w:hAnsi="Times New Roman" w:cs="Times New Roman"/>
          <w:sz w:val="24"/>
          <w:szCs w:val="24"/>
          <w:lang w:val="en-US"/>
        </w:rPr>
        <w:t>more</w:t>
      </w:r>
      <w:r w:rsidRPr="009126CC">
        <w:rPr>
          <w:rFonts w:ascii="Times New Roman" w:hAnsi="Times New Roman" w:cs="Times New Roman"/>
          <w:sz w:val="24"/>
          <w:szCs w:val="24"/>
          <w:lang w:val="en-US"/>
        </w:rPr>
        <w:t xml:space="preserve"> damage</w:t>
      </w:r>
      <w:r w:rsidR="0007369E">
        <w:rPr>
          <w:rFonts w:ascii="Times New Roman" w:hAnsi="Times New Roman" w:cs="Times New Roman"/>
          <w:sz w:val="24"/>
          <w:szCs w:val="24"/>
          <w:lang w:val="en-US"/>
        </w:rPr>
        <w:t xml:space="preserve">s to come (through various sectors in the real economy, i.e. health markets, </w:t>
      </w:r>
      <w:proofErr w:type="spellStart"/>
      <w:r w:rsidR="00212A17">
        <w:rPr>
          <w:rFonts w:ascii="Times New Roman" w:hAnsi="Times New Roman" w:cs="Times New Roman"/>
          <w:sz w:val="24"/>
          <w:szCs w:val="24"/>
          <w:lang w:val="en-US"/>
        </w:rPr>
        <w:t>labo</w:t>
      </w:r>
      <w:r w:rsidR="009C10BE">
        <w:rPr>
          <w:rFonts w:ascii="Times New Roman" w:hAnsi="Times New Roman" w:cs="Times New Roman"/>
          <w:sz w:val="24"/>
          <w:szCs w:val="24"/>
          <w:lang w:val="en-US"/>
        </w:rPr>
        <w:t>u</w:t>
      </w:r>
      <w:r w:rsidR="00212A17">
        <w:rPr>
          <w:rFonts w:ascii="Times New Roman" w:hAnsi="Times New Roman" w:cs="Times New Roman"/>
          <w:sz w:val="24"/>
          <w:szCs w:val="24"/>
          <w:lang w:val="en-US"/>
        </w:rPr>
        <w:t>r</w:t>
      </w:r>
      <w:proofErr w:type="spellEnd"/>
      <w:r w:rsidR="0007369E">
        <w:rPr>
          <w:rFonts w:ascii="Times New Roman" w:hAnsi="Times New Roman" w:cs="Times New Roman"/>
          <w:sz w:val="24"/>
          <w:szCs w:val="24"/>
          <w:lang w:val="en-US"/>
        </w:rPr>
        <w:t xml:space="preserve"> markets, tourism and transportation markets)</w:t>
      </w:r>
      <w:r w:rsidRPr="009126CC">
        <w:rPr>
          <w:rFonts w:ascii="Times New Roman" w:hAnsi="Times New Roman" w:cs="Times New Roman"/>
          <w:sz w:val="24"/>
          <w:szCs w:val="24"/>
          <w:lang w:val="en-US"/>
        </w:rPr>
        <w:t xml:space="preserve">. </w:t>
      </w:r>
    </w:p>
    <w:p w14:paraId="2E1E7FD4" w14:textId="66A263E9" w:rsidR="009C10BE" w:rsidRDefault="009C10BE" w:rsidP="009C10BE">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Finally, f</w:t>
      </w:r>
      <w:r w:rsidR="002D775B">
        <w:rPr>
          <w:rFonts w:ascii="Times New Roman" w:hAnsi="Times New Roman" w:cs="Times New Roman"/>
          <w:sz w:val="24"/>
          <w:szCs w:val="24"/>
          <w:lang w:val="en-US"/>
        </w:rPr>
        <w:t>uture research venues could explore how the C</w:t>
      </w:r>
      <w:r>
        <w:rPr>
          <w:rFonts w:ascii="Times New Roman" w:hAnsi="Times New Roman" w:cs="Times New Roman"/>
          <w:sz w:val="24"/>
          <w:szCs w:val="24"/>
          <w:lang w:val="en-US"/>
        </w:rPr>
        <w:t>ovid</w:t>
      </w:r>
      <w:r w:rsidR="002D775B">
        <w:rPr>
          <w:rFonts w:ascii="Times New Roman" w:hAnsi="Times New Roman" w:cs="Times New Roman"/>
          <w:sz w:val="24"/>
          <w:szCs w:val="24"/>
          <w:lang w:val="en-US"/>
        </w:rPr>
        <w:t>-19 event has impacted different C</w:t>
      </w:r>
      <w:r w:rsidR="002D2439">
        <w:rPr>
          <w:rFonts w:ascii="Times New Roman" w:hAnsi="Times New Roman" w:cs="Times New Roman"/>
          <w:sz w:val="24"/>
          <w:szCs w:val="24"/>
          <w:lang w:val="en-US"/>
        </w:rPr>
        <w:t>hinese</w:t>
      </w:r>
      <w:r w:rsidR="002D775B" w:rsidRPr="00C80780">
        <w:rPr>
          <w:rFonts w:ascii="Times New Roman" w:hAnsi="Times New Roman" w:cs="Times New Roman"/>
          <w:sz w:val="24"/>
          <w:szCs w:val="24"/>
          <w:lang w:val="en-US"/>
        </w:rPr>
        <w:t xml:space="preserve"> sectors and </w:t>
      </w:r>
      <w:r w:rsidR="002D2439">
        <w:rPr>
          <w:rFonts w:ascii="Times New Roman" w:hAnsi="Times New Roman" w:cs="Times New Roman"/>
          <w:sz w:val="24"/>
          <w:szCs w:val="24"/>
          <w:lang w:val="en-US"/>
        </w:rPr>
        <w:t xml:space="preserve">individual </w:t>
      </w:r>
      <w:r w:rsidR="002D775B" w:rsidRPr="00C80780">
        <w:rPr>
          <w:rFonts w:ascii="Times New Roman" w:hAnsi="Times New Roman" w:cs="Times New Roman"/>
          <w:sz w:val="24"/>
          <w:szCs w:val="24"/>
          <w:lang w:val="en-US"/>
        </w:rPr>
        <w:t>companies</w:t>
      </w:r>
      <w:r w:rsidR="002D2439">
        <w:rPr>
          <w:rFonts w:ascii="Times New Roman" w:hAnsi="Times New Roman" w:cs="Times New Roman"/>
          <w:sz w:val="24"/>
          <w:szCs w:val="24"/>
          <w:lang w:val="en-US"/>
        </w:rPr>
        <w:t xml:space="preserve"> and their corresponding listed stocks</w:t>
      </w:r>
      <w:r w:rsidR="002D775B" w:rsidRPr="00C80780">
        <w:rPr>
          <w:rFonts w:ascii="Times New Roman" w:hAnsi="Times New Roman" w:cs="Times New Roman"/>
          <w:sz w:val="24"/>
          <w:szCs w:val="24"/>
          <w:lang w:val="en-US"/>
        </w:rPr>
        <w:t>.</w:t>
      </w:r>
      <w:r w:rsidR="002D775B" w:rsidRPr="009126CC">
        <w:rPr>
          <w:lang w:val="en-US"/>
        </w:rPr>
        <w:t xml:space="preserve"> </w:t>
      </w:r>
      <w:r w:rsidR="00140425">
        <w:rPr>
          <w:rFonts w:ascii="Times New Roman" w:hAnsi="Times New Roman" w:cs="Times New Roman"/>
          <w:sz w:val="24"/>
          <w:szCs w:val="24"/>
          <w:lang w:val="en-US"/>
        </w:rPr>
        <w:t>In addition, the impact of Covid-19 factor could be also explored within an asymmetric conditional volatility framework.</w:t>
      </w:r>
      <w:r w:rsidR="00B03E38">
        <w:rPr>
          <w:rFonts w:ascii="Times New Roman" w:hAnsi="Times New Roman" w:cs="Times New Roman"/>
          <w:sz w:val="24"/>
          <w:szCs w:val="24"/>
          <w:lang w:val="en-US"/>
        </w:rPr>
        <w:t xml:space="preserve"> Apparently, this study can be extended to include many more stock markets that can be explored either on a time series or a panel basis.</w:t>
      </w:r>
    </w:p>
    <w:p w14:paraId="7EDFDF12" w14:textId="6D7DB849" w:rsidR="00205375" w:rsidRDefault="00205375" w:rsidP="00205375">
      <w:pPr>
        <w:spacing w:line="360" w:lineRule="auto"/>
        <w:jc w:val="both"/>
        <w:rPr>
          <w:rFonts w:ascii="Times New Roman" w:hAnsi="Times New Roman" w:cs="Times New Roman"/>
          <w:sz w:val="24"/>
          <w:szCs w:val="24"/>
          <w:lang w:val="en-US"/>
        </w:rPr>
      </w:pPr>
    </w:p>
    <w:p w14:paraId="36236E58" w14:textId="77777777" w:rsidR="00205375" w:rsidRPr="00205375" w:rsidRDefault="00205375" w:rsidP="00205375">
      <w:pPr>
        <w:spacing w:line="360" w:lineRule="auto"/>
        <w:jc w:val="both"/>
        <w:rPr>
          <w:rFonts w:ascii="Times New Roman" w:hAnsi="Times New Roman" w:cs="Times New Roman"/>
          <w:b/>
          <w:bCs/>
          <w:sz w:val="24"/>
          <w:szCs w:val="24"/>
          <w:lang w:val="en-US"/>
        </w:rPr>
      </w:pPr>
      <w:r w:rsidRPr="00205375">
        <w:rPr>
          <w:rFonts w:ascii="Times New Roman" w:hAnsi="Times New Roman" w:cs="Times New Roman"/>
          <w:b/>
          <w:bCs/>
          <w:sz w:val="24"/>
          <w:szCs w:val="24"/>
          <w:lang w:val="en-US"/>
        </w:rPr>
        <w:t>Disclosure statement</w:t>
      </w:r>
    </w:p>
    <w:p w14:paraId="0B13C760" w14:textId="09F93CAA" w:rsidR="00205375" w:rsidRDefault="00205375" w:rsidP="00205375">
      <w:pPr>
        <w:spacing w:line="360" w:lineRule="auto"/>
        <w:jc w:val="both"/>
        <w:rPr>
          <w:rFonts w:ascii="Times New Roman" w:hAnsi="Times New Roman" w:cs="Times New Roman"/>
          <w:sz w:val="24"/>
          <w:szCs w:val="24"/>
          <w:lang w:val="en-US"/>
        </w:rPr>
      </w:pPr>
      <w:r w:rsidRPr="00205375">
        <w:rPr>
          <w:rFonts w:ascii="Times New Roman" w:hAnsi="Times New Roman" w:cs="Times New Roman"/>
          <w:sz w:val="24"/>
          <w:szCs w:val="24"/>
          <w:lang w:val="en-US"/>
        </w:rPr>
        <w:t>No potential conflict of interest was reported by the authors.</w:t>
      </w:r>
    </w:p>
    <w:p w14:paraId="3998F4D0" w14:textId="3BF4AC19" w:rsidR="00205375" w:rsidRDefault="00205375" w:rsidP="00205375">
      <w:pPr>
        <w:spacing w:line="360" w:lineRule="auto"/>
        <w:jc w:val="both"/>
        <w:rPr>
          <w:rFonts w:ascii="Times New Roman" w:hAnsi="Times New Roman" w:cs="Times New Roman"/>
          <w:sz w:val="24"/>
          <w:szCs w:val="24"/>
          <w:lang w:val="en-US"/>
        </w:rPr>
      </w:pPr>
    </w:p>
    <w:p w14:paraId="7B667978" w14:textId="77777777" w:rsidR="00205375" w:rsidRPr="00205375" w:rsidRDefault="00205375" w:rsidP="00205375">
      <w:pPr>
        <w:spacing w:line="360" w:lineRule="auto"/>
        <w:jc w:val="both"/>
        <w:rPr>
          <w:rFonts w:ascii="Times New Roman" w:hAnsi="Times New Roman" w:cs="Times New Roman"/>
          <w:b/>
          <w:bCs/>
          <w:sz w:val="24"/>
          <w:szCs w:val="24"/>
          <w:lang w:val="en-US"/>
        </w:rPr>
      </w:pPr>
      <w:r w:rsidRPr="00205375">
        <w:rPr>
          <w:rFonts w:ascii="Times New Roman" w:hAnsi="Times New Roman" w:cs="Times New Roman"/>
          <w:b/>
          <w:bCs/>
          <w:sz w:val="24"/>
          <w:szCs w:val="24"/>
          <w:lang w:val="en-US"/>
        </w:rPr>
        <w:t>Funding</w:t>
      </w:r>
    </w:p>
    <w:p w14:paraId="347B216F" w14:textId="03D4E6D3" w:rsidR="00205375" w:rsidRDefault="00205375" w:rsidP="00205375">
      <w:pPr>
        <w:spacing w:line="360" w:lineRule="auto"/>
        <w:jc w:val="both"/>
        <w:rPr>
          <w:rFonts w:ascii="Times New Roman" w:hAnsi="Times New Roman" w:cs="Times New Roman"/>
          <w:sz w:val="24"/>
          <w:szCs w:val="24"/>
          <w:lang w:val="en-US"/>
        </w:rPr>
      </w:pPr>
      <w:r w:rsidRPr="00205375">
        <w:rPr>
          <w:rFonts w:ascii="Times New Roman" w:hAnsi="Times New Roman" w:cs="Times New Roman"/>
          <w:sz w:val="24"/>
          <w:szCs w:val="24"/>
          <w:lang w:val="en-US"/>
        </w:rPr>
        <w:t>This research did not receive any specific grant from funding agencies in the public, commercial, or not-for-profit</w:t>
      </w:r>
      <w:r>
        <w:rPr>
          <w:rFonts w:ascii="Times New Roman" w:hAnsi="Times New Roman" w:cs="Times New Roman"/>
          <w:sz w:val="24"/>
          <w:szCs w:val="24"/>
          <w:lang w:val="en-US"/>
        </w:rPr>
        <w:t xml:space="preserve"> </w:t>
      </w:r>
      <w:r w:rsidRPr="00205375">
        <w:rPr>
          <w:rFonts w:ascii="Times New Roman" w:hAnsi="Times New Roman" w:cs="Times New Roman"/>
          <w:sz w:val="24"/>
          <w:szCs w:val="24"/>
          <w:lang w:val="en-US"/>
        </w:rPr>
        <w:t>sectors.</w:t>
      </w:r>
    </w:p>
    <w:p w14:paraId="0FF13542" w14:textId="1477FB5E" w:rsidR="00421B9C" w:rsidRDefault="00421B9C">
      <w:pPr>
        <w:rPr>
          <w:rFonts w:ascii="Times New Roman" w:hAnsi="Times New Roman" w:cs="Times New Roman"/>
          <w:sz w:val="24"/>
          <w:szCs w:val="24"/>
          <w:lang w:val="en-US"/>
        </w:rPr>
      </w:pPr>
    </w:p>
    <w:p w14:paraId="74F89CBF" w14:textId="631AA322" w:rsidR="008D7C0F" w:rsidRPr="00AE4119" w:rsidRDefault="008D7C0F" w:rsidP="009C10BE">
      <w:pPr>
        <w:spacing w:line="360" w:lineRule="auto"/>
        <w:jc w:val="both"/>
        <w:rPr>
          <w:rFonts w:ascii="Times New Roman" w:hAnsi="Times New Roman" w:cs="Times New Roman"/>
          <w:b/>
          <w:bCs/>
          <w:sz w:val="24"/>
          <w:szCs w:val="24"/>
          <w:lang w:val="en-US"/>
        </w:rPr>
      </w:pPr>
      <w:r w:rsidRPr="00AE4119">
        <w:rPr>
          <w:rFonts w:ascii="Times New Roman" w:hAnsi="Times New Roman" w:cs="Times New Roman"/>
          <w:b/>
          <w:bCs/>
          <w:sz w:val="24"/>
          <w:szCs w:val="24"/>
          <w:lang w:val="en-US"/>
        </w:rPr>
        <w:t>References</w:t>
      </w:r>
    </w:p>
    <w:p w14:paraId="21022FAD" w14:textId="0668DCD4" w:rsidR="00421B9C" w:rsidRPr="00671681" w:rsidRDefault="00421B9C" w:rsidP="009C10BE">
      <w:pPr>
        <w:spacing w:line="360" w:lineRule="auto"/>
        <w:ind w:left="630" w:hanging="630"/>
        <w:jc w:val="both"/>
        <w:rPr>
          <w:rFonts w:ascii="Times New Roman" w:hAnsi="Times New Roman" w:cs="Times New Roman"/>
          <w:sz w:val="24"/>
          <w:szCs w:val="24"/>
          <w:shd w:val="clear" w:color="auto" w:fill="FFFFFF"/>
          <w:lang w:val="en-US"/>
        </w:rPr>
      </w:pPr>
      <w:r w:rsidRPr="00671681">
        <w:rPr>
          <w:rFonts w:ascii="Times New Roman" w:hAnsi="Times New Roman" w:cs="Times New Roman"/>
          <w:sz w:val="24"/>
          <w:szCs w:val="24"/>
          <w:shd w:val="clear" w:color="auto" w:fill="FFFFFF"/>
          <w:lang w:val="en-US"/>
        </w:rPr>
        <w:t>Al-Awadhi, A. M., Al-</w:t>
      </w:r>
      <w:proofErr w:type="spellStart"/>
      <w:r w:rsidRPr="00671681">
        <w:rPr>
          <w:rFonts w:ascii="Times New Roman" w:hAnsi="Times New Roman" w:cs="Times New Roman"/>
          <w:sz w:val="24"/>
          <w:szCs w:val="24"/>
          <w:shd w:val="clear" w:color="auto" w:fill="FFFFFF"/>
          <w:lang w:val="en-US"/>
        </w:rPr>
        <w:t>Saifi</w:t>
      </w:r>
      <w:proofErr w:type="spellEnd"/>
      <w:r w:rsidRPr="00671681">
        <w:rPr>
          <w:rFonts w:ascii="Times New Roman" w:hAnsi="Times New Roman" w:cs="Times New Roman"/>
          <w:sz w:val="24"/>
          <w:szCs w:val="24"/>
          <w:shd w:val="clear" w:color="auto" w:fill="FFFFFF"/>
          <w:lang w:val="en-US"/>
        </w:rPr>
        <w:t xml:space="preserve">, K., Al-Awadhi, A., </w:t>
      </w:r>
      <w:r w:rsidR="00205375">
        <w:rPr>
          <w:rFonts w:ascii="Times New Roman" w:hAnsi="Times New Roman" w:cs="Times New Roman"/>
          <w:sz w:val="24"/>
          <w:szCs w:val="24"/>
          <w:shd w:val="clear" w:color="auto" w:fill="FFFFFF"/>
          <w:lang w:val="en-US"/>
        </w:rPr>
        <w:t>and</w:t>
      </w:r>
      <w:r w:rsidRPr="00671681">
        <w:rPr>
          <w:rFonts w:ascii="Times New Roman" w:hAnsi="Times New Roman" w:cs="Times New Roman"/>
          <w:sz w:val="24"/>
          <w:szCs w:val="24"/>
          <w:shd w:val="clear" w:color="auto" w:fill="FFFFFF"/>
          <w:lang w:val="en-US"/>
        </w:rPr>
        <w:t xml:space="preserve"> </w:t>
      </w:r>
      <w:proofErr w:type="spellStart"/>
      <w:r w:rsidRPr="00671681">
        <w:rPr>
          <w:rFonts w:ascii="Times New Roman" w:hAnsi="Times New Roman" w:cs="Times New Roman"/>
          <w:sz w:val="24"/>
          <w:szCs w:val="24"/>
          <w:shd w:val="clear" w:color="auto" w:fill="FFFFFF"/>
          <w:lang w:val="en-US"/>
        </w:rPr>
        <w:t>Alhamadi</w:t>
      </w:r>
      <w:proofErr w:type="spellEnd"/>
      <w:r w:rsidRPr="00671681">
        <w:rPr>
          <w:rFonts w:ascii="Times New Roman" w:hAnsi="Times New Roman" w:cs="Times New Roman"/>
          <w:sz w:val="24"/>
          <w:szCs w:val="24"/>
          <w:shd w:val="clear" w:color="auto" w:fill="FFFFFF"/>
          <w:lang w:val="en-US"/>
        </w:rPr>
        <w:t xml:space="preserve">, S. (2020). </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xml:space="preserve">Death and </w:t>
      </w:r>
      <w:r w:rsidR="00205375">
        <w:rPr>
          <w:rFonts w:ascii="Times New Roman" w:hAnsi="Times New Roman" w:cs="Times New Roman"/>
          <w:sz w:val="24"/>
          <w:szCs w:val="24"/>
          <w:shd w:val="clear" w:color="auto" w:fill="FFFFFF"/>
          <w:lang w:val="en-US"/>
        </w:rPr>
        <w:t>C</w:t>
      </w:r>
      <w:r w:rsidRPr="00671681">
        <w:rPr>
          <w:rFonts w:ascii="Times New Roman" w:hAnsi="Times New Roman" w:cs="Times New Roman"/>
          <w:sz w:val="24"/>
          <w:szCs w:val="24"/>
          <w:shd w:val="clear" w:color="auto" w:fill="FFFFFF"/>
          <w:lang w:val="en-US"/>
        </w:rPr>
        <w:t xml:space="preserve">ontagious </w:t>
      </w:r>
      <w:r w:rsidR="00205375">
        <w:rPr>
          <w:rFonts w:ascii="Times New Roman" w:hAnsi="Times New Roman" w:cs="Times New Roman"/>
          <w:sz w:val="24"/>
          <w:szCs w:val="24"/>
          <w:shd w:val="clear" w:color="auto" w:fill="FFFFFF"/>
          <w:lang w:val="en-US"/>
        </w:rPr>
        <w:t>I</w:t>
      </w:r>
      <w:r w:rsidRPr="00671681">
        <w:rPr>
          <w:rFonts w:ascii="Times New Roman" w:hAnsi="Times New Roman" w:cs="Times New Roman"/>
          <w:sz w:val="24"/>
          <w:szCs w:val="24"/>
          <w:shd w:val="clear" w:color="auto" w:fill="FFFFFF"/>
          <w:lang w:val="en-US"/>
        </w:rPr>
        <w:t xml:space="preserve">nfectious </w:t>
      </w:r>
      <w:r w:rsidR="00205375">
        <w:rPr>
          <w:rFonts w:ascii="Times New Roman" w:hAnsi="Times New Roman" w:cs="Times New Roman"/>
          <w:sz w:val="24"/>
          <w:szCs w:val="24"/>
          <w:shd w:val="clear" w:color="auto" w:fill="FFFFFF"/>
          <w:lang w:val="en-US"/>
        </w:rPr>
        <w:t>D</w:t>
      </w:r>
      <w:r w:rsidRPr="00671681">
        <w:rPr>
          <w:rFonts w:ascii="Times New Roman" w:hAnsi="Times New Roman" w:cs="Times New Roman"/>
          <w:sz w:val="24"/>
          <w:szCs w:val="24"/>
          <w:shd w:val="clear" w:color="auto" w:fill="FFFFFF"/>
          <w:lang w:val="en-US"/>
        </w:rPr>
        <w:t xml:space="preserve">iseases: </w:t>
      </w:r>
      <w:r w:rsidR="00205375">
        <w:rPr>
          <w:rFonts w:ascii="Times New Roman" w:hAnsi="Times New Roman" w:cs="Times New Roman"/>
          <w:sz w:val="24"/>
          <w:szCs w:val="24"/>
          <w:shd w:val="clear" w:color="auto" w:fill="FFFFFF"/>
          <w:lang w:val="en-US"/>
        </w:rPr>
        <w:t>I</w:t>
      </w:r>
      <w:r w:rsidRPr="00671681">
        <w:rPr>
          <w:rFonts w:ascii="Times New Roman" w:hAnsi="Times New Roman" w:cs="Times New Roman"/>
          <w:sz w:val="24"/>
          <w:szCs w:val="24"/>
          <w:shd w:val="clear" w:color="auto" w:fill="FFFFFF"/>
          <w:lang w:val="en-US"/>
        </w:rPr>
        <w:t xml:space="preserve">mpact of the COVID-19 </w:t>
      </w:r>
      <w:r w:rsidR="00205375">
        <w:rPr>
          <w:rFonts w:ascii="Times New Roman" w:hAnsi="Times New Roman" w:cs="Times New Roman"/>
          <w:sz w:val="24"/>
          <w:szCs w:val="24"/>
          <w:shd w:val="clear" w:color="auto" w:fill="FFFFFF"/>
          <w:lang w:val="en-US"/>
        </w:rPr>
        <w:t>V</w:t>
      </w:r>
      <w:r w:rsidRPr="00671681">
        <w:rPr>
          <w:rFonts w:ascii="Times New Roman" w:hAnsi="Times New Roman" w:cs="Times New Roman"/>
          <w:sz w:val="24"/>
          <w:szCs w:val="24"/>
          <w:shd w:val="clear" w:color="auto" w:fill="FFFFFF"/>
          <w:lang w:val="en-US"/>
        </w:rPr>
        <w:t xml:space="preserve">irus on </w:t>
      </w:r>
      <w:r w:rsidR="00205375">
        <w:rPr>
          <w:rFonts w:ascii="Times New Roman" w:hAnsi="Times New Roman" w:cs="Times New Roman"/>
          <w:sz w:val="24"/>
          <w:szCs w:val="24"/>
          <w:shd w:val="clear" w:color="auto" w:fill="FFFFFF"/>
          <w:lang w:val="en-US"/>
        </w:rPr>
        <w:t>S</w:t>
      </w:r>
      <w:r w:rsidRPr="00671681">
        <w:rPr>
          <w:rFonts w:ascii="Times New Roman" w:hAnsi="Times New Roman" w:cs="Times New Roman"/>
          <w:sz w:val="24"/>
          <w:szCs w:val="24"/>
          <w:shd w:val="clear" w:color="auto" w:fill="FFFFFF"/>
          <w:lang w:val="en-US"/>
        </w:rPr>
        <w:t xml:space="preserve">tock </w:t>
      </w:r>
      <w:r w:rsidR="00205375">
        <w:rPr>
          <w:rFonts w:ascii="Times New Roman" w:hAnsi="Times New Roman" w:cs="Times New Roman"/>
          <w:sz w:val="24"/>
          <w:szCs w:val="24"/>
          <w:shd w:val="clear" w:color="auto" w:fill="FFFFFF"/>
          <w:lang w:val="en-US"/>
        </w:rPr>
        <w:t>M</w:t>
      </w:r>
      <w:r w:rsidRPr="00671681">
        <w:rPr>
          <w:rFonts w:ascii="Times New Roman" w:hAnsi="Times New Roman" w:cs="Times New Roman"/>
          <w:sz w:val="24"/>
          <w:szCs w:val="24"/>
          <w:shd w:val="clear" w:color="auto" w:fill="FFFFFF"/>
          <w:lang w:val="en-US"/>
        </w:rPr>
        <w:t xml:space="preserve">arket </w:t>
      </w:r>
      <w:r w:rsidR="00205375">
        <w:rPr>
          <w:rFonts w:ascii="Times New Roman" w:hAnsi="Times New Roman" w:cs="Times New Roman"/>
          <w:sz w:val="24"/>
          <w:szCs w:val="24"/>
          <w:shd w:val="clear" w:color="auto" w:fill="FFFFFF"/>
          <w:lang w:val="en-US"/>
        </w:rPr>
        <w:t>R</w:t>
      </w:r>
      <w:r w:rsidRPr="00671681">
        <w:rPr>
          <w:rFonts w:ascii="Times New Roman" w:hAnsi="Times New Roman" w:cs="Times New Roman"/>
          <w:sz w:val="24"/>
          <w:szCs w:val="24"/>
          <w:shd w:val="clear" w:color="auto" w:fill="FFFFFF"/>
          <w:lang w:val="en-US"/>
        </w:rPr>
        <w:t>eturns.</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xml:space="preserve"> </w:t>
      </w:r>
      <w:r w:rsidRPr="00671681">
        <w:rPr>
          <w:rFonts w:ascii="Times New Roman" w:hAnsi="Times New Roman" w:cs="Times New Roman"/>
          <w:i/>
          <w:iCs/>
          <w:sz w:val="24"/>
          <w:szCs w:val="24"/>
          <w:lang w:val="en-US"/>
        </w:rPr>
        <w:t>Journal of Behavioral and Experimental Finance</w:t>
      </w:r>
      <w:r w:rsidR="009609B4">
        <w:rPr>
          <w:rFonts w:ascii="Times New Roman" w:hAnsi="Times New Roman" w:cs="Times New Roman"/>
          <w:i/>
          <w:iCs/>
          <w:sz w:val="24"/>
          <w:szCs w:val="24"/>
          <w:lang w:val="en-US"/>
        </w:rPr>
        <w:t xml:space="preserve"> (forthcoming)</w:t>
      </w:r>
      <w:r w:rsidRPr="00671681">
        <w:rPr>
          <w:rFonts w:ascii="Times New Roman" w:hAnsi="Times New Roman" w:cs="Times New Roman"/>
          <w:sz w:val="24"/>
          <w:szCs w:val="24"/>
          <w:shd w:val="clear" w:color="auto" w:fill="FFFFFF"/>
          <w:lang w:val="en-US"/>
        </w:rPr>
        <w:t>.</w:t>
      </w:r>
    </w:p>
    <w:p w14:paraId="6BEBC468" w14:textId="0BF49E23" w:rsidR="00421B9C" w:rsidRPr="00421B9C" w:rsidRDefault="00421B9C" w:rsidP="009C10BE">
      <w:pPr>
        <w:spacing w:line="360" w:lineRule="auto"/>
        <w:ind w:left="630" w:hanging="630"/>
        <w:jc w:val="both"/>
        <w:rPr>
          <w:rFonts w:ascii="Times New Roman" w:hAnsi="Times New Roman" w:cs="Times New Roman"/>
          <w:sz w:val="24"/>
          <w:szCs w:val="24"/>
          <w:lang w:val="en-US"/>
        </w:rPr>
      </w:pPr>
      <w:r w:rsidRPr="00421B9C">
        <w:rPr>
          <w:rFonts w:ascii="Times New Roman" w:hAnsi="Times New Roman" w:cs="Times New Roman"/>
          <w:sz w:val="24"/>
          <w:szCs w:val="24"/>
          <w:lang w:val="en-US"/>
        </w:rPr>
        <w:t xml:space="preserve">Apergis, N. </w:t>
      </w:r>
      <w:r w:rsidR="00212B73">
        <w:rPr>
          <w:rFonts w:ascii="Times New Roman" w:hAnsi="Times New Roman" w:cs="Times New Roman"/>
          <w:sz w:val="24"/>
          <w:szCs w:val="24"/>
          <w:lang w:val="en-US"/>
        </w:rPr>
        <w:t>(</w:t>
      </w:r>
      <w:r w:rsidRPr="00421B9C">
        <w:rPr>
          <w:rFonts w:ascii="Times New Roman" w:hAnsi="Times New Roman" w:cs="Times New Roman"/>
          <w:sz w:val="24"/>
          <w:szCs w:val="24"/>
          <w:lang w:val="en-US"/>
        </w:rPr>
        <w:t>1998</w:t>
      </w:r>
      <w:r w:rsidR="00212B73">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Stock </w:t>
      </w:r>
      <w:r w:rsidR="00205375">
        <w:rPr>
          <w:rFonts w:ascii="Times New Roman" w:hAnsi="Times New Roman" w:cs="Times New Roman"/>
          <w:sz w:val="24"/>
          <w:szCs w:val="24"/>
          <w:lang w:val="en-US"/>
        </w:rPr>
        <w:t>M</w:t>
      </w:r>
      <w:r w:rsidRPr="00421B9C">
        <w:rPr>
          <w:rFonts w:ascii="Times New Roman" w:hAnsi="Times New Roman" w:cs="Times New Roman"/>
          <w:sz w:val="24"/>
          <w:szCs w:val="24"/>
          <w:lang w:val="en-US"/>
        </w:rPr>
        <w:t xml:space="preserve">arket </w:t>
      </w:r>
      <w:r w:rsidR="00205375">
        <w:rPr>
          <w:rFonts w:ascii="Times New Roman" w:hAnsi="Times New Roman" w:cs="Times New Roman"/>
          <w:sz w:val="24"/>
          <w:szCs w:val="24"/>
          <w:lang w:val="en-US"/>
        </w:rPr>
        <w:t>V</w:t>
      </w:r>
      <w:r w:rsidRPr="00421B9C">
        <w:rPr>
          <w:rFonts w:ascii="Times New Roman" w:hAnsi="Times New Roman" w:cs="Times New Roman"/>
          <w:sz w:val="24"/>
          <w:szCs w:val="24"/>
          <w:lang w:val="en-US"/>
        </w:rPr>
        <w:t xml:space="preserve">olatility and </w:t>
      </w:r>
      <w:r w:rsidR="00205375">
        <w:rPr>
          <w:rFonts w:ascii="Times New Roman" w:hAnsi="Times New Roman" w:cs="Times New Roman"/>
          <w:sz w:val="24"/>
          <w:szCs w:val="24"/>
          <w:lang w:val="en-US"/>
        </w:rPr>
        <w:t>D</w:t>
      </w:r>
      <w:r w:rsidRPr="00421B9C">
        <w:rPr>
          <w:rFonts w:ascii="Times New Roman" w:hAnsi="Times New Roman" w:cs="Times New Roman"/>
          <w:sz w:val="24"/>
          <w:szCs w:val="24"/>
          <w:lang w:val="en-US"/>
        </w:rPr>
        <w:t xml:space="preserve">eviations from </w:t>
      </w:r>
      <w:r w:rsidR="00205375">
        <w:rPr>
          <w:rFonts w:ascii="Times New Roman" w:hAnsi="Times New Roman" w:cs="Times New Roman"/>
          <w:sz w:val="24"/>
          <w:szCs w:val="24"/>
          <w:lang w:val="en-US"/>
        </w:rPr>
        <w:t>M</w:t>
      </w:r>
      <w:r w:rsidRPr="00421B9C">
        <w:rPr>
          <w:rFonts w:ascii="Times New Roman" w:hAnsi="Times New Roman" w:cs="Times New Roman"/>
          <w:sz w:val="24"/>
          <w:szCs w:val="24"/>
          <w:lang w:val="en-US"/>
        </w:rPr>
        <w:t xml:space="preserve">acroeconomic </w:t>
      </w:r>
      <w:r w:rsidR="00205375">
        <w:rPr>
          <w:rFonts w:ascii="Times New Roman" w:hAnsi="Times New Roman" w:cs="Times New Roman"/>
          <w:sz w:val="24"/>
          <w:szCs w:val="24"/>
          <w:lang w:val="en-US"/>
        </w:rPr>
        <w:t>F</w:t>
      </w:r>
      <w:r w:rsidRPr="00421B9C">
        <w:rPr>
          <w:rFonts w:ascii="Times New Roman" w:hAnsi="Times New Roman" w:cs="Times New Roman"/>
          <w:sz w:val="24"/>
          <w:szCs w:val="24"/>
          <w:lang w:val="en-US"/>
        </w:rPr>
        <w:t xml:space="preserve">undamentals: </w:t>
      </w:r>
      <w:r w:rsidR="00205375">
        <w:rPr>
          <w:rFonts w:ascii="Times New Roman" w:hAnsi="Times New Roman" w:cs="Times New Roman"/>
          <w:sz w:val="24"/>
          <w:szCs w:val="24"/>
          <w:lang w:val="en-US"/>
        </w:rPr>
        <w:t>E</w:t>
      </w:r>
      <w:r w:rsidRPr="00421B9C">
        <w:rPr>
          <w:rFonts w:ascii="Times New Roman" w:hAnsi="Times New Roman" w:cs="Times New Roman"/>
          <w:sz w:val="24"/>
          <w:szCs w:val="24"/>
          <w:lang w:val="en-US"/>
        </w:rPr>
        <w:t>vidence from GARCH and GARCH-X Models.</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Pr="00212B73">
        <w:rPr>
          <w:rFonts w:ascii="Times New Roman" w:hAnsi="Times New Roman" w:cs="Times New Roman"/>
          <w:i/>
          <w:iCs/>
          <w:sz w:val="24"/>
          <w:szCs w:val="24"/>
          <w:lang w:val="en-US"/>
        </w:rPr>
        <w:t>Credit and Capital Markets</w:t>
      </w:r>
      <w:r w:rsidRPr="00421B9C">
        <w:rPr>
          <w:rFonts w:ascii="Times New Roman" w:hAnsi="Times New Roman" w:cs="Times New Roman"/>
          <w:sz w:val="24"/>
          <w:szCs w:val="24"/>
          <w:lang w:val="en-US"/>
        </w:rPr>
        <w:t xml:space="preserve"> 3</w:t>
      </w:r>
      <w:r w:rsidR="009609B4">
        <w:rPr>
          <w:rFonts w:ascii="Times New Roman" w:hAnsi="Times New Roman" w:cs="Times New Roman"/>
          <w:sz w:val="24"/>
          <w:szCs w:val="24"/>
          <w:lang w:val="en-US"/>
        </w:rPr>
        <w:t>(3)</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400-412.</w:t>
      </w:r>
    </w:p>
    <w:p w14:paraId="40DA3800" w14:textId="4DD3032B" w:rsidR="0099534C" w:rsidRDefault="00421B9C" w:rsidP="0099534C">
      <w:pPr>
        <w:spacing w:line="360" w:lineRule="auto"/>
        <w:ind w:left="630" w:hanging="630"/>
        <w:jc w:val="both"/>
        <w:rPr>
          <w:rFonts w:ascii="Times New Roman" w:hAnsi="Times New Roman" w:cs="Times New Roman"/>
          <w:sz w:val="24"/>
          <w:szCs w:val="24"/>
          <w:lang w:val="en-US"/>
        </w:rPr>
      </w:pPr>
      <w:r w:rsidRPr="00421B9C">
        <w:rPr>
          <w:rFonts w:ascii="Times New Roman" w:hAnsi="Times New Roman" w:cs="Times New Roman"/>
          <w:sz w:val="24"/>
          <w:szCs w:val="24"/>
          <w:lang w:val="en-US"/>
        </w:rPr>
        <w:lastRenderedPageBreak/>
        <w:t xml:space="preserve">Assefa, T.A., </w:t>
      </w:r>
      <w:proofErr w:type="spellStart"/>
      <w:r w:rsidRPr="00421B9C">
        <w:rPr>
          <w:rFonts w:ascii="Times New Roman" w:hAnsi="Times New Roman" w:cs="Times New Roman"/>
          <w:sz w:val="24"/>
          <w:szCs w:val="24"/>
          <w:lang w:val="en-US"/>
        </w:rPr>
        <w:t>Esqueda</w:t>
      </w:r>
      <w:proofErr w:type="spellEnd"/>
      <w:r w:rsidRPr="00421B9C">
        <w:rPr>
          <w:rFonts w:ascii="Times New Roman" w:hAnsi="Times New Roman" w:cs="Times New Roman"/>
          <w:sz w:val="24"/>
          <w:szCs w:val="24"/>
          <w:lang w:val="en-US"/>
        </w:rPr>
        <w:t xml:space="preserve">, O.A., </w:t>
      </w:r>
      <w:r w:rsidR="00205375">
        <w:rPr>
          <w:rFonts w:ascii="Times New Roman" w:hAnsi="Times New Roman" w:cs="Times New Roman"/>
          <w:sz w:val="24"/>
          <w:szCs w:val="24"/>
          <w:lang w:val="en-US"/>
        </w:rPr>
        <w:t>and</w:t>
      </w:r>
      <w:r w:rsidR="00212B73">
        <w:rPr>
          <w:rFonts w:ascii="Times New Roman" w:hAnsi="Times New Roman" w:cs="Times New Roman"/>
          <w:sz w:val="24"/>
          <w:szCs w:val="24"/>
          <w:lang w:val="en-US"/>
        </w:rPr>
        <w:t xml:space="preserve"> </w:t>
      </w:r>
      <w:proofErr w:type="spellStart"/>
      <w:r w:rsidRPr="00421B9C">
        <w:rPr>
          <w:rFonts w:ascii="Times New Roman" w:hAnsi="Times New Roman" w:cs="Times New Roman"/>
          <w:sz w:val="24"/>
          <w:szCs w:val="24"/>
          <w:lang w:val="en-US"/>
        </w:rPr>
        <w:t>Mollick</w:t>
      </w:r>
      <w:proofErr w:type="spellEnd"/>
      <w:r w:rsidRPr="00421B9C">
        <w:rPr>
          <w:rFonts w:ascii="Times New Roman" w:hAnsi="Times New Roman" w:cs="Times New Roman"/>
          <w:sz w:val="24"/>
          <w:szCs w:val="24"/>
          <w:lang w:val="en-US"/>
        </w:rPr>
        <w:t xml:space="preserve">, A.V. (2017). </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Stock </w:t>
      </w:r>
      <w:r w:rsidR="00205375">
        <w:rPr>
          <w:rFonts w:ascii="Times New Roman" w:hAnsi="Times New Roman" w:cs="Times New Roman"/>
          <w:sz w:val="24"/>
          <w:szCs w:val="24"/>
          <w:lang w:val="en-US"/>
        </w:rPr>
        <w:t>R</w:t>
      </w:r>
      <w:r w:rsidRPr="00421B9C">
        <w:rPr>
          <w:rFonts w:ascii="Times New Roman" w:hAnsi="Times New Roman" w:cs="Times New Roman"/>
          <w:sz w:val="24"/>
          <w:szCs w:val="24"/>
          <w:lang w:val="en-US"/>
        </w:rPr>
        <w:t xml:space="preserve">eturns and </w:t>
      </w:r>
      <w:r w:rsidR="00205375">
        <w:rPr>
          <w:rFonts w:ascii="Times New Roman" w:hAnsi="Times New Roman" w:cs="Times New Roman"/>
          <w:sz w:val="24"/>
          <w:szCs w:val="24"/>
          <w:lang w:val="en-US"/>
        </w:rPr>
        <w:t>I</w:t>
      </w:r>
      <w:r w:rsidRPr="00421B9C">
        <w:rPr>
          <w:rFonts w:ascii="Times New Roman" w:hAnsi="Times New Roman" w:cs="Times New Roman"/>
          <w:sz w:val="24"/>
          <w:szCs w:val="24"/>
          <w:lang w:val="en-US"/>
        </w:rPr>
        <w:t xml:space="preserve">nterest </w:t>
      </w:r>
      <w:r w:rsidR="00205375">
        <w:rPr>
          <w:rFonts w:ascii="Times New Roman" w:hAnsi="Times New Roman" w:cs="Times New Roman"/>
          <w:sz w:val="24"/>
          <w:szCs w:val="24"/>
          <w:lang w:val="en-US"/>
        </w:rPr>
        <w:t>R</w:t>
      </w:r>
      <w:r w:rsidRPr="00421B9C">
        <w:rPr>
          <w:rFonts w:ascii="Times New Roman" w:hAnsi="Times New Roman" w:cs="Times New Roman"/>
          <w:sz w:val="24"/>
          <w:szCs w:val="24"/>
          <w:lang w:val="en-US"/>
        </w:rPr>
        <w:t xml:space="preserve">ates </w:t>
      </w:r>
      <w:r w:rsidR="00205375">
        <w:rPr>
          <w:rFonts w:ascii="Times New Roman" w:hAnsi="Times New Roman" w:cs="Times New Roman"/>
          <w:sz w:val="24"/>
          <w:szCs w:val="24"/>
          <w:lang w:val="en-US"/>
        </w:rPr>
        <w:t>A</w:t>
      </w:r>
      <w:r w:rsidRPr="00421B9C">
        <w:rPr>
          <w:rFonts w:ascii="Times New Roman" w:hAnsi="Times New Roman" w:cs="Times New Roman"/>
          <w:sz w:val="24"/>
          <w:szCs w:val="24"/>
          <w:lang w:val="en-US"/>
        </w:rPr>
        <w:t xml:space="preserve">round the </w:t>
      </w:r>
      <w:r w:rsidR="00205375">
        <w:rPr>
          <w:rFonts w:ascii="Times New Roman" w:hAnsi="Times New Roman" w:cs="Times New Roman"/>
          <w:sz w:val="24"/>
          <w:szCs w:val="24"/>
          <w:lang w:val="en-US"/>
        </w:rPr>
        <w:t>W</w:t>
      </w:r>
      <w:r w:rsidRPr="00421B9C">
        <w:rPr>
          <w:rFonts w:ascii="Times New Roman" w:hAnsi="Times New Roman" w:cs="Times New Roman"/>
          <w:sz w:val="24"/>
          <w:szCs w:val="24"/>
          <w:lang w:val="en-US"/>
        </w:rPr>
        <w:t xml:space="preserve">orld: </w:t>
      </w:r>
      <w:r w:rsidR="00205375">
        <w:rPr>
          <w:rFonts w:ascii="Times New Roman" w:hAnsi="Times New Roman" w:cs="Times New Roman"/>
          <w:sz w:val="24"/>
          <w:szCs w:val="24"/>
          <w:lang w:val="en-US"/>
        </w:rPr>
        <w:t>A</w:t>
      </w:r>
      <w:r w:rsidRPr="00421B9C">
        <w:rPr>
          <w:rFonts w:ascii="Times New Roman" w:hAnsi="Times New Roman" w:cs="Times New Roman"/>
          <w:sz w:val="24"/>
          <w:szCs w:val="24"/>
          <w:lang w:val="en-US"/>
        </w:rPr>
        <w:t xml:space="preserve"> </w:t>
      </w:r>
      <w:r w:rsidR="00205375">
        <w:rPr>
          <w:rFonts w:ascii="Times New Roman" w:hAnsi="Times New Roman" w:cs="Times New Roman"/>
          <w:sz w:val="24"/>
          <w:szCs w:val="24"/>
          <w:lang w:val="en-US"/>
        </w:rPr>
        <w:t>P</w:t>
      </w:r>
      <w:r w:rsidRPr="00421B9C">
        <w:rPr>
          <w:rFonts w:ascii="Times New Roman" w:hAnsi="Times New Roman" w:cs="Times New Roman"/>
          <w:sz w:val="24"/>
          <w:szCs w:val="24"/>
          <w:lang w:val="en-US"/>
        </w:rPr>
        <w:t xml:space="preserve">anel </w:t>
      </w:r>
      <w:r w:rsidR="00205375">
        <w:rPr>
          <w:rFonts w:ascii="Times New Roman" w:hAnsi="Times New Roman" w:cs="Times New Roman"/>
          <w:sz w:val="24"/>
          <w:szCs w:val="24"/>
          <w:lang w:val="en-US"/>
        </w:rPr>
        <w:t>D</w:t>
      </w:r>
      <w:r w:rsidRPr="00421B9C">
        <w:rPr>
          <w:rFonts w:ascii="Times New Roman" w:hAnsi="Times New Roman" w:cs="Times New Roman"/>
          <w:sz w:val="24"/>
          <w:szCs w:val="24"/>
          <w:lang w:val="en-US"/>
        </w:rPr>
        <w:t xml:space="preserve">ata </w:t>
      </w:r>
      <w:r w:rsidR="00205375">
        <w:rPr>
          <w:rFonts w:ascii="Times New Roman" w:hAnsi="Times New Roman" w:cs="Times New Roman"/>
          <w:sz w:val="24"/>
          <w:szCs w:val="24"/>
          <w:lang w:val="en-US"/>
        </w:rPr>
        <w:t>A</w:t>
      </w:r>
      <w:r w:rsidRPr="00421B9C">
        <w:rPr>
          <w:rFonts w:ascii="Times New Roman" w:hAnsi="Times New Roman" w:cs="Times New Roman"/>
          <w:sz w:val="24"/>
          <w:szCs w:val="24"/>
          <w:lang w:val="en-US"/>
        </w:rPr>
        <w:t>pproach.</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Pr="00212B73">
        <w:rPr>
          <w:rFonts w:ascii="Times New Roman" w:hAnsi="Times New Roman" w:cs="Times New Roman"/>
          <w:i/>
          <w:iCs/>
          <w:sz w:val="24"/>
          <w:szCs w:val="24"/>
          <w:lang w:val="en-US"/>
        </w:rPr>
        <w:t>Journal of Economic Business</w:t>
      </w:r>
      <w:r w:rsidRPr="00421B9C">
        <w:rPr>
          <w:rFonts w:ascii="Times New Roman" w:hAnsi="Times New Roman" w:cs="Times New Roman"/>
          <w:sz w:val="24"/>
          <w:szCs w:val="24"/>
          <w:lang w:val="en-US"/>
        </w:rPr>
        <w:t xml:space="preserve"> 89</w:t>
      </w:r>
      <w:r w:rsidR="009609B4">
        <w:rPr>
          <w:rFonts w:ascii="Times New Roman" w:hAnsi="Times New Roman" w:cs="Times New Roman"/>
          <w:sz w:val="24"/>
          <w:szCs w:val="24"/>
          <w:lang w:val="en-US"/>
        </w:rPr>
        <w:t>(1)</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20</w:t>
      </w:r>
      <w:r w:rsidR="00212B73">
        <w:rPr>
          <w:rFonts w:ascii="Times New Roman" w:hAnsi="Times New Roman" w:cs="Times New Roman"/>
          <w:sz w:val="24"/>
          <w:szCs w:val="24"/>
          <w:lang w:val="en-US"/>
        </w:rPr>
        <w:t>-35.</w:t>
      </w:r>
    </w:p>
    <w:p w14:paraId="332D57AC" w14:textId="017DE97E" w:rsidR="0037696A" w:rsidRDefault="0037696A" w:rsidP="0099534C">
      <w:pPr>
        <w:spacing w:line="360" w:lineRule="auto"/>
        <w:ind w:left="630" w:hanging="630"/>
        <w:jc w:val="both"/>
        <w:rPr>
          <w:rFonts w:ascii="Times New Roman" w:hAnsi="Times New Roman" w:cs="Times New Roman"/>
          <w:sz w:val="24"/>
          <w:szCs w:val="24"/>
          <w:lang w:val="en-US"/>
        </w:rPr>
      </w:pPr>
      <w:proofErr w:type="spellStart"/>
      <w:r w:rsidRPr="0037696A">
        <w:rPr>
          <w:rFonts w:ascii="Times New Roman" w:hAnsi="Times New Roman" w:cs="Times New Roman"/>
          <w:sz w:val="24"/>
          <w:szCs w:val="24"/>
          <w:lang w:val="en-US"/>
        </w:rPr>
        <w:t>Babalos</w:t>
      </w:r>
      <w:proofErr w:type="spellEnd"/>
      <w:r w:rsidRPr="0037696A">
        <w:rPr>
          <w:rFonts w:ascii="Times New Roman" w:hAnsi="Times New Roman" w:cs="Times New Roman"/>
          <w:sz w:val="24"/>
          <w:szCs w:val="24"/>
          <w:lang w:val="en-US"/>
        </w:rPr>
        <w:t xml:space="preserve">, V., </w:t>
      </w:r>
      <w:proofErr w:type="spellStart"/>
      <w:r w:rsidRPr="0037696A">
        <w:rPr>
          <w:rFonts w:ascii="Times New Roman" w:hAnsi="Times New Roman" w:cs="Times New Roman"/>
          <w:sz w:val="24"/>
          <w:szCs w:val="24"/>
          <w:lang w:val="en-US"/>
        </w:rPr>
        <w:t>Caporale</w:t>
      </w:r>
      <w:proofErr w:type="spellEnd"/>
      <w:r w:rsidRPr="0037696A">
        <w:rPr>
          <w:rFonts w:ascii="Times New Roman" w:hAnsi="Times New Roman" w:cs="Times New Roman"/>
          <w:sz w:val="24"/>
          <w:szCs w:val="24"/>
          <w:lang w:val="en-US"/>
        </w:rPr>
        <w:t xml:space="preserve">, G.M., </w:t>
      </w:r>
      <w:r w:rsidR="00420CA2">
        <w:rPr>
          <w:rFonts w:ascii="Times New Roman" w:hAnsi="Times New Roman" w:cs="Times New Roman"/>
          <w:sz w:val="24"/>
          <w:szCs w:val="24"/>
          <w:lang w:val="en-US"/>
        </w:rPr>
        <w:t xml:space="preserve">and </w:t>
      </w:r>
      <w:proofErr w:type="spellStart"/>
      <w:r w:rsidRPr="0037696A">
        <w:rPr>
          <w:rFonts w:ascii="Times New Roman" w:hAnsi="Times New Roman" w:cs="Times New Roman"/>
          <w:sz w:val="24"/>
          <w:szCs w:val="24"/>
          <w:lang w:val="en-US"/>
        </w:rPr>
        <w:t>Spagnolo</w:t>
      </w:r>
      <w:proofErr w:type="spellEnd"/>
      <w:r w:rsidRPr="0037696A">
        <w:rPr>
          <w:rFonts w:ascii="Times New Roman" w:hAnsi="Times New Roman" w:cs="Times New Roman"/>
          <w:sz w:val="24"/>
          <w:szCs w:val="24"/>
          <w:lang w:val="en-US"/>
        </w:rPr>
        <w:t>, N.</w:t>
      </w:r>
      <w:r w:rsidR="00420CA2">
        <w:rPr>
          <w:rFonts w:ascii="Times New Roman" w:hAnsi="Times New Roman" w:cs="Times New Roman"/>
          <w:sz w:val="24"/>
          <w:szCs w:val="24"/>
          <w:lang w:val="en-US"/>
        </w:rPr>
        <w:t xml:space="preserve"> (2019). “</w:t>
      </w:r>
      <w:r w:rsidRPr="0037696A">
        <w:rPr>
          <w:rFonts w:ascii="Times New Roman" w:hAnsi="Times New Roman" w:cs="Times New Roman"/>
          <w:sz w:val="24"/>
          <w:szCs w:val="24"/>
          <w:lang w:val="en-US"/>
        </w:rPr>
        <w:t xml:space="preserve">Equity </w:t>
      </w:r>
      <w:r w:rsidR="00420CA2">
        <w:rPr>
          <w:rFonts w:ascii="Times New Roman" w:hAnsi="Times New Roman" w:cs="Times New Roman"/>
          <w:sz w:val="24"/>
          <w:szCs w:val="24"/>
          <w:lang w:val="en-US"/>
        </w:rPr>
        <w:t>F</w:t>
      </w:r>
      <w:r w:rsidRPr="0037696A">
        <w:rPr>
          <w:rFonts w:ascii="Times New Roman" w:hAnsi="Times New Roman" w:cs="Times New Roman"/>
          <w:sz w:val="24"/>
          <w:szCs w:val="24"/>
          <w:lang w:val="en-US"/>
        </w:rPr>
        <w:t xml:space="preserve">und </w:t>
      </w:r>
      <w:r w:rsidR="00420CA2">
        <w:rPr>
          <w:rFonts w:ascii="Times New Roman" w:hAnsi="Times New Roman" w:cs="Times New Roman"/>
          <w:sz w:val="24"/>
          <w:szCs w:val="24"/>
          <w:lang w:val="en-US"/>
        </w:rPr>
        <w:t>F</w:t>
      </w:r>
      <w:r w:rsidRPr="0037696A">
        <w:rPr>
          <w:rFonts w:ascii="Times New Roman" w:hAnsi="Times New Roman" w:cs="Times New Roman"/>
          <w:sz w:val="24"/>
          <w:szCs w:val="24"/>
          <w:lang w:val="en-US"/>
        </w:rPr>
        <w:t xml:space="preserve">lows and </w:t>
      </w:r>
      <w:r w:rsidR="00420CA2">
        <w:rPr>
          <w:rFonts w:ascii="Times New Roman" w:hAnsi="Times New Roman" w:cs="Times New Roman"/>
          <w:sz w:val="24"/>
          <w:szCs w:val="24"/>
          <w:lang w:val="en-US"/>
        </w:rPr>
        <w:t>S</w:t>
      </w:r>
      <w:r w:rsidRPr="0037696A">
        <w:rPr>
          <w:rFonts w:ascii="Times New Roman" w:hAnsi="Times New Roman" w:cs="Times New Roman"/>
          <w:sz w:val="24"/>
          <w:szCs w:val="24"/>
          <w:lang w:val="en-US"/>
        </w:rPr>
        <w:t xml:space="preserve">tock </w:t>
      </w:r>
      <w:r w:rsidR="00420CA2">
        <w:rPr>
          <w:rFonts w:ascii="Times New Roman" w:hAnsi="Times New Roman" w:cs="Times New Roman"/>
          <w:sz w:val="24"/>
          <w:szCs w:val="24"/>
          <w:lang w:val="en-US"/>
        </w:rPr>
        <w:t>M</w:t>
      </w:r>
      <w:r w:rsidRPr="0037696A">
        <w:rPr>
          <w:rFonts w:ascii="Times New Roman" w:hAnsi="Times New Roman" w:cs="Times New Roman"/>
          <w:sz w:val="24"/>
          <w:szCs w:val="24"/>
          <w:lang w:val="en-US"/>
        </w:rPr>
        <w:t xml:space="preserve">arket </w:t>
      </w:r>
      <w:r w:rsidR="00420CA2">
        <w:rPr>
          <w:rFonts w:ascii="Times New Roman" w:hAnsi="Times New Roman" w:cs="Times New Roman"/>
          <w:sz w:val="24"/>
          <w:szCs w:val="24"/>
          <w:lang w:val="en-US"/>
        </w:rPr>
        <w:t>R</w:t>
      </w:r>
      <w:r w:rsidRPr="0037696A">
        <w:rPr>
          <w:rFonts w:ascii="Times New Roman" w:hAnsi="Times New Roman" w:cs="Times New Roman"/>
          <w:sz w:val="24"/>
          <w:szCs w:val="24"/>
          <w:lang w:val="en-US"/>
        </w:rPr>
        <w:t xml:space="preserve">eturns in the USA </w:t>
      </w:r>
      <w:r w:rsidR="00420CA2">
        <w:rPr>
          <w:rFonts w:ascii="Times New Roman" w:hAnsi="Times New Roman" w:cs="Times New Roman"/>
          <w:sz w:val="24"/>
          <w:szCs w:val="24"/>
          <w:lang w:val="en-US"/>
        </w:rPr>
        <w:t>B</w:t>
      </w:r>
      <w:r w:rsidRPr="0037696A">
        <w:rPr>
          <w:rFonts w:ascii="Times New Roman" w:hAnsi="Times New Roman" w:cs="Times New Roman"/>
          <w:sz w:val="24"/>
          <w:szCs w:val="24"/>
          <w:lang w:val="en-US"/>
        </w:rPr>
        <w:t xml:space="preserve">efore and </w:t>
      </w:r>
      <w:r w:rsidR="00420CA2">
        <w:rPr>
          <w:rFonts w:ascii="Times New Roman" w:hAnsi="Times New Roman" w:cs="Times New Roman"/>
          <w:sz w:val="24"/>
          <w:szCs w:val="24"/>
          <w:lang w:val="en-US"/>
        </w:rPr>
        <w:t>A</w:t>
      </w:r>
      <w:r w:rsidRPr="0037696A">
        <w:rPr>
          <w:rFonts w:ascii="Times New Roman" w:hAnsi="Times New Roman" w:cs="Times New Roman"/>
          <w:sz w:val="24"/>
          <w:szCs w:val="24"/>
          <w:lang w:val="en-US"/>
        </w:rPr>
        <w:t xml:space="preserve">fter the </w:t>
      </w:r>
      <w:r w:rsidR="00420CA2">
        <w:rPr>
          <w:rFonts w:ascii="Times New Roman" w:hAnsi="Times New Roman" w:cs="Times New Roman"/>
          <w:sz w:val="24"/>
          <w:szCs w:val="24"/>
          <w:lang w:val="en-US"/>
        </w:rPr>
        <w:t>G</w:t>
      </w:r>
      <w:r w:rsidRPr="0037696A">
        <w:rPr>
          <w:rFonts w:ascii="Times New Roman" w:hAnsi="Times New Roman" w:cs="Times New Roman"/>
          <w:sz w:val="24"/>
          <w:szCs w:val="24"/>
          <w:lang w:val="en-US"/>
        </w:rPr>
        <w:t xml:space="preserve">lobal </w:t>
      </w:r>
      <w:r w:rsidR="00420CA2">
        <w:rPr>
          <w:rFonts w:ascii="Times New Roman" w:hAnsi="Times New Roman" w:cs="Times New Roman"/>
          <w:sz w:val="24"/>
          <w:szCs w:val="24"/>
          <w:lang w:val="en-US"/>
        </w:rPr>
        <w:t>F</w:t>
      </w:r>
      <w:r w:rsidRPr="0037696A">
        <w:rPr>
          <w:rFonts w:ascii="Times New Roman" w:hAnsi="Times New Roman" w:cs="Times New Roman"/>
          <w:sz w:val="24"/>
          <w:szCs w:val="24"/>
          <w:lang w:val="en-US"/>
        </w:rPr>
        <w:t xml:space="preserve">inancial </w:t>
      </w:r>
      <w:r w:rsidR="00420CA2">
        <w:rPr>
          <w:rFonts w:ascii="Times New Roman" w:hAnsi="Times New Roman" w:cs="Times New Roman"/>
          <w:sz w:val="24"/>
          <w:szCs w:val="24"/>
          <w:lang w:val="en-US"/>
        </w:rPr>
        <w:t>C</w:t>
      </w:r>
      <w:r w:rsidRPr="0037696A">
        <w:rPr>
          <w:rFonts w:ascii="Times New Roman" w:hAnsi="Times New Roman" w:cs="Times New Roman"/>
          <w:sz w:val="24"/>
          <w:szCs w:val="24"/>
          <w:lang w:val="en-US"/>
        </w:rPr>
        <w:t xml:space="preserve">risis: </w:t>
      </w:r>
      <w:r w:rsidR="00420CA2">
        <w:rPr>
          <w:rFonts w:ascii="Times New Roman" w:hAnsi="Times New Roman" w:cs="Times New Roman"/>
          <w:sz w:val="24"/>
          <w:szCs w:val="24"/>
          <w:lang w:val="en-US"/>
        </w:rPr>
        <w:t>A</w:t>
      </w:r>
      <w:r w:rsidRPr="0037696A">
        <w:rPr>
          <w:rFonts w:ascii="Times New Roman" w:hAnsi="Times New Roman" w:cs="Times New Roman"/>
          <w:sz w:val="24"/>
          <w:szCs w:val="24"/>
          <w:lang w:val="en-US"/>
        </w:rPr>
        <w:t xml:space="preserve"> VAR-GARCH-</w:t>
      </w:r>
      <w:r w:rsidR="00420CA2">
        <w:rPr>
          <w:rFonts w:ascii="Times New Roman" w:hAnsi="Times New Roman" w:cs="Times New Roman"/>
          <w:sz w:val="24"/>
          <w:szCs w:val="24"/>
          <w:lang w:val="en-US"/>
        </w:rPr>
        <w:t>I</w:t>
      </w:r>
      <w:r w:rsidRPr="0037696A">
        <w:rPr>
          <w:rFonts w:ascii="Times New Roman" w:hAnsi="Times New Roman" w:cs="Times New Roman"/>
          <w:sz w:val="24"/>
          <w:szCs w:val="24"/>
          <w:lang w:val="en-US"/>
        </w:rPr>
        <w:t>n-</w:t>
      </w:r>
      <w:r w:rsidR="00420CA2">
        <w:rPr>
          <w:rFonts w:ascii="Times New Roman" w:hAnsi="Times New Roman" w:cs="Times New Roman"/>
          <w:sz w:val="24"/>
          <w:szCs w:val="24"/>
          <w:lang w:val="en-US"/>
        </w:rPr>
        <w:t>M</w:t>
      </w:r>
      <w:r w:rsidRPr="0037696A">
        <w:rPr>
          <w:rFonts w:ascii="Times New Roman" w:hAnsi="Times New Roman" w:cs="Times New Roman"/>
          <w:sz w:val="24"/>
          <w:szCs w:val="24"/>
          <w:lang w:val="en-US"/>
        </w:rPr>
        <w:t xml:space="preserve">ean </w:t>
      </w:r>
      <w:r w:rsidR="00420CA2">
        <w:rPr>
          <w:rFonts w:ascii="Times New Roman" w:hAnsi="Times New Roman" w:cs="Times New Roman"/>
          <w:sz w:val="24"/>
          <w:szCs w:val="24"/>
          <w:lang w:val="en-US"/>
        </w:rPr>
        <w:t>A</w:t>
      </w:r>
      <w:r w:rsidRPr="0037696A">
        <w:rPr>
          <w:rFonts w:ascii="Times New Roman" w:hAnsi="Times New Roman" w:cs="Times New Roman"/>
          <w:sz w:val="24"/>
          <w:szCs w:val="24"/>
          <w:lang w:val="en-US"/>
        </w:rPr>
        <w:t>nalysis</w:t>
      </w:r>
      <w:r w:rsidR="00420CA2">
        <w:rPr>
          <w:rFonts w:ascii="Times New Roman" w:hAnsi="Times New Roman" w:cs="Times New Roman"/>
          <w:sz w:val="24"/>
          <w:szCs w:val="24"/>
          <w:lang w:val="en-US"/>
        </w:rPr>
        <w:t>.”</w:t>
      </w:r>
      <w:r w:rsidRPr="0037696A">
        <w:rPr>
          <w:rFonts w:ascii="Times New Roman" w:hAnsi="Times New Roman" w:cs="Times New Roman"/>
          <w:sz w:val="24"/>
          <w:szCs w:val="24"/>
          <w:lang w:val="en-US"/>
        </w:rPr>
        <w:t xml:space="preserve"> </w:t>
      </w:r>
      <w:r w:rsidRPr="00420CA2">
        <w:rPr>
          <w:rFonts w:ascii="Times New Roman" w:hAnsi="Times New Roman" w:cs="Times New Roman"/>
          <w:i/>
          <w:iCs/>
          <w:sz w:val="24"/>
          <w:szCs w:val="24"/>
          <w:lang w:val="en-US"/>
        </w:rPr>
        <w:t>Empirical Economics</w:t>
      </w:r>
      <w:r w:rsidR="00420CA2">
        <w:rPr>
          <w:rFonts w:ascii="Times New Roman" w:hAnsi="Times New Roman" w:cs="Times New Roman"/>
          <w:sz w:val="24"/>
          <w:szCs w:val="24"/>
          <w:lang w:val="en-US"/>
        </w:rPr>
        <w:t xml:space="preserve"> </w:t>
      </w:r>
      <w:r w:rsidR="00420CA2" w:rsidRPr="00420CA2">
        <w:rPr>
          <w:rFonts w:ascii="Times New Roman" w:hAnsi="Times New Roman" w:cs="Times New Roman"/>
          <w:sz w:val="24"/>
          <w:szCs w:val="24"/>
          <w:lang w:val="en-US"/>
        </w:rPr>
        <w:t>https://doi.org/10.1007/s00181-019-01783-5</w:t>
      </w:r>
      <w:r w:rsidR="00420CA2">
        <w:rPr>
          <w:rFonts w:ascii="Times New Roman" w:hAnsi="Times New Roman" w:cs="Times New Roman"/>
          <w:sz w:val="24"/>
          <w:szCs w:val="24"/>
          <w:lang w:val="en-US"/>
        </w:rPr>
        <w:t>.</w:t>
      </w:r>
    </w:p>
    <w:p w14:paraId="3094BE60" w14:textId="64AF3C92" w:rsidR="00421B9C" w:rsidRPr="00421B9C" w:rsidRDefault="00421B9C" w:rsidP="0099534C">
      <w:pPr>
        <w:spacing w:line="360" w:lineRule="auto"/>
        <w:ind w:left="630" w:hanging="630"/>
        <w:jc w:val="both"/>
        <w:rPr>
          <w:rFonts w:ascii="Times New Roman" w:hAnsi="Times New Roman" w:cs="Times New Roman"/>
          <w:color w:val="222222"/>
          <w:sz w:val="24"/>
          <w:szCs w:val="24"/>
          <w:shd w:val="clear" w:color="auto" w:fill="FFFFFF"/>
          <w:lang w:val="en-US"/>
        </w:rPr>
      </w:pPr>
      <w:proofErr w:type="spellStart"/>
      <w:r w:rsidRPr="00421B9C">
        <w:rPr>
          <w:rFonts w:ascii="Times New Roman" w:hAnsi="Times New Roman" w:cs="Times New Roman"/>
          <w:color w:val="222222"/>
          <w:sz w:val="24"/>
          <w:szCs w:val="24"/>
          <w:shd w:val="clear" w:color="auto" w:fill="FFFFFF"/>
          <w:lang w:val="en-US"/>
        </w:rPr>
        <w:t>Bollerslev</w:t>
      </w:r>
      <w:proofErr w:type="spellEnd"/>
      <w:r w:rsidRPr="00421B9C">
        <w:rPr>
          <w:rFonts w:ascii="Times New Roman" w:hAnsi="Times New Roman" w:cs="Times New Roman"/>
          <w:color w:val="222222"/>
          <w:sz w:val="24"/>
          <w:szCs w:val="24"/>
          <w:shd w:val="clear" w:color="auto" w:fill="FFFFFF"/>
          <w:lang w:val="en-US"/>
        </w:rPr>
        <w:t xml:space="preserve">, T. (1986). </w:t>
      </w:r>
      <w:r w:rsidR="00205375">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Generalized </w:t>
      </w:r>
      <w:r w:rsidR="00205375">
        <w:rPr>
          <w:rFonts w:ascii="Times New Roman" w:hAnsi="Times New Roman" w:cs="Times New Roman"/>
          <w:color w:val="222222"/>
          <w:sz w:val="24"/>
          <w:szCs w:val="24"/>
          <w:shd w:val="clear" w:color="auto" w:fill="FFFFFF"/>
          <w:lang w:val="en-US"/>
        </w:rPr>
        <w:t>A</w:t>
      </w:r>
      <w:r w:rsidRPr="00421B9C">
        <w:rPr>
          <w:rFonts w:ascii="Times New Roman" w:hAnsi="Times New Roman" w:cs="Times New Roman"/>
          <w:color w:val="222222"/>
          <w:sz w:val="24"/>
          <w:szCs w:val="24"/>
          <w:shd w:val="clear" w:color="auto" w:fill="FFFFFF"/>
          <w:lang w:val="en-US"/>
        </w:rPr>
        <w:t xml:space="preserve">utoregressive </w:t>
      </w:r>
      <w:r w:rsidR="00205375">
        <w:rPr>
          <w:rFonts w:ascii="Times New Roman" w:hAnsi="Times New Roman" w:cs="Times New Roman"/>
          <w:color w:val="222222"/>
          <w:sz w:val="24"/>
          <w:szCs w:val="24"/>
          <w:shd w:val="clear" w:color="auto" w:fill="FFFFFF"/>
          <w:lang w:val="en-US"/>
        </w:rPr>
        <w:t>C</w:t>
      </w:r>
      <w:r w:rsidRPr="00421B9C">
        <w:rPr>
          <w:rFonts w:ascii="Times New Roman" w:hAnsi="Times New Roman" w:cs="Times New Roman"/>
          <w:color w:val="222222"/>
          <w:sz w:val="24"/>
          <w:szCs w:val="24"/>
          <w:shd w:val="clear" w:color="auto" w:fill="FFFFFF"/>
          <w:lang w:val="en-US"/>
        </w:rPr>
        <w:t xml:space="preserve">onditional </w:t>
      </w:r>
      <w:r w:rsidR="00205375">
        <w:rPr>
          <w:rFonts w:ascii="Times New Roman" w:hAnsi="Times New Roman" w:cs="Times New Roman"/>
          <w:color w:val="222222"/>
          <w:sz w:val="24"/>
          <w:szCs w:val="24"/>
          <w:shd w:val="clear" w:color="auto" w:fill="FFFFFF"/>
          <w:lang w:val="en-US"/>
        </w:rPr>
        <w:t>H</w:t>
      </w:r>
      <w:r w:rsidRPr="00421B9C">
        <w:rPr>
          <w:rFonts w:ascii="Times New Roman" w:hAnsi="Times New Roman" w:cs="Times New Roman"/>
          <w:color w:val="222222"/>
          <w:sz w:val="24"/>
          <w:szCs w:val="24"/>
          <w:shd w:val="clear" w:color="auto" w:fill="FFFFFF"/>
          <w:lang w:val="en-US"/>
        </w:rPr>
        <w:t>eteroskedasticity.</w:t>
      </w:r>
      <w:r w:rsidR="00205375">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w:t>
      </w:r>
      <w:r w:rsidRPr="00421B9C">
        <w:rPr>
          <w:rFonts w:ascii="Times New Roman" w:hAnsi="Times New Roman" w:cs="Times New Roman"/>
          <w:i/>
          <w:iCs/>
          <w:color w:val="222222"/>
          <w:sz w:val="24"/>
          <w:szCs w:val="24"/>
          <w:shd w:val="clear" w:color="auto" w:fill="FFFFFF"/>
          <w:lang w:val="en-US"/>
        </w:rPr>
        <w:t>Journal of Econometrics</w:t>
      </w:r>
      <w:r w:rsidRPr="00421B9C">
        <w:rPr>
          <w:rFonts w:ascii="Times New Roman" w:hAnsi="Times New Roman" w:cs="Times New Roman"/>
          <w:color w:val="222222"/>
          <w:sz w:val="24"/>
          <w:szCs w:val="24"/>
          <w:shd w:val="clear" w:color="auto" w:fill="FFFFFF"/>
          <w:lang w:val="en-US"/>
        </w:rPr>
        <w:t> </w:t>
      </w:r>
      <w:r w:rsidRPr="00212B73">
        <w:rPr>
          <w:rFonts w:ascii="Times New Roman" w:hAnsi="Times New Roman" w:cs="Times New Roman"/>
          <w:color w:val="222222"/>
          <w:sz w:val="24"/>
          <w:szCs w:val="24"/>
          <w:shd w:val="clear" w:color="auto" w:fill="FFFFFF"/>
          <w:lang w:val="en-US"/>
        </w:rPr>
        <w:t>31</w:t>
      </w:r>
      <w:r w:rsidR="009609B4">
        <w:rPr>
          <w:rFonts w:ascii="Times New Roman" w:hAnsi="Times New Roman" w:cs="Times New Roman"/>
          <w:color w:val="222222"/>
          <w:sz w:val="24"/>
          <w:szCs w:val="24"/>
          <w:shd w:val="clear" w:color="auto" w:fill="FFFFFF"/>
          <w:lang w:val="en-US"/>
        </w:rPr>
        <w:t>(2)</w:t>
      </w:r>
      <w:r w:rsidR="00205375">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 307-327.</w:t>
      </w:r>
    </w:p>
    <w:p w14:paraId="555823EB" w14:textId="5116B939" w:rsidR="00421B9C" w:rsidRPr="00421B9C" w:rsidRDefault="00421B9C" w:rsidP="009C10BE">
      <w:pPr>
        <w:spacing w:line="360" w:lineRule="auto"/>
        <w:ind w:left="630" w:hanging="630"/>
        <w:jc w:val="both"/>
        <w:rPr>
          <w:rFonts w:ascii="Times New Roman" w:hAnsi="Times New Roman" w:cs="Times New Roman"/>
          <w:sz w:val="24"/>
          <w:szCs w:val="24"/>
          <w:lang w:val="en-US"/>
        </w:rPr>
      </w:pPr>
      <w:r w:rsidRPr="00421B9C">
        <w:rPr>
          <w:rFonts w:ascii="Times New Roman" w:hAnsi="Times New Roman" w:cs="Times New Roman"/>
          <w:sz w:val="24"/>
          <w:szCs w:val="24"/>
          <w:lang w:val="en-US"/>
        </w:rPr>
        <w:t xml:space="preserve">Braun, P A., Nelson, D.B., </w:t>
      </w:r>
      <w:r w:rsidR="00205375">
        <w:rPr>
          <w:rFonts w:ascii="Times New Roman" w:hAnsi="Times New Roman" w:cs="Times New Roman"/>
          <w:sz w:val="24"/>
          <w:szCs w:val="24"/>
          <w:lang w:val="en-US"/>
        </w:rPr>
        <w:t>and</w:t>
      </w:r>
      <w:r w:rsidR="00212B73">
        <w:rPr>
          <w:rFonts w:ascii="Times New Roman" w:hAnsi="Times New Roman" w:cs="Times New Roman"/>
          <w:sz w:val="24"/>
          <w:szCs w:val="24"/>
          <w:lang w:val="en-US"/>
        </w:rPr>
        <w:t xml:space="preserve"> </w:t>
      </w:r>
      <w:proofErr w:type="spellStart"/>
      <w:r w:rsidRPr="00421B9C">
        <w:rPr>
          <w:rFonts w:ascii="Times New Roman" w:hAnsi="Times New Roman" w:cs="Times New Roman"/>
          <w:sz w:val="24"/>
          <w:szCs w:val="24"/>
          <w:lang w:val="en-US"/>
        </w:rPr>
        <w:t>Sunier</w:t>
      </w:r>
      <w:proofErr w:type="spellEnd"/>
      <w:r w:rsidRPr="00421B9C">
        <w:rPr>
          <w:rFonts w:ascii="Times New Roman" w:hAnsi="Times New Roman" w:cs="Times New Roman"/>
          <w:sz w:val="24"/>
          <w:szCs w:val="24"/>
          <w:lang w:val="en-US"/>
        </w:rPr>
        <w:t xml:space="preserve">, A.M. </w:t>
      </w:r>
      <w:r w:rsidR="00212B73">
        <w:rPr>
          <w:rFonts w:ascii="Times New Roman" w:hAnsi="Times New Roman" w:cs="Times New Roman"/>
          <w:sz w:val="24"/>
          <w:szCs w:val="24"/>
          <w:lang w:val="en-US"/>
        </w:rPr>
        <w:t>(</w:t>
      </w:r>
      <w:r w:rsidRPr="00421B9C">
        <w:rPr>
          <w:rFonts w:ascii="Times New Roman" w:hAnsi="Times New Roman" w:cs="Times New Roman"/>
          <w:sz w:val="24"/>
          <w:szCs w:val="24"/>
          <w:lang w:val="en-US"/>
        </w:rPr>
        <w:t>1995</w:t>
      </w:r>
      <w:r w:rsidR="00212B73">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Good </w:t>
      </w:r>
      <w:r w:rsidR="00205375">
        <w:rPr>
          <w:rFonts w:ascii="Times New Roman" w:hAnsi="Times New Roman" w:cs="Times New Roman"/>
          <w:sz w:val="24"/>
          <w:szCs w:val="24"/>
          <w:lang w:val="en-US"/>
        </w:rPr>
        <w:t>N</w:t>
      </w:r>
      <w:r w:rsidRPr="00421B9C">
        <w:rPr>
          <w:rFonts w:ascii="Times New Roman" w:hAnsi="Times New Roman" w:cs="Times New Roman"/>
          <w:sz w:val="24"/>
          <w:szCs w:val="24"/>
          <w:lang w:val="en-US"/>
        </w:rPr>
        <w:t xml:space="preserve">ews, </w:t>
      </w:r>
      <w:r w:rsidR="00205375">
        <w:rPr>
          <w:rFonts w:ascii="Times New Roman" w:hAnsi="Times New Roman" w:cs="Times New Roman"/>
          <w:sz w:val="24"/>
          <w:szCs w:val="24"/>
          <w:lang w:val="en-US"/>
        </w:rPr>
        <w:t>B</w:t>
      </w:r>
      <w:r w:rsidRPr="00421B9C">
        <w:rPr>
          <w:rFonts w:ascii="Times New Roman" w:hAnsi="Times New Roman" w:cs="Times New Roman"/>
          <w:sz w:val="24"/>
          <w:szCs w:val="24"/>
          <w:lang w:val="en-US"/>
        </w:rPr>
        <w:t xml:space="preserve">ad </w:t>
      </w:r>
      <w:r w:rsidR="00205375">
        <w:rPr>
          <w:rFonts w:ascii="Times New Roman" w:hAnsi="Times New Roman" w:cs="Times New Roman"/>
          <w:sz w:val="24"/>
          <w:szCs w:val="24"/>
          <w:lang w:val="en-US"/>
        </w:rPr>
        <w:t>N</w:t>
      </w:r>
      <w:r w:rsidRPr="00421B9C">
        <w:rPr>
          <w:rFonts w:ascii="Times New Roman" w:hAnsi="Times New Roman" w:cs="Times New Roman"/>
          <w:sz w:val="24"/>
          <w:szCs w:val="24"/>
          <w:lang w:val="en-US"/>
        </w:rPr>
        <w:t xml:space="preserve">ews, </w:t>
      </w:r>
      <w:r w:rsidR="00205375">
        <w:rPr>
          <w:rFonts w:ascii="Times New Roman" w:hAnsi="Times New Roman" w:cs="Times New Roman"/>
          <w:sz w:val="24"/>
          <w:szCs w:val="24"/>
          <w:lang w:val="en-US"/>
        </w:rPr>
        <w:t>V</w:t>
      </w:r>
      <w:r w:rsidRPr="00421B9C">
        <w:rPr>
          <w:rFonts w:ascii="Times New Roman" w:hAnsi="Times New Roman" w:cs="Times New Roman"/>
          <w:sz w:val="24"/>
          <w:szCs w:val="24"/>
          <w:lang w:val="en-US"/>
        </w:rPr>
        <w:t xml:space="preserve">olatility, and </w:t>
      </w:r>
      <w:r w:rsidR="00205375">
        <w:rPr>
          <w:rFonts w:ascii="Times New Roman" w:hAnsi="Times New Roman" w:cs="Times New Roman"/>
          <w:sz w:val="24"/>
          <w:szCs w:val="24"/>
          <w:lang w:val="en-US"/>
        </w:rPr>
        <w:t>B</w:t>
      </w:r>
      <w:r w:rsidRPr="00421B9C">
        <w:rPr>
          <w:rFonts w:ascii="Times New Roman" w:hAnsi="Times New Roman" w:cs="Times New Roman"/>
          <w:sz w:val="24"/>
          <w:szCs w:val="24"/>
          <w:lang w:val="en-US"/>
        </w:rPr>
        <w:t>etas.</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Pr="00212B73">
        <w:rPr>
          <w:rFonts w:ascii="Times New Roman" w:hAnsi="Times New Roman" w:cs="Times New Roman"/>
          <w:i/>
          <w:iCs/>
          <w:sz w:val="24"/>
          <w:szCs w:val="24"/>
          <w:lang w:val="en-US"/>
        </w:rPr>
        <w:t>Journal of Finance</w:t>
      </w:r>
      <w:r w:rsidR="00212B73">
        <w:rPr>
          <w:rFonts w:ascii="Times New Roman" w:hAnsi="Times New Roman" w:cs="Times New Roman"/>
          <w:sz w:val="24"/>
          <w:szCs w:val="24"/>
          <w:lang w:val="en-US"/>
        </w:rPr>
        <w:t xml:space="preserve"> </w:t>
      </w:r>
      <w:r w:rsidRPr="00421B9C">
        <w:rPr>
          <w:rFonts w:ascii="Times New Roman" w:hAnsi="Times New Roman" w:cs="Times New Roman"/>
          <w:sz w:val="24"/>
          <w:szCs w:val="24"/>
          <w:lang w:val="en-US"/>
        </w:rPr>
        <w:t>50</w:t>
      </w:r>
      <w:r w:rsidR="009609B4">
        <w:rPr>
          <w:rFonts w:ascii="Times New Roman" w:hAnsi="Times New Roman" w:cs="Times New Roman"/>
          <w:sz w:val="24"/>
          <w:szCs w:val="24"/>
          <w:lang w:val="en-US"/>
        </w:rPr>
        <w:t>(16)</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1575-1603.</w:t>
      </w:r>
    </w:p>
    <w:p w14:paraId="3166CD4E" w14:textId="1EF1764D" w:rsidR="00421B9C" w:rsidRPr="00421B9C" w:rsidRDefault="00421B9C" w:rsidP="009C10BE">
      <w:pPr>
        <w:spacing w:line="360" w:lineRule="auto"/>
        <w:ind w:left="630" w:hanging="630"/>
        <w:jc w:val="both"/>
        <w:rPr>
          <w:rFonts w:ascii="Times New Roman" w:hAnsi="Times New Roman" w:cs="Times New Roman"/>
          <w:sz w:val="24"/>
          <w:szCs w:val="24"/>
          <w:lang w:val="en-US"/>
        </w:rPr>
      </w:pPr>
      <w:proofErr w:type="spellStart"/>
      <w:r w:rsidRPr="00421B9C">
        <w:rPr>
          <w:rFonts w:ascii="Times New Roman" w:hAnsi="Times New Roman" w:cs="Times New Roman"/>
          <w:sz w:val="24"/>
          <w:szCs w:val="24"/>
          <w:lang w:val="en-US"/>
        </w:rPr>
        <w:t>Cologni</w:t>
      </w:r>
      <w:proofErr w:type="spellEnd"/>
      <w:r w:rsidRPr="00421B9C">
        <w:rPr>
          <w:rFonts w:ascii="Times New Roman" w:hAnsi="Times New Roman" w:cs="Times New Roman"/>
          <w:sz w:val="24"/>
          <w:szCs w:val="24"/>
          <w:lang w:val="en-US"/>
        </w:rPr>
        <w:t xml:space="preserve">, A., </w:t>
      </w:r>
      <w:r w:rsidR="00205375">
        <w:rPr>
          <w:rFonts w:ascii="Times New Roman" w:hAnsi="Times New Roman" w:cs="Times New Roman"/>
          <w:sz w:val="24"/>
          <w:szCs w:val="24"/>
          <w:lang w:val="en-US"/>
        </w:rPr>
        <w:t>and</w:t>
      </w:r>
      <w:r w:rsidR="00212B73">
        <w:rPr>
          <w:rFonts w:ascii="Times New Roman" w:hAnsi="Times New Roman" w:cs="Times New Roman"/>
          <w:sz w:val="24"/>
          <w:szCs w:val="24"/>
          <w:lang w:val="en-US"/>
        </w:rPr>
        <w:t xml:space="preserve"> </w:t>
      </w:r>
      <w:proofErr w:type="spellStart"/>
      <w:r w:rsidRPr="00421B9C">
        <w:rPr>
          <w:rFonts w:ascii="Times New Roman" w:hAnsi="Times New Roman" w:cs="Times New Roman"/>
          <w:sz w:val="24"/>
          <w:szCs w:val="24"/>
          <w:lang w:val="en-US"/>
        </w:rPr>
        <w:t>Manera</w:t>
      </w:r>
      <w:proofErr w:type="spellEnd"/>
      <w:r w:rsidRPr="00421B9C">
        <w:rPr>
          <w:rFonts w:ascii="Times New Roman" w:hAnsi="Times New Roman" w:cs="Times New Roman"/>
          <w:sz w:val="24"/>
          <w:szCs w:val="24"/>
          <w:lang w:val="en-US"/>
        </w:rPr>
        <w:t xml:space="preserve">, M. (2008). </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Oil </w:t>
      </w:r>
      <w:r w:rsidR="00205375">
        <w:rPr>
          <w:rFonts w:ascii="Times New Roman" w:hAnsi="Times New Roman" w:cs="Times New Roman"/>
          <w:sz w:val="24"/>
          <w:szCs w:val="24"/>
          <w:lang w:val="en-US"/>
        </w:rPr>
        <w:t>P</w:t>
      </w:r>
      <w:r w:rsidRPr="00421B9C">
        <w:rPr>
          <w:rFonts w:ascii="Times New Roman" w:hAnsi="Times New Roman" w:cs="Times New Roman"/>
          <w:sz w:val="24"/>
          <w:szCs w:val="24"/>
          <w:lang w:val="en-US"/>
        </w:rPr>
        <w:t xml:space="preserve">rices, </w:t>
      </w:r>
      <w:r w:rsidR="00205375">
        <w:rPr>
          <w:rFonts w:ascii="Times New Roman" w:hAnsi="Times New Roman" w:cs="Times New Roman"/>
          <w:sz w:val="24"/>
          <w:szCs w:val="24"/>
          <w:lang w:val="en-US"/>
        </w:rPr>
        <w:t>I</w:t>
      </w:r>
      <w:r w:rsidRPr="00421B9C">
        <w:rPr>
          <w:rFonts w:ascii="Times New Roman" w:hAnsi="Times New Roman" w:cs="Times New Roman"/>
          <w:sz w:val="24"/>
          <w:szCs w:val="24"/>
          <w:lang w:val="en-US"/>
        </w:rPr>
        <w:t xml:space="preserve">nflation and </w:t>
      </w:r>
      <w:r w:rsidR="00205375">
        <w:rPr>
          <w:rFonts w:ascii="Times New Roman" w:hAnsi="Times New Roman" w:cs="Times New Roman"/>
          <w:sz w:val="24"/>
          <w:szCs w:val="24"/>
          <w:lang w:val="en-US"/>
        </w:rPr>
        <w:t>I</w:t>
      </w:r>
      <w:r w:rsidRPr="00421B9C">
        <w:rPr>
          <w:rFonts w:ascii="Times New Roman" w:hAnsi="Times New Roman" w:cs="Times New Roman"/>
          <w:sz w:val="24"/>
          <w:szCs w:val="24"/>
          <w:lang w:val="en-US"/>
        </w:rPr>
        <w:t xml:space="preserve">nterest </w:t>
      </w:r>
      <w:r w:rsidR="00205375">
        <w:rPr>
          <w:rFonts w:ascii="Times New Roman" w:hAnsi="Times New Roman" w:cs="Times New Roman"/>
          <w:sz w:val="24"/>
          <w:szCs w:val="24"/>
          <w:lang w:val="en-US"/>
        </w:rPr>
        <w:t>R</w:t>
      </w:r>
      <w:r w:rsidRPr="00421B9C">
        <w:rPr>
          <w:rFonts w:ascii="Times New Roman" w:hAnsi="Times New Roman" w:cs="Times New Roman"/>
          <w:sz w:val="24"/>
          <w:szCs w:val="24"/>
          <w:lang w:val="en-US"/>
        </w:rPr>
        <w:t xml:space="preserve">ates in a </w:t>
      </w:r>
      <w:r w:rsidR="00205375">
        <w:rPr>
          <w:rFonts w:ascii="Times New Roman" w:hAnsi="Times New Roman" w:cs="Times New Roman"/>
          <w:sz w:val="24"/>
          <w:szCs w:val="24"/>
          <w:lang w:val="en-US"/>
        </w:rPr>
        <w:t>S</w:t>
      </w:r>
      <w:r w:rsidRPr="00421B9C">
        <w:rPr>
          <w:rFonts w:ascii="Times New Roman" w:hAnsi="Times New Roman" w:cs="Times New Roman"/>
          <w:sz w:val="24"/>
          <w:szCs w:val="24"/>
          <w:lang w:val="en-US"/>
        </w:rPr>
        <w:t xml:space="preserve">tructural </w:t>
      </w:r>
      <w:r w:rsidR="00205375">
        <w:rPr>
          <w:rFonts w:ascii="Times New Roman" w:hAnsi="Times New Roman" w:cs="Times New Roman"/>
          <w:sz w:val="24"/>
          <w:szCs w:val="24"/>
          <w:lang w:val="en-US"/>
        </w:rPr>
        <w:t>C</w:t>
      </w:r>
      <w:r w:rsidRPr="00421B9C">
        <w:rPr>
          <w:rFonts w:ascii="Times New Roman" w:hAnsi="Times New Roman" w:cs="Times New Roman"/>
          <w:sz w:val="24"/>
          <w:szCs w:val="24"/>
          <w:lang w:val="en-US"/>
        </w:rPr>
        <w:t xml:space="preserve">ointegrated VAR </w:t>
      </w:r>
      <w:r w:rsidR="00205375">
        <w:rPr>
          <w:rFonts w:ascii="Times New Roman" w:hAnsi="Times New Roman" w:cs="Times New Roman"/>
          <w:sz w:val="24"/>
          <w:szCs w:val="24"/>
          <w:lang w:val="en-US"/>
        </w:rPr>
        <w:t>M</w:t>
      </w:r>
      <w:r w:rsidRPr="00421B9C">
        <w:rPr>
          <w:rFonts w:ascii="Times New Roman" w:hAnsi="Times New Roman" w:cs="Times New Roman"/>
          <w:sz w:val="24"/>
          <w:szCs w:val="24"/>
          <w:lang w:val="en-US"/>
        </w:rPr>
        <w:t xml:space="preserve">odel for the G-7 </w:t>
      </w:r>
      <w:r w:rsidR="00205375">
        <w:rPr>
          <w:rFonts w:ascii="Times New Roman" w:hAnsi="Times New Roman" w:cs="Times New Roman"/>
          <w:sz w:val="24"/>
          <w:szCs w:val="24"/>
          <w:lang w:val="en-US"/>
        </w:rPr>
        <w:t>C</w:t>
      </w:r>
      <w:r w:rsidRPr="00421B9C">
        <w:rPr>
          <w:rFonts w:ascii="Times New Roman" w:hAnsi="Times New Roman" w:cs="Times New Roman"/>
          <w:sz w:val="24"/>
          <w:szCs w:val="24"/>
          <w:lang w:val="en-US"/>
        </w:rPr>
        <w:t>ountries.</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Pr="00212B73">
        <w:rPr>
          <w:rFonts w:ascii="Times New Roman" w:hAnsi="Times New Roman" w:cs="Times New Roman"/>
          <w:i/>
          <w:iCs/>
          <w:sz w:val="24"/>
          <w:szCs w:val="24"/>
          <w:lang w:val="en-US"/>
        </w:rPr>
        <w:t>Energy Economics</w:t>
      </w:r>
      <w:r w:rsidRPr="00421B9C">
        <w:rPr>
          <w:rFonts w:ascii="Times New Roman" w:hAnsi="Times New Roman" w:cs="Times New Roman"/>
          <w:sz w:val="24"/>
          <w:szCs w:val="24"/>
          <w:lang w:val="en-US"/>
        </w:rPr>
        <w:t xml:space="preserve"> 30</w:t>
      </w:r>
      <w:r w:rsidR="009609B4">
        <w:rPr>
          <w:rFonts w:ascii="Times New Roman" w:hAnsi="Times New Roman" w:cs="Times New Roman"/>
          <w:sz w:val="24"/>
          <w:szCs w:val="24"/>
          <w:lang w:val="en-US"/>
        </w:rPr>
        <w:t>(7)</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856-888.</w:t>
      </w:r>
    </w:p>
    <w:p w14:paraId="4FDF087F" w14:textId="4CF18B6E" w:rsidR="00421B9C" w:rsidRPr="00421B9C" w:rsidRDefault="00421B9C" w:rsidP="009C10BE">
      <w:pPr>
        <w:spacing w:line="360" w:lineRule="auto"/>
        <w:ind w:left="630" w:hanging="630"/>
        <w:jc w:val="both"/>
        <w:rPr>
          <w:rFonts w:ascii="Times New Roman" w:hAnsi="Times New Roman" w:cs="Times New Roman"/>
          <w:sz w:val="24"/>
          <w:szCs w:val="24"/>
          <w:lang w:val="en-US"/>
        </w:rPr>
      </w:pPr>
      <w:r w:rsidRPr="00421B9C">
        <w:rPr>
          <w:rFonts w:ascii="Times New Roman" w:hAnsi="Times New Roman" w:cs="Times New Roman"/>
          <w:sz w:val="24"/>
          <w:szCs w:val="24"/>
          <w:lang w:val="en-US"/>
        </w:rPr>
        <w:t xml:space="preserve">Connor, G., </w:t>
      </w:r>
      <w:r w:rsidR="00205375">
        <w:rPr>
          <w:rFonts w:ascii="Times New Roman" w:hAnsi="Times New Roman" w:cs="Times New Roman"/>
          <w:sz w:val="24"/>
          <w:szCs w:val="24"/>
          <w:lang w:val="en-US"/>
        </w:rPr>
        <w:t>and</w:t>
      </w:r>
      <w:r w:rsidR="00212B73">
        <w:rPr>
          <w:rFonts w:ascii="Times New Roman" w:hAnsi="Times New Roman" w:cs="Times New Roman"/>
          <w:sz w:val="24"/>
          <w:szCs w:val="24"/>
          <w:lang w:val="en-US"/>
        </w:rPr>
        <w:t xml:space="preserve"> </w:t>
      </w:r>
      <w:r w:rsidRPr="00421B9C">
        <w:rPr>
          <w:rFonts w:ascii="Times New Roman" w:hAnsi="Times New Roman" w:cs="Times New Roman"/>
          <w:sz w:val="24"/>
          <w:szCs w:val="24"/>
          <w:lang w:val="en-US"/>
        </w:rPr>
        <w:t xml:space="preserve">Linton, O. </w:t>
      </w:r>
      <w:r w:rsidR="00212B73">
        <w:rPr>
          <w:rFonts w:ascii="Times New Roman" w:hAnsi="Times New Roman" w:cs="Times New Roman"/>
          <w:sz w:val="24"/>
          <w:szCs w:val="24"/>
          <w:lang w:val="en-US"/>
        </w:rPr>
        <w:t>(</w:t>
      </w:r>
      <w:r w:rsidRPr="00421B9C">
        <w:rPr>
          <w:rFonts w:ascii="Times New Roman" w:hAnsi="Times New Roman" w:cs="Times New Roman"/>
          <w:sz w:val="24"/>
          <w:szCs w:val="24"/>
          <w:lang w:val="en-US"/>
        </w:rPr>
        <w:t>2001</w:t>
      </w:r>
      <w:r w:rsidR="00212B73">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The </w:t>
      </w:r>
      <w:r w:rsidR="00205375">
        <w:rPr>
          <w:rFonts w:ascii="Times New Roman" w:hAnsi="Times New Roman" w:cs="Times New Roman"/>
          <w:sz w:val="24"/>
          <w:szCs w:val="24"/>
          <w:lang w:val="en-US"/>
        </w:rPr>
        <w:t>C</w:t>
      </w:r>
      <w:r w:rsidRPr="00421B9C">
        <w:rPr>
          <w:rFonts w:ascii="Times New Roman" w:hAnsi="Times New Roman" w:cs="Times New Roman"/>
          <w:sz w:val="24"/>
          <w:szCs w:val="24"/>
          <w:lang w:val="en-US"/>
        </w:rPr>
        <w:t xml:space="preserve">ommon and </w:t>
      </w:r>
      <w:r w:rsidR="00205375">
        <w:rPr>
          <w:rFonts w:ascii="Times New Roman" w:hAnsi="Times New Roman" w:cs="Times New Roman"/>
          <w:sz w:val="24"/>
          <w:szCs w:val="24"/>
          <w:lang w:val="en-US"/>
        </w:rPr>
        <w:t>S</w:t>
      </w:r>
      <w:r w:rsidRPr="00421B9C">
        <w:rPr>
          <w:rFonts w:ascii="Times New Roman" w:hAnsi="Times New Roman" w:cs="Times New Roman"/>
          <w:sz w:val="24"/>
          <w:szCs w:val="24"/>
          <w:lang w:val="en-US"/>
        </w:rPr>
        <w:t xml:space="preserve">pecific </w:t>
      </w:r>
      <w:r w:rsidR="00205375">
        <w:rPr>
          <w:rFonts w:ascii="Times New Roman" w:hAnsi="Times New Roman" w:cs="Times New Roman"/>
          <w:sz w:val="24"/>
          <w:szCs w:val="24"/>
          <w:lang w:val="en-US"/>
        </w:rPr>
        <w:t>C</w:t>
      </w:r>
      <w:r w:rsidRPr="00421B9C">
        <w:rPr>
          <w:rFonts w:ascii="Times New Roman" w:hAnsi="Times New Roman" w:cs="Times New Roman"/>
          <w:sz w:val="24"/>
          <w:szCs w:val="24"/>
          <w:lang w:val="en-US"/>
        </w:rPr>
        <w:t xml:space="preserve">omponents of </w:t>
      </w:r>
      <w:r w:rsidR="00205375">
        <w:rPr>
          <w:rFonts w:ascii="Times New Roman" w:hAnsi="Times New Roman" w:cs="Times New Roman"/>
          <w:sz w:val="24"/>
          <w:szCs w:val="24"/>
          <w:lang w:val="en-US"/>
        </w:rPr>
        <w:t>D</w:t>
      </w:r>
      <w:r w:rsidRPr="00421B9C">
        <w:rPr>
          <w:rFonts w:ascii="Times New Roman" w:hAnsi="Times New Roman" w:cs="Times New Roman"/>
          <w:sz w:val="24"/>
          <w:szCs w:val="24"/>
          <w:lang w:val="en-US"/>
        </w:rPr>
        <w:t xml:space="preserve">ynamic </w:t>
      </w:r>
      <w:r w:rsidR="00205375">
        <w:rPr>
          <w:rFonts w:ascii="Times New Roman" w:hAnsi="Times New Roman" w:cs="Times New Roman"/>
          <w:sz w:val="24"/>
          <w:szCs w:val="24"/>
          <w:lang w:val="en-US"/>
        </w:rPr>
        <w:t>V</w:t>
      </w:r>
      <w:r w:rsidRPr="00421B9C">
        <w:rPr>
          <w:rFonts w:ascii="Times New Roman" w:hAnsi="Times New Roman" w:cs="Times New Roman"/>
          <w:sz w:val="24"/>
          <w:szCs w:val="24"/>
          <w:lang w:val="en-US"/>
        </w:rPr>
        <w:t>olatility.</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Mimeo, London School of Economics and Political Science.</w:t>
      </w:r>
    </w:p>
    <w:p w14:paraId="3A55BDD7" w14:textId="77777777" w:rsidR="00421B9C" w:rsidRPr="00421B9C" w:rsidRDefault="00421B9C" w:rsidP="009C10BE">
      <w:pPr>
        <w:spacing w:line="360" w:lineRule="auto"/>
        <w:ind w:left="630" w:hanging="630"/>
        <w:jc w:val="both"/>
        <w:rPr>
          <w:rFonts w:ascii="Times New Roman" w:hAnsi="Times New Roman" w:cs="Times New Roman"/>
          <w:sz w:val="24"/>
          <w:szCs w:val="24"/>
          <w:lang w:val="en-US"/>
        </w:rPr>
      </w:pPr>
      <w:r w:rsidRPr="00421B9C">
        <w:rPr>
          <w:rFonts w:ascii="Times New Roman" w:hAnsi="Times New Roman" w:cs="Times New Roman"/>
          <w:sz w:val="24"/>
          <w:szCs w:val="24"/>
          <w:lang w:val="en-US"/>
        </w:rPr>
        <w:t xml:space="preserve">Diebold, F.X. (2004). </w:t>
      </w:r>
      <w:r w:rsidRPr="00212B73">
        <w:rPr>
          <w:rFonts w:ascii="Times New Roman" w:hAnsi="Times New Roman" w:cs="Times New Roman"/>
          <w:i/>
          <w:iCs/>
          <w:sz w:val="24"/>
          <w:szCs w:val="24"/>
          <w:lang w:val="en-US"/>
        </w:rPr>
        <w:t>Elements of Forecasting</w:t>
      </w:r>
      <w:r w:rsidRPr="00421B9C">
        <w:rPr>
          <w:rFonts w:ascii="Times New Roman" w:hAnsi="Times New Roman" w:cs="Times New Roman"/>
          <w:sz w:val="24"/>
          <w:szCs w:val="24"/>
          <w:lang w:val="en-US"/>
        </w:rPr>
        <w:t>. Semantic Scholar.</w:t>
      </w:r>
    </w:p>
    <w:p w14:paraId="0660A272" w14:textId="69ADEA4E" w:rsidR="00421B9C" w:rsidRPr="00421B9C" w:rsidRDefault="00421B9C" w:rsidP="009C10BE">
      <w:pPr>
        <w:spacing w:line="360" w:lineRule="auto"/>
        <w:ind w:left="630" w:hanging="630"/>
        <w:jc w:val="both"/>
        <w:rPr>
          <w:rFonts w:ascii="Times New Roman" w:hAnsi="Times New Roman" w:cs="Times New Roman"/>
          <w:sz w:val="24"/>
          <w:szCs w:val="24"/>
          <w:lang w:val="en-US"/>
        </w:rPr>
      </w:pPr>
      <w:r w:rsidRPr="00421B9C">
        <w:rPr>
          <w:rFonts w:ascii="Times New Roman" w:hAnsi="Times New Roman" w:cs="Times New Roman"/>
          <w:sz w:val="24"/>
          <w:szCs w:val="24"/>
          <w:lang w:val="en-US"/>
        </w:rPr>
        <w:t xml:space="preserve">Diebold, F.X., </w:t>
      </w:r>
      <w:r w:rsidR="00205375">
        <w:rPr>
          <w:rFonts w:ascii="Times New Roman" w:hAnsi="Times New Roman" w:cs="Times New Roman"/>
          <w:sz w:val="24"/>
          <w:szCs w:val="24"/>
          <w:lang w:val="en-US"/>
        </w:rPr>
        <w:t>and</w:t>
      </w:r>
      <w:r w:rsidR="00212B73">
        <w:rPr>
          <w:rFonts w:ascii="Times New Roman" w:hAnsi="Times New Roman" w:cs="Times New Roman"/>
          <w:sz w:val="24"/>
          <w:szCs w:val="24"/>
          <w:lang w:val="en-US"/>
        </w:rPr>
        <w:t xml:space="preserve"> </w:t>
      </w:r>
      <w:r w:rsidRPr="00421B9C">
        <w:rPr>
          <w:rFonts w:ascii="Times New Roman" w:hAnsi="Times New Roman" w:cs="Times New Roman"/>
          <w:sz w:val="24"/>
          <w:szCs w:val="24"/>
          <w:lang w:val="en-US"/>
        </w:rPr>
        <w:t xml:space="preserve">Mariano, R.S. </w:t>
      </w:r>
      <w:r w:rsidR="00212B73">
        <w:rPr>
          <w:rFonts w:ascii="Times New Roman" w:hAnsi="Times New Roman" w:cs="Times New Roman"/>
          <w:sz w:val="24"/>
          <w:szCs w:val="24"/>
          <w:lang w:val="en-US"/>
        </w:rPr>
        <w:t>(</w:t>
      </w:r>
      <w:r w:rsidRPr="00421B9C">
        <w:rPr>
          <w:rFonts w:ascii="Times New Roman" w:hAnsi="Times New Roman" w:cs="Times New Roman"/>
          <w:sz w:val="24"/>
          <w:szCs w:val="24"/>
          <w:lang w:val="en-US"/>
        </w:rPr>
        <w:t>1995</w:t>
      </w:r>
      <w:r w:rsidR="00212B73">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Comparing </w:t>
      </w:r>
      <w:r w:rsidR="00205375">
        <w:rPr>
          <w:rFonts w:ascii="Times New Roman" w:hAnsi="Times New Roman" w:cs="Times New Roman"/>
          <w:sz w:val="24"/>
          <w:szCs w:val="24"/>
          <w:lang w:val="en-US"/>
        </w:rPr>
        <w:t>P</w:t>
      </w:r>
      <w:r w:rsidRPr="00421B9C">
        <w:rPr>
          <w:rFonts w:ascii="Times New Roman" w:hAnsi="Times New Roman" w:cs="Times New Roman"/>
          <w:sz w:val="24"/>
          <w:szCs w:val="24"/>
          <w:lang w:val="en-US"/>
        </w:rPr>
        <w:t xml:space="preserve">redictive </w:t>
      </w:r>
      <w:r w:rsidR="00205375">
        <w:rPr>
          <w:rFonts w:ascii="Times New Roman" w:hAnsi="Times New Roman" w:cs="Times New Roman"/>
          <w:sz w:val="24"/>
          <w:szCs w:val="24"/>
          <w:lang w:val="en-US"/>
        </w:rPr>
        <w:t>A</w:t>
      </w:r>
      <w:r w:rsidRPr="00421B9C">
        <w:rPr>
          <w:rFonts w:ascii="Times New Roman" w:hAnsi="Times New Roman" w:cs="Times New Roman"/>
          <w:sz w:val="24"/>
          <w:szCs w:val="24"/>
          <w:lang w:val="en-US"/>
        </w:rPr>
        <w:t>ccuracy.</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Pr="00212B73">
        <w:rPr>
          <w:rFonts w:ascii="Times New Roman" w:hAnsi="Times New Roman" w:cs="Times New Roman"/>
          <w:i/>
          <w:iCs/>
          <w:sz w:val="24"/>
          <w:szCs w:val="24"/>
          <w:lang w:val="en-US"/>
        </w:rPr>
        <w:t>Journal of Business and Economic Statistics</w:t>
      </w:r>
      <w:r w:rsidRPr="00421B9C">
        <w:rPr>
          <w:rFonts w:ascii="Times New Roman" w:hAnsi="Times New Roman" w:cs="Times New Roman"/>
          <w:sz w:val="24"/>
          <w:szCs w:val="24"/>
          <w:lang w:val="en-US"/>
        </w:rPr>
        <w:t xml:space="preserve"> 13</w:t>
      </w:r>
      <w:r w:rsidR="009609B4">
        <w:rPr>
          <w:rFonts w:ascii="Times New Roman" w:hAnsi="Times New Roman" w:cs="Times New Roman"/>
          <w:sz w:val="24"/>
          <w:szCs w:val="24"/>
          <w:lang w:val="en-US"/>
        </w:rPr>
        <w:t>(1)</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134-145.</w:t>
      </w:r>
    </w:p>
    <w:p w14:paraId="4444B1E0" w14:textId="531C1F05" w:rsidR="00421B9C" w:rsidRPr="00421B9C" w:rsidRDefault="00421B9C" w:rsidP="009C10BE">
      <w:pPr>
        <w:spacing w:line="360" w:lineRule="auto"/>
        <w:ind w:left="630" w:hanging="630"/>
        <w:jc w:val="both"/>
        <w:rPr>
          <w:rFonts w:ascii="Times New Roman" w:hAnsi="Times New Roman" w:cs="Times New Roman"/>
          <w:color w:val="222222"/>
          <w:sz w:val="24"/>
          <w:szCs w:val="24"/>
          <w:shd w:val="clear" w:color="auto" w:fill="FFFFFF"/>
          <w:lang w:val="en-US"/>
        </w:rPr>
      </w:pPr>
      <w:proofErr w:type="spellStart"/>
      <w:r w:rsidRPr="00421B9C">
        <w:rPr>
          <w:rFonts w:ascii="Times New Roman" w:hAnsi="Times New Roman" w:cs="Times New Roman"/>
          <w:color w:val="222222"/>
          <w:sz w:val="24"/>
          <w:szCs w:val="24"/>
          <w:shd w:val="clear" w:color="auto" w:fill="FFFFFF"/>
          <w:lang w:val="en-US"/>
        </w:rPr>
        <w:t>Donadelli</w:t>
      </w:r>
      <w:proofErr w:type="spellEnd"/>
      <w:r w:rsidRPr="00421B9C">
        <w:rPr>
          <w:rFonts w:ascii="Times New Roman" w:hAnsi="Times New Roman" w:cs="Times New Roman"/>
          <w:color w:val="222222"/>
          <w:sz w:val="24"/>
          <w:szCs w:val="24"/>
          <w:shd w:val="clear" w:color="auto" w:fill="FFFFFF"/>
          <w:lang w:val="en-US"/>
        </w:rPr>
        <w:t xml:space="preserve">, M., </w:t>
      </w:r>
      <w:proofErr w:type="spellStart"/>
      <w:r w:rsidRPr="00421B9C">
        <w:rPr>
          <w:rFonts w:ascii="Times New Roman" w:hAnsi="Times New Roman" w:cs="Times New Roman"/>
          <w:color w:val="222222"/>
          <w:sz w:val="24"/>
          <w:szCs w:val="24"/>
          <w:shd w:val="clear" w:color="auto" w:fill="FFFFFF"/>
          <w:lang w:val="en-US"/>
        </w:rPr>
        <w:t>Jüppner</w:t>
      </w:r>
      <w:proofErr w:type="spellEnd"/>
      <w:r w:rsidRPr="00421B9C">
        <w:rPr>
          <w:rFonts w:ascii="Times New Roman" w:hAnsi="Times New Roman" w:cs="Times New Roman"/>
          <w:color w:val="222222"/>
          <w:sz w:val="24"/>
          <w:szCs w:val="24"/>
          <w:shd w:val="clear" w:color="auto" w:fill="FFFFFF"/>
          <w:lang w:val="en-US"/>
        </w:rPr>
        <w:t xml:space="preserve">, M., Paradiso, A., </w:t>
      </w:r>
      <w:r w:rsidR="00205375">
        <w:rPr>
          <w:rFonts w:ascii="Times New Roman" w:hAnsi="Times New Roman" w:cs="Times New Roman"/>
          <w:color w:val="222222"/>
          <w:sz w:val="24"/>
          <w:szCs w:val="24"/>
          <w:shd w:val="clear" w:color="auto" w:fill="FFFFFF"/>
          <w:lang w:val="en-US"/>
        </w:rPr>
        <w:t>and</w:t>
      </w:r>
      <w:r w:rsidRPr="00421B9C">
        <w:rPr>
          <w:rFonts w:ascii="Times New Roman" w:hAnsi="Times New Roman" w:cs="Times New Roman"/>
          <w:color w:val="222222"/>
          <w:sz w:val="24"/>
          <w:szCs w:val="24"/>
          <w:shd w:val="clear" w:color="auto" w:fill="FFFFFF"/>
          <w:lang w:val="en-US"/>
        </w:rPr>
        <w:t xml:space="preserve"> </w:t>
      </w:r>
      <w:proofErr w:type="spellStart"/>
      <w:r w:rsidRPr="00421B9C">
        <w:rPr>
          <w:rFonts w:ascii="Times New Roman" w:hAnsi="Times New Roman" w:cs="Times New Roman"/>
          <w:color w:val="222222"/>
          <w:sz w:val="24"/>
          <w:szCs w:val="24"/>
          <w:shd w:val="clear" w:color="auto" w:fill="FFFFFF"/>
          <w:lang w:val="en-US"/>
        </w:rPr>
        <w:t>Ghisletti</w:t>
      </w:r>
      <w:proofErr w:type="spellEnd"/>
      <w:r w:rsidRPr="00421B9C">
        <w:rPr>
          <w:rFonts w:ascii="Times New Roman" w:hAnsi="Times New Roman" w:cs="Times New Roman"/>
          <w:color w:val="222222"/>
          <w:sz w:val="24"/>
          <w:szCs w:val="24"/>
          <w:shd w:val="clear" w:color="auto" w:fill="FFFFFF"/>
          <w:lang w:val="en-US"/>
        </w:rPr>
        <w:t xml:space="preserve">, M. (2020). </w:t>
      </w:r>
      <w:r w:rsidR="00205375">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Tornado </w:t>
      </w:r>
      <w:r w:rsidR="00205375">
        <w:rPr>
          <w:rFonts w:ascii="Times New Roman" w:hAnsi="Times New Roman" w:cs="Times New Roman"/>
          <w:color w:val="222222"/>
          <w:sz w:val="24"/>
          <w:szCs w:val="24"/>
          <w:shd w:val="clear" w:color="auto" w:fill="FFFFFF"/>
          <w:lang w:val="en-US"/>
        </w:rPr>
        <w:t>A</w:t>
      </w:r>
      <w:r w:rsidRPr="00421B9C">
        <w:rPr>
          <w:rFonts w:ascii="Times New Roman" w:hAnsi="Times New Roman" w:cs="Times New Roman"/>
          <w:color w:val="222222"/>
          <w:sz w:val="24"/>
          <w:szCs w:val="24"/>
          <w:shd w:val="clear" w:color="auto" w:fill="FFFFFF"/>
          <w:lang w:val="en-US"/>
        </w:rPr>
        <w:t xml:space="preserve">ctivity, </w:t>
      </w:r>
      <w:r w:rsidR="00205375">
        <w:rPr>
          <w:rFonts w:ascii="Times New Roman" w:hAnsi="Times New Roman" w:cs="Times New Roman"/>
          <w:color w:val="222222"/>
          <w:sz w:val="24"/>
          <w:szCs w:val="24"/>
          <w:shd w:val="clear" w:color="auto" w:fill="FFFFFF"/>
          <w:lang w:val="en-US"/>
        </w:rPr>
        <w:t>H</w:t>
      </w:r>
      <w:r w:rsidRPr="00421B9C">
        <w:rPr>
          <w:rFonts w:ascii="Times New Roman" w:hAnsi="Times New Roman" w:cs="Times New Roman"/>
          <w:color w:val="222222"/>
          <w:sz w:val="24"/>
          <w:szCs w:val="24"/>
          <w:shd w:val="clear" w:color="auto" w:fill="FFFFFF"/>
          <w:lang w:val="en-US"/>
        </w:rPr>
        <w:t xml:space="preserve">ouse </w:t>
      </w:r>
      <w:r w:rsidR="00205375">
        <w:rPr>
          <w:rFonts w:ascii="Times New Roman" w:hAnsi="Times New Roman" w:cs="Times New Roman"/>
          <w:color w:val="222222"/>
          <w:sz w:val="24"/>
          <w:szCs w:val="24"/>
          <w:shd w:val="clear" w:color="auto" w:fill="FFFFFF"/>
          <w:lang w:val="en-US"/>
        </w:rPr>
        <w:t>P</w:t>
      </w:r>
      <w:r w:rsidRPr="00421B9C">
        <w:rPr>
          <w:rFonts w:ascii="Times New Roman" w:hAnsi="Times New Roman" w:cs="Times New Roman"/>
          <w:color w:val="222222"/>
          <w:sz w:val="24"/>
          <w:szCs w:val="24"/>
          <w:shd w:val="clear" w:color="auto" w:fill="FFFFFF"/>
          <w:lang w:val="en-US"/>
        </w:rPr>
        <w:t xml:space="preserve">rices, and </w:t>
      </w:r>
      <w:r w:rsidR="00205375">
        <w:rPr>
          <w:rFonts w:ascii="Times New Roman" w:hAnsi="Times New Roman" w:cs="Times New Roman"/>
          <w:color w:val="222222"/>
          <w:sz w:val="24"/>
          <w:szCs w:val="24"/>
          <w:shd w:val="clear" w:color="auto" w:fill="FFFFFF"/>
          <w:lang w:val="en-US"/>
        </w:rPr>
        <w:t>S</w:t>
      </w:r>
      <w:r w:rsidRPr="00421B9C">
        <w:rPr>
          <w:rFonts w:ascii="Times New Roman" w:hAnsi="Times New Roman" w:cs="Times New Roman"/>
          <w:color w:val="222222"/>
          <w:sz w:val="24"/>
          <w:szCs w:val="24"/>
          <w:shd w:val="clear" w:color="auto" w:fill="FFFFFF"/>
          <w:lang w:val="en-US"/>
        </w:rPr>
        <w:t xml:space="preserve">tock </w:t>
      </w:r>
      <w:r w:rsidR="00205375">
        <w:rPr>
          <w:rFonts w:ascii="Times New Roman" w:hAnsi="Times New Roman" w:cs="Times New Roman"/>
          <w:color w:val="222222"/>
          <w:sz w:val="24"/>
          <w:szCs w:val="24"/>
          <w:shd w:val="clear" w:color="auto" w:fill="FFFFFF"/>
          <w:lang w:val="en-US"/>
        </w:rPr>
        <w:t>R</w:t>
      </w:r>
      <w:r w:rsidRPr="00421B9C">
        <w:rPr>
          <w:rFonts w:ascii="Times New Roman" w:hAnsi="Times New Roman" w:cs="Times New Roman"/>
          <w:color w:val="222222"/>
          <w:sz w:val="24"/>
          <w:szCs w:val="24"/>
          <w:shd w:val="clear" w:color="auto" w:fill="FFFFFF"/>
          <w:lang w:val="en-US"/>
        </w:rPr>
        <w:t>eturns.</w:t>
      </w:r>
      <w:r w:rsidR="00205375">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w:t>
      </w:r>
      <w:r w:rsidRPr="00421B9C">
        <w:rPr>
          <w:rFonts w:ascii="Times New Roman" w:hAnsi="Times New Roman" w:cs="Times New Roman"/>
          <w:i/>
          <w:iCs/>
          <w:color w:val="222222"/>
          <w:sz w:val="24"/>
          <w:szCs w:val="24"/>
          <w:shd w:val="clear" w:color="auto" w:fill="FFFFFF"/>
          <w:lang w:val="en-US"/>
        </w:rPr>
        <w:t>The North American Journal of Economics and Finance</w:t>
      </w:r>
      <w:r w:rsidRPr="00421B9C">
        <w:rPr>
          <w:rFonts w:ascii="Times New Roman" w:hAnsi="Times New Roman" w:cs="Times New Roman"/>
          <w:color w:val="222222"/>
          <w:sz w:val="24"/>
          <w:szCs w:val="24"/>
          <w:shd w:val="clear" w:color="auto" w:fill="FFFFFF"/>
          <w:lang w:val="en-US"/>
        </w:rPr>
        <w:t> </w:t>
      </w:r>
      <w:r w:rsidRPr="009609B4">
        <w:rPr>
          <w:rFonts w:ascii="Times New Roman" w:hAnsi="Times New Roman" w:cs="Times New Roman"/>
          <w:color w:val="222222"/>
          <w:sz w:val="24"/>
          <w:szCs w:val="24"/>
          <w:shd w:val="clear" w:color="auto" w:fill="FFFFFF"/>
          <w:lang w:val="en-US"/>
        </w:rPr>
        <w:t>52</w:t>
      </w:r>
      <w:r w:rsidR="009609B4" w:rsidRPr="009609B4">
        <w:rPr>
          <w:rFonts w:ascii="Times New Roman" w:hAnsi="Times New Roman" w:cs="Times New Roman"/>
          <w:color w:val="222222"/>
          <w:sz w:val="24"/>
          <w:szCs w:val="24"/>
          <w:shd w:val="clear" w:color="auto" w:fill="FFFFFF"/>
          <w:lang w:val="en-US"/>
        </w:rPr>
        <w:t>(1)</w:t>
      </w:r>
      <w:r w:rsidR="00205375">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 101</w:t>
      </w:r>
      <w:r w:rsidR="00212B73">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162.</w:t>
      </w:r>
    </w:p>
    <w:p w14:paraId="1A68BCA3" w14:textId="2C549A9A" w:rsidR="00421B9C" w:rsidRPr="00671681" w:rsidRDefault="00421B9C" w:rsidP="009C10BE">
      <w:pPr>
        <w:spacing w:line="360" w:lineRule="auto"/>
        <w:ind w:left="630" w:hanging="630"/>
        <w:jc w:val="both"/>
        <w:rPr>
          <w:rFonts w:ascii="Times New Roman" w:hAnsi="Times New Roman" w:cs="Times New Roman"/>
          <w:sz w:val="24"/>
          <w:szCs w:val="24"/>
          <w:shd w:val="clear" w:color="auto" w:fill="FFFFFF"/>
          <w:lang w:val="en-US"/>
        </w:rPr>
      </w:pPr>
      <w:proofErr w:type="spellStart"/>
      <w:r w:rsidRPr="00671681">
        <w:rPr>
          <w:rFonts w:ascii="Times New Roman" w:hAnsi="Times New Roman" w:cs="Times New Roman"/>
          <w:sz w:val="24"/>
          <w:szCs w:val="24"/>
          <w:shd w:val="clear" w:color="auto" w:fill="FFFFFF"/>
          <w:lang w:val="en-US"/>
        </w:rPr>
        <w:t>Eichengreen</w:t>
      </w:r>
      <w:proofErr w:type="spellEnd"/>
      <w:r w:rsidRPr="00671681">
        <w:rPr>
          <w:rFonts w:ascii="Times New Roman" w:hAnsi="Times New Roman" w:cs="Times New Roman"/>
          <w:sz w:val="24"/>
          <w:szCs w:val="24"/>
          <w:shd w:val="clear" w:color="auto" w:fill="FFFFFF"/>
          <w:lang w:val="en-US"/>
        </w:rPr>
        <w:t xml:space="preserve">, B., </w:t>
      </w:r>
      <w:r w:rsidR="00205375">
        <w:rPr>
          <w:rFonts w:ascii="Times New Roman" w:hAnsi="Times New Roman" w:cs="Times New Roman"/>
          <w:sz w:val="24"/>
          <w:szCs w:val="24"/>
          <w:shd w:val="clear" w:color="auto" w:fill="FFFFFF"/>
          <w:lang w:val="en-US"/>
        </w:rPr>
        <w:t>and</w:t>
      </w:r>
      <w:r w:rsidRPr="00671681">
        <w:rPr>
          <w:rFonts w:ascii="Times New Roman" w:hAnsi="Times New Roman" w:cs="Times New Roman"/>
          <w:sz w:val="24"/>
          <w:szCs w:val="24"/>
          <w:shd w:val="clear" w:color="auto" w:fill="FFFFFF"/>
          <w:lang w:val="en-US"/>
        </w:rPr>
        <w:t xml:space="preserve"> O’</w:t>
      </w:r>
      <w:r w:rsidR="00212B73">
        <w:rPr>
          <w:rFonts w:ascii="Times New Roman" w:hAnsi="Times New Roman" w:cs="Times New Roman"/>
          <w:sz w:val="24"/>
          <w:szCs w:val="24"/>
          <w:shd w:val="clear" w:color="auto" w:fill="FFFFFF"/>
          <w:lang w:val="en-US"/>
        </w:rPr>
        <w:t>R</w:t>
      </w:r>
      <w:r w:rsidRPr="00671681">
        <w:rPr>
          <w:rFonts w:ascii="Times New Roman" w:hAnsi="Times New Roman" w:cs="Times New Roman"/>
          <w:sz w:val="24"/>
          <w:szCs w:val="24"/>
          <w:shd w:val="clear" w:color="auto" w:fill="FFFFFF"/>
          <w:lang w:val="en-US"/>
        </w:rPr>
        <w:t xml:space="preserve">ourke, K.H. (2009). </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xml:space="preserve">A </w:t>
      </w:r>
      <w:r w:rsidR="00205375">
        <w:rPr>
          <w:rFonts w:ascii="Times New Roman" w:hAnsi="Times New Roman" w:cs="Times New Roman"/>
          <w:sz w:val="24"/>
          <w:szCs w:val="24"/>
          <w:shd w:val="clear" w:color="auto" w:fill="FFFFFF"/>
          <w:lang w:val="en-US"/>
        </w:rPr>
        <w:t>T</w:t>
      </w:r>
      <w:r w:rsidRPr="00671681">
        <w:rPr>
          <w:rFonts w:ascii="Times New Roman" w:hAnsi="Times New Roman" w:cs="Times New Roman"/>
          <w:sz w:val="24"/>
          <w:szCs w:val="24"/>
          <w:shd w:val="clear" w:color="auto" w:fill="FFFFFF"/>
          <w:lang w:val="en-US"/>
        </w:rPr>
        <w:t xml:space="preserve">ale of </w:t>
      </w:r>
      <w:r w:rsidR="00205375">
        <w:rPr>
          <w:rFonts w:ascii="Times New Roman" w:hAnsi="Times New Roman" w:cs="Times New Roman"/>
          <w:sz w:val="24"/>
          <w:szCs w:val="24"/>
          <w:shd w:val="clear" w:color="auto" w:fill="FFFFFF"/>
          <w:lang w:val="en-US"/>
        </w:rPr>
        <w:t>T</w:t>
      </w:r>
      <w:r w:rsidRPr="00671681">
        <w:rPr>
          <w:rFonts w:ascii="Times New Roman" w:hAnsi="Times New Roman" w:cs="Times New Roman"/>
          <w:sz w:val="24"/>
          <w:szCs w:val="24"/>
          <w:shd w:val="clear" w:color="auto" w:fill="FFFFFF"/>
          <w:lang w:val="en-US"/>
        </w:rPr>
        <w:t xml:space="preserve">wo </w:t>
      </w:r>
      <w:r w:rsidR="00205375">
        <w:rPr>
          <w:rFonts w:ascii="Times New Roman" w:hAnsi="Times New Roman" w:cs="Times New Roman"/>
          <w:sz w:val="24"/>
          <w:szCs w:val="24"/>
          <w:shd w:val="clear" w:color="auto" w:fill="FFFFFF"/>
          <w:lang w:val="en-US"/>
        </w:rPr>
        <w:t>D</w:t>
      </w:r>
      <w:r w:rsidRPr="00671681">
        <w:rPr>
          <w:rFonts w:ascii="Times New Roman" w:hAnsi="Times New Roman" w:cs="Times New Roman"/>
          <w:sz w:val="24"/>
          <w:szCs w:val="24"/>
          <w:shd w:val="clear" w:color="auto" w:fill="FFFFFF"/>
          <w:lang w:val="en-US"/>
        </w:rPr>
        <w:t>epressions.</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w:t>
      </w:r>
      <w:proofErr w:type="spellStart"/>
      <w:r w:rsidRPr="00671681">
        <w:rPr>
          <w:rFonts w:ascii="Times New Roman" w:hAnsi="Times New Roman" w:cs="Times New Roman"/>
          <w:sz w:val="24"/>
          <w:szCs w:val="24"/>
          <w:shd w:val="clear" w:color="auto" w:fill="FFFFFF"/>
          <w:lang w:val="en-US"/>
        </w:rPr>
        <w:t>VoxEU</w:t>
      </w:r>
      <w:proofErr w:type="spellEnd"/>
      <w:r w:rsidRPr="00671681">
        <w:rPr>
          <w:rFonts w:ascii="Times New Roman" w:hAnsi="Times New Roman" w:cs="Times New Roman"/>
          <w:sz w:val="24"/>
          <w:szCs w:val="24"/>
          <w:shd w:val="clear" w:color="auto" w:fill="FFFFFF"/>
          <w:lang w:val="en-US"/>
        </w:rPr>
        <w:t xml:space="preserve">. </w:t>
      </w:r>
      <w:r w:rsidR="00212B73">
        <w:rPr>
          <w:rFonts w:ascii="Times New Roman" w:hAnsi="Times New Roman" w:cs="Times New Roman"/>
          <w:sz w:val="24"/>
          <w:szCs w:val="24"/>
          <w:shd w:val="clear" w:color="auto" w:fill="FFFFFF"/>
          <w:lang w:val="en-US"/>
        </w:rPr>
        <w:t>O</w:t>
      </w:r>
      <w:r w:rsidRPr="00671681">
        <w:rPr>
          <w:rFonts w:ascii="Times New Roman" w:hAnsi="Times New Roman" w:cs="Times New Roman"/>
          <w:sz w:val="24"/>
          <w:szCs w:val="24"/>
          <w:shd w:val="clear" w:color="auto" w:fill="FFFFFF"/>
          <w:lang w:val="en-US"/>
        </w:rPr>
        <w:t>rg, 1.</w:t>
      </w:r>
    </w:p>
    <w:p w14:paraId="3F198006" w14:textId="77C617F8" w:rsidR="00421B9C" w:rsidRPr="00671681" w:rsidRDefault="00421B9C" w:rsidP="009C10BE">
      <w:pPr>
        <w:spacing w:line="360" w:lineRule="auto"/>
        <w:ind w:left="630" w:hanging="630"/>
        <w:jc w:val="both"/>
        <w:rPr>
          <w:rFonts w:ascii="Times New Roman" w:hAnsi="Times New Roman" w:cs="Times New Roman"/>
          <w:sz w:val="24"/>
          <w:szCs w:val="24"/>
          <w:lang w:val="en-US"/>
        </w:rPr>
      </w:pPr>
      <w:r w:rsidRPr="00671681">
        <w:rPr>
          <w:rFonts w:ascii="Times New Roman" w:hAnsi="Times New Roman" w:cs="Times New Roman"/>
          <w:sz w:val="24"/>
          <w:szCs w:val="24"/>
          <w:lang w:val="en-US"/>
        </w:rPr>
        <w:t xml:space="preserve">Elliott, G., Rothenberg, T.J., </w:t>
      </w:r>
      <w:r w:rsidR="00205375">
        <w:rPr>
          <w:rFonts w:ascii="Times New Roman" w:hAnsi="Times New Roman" w:cs="Times New Roman"/>
          <w:sz w:val="24"/>
          <w:szCs w:val="24"/>
          <w:lang w:val="en-US"/>
        </w:rPr>
        <w:t>and</w:t>
      </w:r>
      <w:r w:rsidR="00212B73">
        <w:rPr>
          <w:rFonts w:ascii="Times New Roman" w:hAnsi="Times New Roman" w:cs="Times New Roman"/>
          <w:sz w:val="24"/>
          <w:szCs w:val="24"/>
          <w:lang w:val="en-US"/>
        </w:rPr>
        <w:t xml:space="preserve"> </w:t>
      </w:r>
      <w:r w:rsidRPr="00671681">
        <w:rPr>
          <w:rFonts w:ascii="Times New Roman" w:hAnsi="Times New Roman" w:cs="Times New Roman"/>
          <w:sz w:val="24"/>
          <w:szCs w:val="24"/>
          <w:lang w:val="en-US"/>
        </w:rPr>
        <w:t xml:space="preserve">Stock, J.H. </w:t>
      </w:r>
      <w:r w:rsidR="00205375">
        <w:rPr>
          <w:rFonts w:ascii="Times New Roman" w:hAnsi="Times New Roman" w:cs="Times New Roman"/>
          <w:sz w:val="24"/>
          <w:szCs w:val="24"/>
          <w:lang w:val="en-US"/>
        </w:rPr>
        <w:t>(</w:t>
      </w:r>
      <w:r w:rsidRPr="00671681">
        <w:rPr>
          <w:rFonts w:ascii="Times New Roman" w:hAnsi="Times New Roman" w:cs="Times New Roman"/>
          <w:sz w:val="24"/>
          <w:szCs w:val="24"/>
          <w:lang w:val="en-US"/>
        </w:rPr>
        <w:t>1996</w:t>
      </w:r>
      <w:r w:rsidR="00205375">
        <w:rPr>
          <w:rFonts w:ascii="Times New Roman" w:hAnsi="Times New Roman" w:cs="Times New Roman"/>
          <w:sz w:val="24"/>
          <w:szCs w:val="24"/>
          <w:lang w:val="en-US"/>
        </w:rPr>
        <w:t>)</w:t>
      </w:r>
      <w:r w:rsidRPr="00671681">
        <w:rPr>
          <w:rFonts w:ascii="Times New Roman" w:hAnsi="Times New Roman" w:cs="Times New Roman"/>
          <w:sz w:val="24"/>
          <w:szCs w:val="24"/>
          <w:lang w:val="en-US"/>
        </w:rPr>
        <w:t xml:space="preserve">. </w:t>
      </w:r>
      <w:r w:rsidR="00205375">
        <w:rPr>
          <w:rFonts w:ascii="Times New Roman" w:hAnsi="Times New Roman" w:cs="Times New Roman"/>
          <w:sz w:val="24"/>
          <w:szCs w:val="24"/>
          <w:lang w:val="en-US"/>
        </w:rPr>
        <w:t>“</w:t>
      </w:r>
      <w:r w:rsidRPr="00671681">
        <w:rPr>
          <w:rFonts w:ascii="Times New Roman" w:hAnsi="Times New Roman" w:cs="Times New Roman"/>
          <w:sz w:val="24"/>
          <w:szCs w:val="24"/>
          <w:lang w:val="en-US"/>
        </w:rPr>
        <w:t xml:space="preserve">Efficient </w:t>
      </w:r>
      <w:r w:rsidR="00205375">
        <w:rPr>
          <w:rFonts w:ascii="Times New Roman" w:hAnsi="Times New Roman" w:cs="Times New Roman"/>
          <w:sz w:val="24"/>
          <w:szCs w:val="24"/>
          <w:lang w:val="en-US"/>
        </w:rPr>
        <w:t>T</w:t>
      </w:r>
      <w:r w:rsidRPr="00671681">
        <w:rPr>
          <w:rFonts w:ascii="Times New Roman" w:hAnsi="Times New Roman" w:cs="Times New Roman"/>
          <w:sz w:val="24"/>
          <w:szCs w:val="24"/>
          <w:lang w:val="en-US"/>
        </w:rPr>
        <w:t xml:space="preserve">ests for an </w:t>
      </w:r>
      <w:r w:rsidR="00205375">
        <w:rPr>
          <w:rFonts w:ascii="Times New Roman" w:hAnsi="Times New Roman" w:cs="Times New Roman"/>
          <w:sz w:val="24"/>
          <w:szCs w:val="24"/>
          <w:lang w:val="en-US"/>
        </w:rPr>
        <w:t>A</w:t>
      </w:r>
      <w:r w:rsidRPr="00671681">
        <w:rPr>
          <w:rFonts w:ascii="Times New Roman" w:hAnsi="Times New Roman" w:cs="Times New Roman"/>
          <w:sz w:val="24"/>
          <w:szCs w:val="24"/>
          <w:lang w:val="en-US"/>
        </w:rPr>
        <w:t xml:space="preserve">utoregressive </w:t>
      </w:r>
      <w:r w:rsidR="00205375">
        <w:rPr>
          <w:rFonts w:ascii="Times New Roman" w:hAnsi="Times New Roman" w:cs="Times New Roman"/>
          <w:sz w:val="24"/>
          <w:szCs w:val="24"/>
          <w:lang w:val="en-US"/>
        </w:rPr>
        <w:t>U</w:t>
      </w:r>
      <w:r w:rsidRPr="00671681">
        <w:rPr>
          <w:rFonts w:ascii="Times New Roman" w:hAnsi="Times New Roman" w:cs="Times New Roman"/>
          <w:sz w:val="24"/>
          <w:szCs w:val="24"/>
          <w:lang w:val="en-US"/>
        </w:rPr>
        <w:t xml:space="preserve">nit </w:t>
      </w:r>
      <w:r w:rsidR="00205375">
        <w:rPr>
          <w:rFonts w:ascii="Times New Roman" w:hAnsi="Times New Roman" w:cs="Times New Roman"/>
          <w:sz w:val="24"/>
          <w:szCs w:val="24"/>
          <w:lang w:val="en-US"/>
        </w:rPr>
        <w:t>R</w:t>
      </w:r>
      <w:r w:rsidRPr="00671681">
        <w:rPr>
          <w:rFonts w:ascii="Times New Roman" w:hAnsi="Times New Roman" w:cs="Times New Roman"/>
          <w:sz w:val="24"/>
          <w:szCs w:val="24"/>
          <w:lang w:val="en-US"/>
        </w:rPr>
        <w:t>oot.</w:t>
      </w:r>
      <w:r w:rsidR="00205375">
        <w:rPr>
          <w:rFonts w:ascii="Times New Roman" w:hAnsi="Times New Roman" w:cs="Times New Roman"/>
          <w:sz w:val="24"/>
          <w:szCs w:val="24"/>
          <w:lang w:val="en-US"/>
        </w:rPr>
        <w:t>”</w:t>
      </w:r>
      <w:r w:rsidRPr="00671681">
        <w:rPr>
          <w:rFonts w:ascii="Times New Roman" w:hAnsi="Times New Roman" w:cs="Times New Roman"/>
          <w:sz w:val="24"/>
          <w:szCs w:val="24"/>
          <w:lang w:val="en-US"/>
        </w:rPr>
        <w:t xml:space="preserve"> </w:t>
      </w:r>
      <w:proofErr w:type="spellStart"/>
      <w:r w:rsidRPr="00212B73">
        <w:rPr>
          <w:rFonts w:ascii="Times New Roman" w:hAnsi="Times New Roman" w:cs="Times New Roman"/>
          <w:i/>
          <w:iCs/>
          <w:sz w:val="24"/>
          <w:szCs w:val="24"/>
          <w:lang w:val="en-US"/>
        </w:rPr>
        <w:t>Econometrica</w:t>
      </w:r>
      <w:proofErr w:type="spellEnd"/>
      <w:r w:rsidRPr="00671681">
        <w:rPr>
          <w:rFonts w:ascii="Times New Roman" w:hAnsi="Times New Roman" w:cs="Times New Roman"/>
          <w:sz w:val="24"/>
          <w:szCs w:val="24"/>
          <w:lang w:val="en-US"/>
        </w:rPr>
        <w:t xml:space="preserve"> 64</w:t>
      </w:r>
      <w:r w:rsidR="009609B4">
        <w:rPr>
          <w:rFonts w:ascii="Times New Roman" w:hAnsi="Times New Roman" w:cs="Times New Roman"/>
          <w:sz w:val="24"/>
          <w:szCs w:val="24"/>
          <w:lang w:val="en-US"/>
        </w:rPr>
        <w:t>(4)</w:t>
      </w:r>
      <w:r w:rsidR="00205375">
        <w:rPr>
          <w:rFonts w:ascii="Times New Roman" w:hAnsi="Times New Roman" w:cs="Times New Roman"/>
          <w:sz w:val="24"/>
          <w:szCs w:val="24"/>
          <w:lang w:val="en-US"/>
        </w:rPr>
        <w:t>:</w:t>
      </w:r>
      <w:r w:rsidRPr="00671681">
        <w:rPr>
          <w:rFonts w:ascii="Times New Roman" w:hAnsi="Times New Roman" w:cs="Times New Roman"/>
          <w:sz w:val="24"/>
          <w:szCs w:val="24"/>
          <w:lang w:val="en-US"/>
        </w:rPr>
        <w:t xml:space="preserve"> 813-836.</w:t>
      </w:r>
    </w:p>
    <w:p w14:paraId="5051329B" w14:textId="59783433" w:rsidR="00421B9C" w:rsidRPr="00671681" w:rsidRDefault="00421B9C" w:rsidP="009C10BE">
      <w:pPr>
        <w:spacing w:line="360" w:lineRule="auto"/>
        <w:ind w:left="630" w:hanging="630"/>
        <w:jc w:val="both"/>
        <w:rPr>
          <w:rFonts w:ascii="Times New Roman" w:hAnsi="Times New Roman" w:cs="Times New Roman"/>
          <w:sz w:val="24"/>
          <w:szCs w:val="24"/>
          <w:shd w:val="clear" w:color="auto" w:fill="FFFFFF"/>
          <w:lang w:val="en-US"/>
        </w:rPr>
      </w:pPr>
      <w:r w:rsidRPr="00671681">
        <w:rPr>
          <w:rFonts w:ascii="Times New Roman" w:hAnsi="Times New Roman" w:cs="Times New Roman"/>
          <w:sz w:val="24"/>
          <w:szCs w:val="24"/>
          <w:shd w:val="clear" w:color="auto" w:fill="FFFFFF"/>
          <w:lang w:val="en-US"/>
        </w:rPr>
        <w:t xml:space="preserve">Engle, R. (2004). </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xml:space="preserve">Risk and </w:t>
      </w:r>
      <w:r w:rsidR="00205375">
        <w:rPr>
          <w:rFonts w:ascii="Times New Roman" w:hAnsi="Times New Roman" w:cs="Times New Roman"/>
          <w:sz w:val="24"/>
          <w:szCs w:val="24"/>
          <w:shd w:val="clear" w:color="auto" w:fill="FFFFFF"/>
          <w:lang w:val="en-US"/>
        </w:rPr>
        <w:t>V</w:t>
      </w:r>
      <w:r w:rsidRPr="00671681">
        <w:rPr>
          <w:rFonts w:ascii="Times New Roman" w:hAnsi="Times New Roman" w:cs="Times New Roman"/>
          <w:sz w:val="24"/>
          <w:szCs w:val="24"/>
          <w:shd w:val="clear" w:color="auto" w:fill="FFFFFF"/>
          <w:lang w:val="en-US"/>
        </w:rPr>
        <w:t xml:space="preserve">olatility: </w:t>
      </w:r>
      <w:r w:rsidR="00205375">
        <w:rPr>
          <w:rFonts w:ascii="Times New Roman" w:hAnsi="Times New Roman" w:cs="Times New Roman"/>
          <w:sz w:val="24"/>
          <w:szCs w:val="24"/>
          <w:shd w:val="clear" w:color="auto" w:fill="FFFFFF"/>
          <w:lang w:val="en-US"/>
        </w:rPr>
        <w:t>E</w:t>
      </w:r>
      <w:r w:rsidRPr="00671681">
        <w:rPr>
          <w:rFonts w:ascii="Times New Roman" w:hAnsi="Times New Roman" w:cs="Times New Roman"/>
          <w:sz w:val="24"/>
          <w:szCs w:val="24"/>
          <w:shd w:val="clear" w:color="auto" w:fill="FFFFFF"/>
          <w:lang w:val="en-US"/>
        </w:rPr>
        <w:t xml:space="preserve">conometric </w:t>
      </w:r>
      <w:r w:rsidR="00205375">
        <w:rPr>
          <w:rFonts w:ascii="Times New Roman" w:hAnsi="Times New Roman" w:cs="Times New Roman"/>
          <w:sz w:val="24"/>
          <w:szCs w:val="24"/>
          <w:shd w:val="clear" w:color="auto" w:fill="FFFFFF"/>
          <w:lang w:val="en-US"/>
        </w:rPr>
        <w:t>M</w:t>
      </w:r>
      <w:r w:rsidRPr="00671681">
        <w:rPr>
          <w:rFonts w:ascii="Times New Roman" w:hAnsi="Times New Roman" w:cs="Times New Roman"/>
          <w:sz w:val="24"/>
          <w:szCs w:val="24"/>
          <w:shd w:val="clear" w:color="auto" w:fill="FFFFFF"/>
          <w:lang w:val="en-US"/>
        </w:rPr>
        <w:t xml:space="preserve">odels and </w:t>
      </w:r>
      <w:r w:rsidR="00205375">
        <w:rPr>
          <w:rFonts w:ascii="Times New Roman" w:hAnsi="Times New Roman" w:cs="Times New Roman"/>
          <w:sz w:val="24"/>
          <w:szCs w:val="24"/>
          <w:shd w:val="clear" w:color="auto" w:fill="FFFFFF"/>
          <w:lang w:val="en-US"/>
        </w:rPr>
        <w:t>F</w:t>
      </w:r>
      <w:r w:rsidRPr="00671681">
        <w:rPr>
          <w:rFonts w:ascii="Times New Roman" w:hAnsi="Times New Roman" w:cs="Times New Roman"/>
          <w:sz w:val="24"/>
          <w:szCs w:val="24"/>
          <w:shd w:val="clear" w:color="auto" w:fill="FFFFFF"/>
          <w:lang w:val="en-US"/>
        </w:rPr>
        <w:t xml:space="preserve">inancial </w:t>
      </w:r>
      <w:r w:rsidR="00205375">
        <w:rPr>
          <w:rFonts w:ascii="Times New Roman" w:hAnsi="Times New Roman" w:cs="Times New Roman"/>
          <w:sz w:val="24"/>
          <w:szCs w:val="24"/>
          <w:shd w:val="clear" w:color="auto" w:fill="FFFFFF"/>
          <w:lang w:val="en-US"/>
        </w:rPr>
        <w:t>P</w:t>
      </w:r>
      <w:r w:rsidRPr="00671681">
        <w:rPr>
          <w:rFonts w:ascii="Times New Roman" w:hAnsi="Times New Roman" w:cs="Times New Roman"/>
          <w:sz w:val="24"/>
          <w:szCs w:val="24"/>
          <w:shd w:val="clear" w:color="auto" w:fill="FFFFFF"/>
          <w:lang w:val="en-US"/>
        </w:rPr>
        <w:t>ractice.</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w:t>
      </w:r>
      <w:r w:rsidRPr="00671681">
        <w:rPr>
          <w:rFonts w:ascii="Times New Roman" w:hAnsi="Times New Roman" w:cs="Times New Roman"/>
          <w:i/>
          <w:iCs/>
          <w:sz w:val="24"/>
          <w:szCs w:val="24"/>
          <w:shd w:val="clear" w:color="auto" w:fill="FFFFFF"/>
          <w:lang w:val="en-US"/>
        </w:rPr>
        <w:t xml:space="preserve">American </w:t>
      </w:r>
      <w:r w:rsidR="00212B73">
        <w:rPr>
          <w:rFonts w:ascii="Times New Roman" w:hAnsi="Times New Roman" w:cs="Times New Roman"/>
          <w:i/>
          <w:iCs/>
          <w:sz w:val="24"/>
          <w:szCs w:val="24"/>
          <w:shd w:val="clear" w:color="auto" w:fill="FFFFFF"/>
          <w:lang w:val="en-US"/>
        </w:rPr>
        <w:t>E</w:t>
      </w:r>
      <w:r w:rsidRPr="00671681">
        <w:rPr>
          <w:rFonts w:ascii="Times New Roman" w:hAnsi="Times New Roman" w:cs="Times New Roman"/>
          <w:i/>
          <w:iCs/>
          <w:sz w:val="24"/>
          <w:szCs w:val="24"/>
          <w:shd w:val="clear" w:color="auto" w:fill="FFFFFF"/>
          <w:lang w:val="en-US"/>
        </w:rPr>
        <w:t xml:space="preserve">conomic </w:t>
      </w:r>
      <w:r w:rsidR="00212B73">
        <w:rPr>
          <w:rFonts w:ascii="Times New Roman" w:hAnsi="Times New Roman" w:cs="Times New Roman"/>
          <w:i/>
          <w:iCs/>
          <w:sz w:val="24"/>
          <w:szCs w:val="24"/>
          <w:shd w:val="clear" w:color="auto" w:fill="FFFFFF"/>
          <w:lang w:val="en-US"/>
        </w:rPr>
        <w:t>R</w:t>
      </w:r>
      <w:r w:rsidRPr="00671681">
        <w:rPr>
          <w:rFonts w:ascii="Times New Roman" w:hAnsi="Times New Roman" w:cs="Times New Roman"/>
          <w:i/>
          <w:iCs/>
          <w:sz w:val="24"/>
          <w:szCs w:val="24"/>
          <w:shd w:val="clear" w:color="auto" w:fill="FFFFFF"/>
          <w:lang w:val="en-US"/>
        </w:rPr>
        <w:t>eview</w:t>
      </w:r>
      <w:r w:rsidRPr="00671681">
        <w:rPr>
          <w:rFonts w:ascii="Times New Roman" w:hAnsi="Times New Roman" w:cs="Times New Roman"/>
          <w:sz w:val="24"/>
          <w:szCs w:val="24"/>
          <w:shd w:val="clear" w:color="auto" w:fill="FFFFFF"/>
          <w:lang w:val="en-US"/>
        </w:rPr>
        <w:t> </w:t>
      </w:r>
      <w:r w:rsidRPr="009609B4">
        <w:rPr>
          <w:rFonts w:ascii="Times New Roman" w:hAnsi="Times New Roman" w:cs="Times New Roman"/>
          <w:sz w:val="24"/>
          <w:szCs w:val="24"/>
          <w:shd w:val="clear" w:color="auto" w:fill="FFFFFF"/>
          <w:lang w:val="en-US"/>
        </w:rPr>
        <w:t>94</w:t>
      </w:r>
      <w:r w:rsidR="009609B4" w:rsidRPr="009609B4">
        <w:rPr>
          <w:rFonts w:ascii="Times New Roman" w:hAnsi="Times New Roman" w:cs="Times New Roman"/>
          <w:sz w:val="24"/>
          <w:szCs w:val="24"/>
          <w:shd w:val="clear" w:color="auto" w:fill="FFFFFF"/>
          <w:lang w:val="en-US"/>
        </w:rPr>
        <w:t>(2)</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xml:space="preserve"> 405-420.</w:t>
      </w:r>
    </w:p>
    <w:p w14:paraId="2362775F" w14:textId="1F0AE7ED" w:rsidR="00421B9C" w:rsidRPr="00421B9C" w:rsidRDefault="00421B9C" w:rsidP="009C10BE">
      <w:pPr>
        <w:spacing w:line="360" w:lineRule="auto"/>
        <w:ind w:left="630" w:hanging="630"/>
        <w:jc w:val="both"/>
        <w:rPr>
          <w:rFonts w:ascii="Times New Roman" w:hAnsi="Times New Roman" w:cs="Times New Roman"/>
          <w:color w:val="222222"/>
          <w:sz w:val="24"/>
          <w:szCs w:val="24"/>
          <w:shd w:val="clear" w:color="auto" w:fill="FFFFFF"/>
          <w:lang w:val="en-US"/>
        </w:rPr>
      </w:pPr>
      <w:r w:rsidRPr="00421B9C">
        <w:rPr>
          <w:rFonts w:ascii="Times New Roman" w:hAnsi="Times New Roman" w:cs="Times New Roman"/>
          <w:color w:val="222222"/>
          <w:sz w:val="24"/>
          <w:szCs w:val="24"/>
          <w:shd w:val="clear" w:color="auto" w:fill="FFFFFF"/>
          <w:lang w:val="en-US"/>
        </w:rPr>
        <w:lastRenderedPageBreak/>
        <w:t xml:space="preserve">Engle, R.F., </w:t>
      </w:r>
      <w:r w:rsidR="00205375">
        <w:rPr>
          <w:rFonts w:ascii="Times New Roman" w:hAnsi="Times New Roman" w:cs="Times New Roman"/>
          <w:color w:val="222222"/>
          <w:sz w:val="24"/>
          <w:szCs w:val="24"/>
          <w:shd w:val="clear" w:color="auto" w:fill="FFFFFF"/>
          <w:lang w:val="en-US"/>
        </w:rPr>
        <w:t>and</w:t>
      </w:r>
      <w:r w:rsidRPr="00421B9C">
        <w:rPr>
          <w:rFonts w:ascii="Times New Roman" w:hAnsi="Times New Roman" w:cs="Times New Roman"/>
          <w:color w:val="222222"/>
          <w:sz w:val="24"/>
          <w:szCs w:val="24"/>
          <w:shd w:val="clear" w:color="auto" w:fill="FFFFFF"/>
          <w:lang w:val="en-US"/>
        </w:rPr>
        <w:t xml:space="preserve"> </w:t>
      </w:r>
      <w:proofErr w:type="spellStart"/>
      <w:r w:rsidRPr="00421B9C">
        <w:rPr>
          <w:rFonts w:ascii="Times New Roman" w:hAnsi="Times New Roman" w:cs="Times New Roman"/>
          <w:color w:val="222222"/>
          <w:sz w:val="24"/>
          <w:szCs w:val="24"/>
          <w:shd w:val="clear" w:color="auto" w:fill="FFFFFF"/>
          <w:lang w:val="en-US"/>
        </w:rPr>
        <w:t>Bollerslev</w:t>
      </w:r>
      <w:proofErr w:type="spellEnd"/>
      <w:r w:rsidRPr="00421B9C">
        <w:rPr>
          <w:rFonts w:ascii="Times New Roman" w:hAnsi="Times New Roman" w:cs="Times New Roman"/>
          <w:color w:val="222222"/>
          <w:sz w:val="24"/>
          <w:szCs w:val="24"/>
          <w:shd w:val="clear" w:color="auto" w:fill="FFFFFF"/>
          <w:lang w:val="en-US"/>
        </w:rPr>
        <w:t xml:space="preserve">, T. (1986). </w:t>
      </w:r>
      <w:r w:rsidR="00205375">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Modelling the </w:t>
      </w:r>
      <w:r w:rsidR="00205375">
        <w:rPr>
          <w:rFonts w:ascii="Times New Roman" w:hAnsi="Times New Roman" w:cs="Times New Roman"/>
          <w:color w:val="222222"/>
          <w:sz w:val="24"/>
          <w:szCs w:val="24"/>
          <w:shd w:val="clear" w:color="auto" w:fill="FFFFFF"/>
          <w:lang w:val="en-US"/>
        </w:rPr>
        <w:t>P</w:t>
      </w:r>
      <w:r w:rsidRPr="00421B9C">
        <w:rPr>
          <w:rFonts w:ascii="Times New Roman" w:hAnsi="Times New Roman" w:cs="Times New Roman"/>
          <w:color w:val="222222"/>
          <w:sz w:val="24"/>
          <w:szCs w:val="24"/>
          <w:shd w:val="clear" w:color="auto" w:fill="FFFFFF"/>
          <w:lang w:val="en-US"/>
        </w:rPr>
        <w:t xml:space="preserve">ersistence of </w:t>
      </w:r>
      <w:r w:rsidR="00205375">
        <w:rPr>
          <w:rFonts w:ascii="Times New Roman" w:hAnsi="Times New Roman" w:cs="Times New Roman"/>
          <w:color w:val="222222"/>
          <w:sz w:val="24"/>
          <w:szCs w:val="24"/>
          <w:shd w:val="clear" w:color="auto" w:fill="FFFFFF"/>
          <w:lang w:val="en-US"/>
        </w:rPr>
        <w:t>C</w:t>
      </w:r>
      <w:r w:rsidRPr="00421B9C">
        <w:rPr>
          <w:rFonts w:ascii="Times New Roman" w:hAnsi="Times New Roman" w:cs="Times New Roman"/>
          <w:color w:val="222222"/>
          <w:sz w:val="24"/>
          <w:szCs w:val="24"/>
          <w:shd w:val="clear" w:color="auto" w:fill="FFFFFF"/>
          <w:lang w:val="en-US"/>
        </w:rPr>
        <w:t xml:space="preserve">onditional </w:t>
      </w:r>
      <w:r w:rsidR="00205375">
        <w:rPr>
          <w:rFonts w:ascii="Times New Roman" w:hAnsi="Times New Roman" w:cs="Times New Roman"/>
          <w:color w:val="222222"/>
          <w:sz w:val="24"/>
          <w:szCs w:val="24"/>
          <w:shd w:val="clear" w:color="auto" w:fill="FFFFFF"/>
          <w:lang w:val="en-US"/>
        </w:rPr>
        <w:t>V</w:t>
      </w:r>
      <w:r w:rsidRPr="00421B9C">
        <w:rPr>
          <w:rFonts w:ascii="Times New Roman" w:hAnsi="Times New Roman" w:cs="Times New Roman"/>
          <w:color w:val="222222"/>
          <w:sz w:val="24"/>
          <w:szCs w:val="24"/>
          <w:shd w:val="clear" w:color="auto" w:fill="FFFFFF"/>
          <w:lang w:val="en-US"/>
        </w:rPr>
        <w:t>ariances.</w:t>
      </w:r>
      <w:r w:rsidR="00205375">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w:t>
      </w:r>
      <w:r w:rsidRPr="00421B9C">
        <w:rPr>
          <w:rFonts w:ascii="Times New Roman" w:hAnsi="Times New Roman" w:cs="Times New Roman"/>
          <w:i/>
          <w:iCs/>
          <w:color w:val="222222"/>
          <w:sz w:val="24"/>
          <w:szCs w:val="24"/>
          <w:shd w:val="clear" w:color="auto" w:fill="FFFFFF"/>
          <w:lang w:val="en-US"/>
        </w:rPr>
        <w:t>Econometric Reviews</w:t>
      </w:r>
      <w:r w:rsidRPr="00421B9C">
        <w:rPr>
          <w:rFonts w:ascii="Times New Roman" w:hAnsi="Times New Roman" w:cs="Times New Roman"/>
          <w:color w:val="222222"/>
          <w:sz w:val="24"/>
          <w:szCs w:val="24"/>
          <w:shd w:val="clear" w:color="auto" w:fill="FFFFFF"/>
          <w:lang w:val="en-US"/>
        </w:rPr>
        <w:t> </w:t>
      </w:r>
      <w:r w:rsidRPr="009609B4">
        <w:rPr>
          <w:rFonts w:ascii="Times New Roman" w:hAnsi="Times New Roman" w:cs="Times New Roman"/>
          <w:color w:val="222222"/>
          <w:sz w:val="24"/>
          <w:szCs w:val="24"/>
          <w:shd w:val="clear" w:color="auto" w:fill="FFFFFF"/>
          <w:lang w:val="en-US"/>
        </w:rPr>
        <w:t>5</w:t>
      </w:r>
      <w:r w:rsidR="009609B4" w:rsidRPr="009609B4">
        <w:rPr>
          <w:rFonts w:ascii="Times New Roman" w:hAnsi="Times New Roman" w:cs="Times New Roman"/>
          <w:color w:val="222222"/>
          <w:sz w:val="24"/>
          <w:szCs w:val="24"/>
          <w:shd w:val="clear" w:color="auto" w:fill="FFFFFF"/>
          <w:lang w:val="en-US"/>
        </w:rPr>
        <w:t>(1)</w:t>
      </w:r>
      <w:r w:rsidR="00205375">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 1-50.</w:t>
      </w:r>
    </w:p>
    <w:p w14:paraId="138A4F68" w14:textId="6AC04FD8" w:rsidR="00421B9C" w:rsidRPr="00421B9C" w:rsidRDefault="00421B9C" w:rsidP="009C10BE">
      <w:pPr>
        <w:spacing w:line="360" w:lineRule="auto"/>
        <w:ind w:left="630" w:hanging="630"/>
        <w:jc w:val="both"/>
        <w:rPr>
          <w:rFonts w:ascii="Times New Roman" w:hAnsi="Times New Roman" w:cs="Times New Roman"/>
          <w:sz w:val="24"/>
          <w:szCs w:val="24"/>
          <w:lang w:val="en-US"/>
        </w:rPr>
      </w:pPr>
      <w:r w:rsidRPr="00421B9C">
        <w:rPr>
          <w:rFonts w:ascii="Times New Roman" w:hAnsi="Times New Roman" w:cs="Times New Roman"/>
          <w:sz w:val="24"/>
          <w:szCs w:val="24"/>
          <w:lang w:val="en-US"/>
        </w:rPr>
        <w:t xml:space="preserve">Engle, R.F., Ng, V.K., </w:t>
      </w:r>
      <w:r w:rsidR="00205375">
        <w:rPr>
          <w:rFonts w:ascii="Times New Roman" w:hAnsi="Times New Roman" w:cs="Times New Roman"/>
          <w:sz w:val="24"/>
          <w:szCs w:val="24"/>
          <w:lang w:val="en-US"/>
        </w:rPr>
        <w:t>and</w:t>
      </w:r>
      <w:r w:rsidR="00212B73">
        <w:rPr>
          <w:rFonts w:ascii="Times New Roman" w:hAnsi="Times New Roman" w:cs="Times New Roman"/>
          <w:sz w:val="24"/>
          <w:szCs w:val="24"/>
          <w:lang w:val="en-US"/>
        </w:rPr>
        <w:t xml:space="preserve"> </w:t>
      </w:r>
      <w:r w:rsidRPr="00421B9C">
        <w:rPr>
          <w:rFonts w:ascii="Times New Roman" w:hAnsi="Times New Roman" w:cs="Times New Roman"/>
          <w:sz w:val="24"/>
          <w:szCs w:val="24"/>
          <w:lang w:val="en-US"/>
        </w:rPr>
        <w:t xml:space="preserve">Rothchild, M. </w:t>
      </w:r>
      <w:r w:rsidR="00212B73">
        <w:rPr>
          <w:rFonts w:ascii="Times New Roman" w:hAnsi="Times New Roman" w:cs="Times New Roman"/>
          <w:sz w:val="24"/>
          <w:szCs w:val="24"/>
          <w:lang w:val="en-US"/>
        </w:rPr>
        <w:t>(</w:t>
      </w:r>
      <w:r w:rsidRPr="00421B9C">
        <w:rPr>
          <w:rFonts w:ascii="Times New Roman" w:hAnsi="Times New Roman" w:cs="Times New Roman"/>
          <w:sz w:val="24"/>
          <w:szCs w:val="24"/>
          <w:lang w:val="en-US"/>
        </w:rPr>
        <w:t>1990</w:t>
      </w:r>
      <w:r w:rsidR="00212B73">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Asset </w:t>
      </w:r>
      <w:r w:rsidR="00205375">
        <w:rPr>
          <w:rFonts w:ascii="Times New Roman" w:hAnsi="Times New Roman" w:cs="Times New Roman"/>
          <w:sz w:val="24"/>
          <w:szCs w:val="24"/>
          <w:lang w:val="en-US"/>
        </w:rPr>
        <w:t>P</w:t>
      </w:r>
      <w:r w:rsidRPr="00421B9C">
        <w:rPr>
          <w:rFonts w:ascii="Times New Roman" w:hAnsi="Times New Roman" w:cs="Times New Roman"/>
          <w:sz w:val="24"/>
          <w:szCs w:val="24"/>
          <w:lang w:val="en-US"/>
        </w:rPr>
        <w:t xml:space="preserve">ricing </w:t>
      </w:r>
      <w:proofErr w:type="gramStart"/>
      <w:r w:rsidR="00205375">
        <w:rPr>
          <w:rFonts w:ascii="Times New Roman" w:hAnsi="Times New Roman" w:cs="Times New Roman"/>
          <w:sz w:val="24"/>
          <w:szCs w:val="24"/>
          <w:lang w:val="en-US"/>
        </w:rPr>
        <w:t>W</w:t>
      </w:r>
      <w:r w:rsidRPr="00421B9C">
        <w:rPr>
          <w:rFonts w:ascii="Times New Roman" w:hAnsi="Times New Roman" w:cs="Times New Roman"/>
          <w:sz w:val="24"/>
          <w:szCs w:val="24"/>
          <w:lang w:val="en-US"/>
        </w:rPr>
        <w:t>ith</w:t>
      </w:r>
      <w:proofErr w:type="gramEnd"/>
      <w:r w:rsidRPr="00421B9C">
        <w:rPr>
          <w:rFonts w:ascii="Times New Roman" w:hAnsi="Times New Roman" w:cs="Times New Roman"/>
          <w:sz w:val="24"/>
          <w:szCs w:val="24"/>
          <w:lang w:val="en-US"/>
        </w:rPr>
        <w:t xml:space="preserve"> a FACTOR ARCH </w:t>
      </w:r>
      <w:r w:rsidR="00205375">
        <w:rPr>
          <w:rFonts w:ascii="Times New Roman" w:hAnsi="Times New Roman" w:cs="Times New Roman"/>
          <w:sz w:val="24"/>
          <w:szCs w:val="24"/>
          <w:lang w:val="en-US"/>
        </w:rPr>
        <w:t>C</w:t>
      </w:r>
      <w:r w:rsidRPr="00421B9C">
        <w:rPr>
          <w:rFonts w:ascii="Times New Roman" w:hAnsi="Times New Roman" w:cs="Times New Roman"/>
          <w:sz w:val="24"/>
          <w:szCs w:val="24"/>
          <w:lang w:val="en-US"/>
        </w:rPr>
        <w:t xml:space="preserve">ovariance </w:t>
      </w:r>
      <w:r w:rsidR="00205375">
        <w:rPr>
          <w:rFonts w:ascii="Times New Roman" w:hAnsi="Times New Roman" w:cs="Times New Roman"/>
          <w:sz w:val="24"/>
          <w:szCs w:val="24"/>
          <w:lang w:val="en-US"/>
        </w:rPr>
        <w:t>S</w:t>
      </w:r>
      <w:r w:rsidRPr="00421B9C">
        <w:rPr>
          <w:rFonts w:ascii="Times New Roman" w:hAnsi="Times New Roman" w:cs="Times New Roman"/>
          <w:sz w:val="24"/>
          <w:szCs w:val="24"/>
          <w:lang w:val="en-US"/>
        </w:rPr>
        <w:t xml:space="preserve">tructure: </w:t>
      </w:r>
      <w:r w:rsidR="00205375">
        <w:rPr>
          <w:rFonts w:ascii="Times New Roman" w:hAnsi="Times New Roman" w:cs="Times New Roman"/>
          <w:sz w:val="24"/>
          <w:szCs w:val="24"/>
          <w:lang w:val="en-US"/>
        </w:rPr>
        <w:t>E</w:t>
      </w:r>
      <w:r w:rsidRPr="00421B9C">
        <w:rPr>
          <w:rFonts w:ascii="Times New Roman" w:hAnsi="Times New Roman" w:cs="Times New Roman"/>
          <w:sz w:val="24"/>
          <w:szCs w:val="24"/>
          <w:lang w:val="en-US"/>
        </w:rPr>
        <w:t xml:space="preserve">mpirical </w:t>
      </w:r>
      <w:r w:rsidR="00205375">
        <w:rPr>
          <w:rFonts w:ascii="Times New Roman" w:hAnsi="Times New Roman" w:cs="Times New Roman"/>
          <w:sz w:val="24"/>
          <w:szCs w:val="24"/>
          <w:lang w:val="en-US"/>
        </w:rPr>
        <w:t>E</w:t>
      </w:r>
      <w:r w:rsidRPr="00421B9C">
        <w:rPr>
          <w:rFonts w:ascii="Times New Roman" w:hAnsi="Times New Roman" w:cs="Times New Roman"/>
          <w:sz w:val="24"/>
          <w:szCs w:val="24"/>
          <w:lang w:val="en-US"/>
        </w:rPr>
        <w:t xml:space="preserve">stimates for Treasury </w:t>
      </w:r>
      <w:r w:rsidR="00205375">
        <w:rPr>
          <w:rFonts w:ascii="Times New Roman" w:hAnsi="Times New Roman" w:cs="Times New Roman"/>
          <w:sz w:val="24"/>
          <w:szCs w:val="24"/>
          <w:lang w:val="en-US"/>
        </w:rPr>
        <w:t>B</w:t>
      </w:r>
      <w:r w:rsidRPr="00421B9C">
        <w:rPr>
          <w:rFonts w:ascii="Times New Roman" w:hAnsi="Times New Roman" w:cs="Times New Roman"/>
          <w:sz w:val="24"/>
          <w:szCs w:val="24"/>
          <w:lang w:val="en-US"/>
        </w:rPr>
        <w:t>ills.</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Pr="00212B73">
        <w:rPr>
          <w:rFonts w:ascii="Times New Roman" w:hAnsi="Times New Roman" w:cs="Times New Roman"/>
          <w:i/>
          <w:iCs/>
          <w:sz w:val="24"/>
          <w:szCs w:val="24"/>
          <w:lang w:val="en-US"/>
        </w:rPr>
        <w:t>Journal of Econometrics</w:t>
      </w:r>
      <w:r w:rsidRPr="00421B9C">
        <w:rPr>
          <w:rFonts w:ascii="Times New Roman" w:hAnsi="Times New Roman" w:cs="Times New Roman"/>
          <w:sz w:val="24"/>
          <w:szCs w:val="24"/>
          <w:lang w:val="en-US"/>
        </w:rPr>
        <w:t xml:space="preserve"> 45</w:t>
      </w:r>
      <w:r w:rsidR="009609B4">
        <w:rPr>
          <w:rFonts w:ascii="Times New Roman" w:hAnsi="Times New Roman" w:cs="Times New Roman"/>
          <w:sz w:val="24"/>
          <w:szCs w:val="24"/>
          <w:lang w:val="en-US"/>
        </w:rPr>
        <w:t>(2)</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213-237.</w:t>
      </w:r>
    </w:p>
    <w:p w14:paraId="3C14FEBB" w14:textId="2C6B649E" w:rsidR="00421B9C" w:rsidRPr="00421B9C" w:rsidRDefault="00421B9C" w:rsidP="009C10BE">
      <w:pPr>
        <w:spacing w:line="360" w:lineRule="auto"/>
        <w:ind w:left="630" w:hanging="630"/>
        <w:jc w:val="both"/>
        <w:rPr>
          <w:rFonts w:ascii="Times New Roman" w:hAnsi="Times New Roman" w:cs="Times New Roman"/>
          <w:sz w:val="24"/>
          <w:szCs w:val="24"/>
          <w:lang w:val="en-US"/>
        </w:rPr>
      </w:pPr>
      <w:proofErr w:type="spellStart"/>
      <w:r w:rsidRPr="00421B9C">
        <w:rPr>
          <w:rFonts w:ascii="Times New Roman" w:hAnsi="Times New Roman" w:cs="Times New Roman"/>
          <w:sz w:val="24"/>
          <w:szCs w:val="24"/>
          <w:lang w:val="en-US"/>
        </w:rPr>
        <w:t>Glosten</w:t>
      </w:r>
      <w:proofErr w:type="spellEnd"/>
      <w:r w:rsidRPr="00421B9C">
        <w:rPr>
          <w:rFonts w:ascii="Times New Roman" w:hAnsi="Times New Roman" w:cs="Times New Roman"/>
          <w:sz w:val="24"/>
          <w:szCs w:val="24"/>
          <w:lang w:val="en-US"/>
        </w:rPr>
        <w:t xml:space="preserve">, L.R., Jagannathan, R., </w:t>
      </w:r>
      <w:r w:rsidR="00205375">
        <w:rPr>
          <w:rFonts w:ascii="Times New Roman" w:hAnsi="Times New Roman" w:cs="Times New Roman"/>
          <w:sz w:val="24"/>
          <w:szCs w:val="24"/>
          <w:lang w:val="en-US"/>
        </w:rPr>
        <w:t>and</w:t>
      </w:r>
      <w:r w:rsidR="00212B73">
        <w:rPr>
          <w:rFonts w:ascii="Times New Roman" w:hAnsi="Times New Roman" w:cs="Times New Roman"/>
          <w:sz w:val="24"/>
          <w:szCs w:val="24"/>
          <w:lang w:val="en-US"/>
        </w:rPr>
        <w:t xml:space="preserve"> </w:t>
      </w:r>
      <w:r w:rsidRPr="00421B9C">
        <w:rPr>
          <w:rFonts w:ascii="Times New Roman" w:hAnsi="Times New Roman" w:cs="Times New Roman"/>
          <w:sz w:val="24"/>
          <w:szCs w:val="24"/>
          <w:lang w:val="en-US"/>
        </w:rPr>
        <w:t xml:space="preserve">Runkle, D.E. </w:t>
      </w:r>
      <w:r w:rsidR="00212B73">
        <w:rPr>
          <w:rFonts w:ascii="Times New Roman" w:hAnsi="Times New Roman" w:cs="Times New Roman"/>
          <w:sz w:val="24"/>
          <w:szCs w:val="24"/>
          <w:lang w:val="en-US"/>
        </w:rPr>
        <w:t>(</w:t>
      </w:r>
      <w:r w:rsidRPr="00421B9C">
        <w:rPr>
          <w:rFonts w:ascii="Times New Roman" w:hAnsi="Times New Roman" w:cs="Times New Roman"/>
          <w:sz w:val="24"/>
          <w:szCs w:val="24"/>
          <w:lang w:val="en-US"/>
        </w:rPr>
        <w:t>1993</w:t>
      </w:r>
      <w:r w:rsidR="00212B73">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On the </w:t>
      </w:r>
      <w:r w:rsidR="00205375">
        <w:rPr>
          <w:rFonts w:ascii="Times New Roman" w:hAnsi="Times New Roman" w:cs="Times New Roman"/>
          <w:sz w:val="24"/>
          <w:szCs w:val="24"/>
          <w:lang w:val="en-US"/>
        </w:rPr>
        <w:t>R</w:t>
      </w:r>
      <w:r w:rsidRPr="00421B9C">
        <w:rPr>
          <w:rFonts w:ascii="Times New Roman" w:hAnsi="Times New Roman" w:cs="Times New Roman"/>
          <w:sz w:val="24"/>
          <w:szCs w:val="24"/>
          <w:lang w:val="en-US"/>
        </w:rPr>
        <w:t xml:space="preserve">elation </w:t>
      </w:r>
      <w:r w:rsidR="00205375">
        <w:rPr>
          <w:rFonts w:ascii="Times New Roman" w:hAnsi="Times New Roman" w:cs="Times New Roman"/>
          <w:sz w:val="24"/>
          <w:szCs w:val="24"/>
          <w:lang w:val="en-US"/>
        </w:rPr>
        <w:t>B</w:t>
      </w:r>
      <w:r w:rsidRPr="00421B9C">
        <w:rPr>
          <w:rFonts w:ascii="Times New Roman" w:hAnsi="Times New Roman" w:cs="Times New Roman"/>
          <w:sz w:val="24"/>
          <w:szCs w:val="24"/>
          <w:lang w:val="en-US"/>
        </w:rPr>
        <w:t xml:space="preserve">etween the </w:t>
      </w:r>
      <w:r w:rsidR="00205375">
        <w:rPr>
          <w:rFonts w:ascii="Times New Roman" w:hAnsi="Times New Roman" w:cs="Times New Roman"/>
          <w:sz w:val="24"/>
          <w:szCs w:val="24"/>
          <w:lang w:val="en-US"/>
        </w:rPr>
        <w:t>E</w:t>
      </w:r>
      <w:r w:rsidRPr="00421B9C">
        <w:rPr>
          <w:rFonts w:ascii="Times New Roman" w:hAnsi="Times New Roman" w:cs="Times New Roman"/>
          <w:sz w:val="24"/>
          <w:szCs w:val="24"/>
          <w:lang w:val="en-US"/>
        </w:rPr>
        <w:t xml:space="preserve">xpected </w:t>
      </w:r>
      <w:r w:rsidR="00205375">
        <w:rPr>
          <w:rFonts w:ascii="Times New Roman" w:hAnsi="Times New Roman" w:cs="Times New Roman"/>
          <w:sz w:val="24"/>
          <w:szCs w:val="24"/>
          <w:lang w:val="en-US"/>
        </w:rPr>
        <w:t>V</w:t>
      </w:r>
      <w:r w:rsidRPr="00421B9C">
        <w:rPr>
          <w:rFonts w:ascii="Times New Roman" w:hAnsi="Times New Roman" w:cs="Times New Roman"/>
          <w:sz w:val="24"/>
          <w:szCs w:val="24"/>
          <w:lang w:val="en-US"/>
        </w:rPr>
        <w:t xml:space="preserve">alue and the </w:t>
      </w:r>
      <w:r w:rsidR="00205375">
        <w:rPr>
          <w:rFonts w:ascii="Times New Roman" w:hAnsi="Times New Roman" w:cs="Times New Roman"/>
          <w:sz w:val="24"/>
          <w:szCs w:val="24"/>
          <w:lang w:val="en-US"/>
        </w:rPr>
        <w:t>V</w:t>
      </w:r>
      <w:r w:rsidRPr="00421B9C">
        <w:rPr>
          <w:rFonts w:ascii="Times New Roman" w:hAnsi="Times New Roman" w:cs="Times New Roman"/>
          <w:sz w:val="24"/>
          <w:szCs w:val="24"/>
          <w:lang w:val="en-US"/>
        </w:rPr>
        <w:t xml:space="preserve">olatility of the </w:t>
      </w:r>
      <w:r w:rsidR="00205375">
        <w:rPr>
          <w:rFonts w:ascii="Times New Roman" w:hAnsi="Times New Roman" w:cs="Times New Roman"/>
          <w:sz w:val="24"/>
          <w:szCs w:val="24"/>
          <w:lang w:val="en-US"/>
        </w:rPr>
        <w:t>N</w:t>
      </w:r>
      <w:r w:rsidRPr="00421B9C">
        <w:rPr>
          <w:rFonts w:ascii="Times New Roman" w:hAnsi="Times New Roman" w:cs="Times New Roman"/>
          <w:sz w:val="24"/>
          <w:szCs w:val="24"/>
          <w:lang w:val="en-US"/>
        </w:rPr>
        <w:t xml:space="preserve">ominal </w:t>
      </w:r>
      <w:r w:rsidR="00205375">
        <w:rPr>
          <w:rFonts w:ascii="Times New Roman" w:hAnsi="Times New Roman" w:cs="Times New Roman"/>
          <w:sz w:val="24"/>
          <w:szCs w:val="24"/>
          <w:lang w:val="en-US"/>
        </w:rPr>
        <w:t>E</w:t>
      </w:r>
      <w:r w:rsidRPr="00421B9C">
        <w:rPr>
          <w:rFonts w:ascii="Times New Roman" w:hAnsi="Times New Roman" w:cs="Times New Roman"/>
          <w:sz w:val="24"/>
          <w:szCs w:val="24"/>
          <w:lang w:val="en-US"/>
        </w:rPr>
        <w:t xml:space="preserve">xcess </w:t>
      </w:r>
      <w:r w:rsidR="00205375">
        <w:rPr>
          <w:rFonts w:ascii="Times New Roman" w:hAnsi="Times New Roman" w:cs="Times New Roman"/>
          <w:sz w:val="24"/>
          <w:szCs w:val="24"/>
          <w:lang w:val="en-US"/>
        </w:rPr>
        <w:t>R</w:t>
      </w:r>
      <w:r w:rsidRPr="00421B9C">
        <w:rPr>
          <w:rFonts w:ascii="Times New Roman" w:hAnsi="Times New Roman" w:cs="Times New Roman"/>
          <w:sz w:val="24"/>
          <w:szCs w:val="24"/>
          <w:lang w:val="en-US"/>
        </w:rPr>
        <w:t xml:space="preserve">eturn on </w:t>
      </w:r>
      <w:r w:rsidR="00205375">
        <w:rPr>
          <w:rFonts w:ascii="Times New Roman" w:hAnsi="Times New Roman" w:cs="Times New Roman"/>
          <w:sz w:val="24"/>
          <w:szCs w:val="24"/>
          <w:lang w:val="en-US"/>
        </w:rPr>
        <w:t>S</w:t>
      </w:r>
      <w:r w:rsidRPr="00421B9C">
        <w:rPr>
          <w:rFonts w:ascii="Times New Roman" w:hAnsi="Times New Roman" w:cs="Times New Roman"/>
          <w:sz w:val="24"/>
          <w:szCs w:val="24"/>
          <w:lang w:val="en-US"/>
        </w:rPr>
        <w:t>tocks.</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Pr="00212B73">
        <w:rPr>
          <w:rFonts w:ascii="Times New Roman" w:hAnsi="Times New Roman" w:cs="Times New Roman"/>
          <w:i/>
          <w:iCs/>
          <w:sz w:val="24"/>
          <w:szCs w:val="24"/>
          <w:lang w:val="en-US"/>
        </w:rPr>
        <w:t>Journal of Finance</w:t>
      </w:r>
      <w:r w:rsidRPr="00421B9C">
        <w:rPr>
          <w:rFonts w:ascii="Times New Roman" w:hAnsi="Times New Roman" w:cs="Times New Roman"/>
          <w:sz w:val="24"/>
          <w:szCs w:val="24"/>
          <w:lang w:val="en-US"/>
        </w:rPr>
        <w:t xml:space="preserve"> 48</w:t>
      </w:r>
      <w:r w:rsidR="009609B4">
        <w:rPr>
          <w:rFonts w:ascii="Times New Roman" w:hAnsi="Times New Roman" w:cs="Times New Roman"/>
          <w:sz w:val="24"/>
          <w:szCs w:val="24"/>
          <w:lang w:val="en-US"/>
        </w:rPr>
        <w:t>(17)</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1779-1801.</w:t>
      </w:r>
    </w:p>
    <w:p w14:paraId="0C7D1D62" w14:textId="2F745621" w:rsidR="00421B9C" w:rsidRPr="00671681" w:rsidRDefault="00421B9C" w:rsidP="009C10BE">
      <w:pPr>
        <w:spacing w:line="360" w:lineRule="auto"/>
        <w:ind w:left="630" w:hanging="630"/>
        <w:jc w:val="both"/>
        <w:rPr>
          <w:rFonts w:ascii="Times New Roman" w:hAnsi="Times New Roman" w:cs="Times New Roman"/>
          <w:sz w:val="24"/>
          <w:szCs w:val="24"/>
          <w:shd w:val="clear" w:color="auto" w:fill="FFFFFF"/>
          <w:lang w:val="en-US"/>
        </w:rPr>
      </w:pPr>
      <w:r w:rsidRPr="00671681">
        <w:rPr>
          <w:rFonts w:ascii="Times New Roman" w:hAnsi="Times New Roman" w:cs="Times New Roman"/>
          <w:sz w:val="24"/>
          <w:szCs w:val="24"/>
          <w:shd w:val="clear" w:color="auto" w:fill="FFFFFF"/>
          <w:lang w:val="en-US"/>
        </w:rPr>
        <w:t xml:space="preserve">Goodell, J.W. (2020). </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xml:space="preserve">COVID-19 and </w:t>
      </w:r>
      <w:r w:rsidR="00205375">
        <w:rPr>
          <w:rFonts w:ascii="Times New Roman" w:hAnsi="Times New Roman" w:cs="Times New Roman"/>
          <w:sz w:val="24"/>
          <w:szCs w:val="24"/>
          <w:shd w:val="clear" w:color="auto" w:fill="FFFFFF"/>
          <w:lang w:val="en-US"/>
        </w:rPr>
        <w:t>F</w:t>
      </w:r>
      <w:r w:rsidRPr="00671681">
        <w:rPr>
          <w:rFonts w:ascii="Times New Roman" w:hAnsi="Times New Roman" w:cs="Times New Roman"/>
          <w:sz w:val="24"/>
          <w:szCs w:val="24"/>
          <w:shd w:val="clear" w:color="auto" w:fill="FFFFFF"/>
          <w:lang w:val="en-US"/>
        </w:rPr>
        <w:t xml:space="preserve">inance: </w:t>
      </w:r>
      <w:r w:rsidR="00205375">
        <w:rPr>
          <w:rFonts w:ascii="Times New Roman" w:hAnsi="Times New Roman" w:cs="Times New Roman"/>
          <w:sz w:val="24"/>
          <w:szCs w:val="24"/>
          <w:shd w:val="clear" w:color="auto" w:fill="FFFFFF"/>
          <w:lang w:val="en-US"/>
        </w:rPr>
        <w:t>A</w:t>
      </w:r>
      <w:r w:rsidRPr="00671681">
        <w:rPr>
          <w:rFonts w:ascii="Times New Roman" w:hAnsi="Times New Roman" w:cs="Times New Roman"/>
          <w:sz w:val="24"/>
          <w:szCs w:val="24"/>
          <w:shd w:val="clear" w:color="auto" w:fill="FFFFFF"/>
          <w:lang w:val="en-US"/>
        </w:rPr>
        <w:t xml:space="preserve">gendas for </w:t>
      </w:r>
      <w:r w:rsidR="00205375">
        <w:rPr>
          <w:rFonts w:ascii="Times New Roman" w:hAnsi="Times New Roman" w:cs="Times New Roman"/>
          <w:sz w:val="24"/>
          <w:szCs w:val="24"/>
          <w:shd w:val="clear" w:color="auto" w:fill="FFFFFF"/>
          <w:lang w:val="en-US"/>
        </w:rPr>
        <w:t>F</w:t>
      </w:r>
      <w:r w:rsidRPr="00671681">
        <w:rPr>
          <w:rFonts w:ascii="Times New Roman" w:hAnsi="Times New Roman" w:cs="Times New Roman"/>
          <w:sz w:val="24"/>
          <w:szCs w:val="24"/>
          <w:shd w:val="clear" w:color="auto" w:fill="FFFFFF"/>
          <w:lang w:val="en-US"/>
        </w:rPr>
        <w:t xml:space="preserve">uture </w:t>
      </w:r>
      <w:r w:rsidR="00205375">
        <w:rPr>
          <w:rFonts w:ascii="Times New Roman" w:hAnsi="Times New Roman" w:cs="Times New Roman"/>
          <w:sz w:val="24"/>
          <w:szCs w:val="24"/>
          <w:shd w:val="clear" w:color="auto" w:fill="FFFFFF"/>
          <w:lang w:val="en-US"/>
        </w:rPr>
        <w:t>R</w:t>
      </w:r>
      <w:r w:rsidRPr="00671681">
        <w:rPr>
          <w:rFonts w:ascii="Times New Roman" w:hAnsi="Times New Roman" w:cs="Times New Roman"/>
          <w:sz w:val="24"/>
          <w:szCs w:val="24"/>
          <w:shd w:val="clear" w:color="auto" w:fill="FFFFFF"/>
          <w:lang w:val="en-US"/>
        </w:rPr>
        <w:t>esearch.</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xml:space="preserve"> </w:t>
      </w:r>
      <w:r w:rsidRPr="00671681">
        <w:rPr>
          <w:rFonts w:ascii="Times New Roman" w:hAnsi="Times New Roman" w:cs="Times New Roman"/>
          <w:i/>
          <w:iCs/>
          <w:sz w:val="24"/>
          <w:szCs w:val="24"/>
          <w:lang w:val="en-US"/>
        </w:rPr>
        <w:t>Finance Research Letters</w:t>
      </w:r>
      <w:r w:rsidR="009609B4">
        <w:rPr>
          <w:rFonts w:ascii="Times New Roman" w:hAnsi="Times New Roman" w:cs="Times New Roman"/>
          <w:i/>
          <w:iCs/>
          <w:sz w:val="24"/>
          <w:szCs w:val="24"/>
          <w:lang w:val="en-US"/>
        </w:rPr>
        <w:t xml:space="preserve"> (forthcoming)</w:t>
      </w:r>
      <w:r w:rsidRPr="00671681">
        <w:rPr>
          <w:rFonts w:ascii="Times New Roman" w:hAnsi="Times New Roman" w:cs="Times New Roman"/>
          <w:sz w:val="24"/>
          <w:szCs w:val="24"/>
          <w:shd w:val="clear" w:color="auto" w:fill="FFFFFF"/>
          <w:lang w:val="en-US"/>
        </w:rPr>
        <w:t>.</w:t>
      </w:r>
    </w:p>
    <w:p w14:paraId="36DCFD16" w14:textId="6F68CAE2" w:rsidR="00421B9C" w:rsidRPr="00671681" w:rsidRDefault="00421B9C" w:rsidP="009C10BE">
      <w:pPr>
        <w:spacing w:line="360" w:lineRule="auto"/>
        <w:ind w:left="630" w:hanging="630"/>
        <w:jc w:val="both"/>
        <w:rPr>
          <w:rFonts w:ascii="Times New Roman" w:hAnsi="Times New Roman" w:cs="Times New Roman"/>
          <w:sz w:val="24"/>
          <w:szCs w:val="24"/>
          <w:shd w:val="clear" w:color="auto" w:fill="FFFFFF"/>
          <w:lang w:val="en-US"/>
        </w:rPr>
      </w:pPr>
      <w:r w:rsidRPr="00671681">
        <w:rPr>
          <w:rFonts w:ascii="Times New Roman" w:hAnsi="Times New Roman" w:cs="Times New Roman"/>
          <w:sz w:val="24"/>
          <w:szCs w:val="24"/>
          <w:shd w:val="clear" w:color="auto" w:fill="FFFFFF"/>
          <w:lang w:val="en-US"/>
        </w:rPr>
        <w:t xml:space="preserve">Hamilton, J.D. (1983). </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xml:space="preserve">Oil and the </w:t>
      </w:r>
      <w:r w:rsidR="00205375">
        <w:rPr>
          <w:rFonts w:ascii="Times New Roman" w:hAnsi="Times New Roman" w:cs="Times New Roman"/>
          <w:sz w:val="24"/>
          <w:szCs w:val="24"/>
          <w:shd w:val="clear" w:color="auto" w:fill="FFFFFF"/>
          <w:lang w:val="en-US"/>
        </w:rPr>
        <w:t>M</w:t>
      </w:r>
      <w:r w:rsidRPr="00671681">
        <w:rPr>
          <w:rFonts w:ascii="Times New Roman" w:hAnsi="Times New Roman" w:cs="Times New Roman"/>
          <w:sz w:val="24"/>
          <w:szCs w:val="24"/>
          <w:shd w:val="clear" w:color="auto" w:fill="FFFFFF"/>
          <w:lang w:val="en-US"/>
        </w:rPr>
        <w:t xml:space="preserve">acroeconomy </w:t>
      </w:r>
      <w:r w:rsidR="00205375">
        <w:rPr>
          <w:rFonts w:ascii="Times New Roman" w:hAnsi="Times New Roman" w:cs="Times New Roman"/>
          <w:sz w:val="24"/>
          <w:szCs w:val="24"/>
          <w:shd w:val="clear" w:color="auto" w:fill="FFFFFF"/>
          <w:lang w:val="en-US"/>
        </w:rPr>
        <w:t>S</w:t>
      </w:r>
      <w:r w:rsidRPr="00671681">
        <w:rPr>
          <w:rFonts w:ascii="Times New Roman" w:hAnsi="Times New Roman" w:cs="Times New Roman"/>
          <w:sz w:val="24"/>
          <w:szCs w:val="24"/>
          <w:shd w:val="clear" w:color="auto" w:fill="FFFFFF"/>
          <w:lang w:val="en-US"/>
        </w:rPr>
        <w:t>ince World War II.</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xml:space="preserve"> </w:t>
      </w:r>
      <w:r w:rsidRPr="00212B73">
        <w:rPr>
          <w:rFonts w:ascii="Times New Roman" w:hAnsi="Times New Roman" w:cs="Times New Roman"/>
          <w:i/>
          <w:iCs/>
          <w:sz w:val="24"/>
          <w:szCs w:val="24"/>
          <w:shd w:val="clear" w:color="auto" w:fill="FFFFFF"/>
          <w:lang w:val="en-US"/>
        </w:rPr>
        <w:t>Journal of Political Economy</w:t>
      </w:r>
      <w:r w:rsidRPr="00671681">
        <w:rPr>
          <w:rFonts w:ascii="Times New Roman" w:hAnsi="Times New Roman" w:cs="Times New Roman"/>
          <w:sz w:val="24"/>
          <w:szCs w:val="24"/>
          <w:shd w:val="clear" w:color="auto" w:fill="FFFFFF"/>
          <w:lang w:val="en-US"/>
        </w:rPr>
        <w:t xml:space="preserve"> 91</w:t>
      </w:r>
      <w:r w:rsidR="009609B4">
        <w:rPr>
          <w:rFonts w:ascii="Times New Roman" w:hAnsi="Times New Roman" w:cs="Times New Roman"/>
          <w:sz w:val="24"/>
          <w:szCs w:val="24"/>
          <w:shd w:val="clear" w:color="auto" w:fill="FFFFFF"/>
          <w:lang w:val="en-US"/>
        </w:rPr>
        <w:t>(2)</w:t>
      </w:r>
      <w:r w:rsidR="00205375">
        <w:rPr>
          <w:rFonts w:ascii="Times New Roman" w:hAnsi="Times New Roman" w:cs="Times New Roman"/>
          <w:sz w:val="24"/>
          <w:szCs w:val="24"/>
          <w:shd w:val="clear" w:color="auto" w:fill="FFFFFF"/>
          <w:lang w:val="en-US"/>
        </w:rPr>
        <w:t>:</w:t>
      </w:r>
      <w:r w:rsidR="00212B73">
        <w:rPr>
          <w:rFonts w:ascii="Times New Roman" w:hAnsi="Times New Roman" w:cs="Times New Roman"/>
          <w:sz w:val="24"/>
          <w:szCs w:val="24"/>
          <w:shd w:val="clear" w:color="auto" w:fill="FFFFFF"/>
          <w:lang w:val="en-US"/>
        </w:rPr>
        <w:t xml:space="preserve"> 228-248</w:t>
      </w:r>
      <w:r w:rsidRPr="00671681">
        <w:rPr>
          <w:rFonts w:ascii="Times New Roman" w:hAnsi="Times New Roman" w:cs="Times New Roman"/>
          <w:sz w:val="24"/>
          <w:szCs w:val="24"/>
          <w:shd w:val="clear" w:color="auto" w:fill="FFFFFF"/>
          <w:lang w:val="en-US"/>
        </w:rPr>
        <w:t>.</w:t>
      </w:r>
    </w:p>
    <w:p w14:paraId="56E60F94" w14:textId="38C92B2D" w:rsidR="00421B9C" w:rsidRPr="00421B9C" w:rsidRDefault="00421B9C" w:rsidP="009C10BE">
      <w:pPr>
        <w:spacing w:line="360" w:lineRule="auto"/>
        <w:ind w:left="630" w:hanging="630"/>
        <w:jc w:val="both"/>
        <w:rPr>
          <w:rFonts w:ascii="Times New Roman" w:hAnsi="Times New Roman" w:cs="Times New Roman"/>
          <w:sz w:val="24"/>
          <w:szCs w:val="24"/>
          <w:lang w:val="en-US"/>
        </w:rPr>
      </w:pPr>
      <w:r w:rsidRPr="00421B9C">
        <w:rPr>
          <w:rFonts w:ascii="Times New Roman" w:hAnsi="Times New Roman" w:cs="Times New Roman"/>
          <w:sz w:val="24"/>
          <w:szCs w:val="24"/>
          <w:lang w:val="en-US"/>
        </w:rPr>
        <w:t xml:space="preserve">Harris, R., </w:t>
      </w:r>
      <w:r w:rsidR="00205375">
        <w:rPr>
          <w:rFonts w:ascii="Times New Roman" w:hAnsi="Times New Roman" w:cs="Times New Roman"/>
          <w:sz w:val="24"/>
          <w:szCs w:val="24"/>
          <w:lang w:val="en-US"/>
        </w:rPr>
        <w:t xml:space="preserve">and </w:t>
      </w:r>
      <w:proofErr w:type="spellStart"/>
      <w:r w:rsidRPr="00421B9C">
        <w:rPr>
          <w:rFonts w:ascii="Times New Roman" w:hAnsi="Times New Roman" w:cs="Times New Roman"/>
          <w:sz w:val="24"/>
          <w:szCs w:val="24"/>
          <w:lang w:val="en-US"/>
        </w:rPr>
        <w:t>Sollis</w:t>
      </w:r>
      <w:proofErr w:type="spellEnd"/>
      <w:r w:rsidRPr="00421B9C">
        <w:rPr>
          <w:rFonts w:ascii="Times New Roman" w:hAnsi="Times New Roman" w:cs="Times New Roman"/>
          <w:sz w:val="24"/>
          <w:szCs w:val="24"/>
          <w:lang w:val="en-US"/>
        </w:rPr>
        <w:t xml:space="preserve">, R. (2003). </w:t>
      </w:r>
      <w:r w:rsidRPr="00212B73">
        <w:rPr>
          <w:rFonts w:ascii="Times New Roman" w:hAnsi="Times New Roman" w:cs="Times New Roman"/>
          <w:i/>
          <w:iCs/>
          <w:sz w:val="24"/>
          <w:szCs w:val="24"/>
          <w:lang w:val="en-US"/>
        </w:rPr>
        <w:t>Applied Time Series Modelling and Forecasting</w:t>
      </w:r>
      <w:r w:rsidR="00212B73">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New York: John Wiley.</w:t>
      </w:r>
    </w:p>
    <w:p w14:paraId="52F091C2" w14:textId="77777777" w:rsidR="00421B9C" w:rsidRPr="00421B9C" w:rsidRDefault="0037696A" w:rsidP="009C10BE">
      <w:pPr>
        <w:pStyle w:val="NoSpacing"/>
        <w:spacing w:line="360" w:lineRule="auto"/>
        <w:ind w:left="630" w:hanging="630"/>
        <w:jc w:val="both"/>
        <w:rPr>
          <w:rFonts w:ascii="Times New Roman" w:hAnsi="Times New Roman" w:cs="Times New Roman"/>
          <w:sz w:val="24"/>
          <w:szCs w:val="24"/>
          <w:lang w:val="en-US"/>
        </w:rPr>
      </w:pPr>
      <w:hyperlink r:id="rId10" w:history="1">
        <w:r w:rsidR="00421B9C" w:rsidRPr="00421B9C">
          <w:rPr>
            <w:rStyle w:val="Hyperlink"/>
            <w:rFonts w:ascii="Times New Roman" w:hAnsi="Times New Roman" w:cs="Times New Roman"/>
            <w:sz w:val="24"/>
            <w:szCs w:val="24"/>
            <w:lang w:val="en-US"/>
          </w:rPr>
          <w:t>https://www.who.int/emergencies/diseases/novel-coronavirus-2019/situationreports</w:t>
        </w:r>
      </w:hyperlink>
      <w:r w:rsidR="00421B9C" w:rsidRPr="00421B9C">
        <w:rPr>
          <w:rFonts w:ascii="Times New Roman" w:hAnsi="Times New Roman" w:cs="Times New Roman"/>
          <w:sz w:val="24"/>
          <w:szCs w:val="24"/>
          <w:lang w:val="en-US"/>
        </w:rPr>
        <w:t>.</w:t>
      </w:r>
    </w:p>
    <w:p w14:paraId="72149604" w14:textId="54174F9A" w:rsidR="00421B9C" w:rsidRPr="00421B9C" w:rsidRDefault="00421B9C" w:rsidP="009C10BE">
      <w:pPr>
        <w:spacing w:line="360" w:lineRule="auto"/>
        <w:ind w:left="630" w:hanging="630"/>
        <w:jc w:val="both"/>
        <w:rPr>
          <w:rFonts w:ascii="Times New Roman" w:hAnsi="Times New Roman" w:cs="Times New Roman"/>
          <w:sz w:val="24"/>
          <w:szCs w:val="24"/>
          <w:lang w:val="en-US"/>
        </w:rPr>
      </w:pPr>
      <w:r w:rsidRPr="00421B9C">
        <w:rPr>
          <w:rFonts w:ascii="Times New Roman" w:hAnsi="Times New Roman" w:cs="Times New Roman"/>
          <w:sz w:val="24"/>
          <w:szCs w:val="24"/>
          <w:lang w:val="en-US"/>
        </w:rPr>
        <w:t xml:space="preserve">Huang, W., </w:t>
      </w:r>
      <w:proofErr w:type="spellStart"/>
      <w:r w:rsidRPr="00421B9C">
        <w:rPr>
          <w:rFonts w:ascii="Times New Roman" w:hAnsi="Times New Roman" w:cs="Times New Roman"/>
          <w:sz w:val="24"/>
          <w:szCs w:val="24"/>
          <w:lang w:val="en-US"/>
        </w:rPr>
        <w:t>Mollick</w:t>
      </w:r>
      <w:proofErr w:type="spellEnd"/>
      <w:r w:rsidRPr="00421B9C">
        <w:rPr>
          <w:rFonts w:ascii="Times New Roman" w:hAnsi="Times New Roman" w:cs="Times New Roman"/>
          <w:sz w:val="24"/>
          <w:szCs w:val="24"/>
          <w:lang w:val="en-US"/>
        </w:rPr>
        <w:t xml:space="preserve">, A.V., </w:t>
      </w:r>
      <w:r w:rsidR="00205375">
        <w:rPr>
          <w:rFonts w:ascii="Times New Roman" w:hAnsi="Times New Roman" w:cs="Times New Roman"/>
          <w:sz w:val="24"/>
          <w:szCs w:val="24"/>
          <w:lang w:val="en-US"/>
        </w:rPr>
        <w:t>and</w:t>
      </w:r>
      <w:r w:rsidR="00212B73">
        <w:rPr>
          <w:rFonts w:ascii="Times New Roman" w:hAnsi="Times New Roman" w:cs="Times New Roman"/>
          <w:sz w:val="24"/>
          <w:szCs w:val="24"/>
          <w:lang w:val="en-US"/>
        </w:rPr>
        <w:t xml:space="preserve"> </w:t>
      </w:r>
      <w:r w:rsidRPr="00421B9C">
        <w:rPr>
          <w:rFonts w:ascii="Times New Roman" w:hAnsi="Times New Roman" w:cs="Times New Roman"/>
          <w:sz w:val="24"/>
          <w:szCs w:val="24"/>
          <w:lang w:val="en-US"/>
        </w:rPr>
        <w:t xml:space="preserve">Nguyen, K.H. (2016). </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US </w:t>
      </w:r>
      <w:r w:rsidR="00205375">
        <w:rPr>
          <w:rFonts w:ascii="Times New Roman" w:hAnsi="Times New Roman" w:cs="Times New Roman"/>
          <w:sz w:val="24"/>
          <w:szCs w:val="24"/>
          <w:lang w:val="en-US"/>
        </w:rPr>
        <w:t>S</w:t>
      </w:r>
      <w:r w:rsidRPr="00421B9C">
        <w:rPr>
          <w:rFonts w:ascii="Times New Roman" w:hAnsi="Times New Roman" w:cs="Times New Roman"/>
          <w:sz w:val="24"/>
          <w:szCs w:val="24"/>
          <w:lang w:val="en-US"/>
        </w:rPr>
        <w:t xml:space="preserve">tock </w:t>
      </w:r>
      <w:r w:rsidR="00205375">
        <w:rPr>
          <w:rFonts w:ascii="Times New Roman" w:hAnsi="Times New Roman" w:cs="Times New Roman"/>
          <w:sz w:val="24"/>
          <w:szCs w:val="24"/>
          <w:lang w:val="en-US"/>
        </w:rPr>
        <w:t>M</w:t>
      </w:r>
      <w:r w:rsidRPr="00421B9C">
        <w:rPr>
          <w:rFonts w:ascii="Times New Roman" w:hAnsi="Times New Roman" w:cs="Times New Roman"/>
          <w:sz w:val="24"/>
          <w:szCs w:val="24"/>
          <w:lang w:val="en-US"/>
        </w:rPr>
        <w:t xml:space="preserve">arkets and the </w:t>
      </w:r>
      <w:r w:rsidR="00205375">
        <w:rPr>
          <w:rFonts w:ascii="Times New Roman" w:hAnsi="Times New Roman" w:cs="Times New Roman"/>
          <w:sz w:val="24"/>
          <w:szCs w:val="24"/>
          <w:lang w:val="en-US"/>
        </w:rPr>
        <w:t>R</w:t>
      </w:r>
      <w:r w:rsidRPr="00421B9C">
        <w:rPr>
          <w:rFonts w:ascii="Times New Roman" w:hAnsi="Times New Roman" w:cs="Times New Roman"/>
          <w:sz w:val="24"/>
          <w:szCs w:val="24"/>
          <w:lang w:val="en-US"/>
        </w:rPr>
        <w:t xml:space="preserve">ole of </w:t>
      </w:r>
      <w:r w:rsidR="00205375">
        <w:rPr>
          <w:rFonts w:ascii="Times New Roman" w:hAnsi="Times New Roman" w:cs="Times New Roman"/>
          <w:sz w:val="24"/>
          <w:szCs w:val="24"/>
          <w:lang w:val="en-US"/>
        </w:rPr>
        <w:t>R</w:t>
      </w:r>
      <w:r w:rsidRPr="00421B9C">
        <w:rPr>
          <w:rFonts w:ascii="Times New Roman" w:hAnsi="Times New Roman" w:cs="Times New Roman"/>
          <w:sz w:val="24"/>
          <w:szCs w:val="24"/>
          <w:lang w:val="en-US"/>
        </w:rPr>
        <w:t xml:space="preserve">eal </w:t>
      </w:r>
      <w:r w:rsidR="00205375">
        <w:rPr>
          <w:rFonts w:ascii="Times New Roman" w:hAnsi="Times New Roman" w:cs="Times New Roman"/>
          <w:sz w:val="24"/>
          <w:szCs w:val="24"/>
          <w:lang w:val="en-US"/>
        </w:rPr>
        <w:t>I</w:t>
      </w:r>
      <w:r w:rsidRPr="00421B9C">
        <w:rPr>
          <w:rFonts w:ascii="Times New Roman" w:hAnsi="Times New Roman" w:cs="Times New Roman"/>
          <w:sz w:val="24"/>
          <w:szCs w:val="24"/>
          <w:lang w:val="en-US"/>
        </w:rPr>
        <w:t xml:space="preserve">nterest </w:t>
      </w:r>
      <w:r w:rsidR="00205375">
        <w:rPr>
          <w:rFonts w:ascii="Times New Roman" w:hAnsi="Times New Roman" w:cs="Times New Roman"/>
          <w:sz w:val="24"/>
          <w:szCs w:val="24"/>
          <w:lang w:val="en-US"/>
        </w:rPr>
        <w:t>R</w:t>
      </w:r>
      <w:r w:rsidRPr="00421B9C">
        <w:rPr>
          <w:rFonts w:ascii="Times New Roman" w:hAnsi="Times New Roman" w:cs="Times New Roman"/>
          <w:sz w:val="24"/>
          <w:szCs w:val="24"/>
          <w:lang w:val="en-US"/>
        </w:rPr>
        <w:t>ates.</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Pr="00212B73">
        <w:rPr>
          <w:rFonts w:ascii="Times New Roman" w:hAnsi="Times New Roman" w:cs="Times New Roman"/>
          <w:i/>
          <w:iCs/>
          <w:sz w:val="24"/>
          <w:szCs w:val="24"/>
          <w:lang w:val="en-US"/>
        </w:rPr>
        <w:t>The Quarterly Review of Economics and Finance</w:t>
      </w:r>
      <w:r w:rsidRPr="00421B9C">
        <w:rPr>
          <w:rFonts w:ascii="Times New Roman" w:hAnsi="Times New Roman" w:cs="Times New Roman"/>
          <w:sz w:val="24"/>
          <w:szCs w:val="24"/>
          <w:lang w:val="en-US"/>
        </w:rPr>
        <w:t xml:space="preserve"> 59</w:t>
      </w:r>
      <w:r w:rsidR="009609B4">
        <w:rPr>
          <w:rFonts w:ascii="Times New Roman" w:hAnsi="Times New Roman" w:cs="Times New Roman"/>
          <w:sz w:val="24"/>
          <w:szCs w:val="24"/>
          <w:lang w:val="en-US"/>
        </w:rPr>
        <w:t>(2)</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231-242.</w:t>
      </w:r>
    </w:p>
    <w:p w14:paraId="305CE060" w14:textId="44724392" w:rsidR="00421B9C" w:rsidRPr="00421B9C" w:rsidRDefault="00421B9C" w:rsidP="009C10BE">
      <w:pPr>
        <w:spacing w:line="360" w:lineRule="auto"/>
        <w:ind w:left="630" w:hanging="630"/>
        <w:jc w:val="both"/>
        <w:rPr>
          <w:rFonts w:ascii="Times New Roman" w:hAnsi="Times New Roman" w:cs="Times New Roman"/>
          <w:sz w:val="24"/>
          <w:szCs w:val="24"/>
          <w:lang w:val="en-US"/>
        </w:rPr>
      </w:pPr>
      <w:r w:rsidRPr="00421B9C">
        <w:rPr>
          <w:rFonts w:ascii="Times New Roman" w:hAnsi="Times New Roman" w:cs="Times New Roman"/>
          <w:sz w:val="24"/>
          <w:szCs w:val="24"/>
          <w:lang w:val="en-US"/>
        </w:rPr>
        <w:t xml:space="preserve">Kilian, L. (2009). </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Not </w:t>
      </w:r>
      <w:r w:rsidR="00205375">
        <w:rPr>
          <w:rFonts w:ascii="Times New Roman" w:hAnsi="Times New Roman" w:cs="Times New Roman"/>
          <w:sz w:val="24"/>
          <w:szCs w:val="24"/>
          <w:lang w:val="en-US"/>
        </w:rPr>
        <w:t>A</w:t>
      </w:r>
      <w:r w:rsidRPr="00421B9C">
        <w:rPr>
          <w:rFonts w:ascii="Times New Roman" w:hAnsi="Times New Roman" w:cs="Times New Roman"/>
          <w:sz w:val="24"/>
          <w:szCs w:val="24"/>
          <w:lang w:val="en-US"/>
        </w:rPr>
        <w:t xml:space="preserve">ll </w:t>
      </w:r>
      <w:r w:rsidR="00205375">
        <w:rPr>
          <w:rFonts w:ascii="Times New Roman" w:hAnsi="Times New Roman" w:cs="Times New Roman"/>
          <w:sz w:val="24"/>
          <w:szCs w:val="24"/>
          <w:lang w:val="en-US"/>
        </w:rPr>
        <w:t>O</w:t>
      </w:r>
      <w:r w:rsidRPr="00421B9C">
        <w:rPr>
          <w:rFonts w:ascii="Times New Roman" w:hAnsi="Times New Roman" w:cs="Times New Roman"/>
          <w:sz w:val="24"/>
          <w:szCs w:val="24"/>
          <w:lang w:val="en-US"/>
        </w:rPr>
        <w:t xml:space="preserve">il </w:t>
      </w:r>
      <w:r w:rsidR="00205375">
        <w:rPr>
          <w:rFonts w:ascii="Times New Roman" w:hAnsi="Times New Roman" w:cs="Times New Roman"/>
          <w:sz w:val="24"/>
          <w:szCs w:val="24"/>
          <w:lang w:val="en-US"/>
        </w:rPr>
        <w:t>P</w:t>
      </w:r>
      <w:r w:rsidRPr="00421B9C">
        <w:rPr>
          <w:rFonts w:ascii="Times New Roman" w:hAnsi="Times New Roman" w:cs="Times New Roman"/>
          <w:sz w:val="24"/>
          <w:szCs w:val="24"/>
          <w:lang w:val="en-US"/>
        </w:rPr>
        <w:t xml:space="preserve">rice </w:t>
      </w:r>
      <w:r w:rsidR="00205375">
        <w:rPr>
          <w:rFonts w:ascii="Times New Roman" w:hAnsi="Times New Roman" w:cs="Times New Roman"/>
          <w:sz w:val="24"/>
          <w:szCs w:val="24"/>
          <w:lang w:val="en-US"/>
        </w:rPr>
        <w:t>S</w:t>
      </w:r>
      <w:r w:rsidRPr="00421B9C">
        <w:rPr>
          <w:rFonts w:ascii="Times New Roman" w:hAnsi="Times New Roman" w:cs="Times New Roman"/>
          <w:sz w:val="24"/>
          <w:szCs w:val="24"/>
          <w:lang w:val="en-US"/>
        </w:rPr>
        <w:t xml:space="preserve">hocks are </w:t>
      </w:r>
      <w:r w:rsidR="00205375">
        <w:rPr>
          <w:rFonts w:ascii="Times New Roman" w:hAnsi="Times New Roman" w:cs="Times New Roman"/>
          <w:sz w:val="24"/>
          <w:szCs w:val="24"/>
          <w:lang w:val="en-US"/>
        </w:rPr>
        <w:t>A</w:t>
      </w:r>
      <w:r w:rsidRPr="00421B9C">
        <w:rPr>
          <w:rFonts w:ascii="Times New Roman" w:hAnsi="Times New Roman" w:cs="Times New Roman"/>
          <w:sz w:val="24"/>
          <w:szCs w:val="24"/>
          <w:lang w:val="en-US"/>
        </w:rPr>
        <w:t xml:space="preserve">like: </w:t>
      </w:r>
      <w:r w:rsidR="00205375">
        <w:rPr>
          <w:rFonts w:ascii="Times New Roman" w:hAnsi="Times New Roman" w:cs="Times New Roman"/>
          <w:sz w:val="24"/>
          <w:szCs w:val="24"/>
          <w:lang w:val="en-US"/>
        </w:rPr>
        <w:t>D</w:t>
      </w:r>
      <w:r w:rsidRPr="00421B9C">
        <w:rPr>
          <w:rFonts w:ascii="Times New Roman" w:hAnsi="Times New Roman" w:cs="Times New Roman"/>
          <w:sz w:val="24"/>
          <w:szCs w:val="24"/>
          <w:lang w:val="en-US"/>
        </w:rPr>
        <w:t xml:space="preserve">isentangling </w:t>
      </w:r>
      <w:r w:rsidR="00205375">
        <w:rPr>
          <w:rFonts w:ascii="Times New Roman" w:hAnsi="Times New Roman" w:cs="Times New Roman"/>
          <w:sz w:val="24"/>
          <w:szCs w:val="24"/>
          <w:lang w:val="en-US"/>
        </w:rPr>
        <w:t>D</w:t>
      </w:r>
      <w:r w:rsidRPr="00421B9C">
        <w:rPr>
          <w:rFonts w:ascii="Times New Roman" w:hAnsi="Times New Roman" w:cs="Times New Roman"/>
          <w:sz w:val="24"/>
          <w:szCs w:val="24"/>
          <w:lang w:val="en-US"/>
        </w:rPr>
        <w:t xml:space="preserve">emand and </w:t>
      </w:r>
      <w:r w:rsidR="00205375">
        <w:rPr>
          <w:rFonts w:ascii="Times New Roman" w:hAnsi="Times New Roman" w:cs="Times New Roman"/>
          <w:sz w:val="24"/>
          <w:szCs w:val="24"/>
          <w:lang w:val="en-US"/>
        </w:rPr>
        <w:t>S</w:t>
      </w:r>
      <w:r w:rsidRPr="00421B9C">
        <w:rPr>
          <w:rFonts w:ascii="Times New Roman" w:hAnsi="Times New Roman" w:cs="Times New Roman"/>
          <w:sz w:val="24"/>
          <w:szCs w:val="24"/>
          <w:lang w:val="en-US"/>
        </w:rPr>
        <w:t xml:space="preserve">upply </w:t>
      </w:r>
      <w:r w:rsidR="00205375">
        <w:rPr>
          <w:rFonts w:ascii="Times New Roman" w:hAnsi="Times New Roman" w:cs="Times New Roman"/>
          <w:sz w:val="24"/>
          <w:szCs w:val="24"/>
          <w:lang w:val="en-US"/>
        </w:rPr>
        <w:t>S</w:t>
      </w:r>
      <w:r w:rsidRPr="00421B9C">
        <w:rPr>
          <w:rFonts w:ascii="Times New Roman" w:hAnsi="Times New Roman" w:cs="Times New Roman"/>
          <w:sz w:val="24"/>
          <w:szCs w:val="24"/>
          <w:lang w:val="en-US"/>
        </w:rPr>
        <w:t xml:space="preserve">hocks in the </w:t>
      </w:r>
      <w:r w:rsidR="00205375">
        <w:rPr>
          <w:rFonts w:ascii="Times New Roman" w:hAnsi="Times New Roman" w:cs="Times New Roman"/>
          <w:sz w:val="24"/>
          <w:szCs w:val="24"/>
          <w:lang w:val="en-US"/>
        </w:rPr>
        <w:t>C</w:t>
      </w:r>
      <w:r w:rsidRPr="00421B9C">
        <w:rPr>
          <w:rFonts w:ascii="Times New Roman" w:hAnsi="Times New Roman" w:cs="Times New Roman"/>
          <w:sz w:val="24"/>
          <w:szCs w:val="24"/>
          <w:lang w:val="en-US"/>
        </w:rPr>
        <w:t xml:space="preserve">rude </w:t>
      </w:r>
      <w:r w:rsidR="00205375">
        <w:rPr>
          <w:rFonts w:ascii="Times New Roman" w:hAnsi="Times New Roman" w:cs="Times New Roman"/>
          <w:sz w:val="24"/>
          <w:szCs w:val="24"/>
          <w:lang w:val="en-US"/>
        </w:rPr>
        <w:t>O</w:t>
      </w:r>
      <w:r w:rsidRPr="00421B9C">
        <w:rPr>
          <w:rFonts w:ascii="Times New Roman" w:hAnsi="Times New Roman" w:cs="Times New Roman"/>
          <w:sz w:val="24"/>
          <w:szCs w:val="24"/>
          <w:lang w:val="en-US"/>
        </w:rPr>
        <w:t xml:space="preserve">il </w:t>
      </w:r>
      <w:r w:rsidR="00205375">
        <w:rPr>
          <w:rFonts w:ascii="Times New Roman" w:hAnsi="Times New Roman" w:cs="Times New Roman"/>
          <w:sz w:val="24"/>
          <w:szCs w:val="24"/>
          <w:lang w:val="en-US"/>
        </w:rPr>
        <w:t>M</w:t>
      </w:r>
      <w:r w:rsidRPr="00421B9C">
        <w:rPr>
          <w:rFonts w:ascii="Times New Roman" w:hAnsi="Times New Roman" w:cs="Times New Roman"/>
          <w:sz w:val="24"/>
          <w:szCs w:val="24"/>
          <w:lang w:val="en-US"/>
        </w:rPr>
        <w:t>arket.</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Pr="009C0C9C">
        <w:rPr>
          <w:rFonts w:ascii="Times New Roman" w:hAnsi="Times New Roman" w:cs="Times New Roman"/>
          <w:i/>
          <w:iCs/>
          <w:sz w:val="24"/>
          <w:szCs w:val="24"/>
          <w:lang w:val="en-US"/>
        </w:rPr>
        <w:t>American Economic Review</w:t>
      </w:r>
      <w:r w:rsidRPr="00421B9C">
        <w:rPr>
          <w:rFonts w:ascii="Times New Roman" w:hAnsi="Times New Roman" w:cs="Times New Roman"/>
          <w:sz w:val="24"/>
          <w:szCs w:val="24"/>
          <w:lang w:val="en-US"/>
        </w:rPr>
        <w:t xml:space="preserve"> 99</w:t>
      </w:r>
      <w:r w:rsidR="009609B4">
        <w:rPr>
          <w:rFonts w:ascii="Times New Roman" w:hAnsi="Times New Roman" w:cs="Times New Roman"/>
          <w:sz w:val="24"/>
          <w:szCs w:val="24"/>
          <w:lang w:val="en-US"/>
        </w:rPr>
        <w:t>(9)</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1053-1069.</w:t>
      </w:r>
    </w:p>
    <w:p w14:paraId="76188183" w14:textId="6AD7531E" w:rsidR="00421B9C" w:rsidRPr="00671681" w:rsidRDefault="00421B9C" w:rsidP="009C10BE">
      <w:pPr>
        <w:spacing w:line="360" w:lineRule="auto"/>
        <w:ind w:left="630" w:hanging="630"/>
        <w:jc w:val="both"/>
        <w:rPr>
          <w:rFonts w:ascii="Times New Roman" w:hAnsi="Times New Roman" w:cs="Times New Roman"/>
          <w:sz w:val="24"/>
          <w:szCs w:val="24"/>
          <w:shd w:val="clear" w:color="auto" w:fill="FFFFFF"/>
          <w:lang w:val="en-US"/>
        </w:rPr>
      </w:pPr>
      <w:proofErr w:type="spellStart"/>
      <w:r w:rsidRPr="00671681">
        <w:rPr>
          <w:rFonts w:ascii="Times New Roman" w:hAnsi="Times New Roman" w:cs="Times New Roman"/>
          <w:sz w:val="24"/>
          <w:szCs w:val="24"/>
          <w:shd w:val="clear" w:color="auto" w:fill="FFFFFF"/>
          <w:lang w:val="en-US"/>
        </w:rPr>
        <w:t>Kowalewski</w:t>
      </w:r>
      <w:proofErr w:type="spellEnd"/>
      <w:r w:rsidRPr="00671681">
        <w:rPr>
          <w:rFonts w:ascii="Times New Roman" w:hAnsi="Times New Roman" w:cs="Times New Roman"/>
          <w:sz w:val="24"/>
          <w:szCs w:val="24"/>
          <w:shd w:val="clear" w:color="auto" w:fill="FFFFFF"/>
          <w:lang w:val="en-US"/>
        </w:rPr>
        <w:t xml:space="preserve">, O., </w:t>
      </w:r>
      <w:r w:rsidR="00205375">
        <w:rPr>
          <w:rFonts w:ascii="Times New Roman" w:hAnsi="Times New Roman" w:cs="Times New Roman"/>
          <w:sz w:val="24"/>
          <w:szCs w:val="24"/>
          <w:shd w:val="clear" w:color="auto" w:fill="FFFFFF"/>
          <w:lang w:val="en-US"/>
        </w:rPr>
        <w:t>and</w:t>
      </w:r>
      <w:r w:rsidRPr="00671681">
        <w:rPr>
          <w:rFonts w:ascii="Times New Roman" w:hAnsi="Times New Roman" w:cs="Times New Roman"/>
          <w:sz w:val="24"/>
          <w:szCs w:val="24"/>
          <w:shd w:val="clear" w:color="auto" w:fill="FFFFFF"/>
          <w:lang w:val="en-US"/>
        </w:rPr>
        <w:t xml:space="preserve"> </w:t>
      </w:r>
      <w:proofErr w:type="spellStart"/>
      <w:r w:rsidRPr="00671681">
        <w:rPr>
          <w:rFonts w:ascii="Times New Roman" w:hAnsi="Times New Roman" w:cs="Times New Roman"/>
          <w:sz w:val="24"/>
          <w:szCs w:val="24"/>
          <w:shd w:val="clear" w:color="auto" w:fill="FFFFFF"/>
          <w:lang w:val="en-US"/>
        </w:rPr>
        <w:t>Śpiewanowski</w:t>
      </w:r>
      <w:proofErr w:type="spellEnd"/>
      <w:r w:rsidRPr="00671681">
        <w:rPr>
          <w:rFonts w:ascii="Times New Roman" w:hAnsi="Times New Roman" w:cs="Times New Roman"/>
          <w:sz w:val="24"/>
          <w:szCs w:val="24"/>
          <w:shd w:val="clear" w:color="auto" w:fill="FFFFFF"/>
          <w:lang w:val="en-US"/>
        </w:rPr>
        <w:t xml:space="preserve">, P. (2020). </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xml:space="preserve">Stock </w:t>
      </w:r>
      <w:r w:rsidR="00205375">
        <w:rPr>
          <w:rFonts w:ascii="Times New Roman" w:hAnsi="Times New Roman" w:cs="Times New Roman"/>
          <w:sz w:val="24"/>
          <w:szCs w:val="24"/>
          <w:shd w:val="clear" w:color="auto" w:fill="FFFFFF"/>
          <w:lang w:val="en-US"/>
        </w:rPr>
        <w:t>M</w:t>
      </w:r>
      <w:r w:rsidRPr="00671681">
        <w:rPr>
          <w:rFonts w:ascii="Times New Roman" w:hAnsi="Times New Roman" w:cs="Times New Roman"/>
          <w:sz w:val="24"/>
          <w:szCs w:val="24"/>
          <w:shd w:val="clear" w:color="auto" w:fill="FFFFFF"/>
          <w:lang w:val="en-US"/>
        </w:rPr>
        <w:t xml:space="preserve">arket </w:t>
      </w:r>
      <w:r w:rsidR="00205375">
        <w:rPr>
          <w:rFonts w:ascii="Times New Roman" w:hAnsi="Times New Roman" w:cs="Times New Roman"/>
          <w:sz w:val="24"/>
          <w:szCs w:val="24"/>
          <w:shd w:val="clear" w:color="auto" w:fill="FFFFFF"/>
          <w:lang w:val="en-US"/>
        </w:rPr>
        <w:t>R</w:t>
      </w:r>
      <w:r w:rsidRPr="00671681">
        <w:rPr>
          <w:rFonts w:ascii="Times New Roman" w:hAnsi="Times New Roman" w:cs="Times New Roman"/>
          <w:sz w:val="24"/>
          <w:szCs w:val="24"/>
          <w:shd w:val="clear" w:color="auto" w:fill="FFFFFF"/>
          <w:lang w:val="en-US"/>
        </w:rPr>
        <w:t xml:space="preserve">esponse to </w:t>
      </w:r>
      <w:r w:rsidR="00205375">
        <w:rPr>
          <w:rFonts w:ascii="Times New Roman" w:hAnsi="Times New Roman" w:cs="Times New Roman"/>
          <w:sz w:val="24"/>
          <w:szCs w:val="24"/>
          <w:shd w:val="clear" w:color="auto" w:fill="FFFFFF"/>
          <w:lang w:val="en-US"/>
        </w:rPr>
        <w:t>P</w:t>
      </w:r>
      <w:r w:rsidRPr="00671681">
        <w:rPr>
          <w:rFonts w:ascii="Times New Roman" w:hAnsi="Times New Roman" w:cs="Times New Roman"/>
          <w:sz w:val="24"/>
          <w:szCs w:val="24"/>
          <w:shd w:val="clear" w:color="auto" w:fill="FFFFFF"/>
          <w:lang w:val="en-US"/>
        </w:rPr>
        <w:t xml:space="preserve">otash </w:t>
      </w:r>
      <w:r w:rsidR="00205375">
        <w:rPr>
          <w:rFonts w:ascii="Times New Roman" w:hAnsi="Times New Roman" w:cs="Times New Roman"/>
          <w:sz w:val="24"/>
          <w:szCs w:val="24"/>
          <w:shd w:val="clear" w:color="auto" w:fill="FFFFFF"/>
          <w:lang w:val="en-US"/>
        </w:rPr>
        <w:t>M</w:t>
      </w:r>
      <w:r w:rsidRPr="00671681">
        <w:rPr>
          <w:rFonts w:ascii="Times New Roman" w:hAnsi="Times New Roman" w:cs="Times New Roman"/>
          <w:sz w:val="24"/>
          <w:szCs w:val="24"/>
          <w:shd w:val="clear" w:color="auto" w:fill="FFFFFF"/>
          <w:lang w:val="en-US"/>
        </w:rPr>
        <w:t xml:space="preserve">ine </w:t>
      </w:r>
      <w:proofErr w:type="spellStart"/>
      <w:r w:rsidR="00205375">
        <w:rPr>
          <w:rFonts w:ascii="Times New Roman" w:hAnsi="Times New Roman" w:cs="Times New Roman"/>
          <w:sz w:val="24"/>
          <w:szCs w:val="24"/>
          <w:shd w:val="clear" w:color="auto" w:fill="FFFFFF"/>
          <w:lang w:val="en-US"/>
        </w:rPr>
        <w:t>S</w:t>
      </w:r>
      <w:r w:rsidRPr="00671681">
        <w:rPr>
          <w:rFonts w:ascii="Times New Roman" w:hAnsi="Times New Roman" w:cs="Times New Roman"/>
          <w:sz w:val="24"/>
          <w:szCs w:val="24"/>
          <w:shd w:val="clear" w:color="auto" w:fill="FFFFFF"/>
          <w:lang w:val="en-US"/>
        </w:rPr>
        <w:t>isasters</w:t>
      </w:r>
      <w:proofErr w:type="spellEnd"/>
      <w:r w:rsidRPr="00671681">
        <w:rPr>
          <w:rFonts w:ascii="Times New Roman" w:hAnsi="Times New Roman" w:cs="Times New Roman"/>
          <w:sz w:val="24"/>
          <w:szCs w:val="24"/>
          <w:shd w:val="clear" w:color="auto" w:fill="FFFFFF"/>
          <w:lang w:val="en-US"/>
        </w:rPr>
        <w:t>.</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xml:space="preserve"> </w:t>
      </w:r>
      <w:r w:rsidRPr="00671681">
        <w:rPr>
          <w:rFonts w:ascii="Times New Roman" w:hAnsi="Times New Roman" w:cs="Times New Roman"/>
          <w:i/>
          <w:iCs/>
          <w:sz w:val="24"/>
          <w:szCs w:val="24"/>
          <w:lang w:val="en-US"/>
        </w:rPr>
        <w:t>Journal of Commodity Markets</w:t>
      </w:r>
      <w:r w:rsidR="009609B4">
        <w:rPr>
          <w:rFonts w:ascii="Times New Roman" w:hAnsi="Times New Roman" w:cs="Times New Roman"/>
          <w:i/>
          <w:iCs/>
          <w:sz w:val="24"/>
          <w:szCs w:val="24"/>
          <w:lang w:val="en-US"/>
        </w:rPr>
        <w:t xml:space="preserve"> (forthcoming)</w:t>
      </w:r>
      <w:r w:rsidRPr="00671681">
        <w:rPr>
          <w:rFonts w:ascii="Times New Roman" w:hAnsi="Times New Roman" w:cs="Times New Roman"/>
          <w:sz w:val="24"/>
          <w:szCs w:val="24"/>
          <w:shd w:val="clear" w:color="auto" w:fill="FFFFFF"/>
          <w:lang w:val="en-US"/>
        </w:rPr>
        <w:t>.</w:t>
      </w:r>
    </w:p>
    <w:p w14:paraId="252D7919" w14:textId="2D981E27" w:rsidR="00421B9C" w:rsidRPr="00421B9C" w:rsidRDefault="00421B9C" w:rsidP="009C10BE">
      <w:pPr>
        <w:spacing w:line="360" w:lineRule="auto"/>
        <w:ind w:left="630" w:hanging="630"/>
        <w:jc w:val="both"/>
        <w:rPr>
          <w:rFonts w:ascii="Times New Roman" w:hAnsi="Times New Roman" w:cs="Times New Roman"/>
          <w:sz w:val="24"/>
          <w:szCs w:val="24"/>
          <w:lang w:val="en-US"/>
        </w:rPr>
      </w:pPr>
      <w:proofErr w:type="spellStart"/>
      <w:r w:rsidRPr="00421B9C">
        <w:rPr>
          <w:rFonts w:ascii="Times New Roman" w:hAnsi="Times New Roman" w:cs="Times New Roman"/>
          <w:sz w:val="24"/>
          <w:szCs w:val="24"/>
          <w:lang w:val="en-US"/>
        </w:rPr>
        <w:t>Laopodis</w:t>
      </w:r>
      <w:proofErr w:type="spellEnd"/>
      <w:r w:rsidRPr="00421B9C">
        <w:rPr>
          <w:rFonts w:ascii="Times New Roman" w:hAnsi="Times New Roman" w:cs="Times New Roman"/>
          <w:sz w:val="24"/>
          <w:szCs w:val="24"/>
          <w:lang w:val="en-US"/>
        </w:rPr>
        <w:t xml:space="preserve">, N.T. (2013). </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Monetary </w:t>
      </w:r>
      <w:r w:rsidR="00205375">
        <w:rPr>
          <w:rFonts w:ascii="Times New Roman" w:hAnsi="Times New Roman" w:cs="Times New Roman"/>
          <w:sz w:val="24"/>
          <w:szCs w:val="24"/>
          <w:lang w:val="en-US"/>
        </w:rPr>
        <w:t>P</w:t>
      </w:r>
      <w:r w:rsidRPr="00421B9C">
        <w:rPr>
          <w:rFonts w:ascii="Times New Roman" w:hAnsi="Times New Roman" w:cs="Times New Roman"/>
          <w:sz w:val="24"/>
          <w:szCs w:val="24"/>
          <w:lang w:val="en-US"/>
        </w:rPr>
        <w:t xml:space="preserve">olicy and </w:t>
      </w:r>
      <w:r w:rsidR="00205375">
        <w:rPr>
          <w:rFonts w:ascii="Times New Roman" w:hAnsi="Times New Roman" w:cs="Times New Roman"/>
          <w:sz w:val="24"/>
          <w:szCs w:val="24"/>
          <w:lang w:val="en-US"/>
        </w:rPr>
        <w:t>S</w:t>
      </w:r>
      <w:r w:rsidRPr="00421B9C">
        <w:rPr>
          <w:rFonts w:ascii="Times New Roman" w:hAnsi="Times New Roman" w:cs="Times New Roman"/>
          <w:sz w:val="24"/>
          <w:szCs w:val="24"/>
          <w:lang w:val="en-US"/>
        </w:rPr>
        <w:t xml:space="preserve">tock </w:t>
      </w:r>
      <w:r w:rsidR="00205375">
        <w:rPr>
          <w:rFonts w:ascii="Times New Roman" w:hAnsi="Times New Roman" w:cs="Times New Roman"/>
          <w:sz w:val="24"/>
          <w:szCs w:val="24"/>
          <w:lang w:val="en-US"/>
        </w:rPr>
        <w:t>M</w:t>
      </w:r>
      <w:r w:rsidRPr="00421B9C">
        <w:rPr>
          <w:rFonts w:ascii="Times New Roman" w:hAnsi="Times New Roman" w:cs="Times New Roman"/>
          <w:sz w:val="24"/>
          <w:szCs w:val="24"/>
          <w:lang w:val="en-US"/>
        </w:rPr>
        <w:t xml:space="preserve">arket </w:t>
      </w:r>
      <w:r w:rsidR="00205375">
        <w:rPr>
          <w:rFonts w:ascii="Times New Roman" w:hAnsi="Times New Roman" w:cs="Times New Roman"/>
          <w:sz w:val="24"/>
          <w:szCs w:val="24"/>
          <w:lang w:val="en-US"/>
        </w:rPr>
        <w:t>D</w:t>
      </w:r>
      <w:r w:rsidRPr="00421B9C">
        <w:rPr>
          <w:rFonts w:ascii="Times New Roman" w:hAnsi="Times New Roman" w:cs="Times New Roman"/>
          <w:sz w:val="24"/>
          <w:szCs w:val="24"/>
          <w:lang w:val="en-US"/>
        </w:rPr>
        <w:t xml:space="preserve">ynamics </w:t>
      </w:r>
      <w:r w:rsidR="00205375">
        <w:rPr>
          <w:rFonts w:ascii="Times New Roman" w:hAnsi="Times New Roman" w:cs="Times New Roman"/>
          <w:sz w:val="24"/>
          <w:szCs w:val="24"/>
          <w:lang w:val="en-US"/>
        </w:rPr>
        <w:t>A</w:t>
      </w:r>
      <w:r w:rsidRPr="00421B9C">
        <w:rPr>
          <w:rFonts w:ascii="Times New Roman" w:hAnsi="Times New Roman" w:cs="Times New Roman"/>
          <w:sz w:val="24"/>
          <w:szCs w:val="24"/>
          <w:lang w:val="en-US"/>
        </w:rPr>
        <w:t xml:space="preserve">cross </w:t>
      </w:r>
      <w:r w:rsidR="00205375">
        <w:rPr>
          <w:rFonts w:ascii="Times New Roman" w:hAnsi="Times New Roman" w:cs="Times New Roman"/>
          <w:sz w:val="24"/>
          <w:szCs w:val="24"/>
          <w:lang w:val="en-US"/>
        </w:rPr>
        <w:t>M</w:t>
      </w:r>
      <w:r w:rsidRPr="00421B9C">
        <w:rPr>
          <w:rFonts w:ascii="Times New Roman" w:hAnsi="Times New Roman" w:cs="Times New Roman"/>
          <w:sz w:val="24"/>
          <w:szCs w:val="24"/>
          <w:lang w:val="en-US"/>
        </w:rPr>
        <w:t xml:space="preserve">onetary </w:t>
      </w:r>
      <w:r w:rsidR="00205375">
        <w:rPr>
          <w:rFonts w:ascii="Times New Roman" w:hAnsi="Times New Roman" w:cs="Times New Roman"/>
          <w:sz w:val="24"/>
          <w:szCs w:val="24"/>
          <w:lang w:val="en-US"/>
        </w:rPr>
        <w:t>R</w:t>
      </w:r>
      <w:r w:rsidRPr="00421B9C">
        <w:rPr>
          <w:rFonts w:ascii="Times New Roman" w:hAnsi="Times New Roman" w:cs="Times New Roman"/>
          <w:sz w:val="24"/>
          <w:szCs w:val="24"/>
          <w:lang w:val="en-US"/>
        </w:rPr>
        <w:t>egimes.</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Pr="009C0C9C">
        <w:rPr>
          <w:rFonts w:ascii="Times New Roman" w:hAnsi="Times New Roman" w:cs="Times New Roman"/>
          <w:i/>
          <w:iCs/>
          <w:sz w:val="24"/>
          <w:szCs w:val="24"/>
          <w:lang w:val="en-US"/>
        </w:rPr>
        <w:t>Journal of International Money and Finance</w:t>
      </w:r>
      <w:r w:rsidRPr="00421B9C">
        <w:rPr>
          <w:rFonts w:ascii="Times New Roman" w:hAnsi="Times New Roman" w:cs="Times New Roman"/>
          <w:sz w:val="24"/>
          <w:szCs w:val="24"/>
          <w:lang w:val="en-US"/>
        </w:rPr>
        <w:t xml:space="preserve"> 33</w:t>
      </w:r>
      <w:r w:rsidR="009609B4">
        <w:rPr>
          <w:rFonts w:ascii="Times New Roman" w:hAnsi="Times New Roman" w:cs="Times New Roman"/>
          <w:sz w:val="24"/>
          <w:szCs w:val="24"/>
          <w:lang w:val="en-US"/>
        </w:rPr>
        <w:t>(2)</w:t>
      </w:r>
      <w:r w:rsidR="00205375">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381-406.</w:t>
      </w:r>
    </w:p>
    <w:p w14:paraId="5C8B8D52" w14:textId="2D2A3D2E" w:rsidR="00421B9C" w:rsidRPr="00421B9C" w:rsidRDefault="00421B9C" w:rsidP="00421B9C">
      <w:pPr>
        <w:pStyle w:val="NoSpacing"/>
        <w:spacing w:line="360" w:lineRule="auto"/>
        <w:ind w:left="630" w:hanging="630"/>
        <w:jc w:val="both"/>
        <w:rPr>
          <w:rFonts w:ascii="Times New Roman" w:hAnsi="Times New Roman" w:cs="Times New Roman"/>
          <w:color w:val="222222"/>
          <w:sz w:val="24"/>
          <w:szCs w:val="24"/>
          <w:shd w:val="clear" w:color="auto" w:fill="FFFFFF"/>
          <w:lang w:val="en-US"/>
        </w:rPr>
      </w:pPr>
      <w:r w:rsidRPr="00421B9C">
        <w:rPr>
          <w:rFonts w:ascii="Times New Roman" w:hAnsi="Times New Roman" w:cs="Times New Roman"/>
          <w:color w:val="222222"/>
          <w:sz w:val="24"/>
          <w:szCs w:val="24"/>
          <w:shd w:val="clear" w:color="auto" w:fill="FFFFFF"/>
          <w:lang w:val="en-US"/>
        </w:rPr>
        <w:t xml:space="preserve">Lee, W.Y., Jiang, C.X., </w:t>
      </w:r>
      <w:r w:rsidR="00205375">
        <w:rPr>
          <w:rFonts w:ascii="Times New Roman" w:hAnsi="Times New Roman" w:cs="Times New Roman"/>
          <w:color w:val="222222"/>
          <w:sz w:val="24"/>
          <w:szCs w:val="24"/>
          <w:shd w:val="clear" w:color="auto" w:fill="FFFFFF"/>
          <w:lang w:val="en-US"/>
        </w:rPr>
        <w:t>and</w:t>
      </w:r>
      <w:r w:rsidRPr="00421B9C">
        <w:rPr>
          <w:rFonts w:ascii="Times New Roman" w:hAnsi="Times New Roman" w:cs="Times New Roman"/>
          <w:color w:val="222222"/>
          <w:sz w:val="24"/>
          <w:szCs w:val="24"/>
          <w:shd w:val="clear" w:color="auto" w:fill="FFFFFF"/>
          <w:lang w:val="en-US"/>
        </w:rPr>
        <w:t xml:space="preserve"> Indro, D.C. (2002). </w:t>
      </w:r>
      <w:r w:rsidR="00205375">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Stock </w:t>
      </w:r>
      <w:r w:rsidR="00205375">
        <w:rPr>
          <w:rFonts w:ascii="Times New Roman" w:hAnsi="Times New Roman" w:cs="Times New Roman"/>
          <w:color w:val="222222"/>
          <w:sz w:val="24"/>
          <w:szCs w:val="24"/>
          <w:shd w:val="clear" w:color="auto" w:fill="FFFFFF"/>
          <w:lang w:val="en-US"/>
        </w:rPr>
        <w:t>M</w:t>
      </w:r>
      <w:r w:rsidRPr="00421B9C">
        <w:rPr>
          <w:rFonts w:ascii="Times New Roman" w:hAnsi="Times New Roman" w:cs="Times New Roman"/>
          <w:color w:val="222222"/>
          <w:sz w:val="24"/>
          <w:szCs w:val="24"/>
          <w:shd w:val="clear" w:color="auto" w:fill="FFFFFF"/>
          <w:lang w:val="en-US"/>
        </w:rPr>
        <w:t xml:space="preserve">arket </w:t>
      </w:r>
      <w:r w:rsidR="00205375">
        <w:rPr>
          <w:rFonts w:ascii="Times New Roman" w:hAnsi="Times New Roman" w:cs="Times New Roman"/>
          <w:color w:val="222222"/>
          <w:sz w:val="24"/>
          <w:szCs w:val="24"/>
          <w:shd w:val="clear" w:color="auto" w:fill="FFFFFF"/>
          <w:lang w:val="en-US"/>
        </w:rPr>
        <w:t>V</w:t>
      </w:r>
      <w:r w:rsidRPr="00421B9C">
        <w:rPr>
          <w:rFonts w:ascii="Times New Roman" w:hAnsi="Times New Roman" w:cs="Times New Roman"/>
          <w:color w:val="222222"/>
          <w:sz w:val="24"/>
          <w:szCs w:val="24"/>
          <w:shd w:val="clear" w:color="auto" w:fill="FFFFFF"/>
          <w:lang w:val="en-US"/>
        </w:rPr>
        <w:t xml:space="preserve">olatility, </w:t>
      </w:r>
      <w:r w:rsidR="00205375">
        <w:rPr>
          <w:rFonts w:ascii="Times New Roman" w:hAnsi="Times New Roman" w:cs="Times New Roman"/>
          <w:color w:val="222222"/>
          <w:sz w:val="24"/>
          <w:szCs w:val="24"/>
          <w:shd w:val="clear" w:color="auto" w:fill="FFFFFF"/>
          <w:lang w:val="en-US"/>
        </w:rPr>
        <w:t>E</w:t>
      </w:r>
      <w:r w:rsidRPr="00421B9C">
        <w:rPr>
          <w:rFonts w:ascii="Times New Roman" w:hAnsi="Times New Roman" w:cs="Times New Roman"/>
          <w:color w:val="222222"/>
          <w:sz w:val="24"/>
          <w:szCs w:val="24"/>
          <w:shd w:val="clear" w:color="auto" w:fill="FFFFFF"/>
          <w:lang w:val="en-US"/>
        </w:rPr>
        <w:t xml:space="preserve">xcess </w:t>
      </w:r>
      <w:r w:rsidR="00205375">
        <w:rPr>
          <w:rFonts w:ascii="Times New Roman" w:hAnsi="Times New Roman" w:cs="Times New Roman"/>
          <w:color w:val="222222"/>
          <w:sz w:val="24"/>
          <w:szCs w:val="24"/>
          <w:shd w:val="clear" w:color="auto" w:fill="FFFFFF"/>
          <w:lang w:val="en-US"/>
        </w:rPr>
        <w:t>R</w:t>
      </w:r>
      <w:r w:rsidRPr="00421B9C">
        <w:rPr>
          <w:rFonts w:ascii="Times New Roman" w:hAnsi="Times New Roman" w:cs="Times New Roman"/>
          <w:color w:val="222222"/>
          <w:sz w:val="24"/>
          <w:szCs w:val="24"/>
          <w:shd w:val="clear" w:color="auto" w:fill="FFFFFF"/>
          <w:lang w:val="en-US"/>
        </w:rPr>
        <w:t xml:space="preserve">eturns, and the </w:t>
      </w:r>
      <w:r w:rsidR="00205375">
        <w:rPr>
          <w:rFonts w:ascii="Times New Roman" w:hAnsi="Times New Roman" w:cs="Times New Roman"/>
          <w:color w:val="222222"/>
          <w:sz w:val="24"/>
          <w:szCs w:val="24"/>
          <w:shd w:val="clear" w:color="auto" w:fill="FFFFFF"/>
          <w:lang w:val="en-US"/>
        </w:rPr>
        <w:t>R</w:t>
      </w:r>
      <w:r w:rsidRPr="00421B9C">
        <w:rPr>
          <w:rFonts w:ascii="Times New Roman" w:hAnsi="Times New Roman" w:cs="Times New Roman"/>
          <w:color w:val="222222"/>
          <w:sz w:val="24"/>
          <w:szCs w:val="24"/>
          <w:shd w:val="clear" w:color="auto" w:fill="FFFFFF"/>
          <w:lang w:val="en-US"/>
        </w:rPr>
        <w:t xml:space="preserve">ole of </w:t>
      </w:r>
      <w:r w:rsidR="00205375">
        <w:rPr>
          <w:rFonts w:ascii="Times New Roman" w:hAnsi="Times New Roman" w:cs="Times New Roman"/>
          <w:color w:val="222222"/>
          <w:sz w:val="24"/>
          <w:szCs w:val="24"/>
          <w:shd w:val="clear" w:color="auto" w:fill="FFFFFF"/>
          <w:lang w:val="en-US"/>
        </w:rPr>
        <w:t>I</w:t>
      </w:r>
      <w:r w:rsidRPr="00421B9C">
        <w:rPr>
          <w:rFonts w:ascii="Times New Roman" w:hAnsi="Times New Roman" w:cs="Times New Roman"/>
          <w:color w:val="222222"/>
          <w:sz w:val="24"/>
          <w:szCs w:val="24"/>
          <w:shd w:val="clear" w:color="auto" w:fill="FFFFFF"/>
          <w:lang w:val="en-US"/>
        </w:rPr>
        <w:t xml:space="preserve">nvestor </w:t>
      </w:r>
      <w:r w:rsidR="00205375">
        <w:rPr>
          <w:rFonts w:ascii="Times New Roman" w:hAnsi="Times New Roman" w:cs="Times New Roman"/>
          <w:color w:val="222222"/>
          <w:sz w:val="24"/>
          <w:szCs w:val="24"/>
          <w:shd w:val="clear" w:color="auto" w:fill="FFFFFF"/>
          <w:lang w:val="en-US"/>
        </w:rPr>
        <w:t>S</w:t>
      </w:r>
      <w:r w:rsidRPr="00421B9C">
        <w:rPr>
          <w:rFonts w:ascii="Times New Roman" w:hAnsi="Times New Roman" w:cs="Times New Roman"/>
          <w:color w:val="222222"/>
          <w:sz w:val="24"/>
          <w:szCs w:val="24"/>
          <w:shd w:val="clear" w:color="auto" w:fill="FFFFFF"/>
          <w:lang w:val="en-US"/>
        </w:rPr>
        <w:t>entiment.</w:t>
      </w:r>
      <w:r w:rsidR="00205375">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w:t>
      </w:r>
      <w:r w:rsidRPr="009C0C9C">
        <w:rPr>
          <w:rFonts w:ascii="Times New Roman" w:hAnsi="Times New Roman" w:cs="Times New Roman"/>
          <w:i/>
          <w:iCs/>
          <w:color w:val="222222"/>
          <w:sz w:val="24"/>
          <w:szCs w:val="24"/>
          <w:shd w:val="clear" w:color="auto" w:fill="FFFFFF"/>
          <w:lang w:val="en-US"/>
        </w:rPr>
        <w:t xml:space="preserve">Journal of </w:t>
      </w:r>
      <w:r w:rsidR="009C0C9C" w:rsidRPr="009C0C9C">
        <w:rPr>
          <w:rFonts w:ascii="Times New Roman" w:hAnsi="Times New Roman" w:cs="Times New Roman"/>
          <w:i/>
          <w:iCs/>
          <w:color w:val="222222"/>
          <w:sz w:val="24"/>
          <w:szCs w:val="24"/>
          <w:shd w:val="clear" w:color="auto" w:fill="FFFFFF"/>
          <w:lang w:val="en-US"/>
        </w:rPr>
        <w:t>B</w:t>
      </w:r>
      <w:r w:rsidRPr="009C0C9C">
        <w:rPr>
          <w:rFonts w:ascii="Times New Roman" w:hAnsi="Times New Roman" w:cs="Times New Roman"/>
          <w:i/>
          <w:iCs/>
          <w:color w:val="222222"/>
          <w:sz w:val="24"/>
          <w:szCs w:val="24"/>
          <w:shd w:val="clear" w:color="auto" w:fill="FFFFFF"/>
          <w:lang w:val="en-US"/>
        </w:rPr>
        <w:t>anking &amp; Finance</w:t>
      </w:r>
      <w:r w:rsidRPr="00421B9C">
        <w:rPr>
          <w:rFonts w:ascii="Times New Roman" w:hAnsi="Times New Roman" w:cs="Times New Roman"/>
          <w:color w:val="222222"/>
          <w:sz w:val="24"/>
          <w:szCs w:val="24"/>
          <w:shd w:val="clear" w:color="auto" w:fill="FFFFFF"/>
          <w:lang w:val="en-US"/>
        </w:rPr>
        <w:t> 26</w:t>
      </w:r>
      <w:r w:rsidR="009609B4">
        <w:rPr>
          <w:rFonts w:ascii="Times New Roman" w:hAnsi="Times New Roman" w:cs="Times New Roman"/>
          <w:color w:val="222222"/>
          <w:sz w:val="24"/>
          <w:szCs w:val="24"/>
          <w:shd w:val="clear" w:color="auto" w:fill="FFFFFF"/>
          <w:lang w:val="en-US"/>
        </w:rPr>
        <w:t>(20)</w:t>
      </w:r>
      <w:r w:rsidR="00205375">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 2277-2299.</w:t>
      </w:r>
    </w:p>
    <w:p w14:paraId="70B96970" w14:textId="6EE3EF62" w:rsidR="00421B9C" w:rsidRPr="00671681" w:rsidRDefault="00421B9C" w:rsidP="009C10BE">
      <w:pPr>
        <w:spacing w:line="360" w:lineRule="auto"/>
        <w:ind w:left="630" w:hanging="630"/>
        <w:jc w:val="both"/>
        <w:rPr>
          <w:rFonts w:ascii="Times New Roman" w:hAnsi="Times New Roman" w:cs="Times New Roman"/>
          <w:sz w:val="24"/>
          <w:szCs w:val="24"/>
          <w:shd w:val="clear" w:color="auto" w:fill="FFFFFF"/>
          <w:lang w:val="en-US"/>
        </w:rPr>
      </w:pPr>
      <w:r w:rsidRPr="00671681">
        <w:rPr>
          <w:rFonts w:ascii="Times New Roman" w:hAnsi="Times New Roman" w:cs="Times New Roman"/>
          <w:sz w:val="24"/>
          <w:szCs w:val="24"/>
          <w:shd w:val="clear" w:color="auto" w:fill="FFFFFF"/>
          <w:lang w:val="en-US"/>
        </w:rPr>
        <w:lastRenderedPageBreak/>
        <w:t xml:space="preserve">Lin, W.L., Engle, R.F., </w:t>
      </w:r>
      <w:r w:rsidR="00205375">
        <w:rPr>
          <w:rFonts w:ascii="Times New Roman" w:hAnsi="Times New Roman" w:cs="Times New Roman"/>
          <w:sz w:val="24"/>
          <w:szCs w:val="24"/>
          <w:shd w:val="clear" w:color="auto" w:fill="FFFFFF"/>
          <w:lang w:val="en-US"/>
        </w:rPr>
        <w:t>and</w:t>
      </w:r>
      <w:r w:rsidRPr="00671681">
        <w:rPr>
          <w:rFonts w:ascii="Times New Roman" w:hAnsi="Times New Roman" w:cs="Times New Roman"/>
          <w:sz w:val="24"/>
          <w:szCs w:val="24"/>
          <w:shd w:val="clear" w:color="auto" w:fill="FFFFFF"/>
          <w:lang w:val="en-US"/>
        </w:rPr>
        <w:t xml:space="preserve"> Ito, T. (1994). </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xml:space="preserve">Do </w:t>
      </w:r>
      <w:r w:rsidR="00205375">
        <w:rPr>
          <w:rFonts w:ascii="Times New Roman" w:hAnsi="Times New Roman" w:cs="Times New Roman"/>
          <w:sz w:val="24"/>
          <w:szCs w:val="24"/>
          <w:shd w:val="clear" w:color="auto" w:fill="FFFFFF"/>
          <w:lang w:val="en-US"/>
        </w:rPr>
        <w:t>B</w:t>
      </w:r>
      <w:r w:rsidRPr="00671681">
        <w:rPr>
          <w:rFonts w:ascii="Times New Roman" w:hAnsi="Times New Roman" w:cs="Times New Roman"/>
          <w:sz w:val="24"/>
          <w:szCs w:val="24"/>
          <w:shd w:val="clear" w:color="auto" w:fill="FFFFFF"/>
          <w:lang w:val="en-US"/>
        </w:rPr>
        <w:t xml:space="preserve">ulls and </w:t>
      </w:r>
      <w:r w:rsidR="00205375">
        <w:rPr>
          <w:rFonts w:ascii="Times New Roman" w:hAnsi="Times New Roman" w:cs="Times New Roman"/>
          <w:sz w:val="24"/>
          <w:szCs w:val="24"/>
          <w:shd w:val="clear" w:color="auto" w:fill="FFFFFF"/>
          <w:lang w:val="en-US"/>
        </w:rPr>
        <w:t>B</w:t>
      </w:r>
      <w:r w:rsidRPr="00671681">
        <w:rPr>
          <w:rFonts w:ascii="Times New Roman" w:hAnsi="Times New Roman" w:cs="Times New Roman"/>
          <w:sz w:val="24"/>
          <w:szCs w:val="24"/>
          <w:shd w:val="clear" w:color="auto" w:fill="FFFFFF"/>
          <w:lang w:val="en-US"/>
        </w:rPr>
        <w:t xml:space="preserve">ears </w:t>
      </w:r>
      <w:r w:rsidR="00205375">
        <w:rPr>
          <w:rFonts w:ascii="Times New Roman" w:hAnsi="Times New Roman" w:cs="Times New Roman"/>
          <w:sz w:val="24"/>
          <w:szCs w:val="24"/>
          <w:shd w:val="clear" w:color="auto" w:fill="FFFFFF"/>
          <w:lang w:val="en-US"/>
        </w:rPr>
        <w:t>M</w:t>
      </w:r>
      <w:r w:rsidRPr="00671681">
        <w:rPr>
          <w:rFonts w:ascii="Times New Roman" w:hAnsi="Times New Roman" w:cs="Times New Roman"/>
          <w:sz w:val="24"/>
          <w:szCs w:val="24"/>
          <w:shd w:val="clear" w:color="auto" w:fill="FFFFFF"/>
          <w:lang w:val="en-US"/>
        </w:rPr>
        <w:t xml:space="preserve">ove </w:t>
      </w:r>
      <w:r w:rsidR="00205375">
        <w:rPr>
          <w:rFonts w:ascii="Times New Roman" w:hAnsi="Times New Roman" w:cs="Times New Roman"/>
          <w:sz w:val="24"/>
          <w:szCs w:val="24"/>
          <w:shd w:val="clear" w:color="auto" w:fill="FFFFFF"/>
          <w:lang w:val="en-US"/>
        </w:rPr>
        <w:t>A</w:t>
      </w:r>
      <w:r w:rsidRPr="00671681">
        <w:rPr>
          <w:rFonts w:ascii="Times New Roman" w:hAnsi="Times New Roman" w:cs="Times New Roman"/>
          <w:sz w:val="24"/>
          <w:szCs w:val="24"/>
          <w:shd w:val="clear" w:color="auto" w:fill="FFFFFF"/>
          <w:lang w:val="en-US"/>
        </w:rPr>
        <w:t xml:space="preserve">cross </w:t>
      </w:r>
      <w:r w:rsidR="00205375">
        <w:rPr>
          <w:rFonts w:ascii="Times New Roman" w:hAnsi="Times New Roman" w:cs="Times New Roman"/>
          <w:sz w:val="24"/>
          <w:szCs w:val="24"/>
          <w:shd w:val="clear" w:color="auto" w:fill="FFFFFF"/>
          <w:lang w:val="en-US"/>
        </w:rPr>
        <w:t>B</w:t>
      </w:r>
      <w:r w:rsidRPr="00671681">
        <w:rPr>
          <w:rFonts w:ascii="Times New Roman" w:hAnsi="Times New Roman" w:cs="Times New Roman"/>
          <w:sz w:val="24"/>
          <w:szCs w:val="24"/>
          <w:shd w:val="clear" w:color="auto" w:fill="FFFFFF"/>
          <w:lang w:val="en-US"/>
        </w:rPr>
        <w:t xml:space="preserve">orders? International </w:t>
      </w:r>
      <w:r w:rsidR="00205375">
        <w:rPr>
          <w:rFonts w:ascii="Times New Roman" w:hAnsi="Times New Roman" w:cs="Times New Roman"/>
          <w:sz w:val="24"/>
          <w:szCs w:val="24"/>
          <w:shd w:val="clear" w:color="auto" w:fill="FFFFFF"/>
          <w:lang w:val="en-US"/>
        </w:rPr>
        <w:t>T</w:t>
      </w:r>
      <w:r w:rsidRPr="00671681">
        <w:rPr>
          <w:rFonts w:ascii="Times New Roman" w:hAnsi="Times New Roman" w:cs="Times New Roman"/>
          <w:sz w:val="24"/>
          <w:szCs w:val="24"/>
          <w:shd w:val="clear" w:color="auto" w:fill="FFFFFF"/>
          <w:lang w:val="en-US"/>
        </w:rPr>
        <w:t xml:space="preserve">ransmission of </w:t>
      </w:r>
      <w:r w:rsidR="00205375">
        <w:rPr>
          <w:rFonts w:ascii="Times New Roman" w:hAnsi="Times New Roman" w:cs="Times New Roman"/>
          <w:sz w:val="24"/>
          <w:szCs w:val="24"/>
          <w:shd w:val="clear" w:color="auto" w:fill="FFFFFF"/>
          <w:lang w:val="en-US"/>
        </w:rPr>
        <w:t>S</w:t>
      </w:r>
      <w:r w:rsidRPr="00671681">
        <w:rPr>
          <w:rFonts w:ascii="Times New Roman" w:hAnsi="Times New Roman" w:cs="Times New Roman"/>
          <w:sz w:val="24"/>
          <w:szCs w:val="24"/>
          <w:shd w:val="clear" w:color="auto" w:fill="FFFFFF"/>
          <w:lang w:val="en-US"/>
        </w:rPr>
        <w:t xml:space="preserve">tock </w:t>
      </w:r>
      <w:r w:rsidR="00205375">
        <w:rPr>
          <w:rFonts w:ascii="Times New Roman" w:hAnsi="Times New Roman" w:cs="Times New Roman"/>
          <w:sz w:val="24"/>
          <w:szCs w:val="24"/>
          <w:shd w:val="clear" w:color="auto" w:fill="FFFFFF"/>
          <w:lang w:val="en-US"/>
        </w:rPr>
        <w:t>R</w:t>
      </w:r>
      <w:r w:rsidRPr="00671681">
        <w:rPr>
          <w:rFonts w:ascii="Times New Roman" w:hAnsi="Times New Roman" w:cs="Times New Roman"/>
          <w:sz w:val="24"/>
          <w:szCs w:val="24"/>
          <w:shd w:val="clear" w:color="auto" w:fill="FFFFFF"/>
          <w:lang w:val="en-US"/>
        </w:rPr>
        <w:t xml:space="preserve">eturns and </w:t>
      </w:r>
      <w:r w:rsidR="00205375">
        <w:rPr>
          <w:rFonts w:ascii="Times New Roman" w:hAnsi="Times New Roman" w:cs="Times New Roman"/>
          <w:sz w:val="24"/>
          <w:szCs w:val="24"/>
          <w:shd w:val="clear" w:color="auto" w:fill="FFFFFF"/>
          <w:lang w:val="en-US"/>
        </w:rPr>
        <w:t>V</w:t>
      </w:r>
      <w:r w:rsidRPr="00671681">
        <w:rPr>
          <w:rFonts w:ascii="Times New Roman" w:hAnsi="Times New Roman" w:cs="Times New Roman"/>
          <w:sz w:val="24"/>
          <w:szCs w:val="24"/>
          <w:shd w:val="clear" w:color="auto" w:fill="FFFFFF"/>
          <w:lang w:val="en-US"/>
        </w:rPr>
        <w:t>olatility.</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w:t>
      </w:r>
      <w:r w:rsidRPr="00671681">
        <w:rPr>
          <w:rFonts w:ascii="Times New Roman" w:hAnsi="Times New Roman" w:cs="Times New Roman"/>
          <w:i/>
          <w:iCs/>
          <w:sz w:val="24"/>
          <w:szCs w:val="24"/>
          <w:shd w:val="clear" w:color="auto" w:fill="FFFFFF"/>
          <w:lang w:val="en-US"/>
        </w:rPr>
        <w:t>Review of Financial Studies</w:t>
      </w:r>
      <w:r w:rsidRPr="00671681">
        <w:rPr>
          <w:rFonts w:ascii="Times New Roman" w:hAnsi="Times New Roman" w:cs="Times New Roman"/>
          <w:sz w:val="24"/>
          <w:szCs w:val="24"/>
          <w:shd w:val="clear" w:color="auto" w:fill="FFFFFF"/>
          <w:lang w:val="en-US"/>
        </w:rPr>
        <w:t> </w:t>
      </w:r>
      <w:r w:rsidRPr="009C0C9C">
        <w:rPr>
          <w:rFonts w:ascii="Times New Roman" w:hAnsi="Times New Roman" w:cs="Times New Roman"/>
          <w:sz w:val="24"/>
          <w:szCs w:val="24"/>
          <w:shd w:val="clear" w:color="auto" w:fill="FFFFFF"/>
          <w:lang w:val="en-US"/>
        </w:rPr>
        <w:t>7</w:t>
      </w:r>
      <w:r w:rsidR="009609B4">
        <w:rPr>
          <w:rFonts w:ascii="Times New Roman" w:hAnsi="Times New Roman" w:cs="Times New Roman"/>
          <w:sz w:val="24"/>
          <w:szCs w:val="24"/>
          <w:shd w:val="clear" w:color="auto" w:fill="FFFFFF"/>
          <w:lang w:val="en-US"/>
        </w:rPr>
        <w:t>(3)</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xml:space="preserve"> 507-538.</w:t>
      </w:r>
    </w:p>
    <w:p w14:paraId="140EE80C" w14:textId="26F34D77" w:rsidR="00421B9C" w:rsidRPr="00421B9C" w:rsidRDefault="00421B9C" w:rsidP="009C10BE">
      <w:pPr>
        <w:spacing w:line="360" w:lineRule="auto"/>
        <w:ind w:left="630" w:hanging="630"/>
        <w:jc w:val="both"/>
        <w:rPr>
          <w:rFonts w:ascii="Times New Roman" w:hAnsi="Times New Roman" w:cs="Times New Roman"/>
          <w:sz w:val="24"/>
          <w:szCs w:val="24"/>
          <w:lang w:val="en-US"/>
        </w:rPr>
      </w:pPr>
      <w:proofErr w:type="spellStart"/>
      <w:r w:rsidRPr="00421B9C">
        <w:rPr>
          <w:rFonts w:ascii="Times New Roman" w:hAnsi="Times New Roman" w:cs="Times New Roman"/>
          <w:color w:val="222222"/>
          <w:sz w:val="24"/>
          <w:szCs w:val="24"/>
          <w:shd w:val="clear" w:color="auto" w:fill="FFFFFF"/>
          <w:lang w:val="en-US"/>
        </w:rPr>
        <w:t>Longin</w:t>
      </w:r>
      <w:proofErr w:type="spellEnd"/>
      <w:r w:rsidRPr="00421B9C">
        <w:rPr>
          <w:rFonts w:ascii="Times New Roman" w:hAnsi="Times New Roman" w:cs="Times New Roman"/>
          <w:color w:val="222222"/>
          <w:sz w:val="24"/>
          <w:szCs w:val="24"/>
          <w:shd w:val="clear" w:color="auto" w:fill="FFFFFF"/>
          <w:lang w:val="en-US"/>
        </w:rPr>
        <w:t xml:space="preserve">, F., </w:t>
      </w:r>
      <w:r w:rsidR="00205375">
        <w:rPr>
          <w:rFonts w:ascii="Times New Roman" w:hAnsi="Times New Roman" w:cs="Times New Roman"/>
          <w:color w:val="222222"/>
          <w:sz w:val="24"/>
          <w:szCs w:val="24"/>
          <w:shd w:val="clear" w:color="auto" w:fill="FFFFFF"/>
          <w:lang w:val="en-US"/>
        </w:rPr>
        <w:t>and</w:t>
      </w:r>
      <w:r w:rsidRPr="00421B9C">
        <w:rPr>
          <w:rFonts w:ascii="Times New Roman" w:hAnsi="Times New Roman" w:cs="Times New Roman"/>
          <w:color w:val="222222"/>
          <w:sz w:val="24"/>
          <w:szCs w:val="24"/>
          <w:shd w:val="clear" w:color="auto" w:fill="FFFFFF"/>
          <w:lang w:val="en-US"/>
        </w:rPr>
        <w:t xml:space="preserve"> </w:t>
      </w:r>
      <w:proofErr w:type="spellStart"/>
      <w:r w:rsidRPr="00421B9C">
        <w:rPr>
          <w:rFonts w:ascii="Times New Roman" w:hAnsi="Times New Roman" w:cs="Times New Roman"/>
          <w:color w:val="222222"/>
          <w:sz w:val="24"/>
          <w:szCs w:val="24"/>
          <w:shd w:val="clear" w:color="auto" w:fill="FFFFFF"/>
          <w:lang w:val="en-US"/>
        </w:rPr>
        <w:t>Solnik</w:t>
      </w:r>
      <w:proofErr w:type="spellEnd"/>
      <w:r w:rsidRPr="00421B9C">
        <w:rPr>
          <w:rFonts w:ascii="Times New Roman" w:hAnsi="Times New Roman" w:cs="Times New Roman"/>
          <w:color w:val="222222"/>
          <w:sz w:val="24"/>
          <w:szCs w:val="24"/>
          <w:shd w:val="clear" w:color="auto" w:fill="FFFFFF"/>
          <w:lang w:val="en-US"/>
        </w:rPr>
        <w:t xml:space="preserve">, B. (2001). </w:t>
      </w:r>
      <w:r w:rsidR="00205375">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Extreme </w:t>
      </w:r>
      <w:r w:rsidR="00205375">
        <w:rPr>
          <w:rFonts w:ascii="Times New Roman" w:hAnsi="Times New Roman" w:cs="Times New Roman"/>
          <w:color w:val="222222"/>
          <w:sz w:val="24"/>
          <w:szCs w:val="24"/>
          <w:shd w:val="clear" w:color="auto" w:fill="FFFFFF"/>
          <w:lang w:val="en-US"/>
        </w:rPr>
        <w:t>C</w:t>
      </w:r>
      <w:r w:rsidRPr="00421B9C">
        <w:rPr>
          <w:rFonts w:ascii="Times New Roman" w:hAnsi="Times New Roman" w:cs="Times New Roman"/>
          <w:color w:val="222222"/>
          <w:sz w:val="24"/>
          <w:szCs w:val="24"/>
          <w:shd w:val="clear" w:color="auto" w:fill="FFFFFF"/>
          <w:lang w:val="en-US"/>
        </w:rPr>
        <w:t xml:space="preserve">orrelation of </w:t>
      </w:r>
      <w:r w:rsidR="00205375">
        <w:rPr>
          <w:rFonts w:ascii="Times New Roman" w:hAnsi="Times New Roman" w:cs="Times New Roman"/>
          <w:color w:val="222222"/>
          <w:sz w:val="24"/>
          <w:szCs w:val="24"/>
          <w:shd w:val="clear" w:color="auto" w:fill="FFFFFF"/>
          <w:lang w:val="en-US"/>
        </w:rPr>
        <w:t>I</w:t>
      </w:r>
      <w:r w:rsidRPr="00421B9C">
        <w:rPr>
          <w:rFonts w:ascii="Times New Roman" w:hAnsi="Times New Roman" w:cs="Times New Roman"/>
          <w:color w:val="222222"/>
          <w:sz w:val="24"/>
          <w:szCs w:val="24"/>
          <w:shd w:val="clear" w:color="auto" w:fill="FFFFFF"/>
          <w:lang w:val="en-US"/>
        </w:rPr>
        <w:t xml:space="preserve">nternational </w:t>
      </w:r>
      <w:r w:rsidR="00205375">
        <w:rPr>
          <w:rFonts w:ascii="Times New Roman" w:hAnsi="Times New Roman" w:cs="Times New Roman"/>
          <w:color w:val="222222"/>
          <w:sz w:val="24"/>
          <w:szCs w:val="24"/>
          <w:shd w:val="clear" w:color="auto" w:fill="FFFFFF"/>
          <w:lang w:val="en-US"/>
        </w:rPr>
        <w:t>E</w:t>
      </w:r>
      <w:r w:rsidRPr="00421B9C">
        <w:rPr>
          <w:rFonts w:ascii="Times New Roman" w:hAnsi="Times New Roman" w:cs="Times New Roman"/>
          <w:color w:val="222222"/>
          <w:sz w:val="24"/>
          <w:szCs w:val="24"/>
          <w:shd w:val="clear" w:color="auto" w:fill="FFFFFF"/>
          <w:lang w:val="en-US"/>
        </w:rPr>
        <w:t xml:space="preserve">quity </w:t>
      </w:r>
      <w:r w:rsidR="00205375">
        <w:rPr>
          <w:rFonts w:ascii="Times New Roman" w:hAnsi="Times New Roman" w:cs="Times New Roman"/>
          <w:color w:val="222222"/>
          <w:sz w:val="24"/>
          <w:szCs w:val="24"/>
          <w:shd w:val="clear" w:color="auto" w:fill="FFFFFF"/>
          <w:lang w:val="en-US"/>
        </w:rPr>
        <w:t>M</w:t>
      </w:r>
      <w:r w:rsidRPr="00421B9C">
        <w:rPr>
          <w:rFonts w:ascii="Times New Roman" w:hAnsi="Times New Roman" w:cs="Times New Roman"/>
          <w:color w:val="222222"/>
          <w:sz w:val="24"/>
          <w:szCs w:val="24"/>
          <w:shd w:val="clear" w:color="auto" w:fill="FFFFFF"/>
          <w:lang w:val="en-US"/>
        </w:rPr>
        <w:t>arkets.</w:t>
      </w:r>
      <w:r w:rsidR="00205375">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w:t>
      </w:r>
      <w:r w:rsidRPr="00421B9C">
        <w:rPr>
          <w:rFonts w:ascii="Times New Roman" w:hAnsi="Times New Roman" w:cs="Times New Roman"/>
          <w:i/>
          <w:iCs/>
          <w:color w:val="222222"/>
          <w:sz w:val="24"/>
          <w:szCs w:val="24"/>
          <w:shd w:val="clear" w:color="auto" w:fill="FFFFFF"/>
          <w:lang w:val="en-US"/>
        </w:rPr>
        <w:t>The Journal of Finance</w:t>
      </w:r>
      <w:r w:rsidRPr="00421B9C">
        <w:rPr>
          <w:rFonts w:ascii="Times New Roman" w:hAnsi="Times New Roman" w:cs="Times New Roman"/>
          <w:color w:val="222222"/>
          <w:sz w:val="24"/>
          <w:szCs w:val="24"/>
          <w:shd w:val="clear" w:color="auto" w:fill="FFFFFF"/>
          <w:lang w:val="en-US"/>
        </w:rPr>
        <w:t> </w:t>
      </w:r>
      <w:r w:rsidRPr="009609B4">
        <w:rPr>
          <w:rFonts w:ascii="Times New Roman" w:hAnsi="Times New Roman" w:cs="Times New Roman"/>
          <w:color w:val="222222"/>
          <w:sz w:val="24"/>
          <w:szCs w:val="24"/>
          <w:shd w:val="clear" w:color="auto" w:fill="FFFFFF"/>
          <w:lang w:val="en-US"/>
        </w:rPr>
        <w:t>56</w:t>
      </w:r>
      <w:r w:rsidR="009609B4" w:rsidRPr="009609B4">
        <w:rPr>
          <w:rFonts w:ascii="Times New Roman" w:hAnsi="Times New Roman" w:cs="Times New Roman"/>
          <w:color w:val="222222"/>
          <w:sz w:val="24"/>
          <w:szCs w:val="24"/>
          <w:shd w:val="clear" w:color="auto" w:fill="FFFFFF"/>
          <w:lang w:val="en-US"/>
        </w:rPr>
        <w:t>(4)</w:t>
      </w:r>
      <w:r w:rsidR="00205375">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 649-676.</w:t>
      </w:r>
    </w:p>
    <w:p w14:paraId="72D94549" w14:textId="59A11A0A" w:rsidR="00421B9C" w:rsidRPr="00671681" w:rsidRDefault="00421B9C" w:rsidP="009C10BE">
      <w:pPr>
        <w:spacing w:line="360" w:lineRule="auto"/>
        <w:ind w:left="630" w:hanging="630"/>
        <w:jc w:val="both"/>
        <w:rPr>
          <w:rFonts w:ascii="Times New Roman" w:hAnsi="Times New Roman" w:cs="Times New Roman"/>
          <w:sz w:val="24"/>
          <w:szCs w:val="24"/>
          <w:shd w:val="clear" w:color="auto" w:fill="FFFFFF"/>
          <w:lang w:val="en-US"/>
        </w:rPr>
      </w:pPr>
      <w:r w:rsidRPr="00671681">
        <w:rPr>
          <w:rFonts w:ascii="Times New Roman" w:hAnsi="Times New Roman" w:cs="Times New Roman"/>
          <w:sz w:val="24"/>
          <w:szCs w:val="24"/>
          <w:shd w:val="clear" w:color="auto" w:fill="FFFFFF"/>
          <w:lang w:val="en-US"/>
        </w:rPr>
        <w:t xml:space="preserve">Nelson, D.B. (1991). </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xml:space="preserve">Conditional </w:t>
      </w:r>
      <w:r w:rsidR="00205375">
        <w:rPr>
          <w:rFonts w:ascii="Times New Roman" w:hAnsi="Times New Roman" w:cs="Times New Roman"/>
          <w:sz w:val="24"/>
          <w:szCs w:val="24"/>
          <w:shd w:val="clear" w:color="auto" w:fill="FFFFFF"/>
          <w:lang w:val="en-US"/>
        </w:rPr>
        <w:t>H</w:t>
      </w:r>
      <w:r w:rsidRPr="00671681">
        <w:rPr>
          <w:rFonts w:ascii="Times New Roman" w:hAnsi="Times New Roman" w:cs="Times New Roman"/>
          <w:sz w:val="24"/>
          <w:szCs w:val="24"/>
          <w:shd w:val="clear" w:color="auto" w:fill="FFFFFF"/>
          <w:lang w:val="en-US"/>
        </w:rPr>
        <w:t xml:space="preserve">eteroskedasticity in </w:t>
      </w:r>
      <w:r w:rsidR="00205375">
        <w:rPr>
          <w:rFonts w:ascii="Times New Roman" w:hAnsi="Times New Roman" w:cs="Times New Roman"/>
          <w:sz w:val="24"/>
          <w:szCs w:val="24"/>
          <w:shd w:val="clear" w:color="auto" w:fill="FFFFFF"/>
          <w:lang w:val="en-US"/>
        </w:rPr>
        <w:t>A</w:t>
      </w:r>
      <w:r w:rsidRPr="00671681">
        <w:rPr>
          <w:rFonts w:ascii="Times New Roman" w:hAnsi="Times New Roman" w:cs="Times New Roman"/>
          <w:sz w:val="24"/>
          <w:szCs w:val="24"/>
          <w:shd w:val="clear" w:color="auto" w:fill="FFFFFF"/>
          <w:lang w:val="en-US"/>
        </w:rPr>
        <w:t xml:space="preserve">sset </w:t>
      </w:r>
      <w:r w:rsidR="00205375">
        <w:rPr>
          <w:rFonts w:ascii="Times New Roman" w:hAnsi="Times New Roman" w:cs="Times New Roman"/>
          <w:sz w:val="24"/>
          <w:szCs w:val="24"/>
          <w:shd w:val="clear" w:color="auto" w:fill="FFFFFF"/>
          <w:lang w:val="en-US"/>
        </w:rPr>
        <w:t>R</w:t>
      </w:r>
      <w:r w:rsidRPr="00671681">
        <w:rPr>
          <w:rFonts w:ascii="Times New Roman" w:hAnsi="Times New Roman" w:cs="Times New Roman"/>
          <w:sz w:val="24"/>
          <w:szCs w:val="24"/>
          <w:shd w:val="clear" w:color="auto" w:fill="FFFFFF"/>
          <w:lang w:val="en-US"/>
        </w:rPr>
        <w:t xml:space="preserve">eturns: </w:t>
      </w:r>
      <w:r w:rsidR="00205375">
        <w:rPr>
          <w:rFonts w:ascii="Times New Roman" w:hAnsi="Times New Roman" w:cs="Times New Roman"/>
          <w:sz w:val="24"/>
          <w:szCs w:val="24"/>
          <w:shd w:val="clear" w:color="auto" w:fill="FFFFFF"/>
          <w:lang w:val="en-US"/>
        </w:rPr>
        <w:t>A</w:t>
      </w:r>
      <w:r w:rsidRPr="00671681">
        <w:rPr>
          <w:rFonts w:ascii="Times New Roman" w:hAnsi="Times New Roman" w:cs="Times New Roman"/>
          <w:sz w:val="24"/>
          <w:szCs w:val="24"/>
          <w:shd w:val="clear" w:color="auto" w:fill="FFFFFF"/>
          <w:lang w:val="en-US"/>
        </w:rPr>
        <w:t xml:space="preserve"> </w:t>
      </w:r>
      <w:r w:rsidR="00205375">
        <w:rPr>
          <w:rFonts w:ascii="Times New Roman" w:hAnsi="Times New Roman" w:cs="Times New Roman"/>
          <w:sz w:val="24"/>
          <w:szCs w:val="24"/>
          <w:shd w:val="clear" w:color="auto" w:fill="FFFFFF"/>
          <w:lang w:val="en-US"/>
        </w:rPr>
        <w:t>N</w:t>
      </w:r>
      <w:r w:rsidRPr="00671681">
        <w:rPr>
          <w:rFonts w:ascii="Times New Roman" w:hAnsi="Times New Roman" w:cs="Times New Roman"/>
          <w:sz w:val="24"/>
          <w:szCs w:val="24"/>
          <w:shd w:val="clear" w:color="auto" w:fill="FFFFFF"/>
          <w:lang w:val="en-US"/>
        </w:rPr>
        <w:t xml:space="preserve">ew </w:t>
      </w:r>
      <w:r w:rsidR="00205375">
        <w:rPr>
          <w:rFonts w:ascii="Times New Roman" w:hAnsi="Times New Roman" w:cs="Times New Roman"/>
          <w:sz w:val="24"/>
          <w:szCs w:val="24"/>
          <w:shd w:val="clear" w:color="auto" w:fill="FFFFFF"/>
          <w:lang w:val="en-US"/>
        </w:rPr>
        <w:t>A</w:t>
      </w:r>
      <w:r w:rsidRPr="00671681">
        <w:rPr>
          <w:rFonts w:ascii="Times New Roman" w:hAnsi="Times New Roman" w:cs="Times New Roman"/>
          <w:sz w:val="24"/>
          <w:szCs w:val="24"/>
          <w:shd w:val="clear" w:color="auto" w:fill="FFFFFF"/>
          <w:lang w:val="en-US"/>
        </w:rPr>
        <w:t>pproach.</w:t>
      </w:r>
      <w:r w:rsidR="00205375">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w:t>
      </w:r>
      <w:proofErr w:type="spellStart"/>
      <w:r w:rsidRPr="00671681">
        <w:rPr>
          <w:rFonts w:ascii="Times New Roman" w:hAnsi="Times New Roman" w:cs="Times New Roman"/>
          <w:i/>
          <w:iCs/>
          <w:sz w:val="24"/>
          <w:szCs w:val="24"/>
          <w:shd w:val="clear" w:color="auto" w:fill="FFFFFF"/>
          <w:lang w:val="en-US"/>
        </w:rPr>
        <w:t>Econometrica</w:t>
      </w:r>
      <w:proofErr w:type="spellEnd"/>
      <w:r w:rsidRPr="00671681">
        <w:rPr>
          <w:rFonts w:ascii="Times New Roman" w:hAnsi="Times New Roman" w:cs="Times New Roman"/>
          <w:sz w:val="24"/>
          <w:szCs w:val="24"/>
          <w:shd w:val="clear" w:color="auto" w:fill="FFFFFF"/>
          <w:lang w:val="en-US"/>
        </w:rPr>
        <w:t xml:space="preserve"> </w:t>
      </w:r>
      <w:r w:rsidR="009C0C9C">
        <w:rPr>
          <w:rFonts w:ascii="Times New Roman" w:hAnsi="Times New Roman" w:cs="Times New Roman"/>
          <w:sz w:val="24"/>
          <w:szCs w:val="24"/>
          <w:shd w:val="clear" w:color="auto" w:fill="FFFFFF"/>
          <w:lang w:val="en-US"/>
        </w:rPr>
        <w:t>59</w:t>
      </w:r>
      <w:r w:rsidR="009609B4">
        <w:rPr>
          <w:rFonts w:ascii="Times New Roman" w:hAnsi="Times New Roman" w:cs="Times New Roman"/>
          <w:sz w:val="24"/>
          <w:szCs w:val="24"/>
          <w:shd w:val="clear" w:color="auto" w:fill="FFFFFF"/>
          <w:lang w:val="en-US"/>
        </w:rPr>
        <w:t>(2)</w:t>
      </w:r>
      <w:r w:rsidR="00205375">
        <w:rPr>
          <w:rFonts w:ascii="Times New Roman" w:hAnsi="Times New Roman" w:cs="Times New Roman"/>
          <w:sz w:val="24"/>
          <w:szCs w:val="24"/>
          <w:shd w:val="clear" w:color="auto" w:fill="FFFFFF"/>
          <w:lang w:val="en-US"/>
        </w:rPr>
        <w:t>:</w:t>
      </w:r>
      <w:r w:rsidR="009C0C9C">
        <w:rPr>
          <w:rFonts w:ascii="Times New Roman" w:hAnsi="Times New Roman" w:cs="Times New Roman"/>
          <w:sz w:val="24"/>
          <w:szCs w:val="24"/>
          <w:shd w:val="clear" w:color="auto" w:fill="FFFFFF"/>
          <w:lang w:val="en-US"/>
        </w:rPr>
        <w:t xml:space="preserve"> </w:t>
      </w:r>
      <w:r w:rsidRPr="00671681">
        <w:rPr>
          <w:rFonts w:ascii="Times New Roman" w:hAnsi="Times New Roman" w:cs="Times New Roman"/>
          <w:sz w:val="24"/>
          <w:szCs w:val="24"/>
          <w:shd w:val="clear" w:color="auto" w:fill="FFFFFF"/>
          <w:lang w:val="en-US"/>
        </w:rPr>
        <w:t>347-370.</w:t>
      </w:r>
    </w:p>
    <w:p w14:paraId="1443FB22" w14:textId="6FF5C66B" w:rsidR="00421B9C" w:rsidRPr="00671681" w:rsidRDefault="00421B9C" w:rsidP="009C10BE">
      <w:pPr>
        <w:spacing w:line="360" w:lineRule="auto"/>
        <w:ind w:left="630" w:hanging="630"/>
        <w:jc w:val="both"/>
        <w:rPr>
          <w:rFonts w:ascii="Times New Roman" w:hAnsi="Times New Roman" w:cs="Times New Roman"/>
          <w:sz w:val="24"/>
          <w:szCs w:val="24"/>
          <w:lang w:val="en-US"/>
        </w:rPr>
      </w:pPr>
      <w:r w:rsidRPr="00671681">
        <w:rPr>
          <w:rFonts w:ascii="Times New Roman" w:hAnsi="Times New Roman" w:cs="Times New Roman"/>
          <w:sz w:val="24"/>
          <w:szCs w:val="24"/>
          <w:lang w:val="en-US"/>
        </w:rPr>
        <w:t xml:space="preserve">Nguyen, C.C., </w:t>
      </w:r>
      <w:r w:rsidR="00205375">
        <w:rPr>
          <w:rFonts w:ascii="Times New Roman" w:hAnsi="Times New Roman" w:cs="Times New Roman"/>
          <w:sz w:val="24"/>
          <w:szCs w:val="24"/>
          <w:lang w:val="en-US"/>
        </w:rPr>
        <w:t>and</w:t>
      </w:r>
      <w:r w:rsidR="009C0C9C">
        <w:rPr>
          <w:rFonts w:ascii="Times New Roman" w:hAnsi="Times New Roman" w:cs="Times New Roman"/>
          <w:sz w:val="24"/>
          <w:szCs w:val="24"/>
          <w:lang w:val="en-US"/>
        </w:rPr>
        <w:t xml:space="preserve"> </w:t>
      </w:r>
      <w:r w:rsidRPr="00671681">
        <w:rPr>
          <w:rFonts w:ascii="Times New Roman" w:hAnsi="Times New Roman" w:cs="Times New Roman"/>
          <w:sz w:val="24"/>
          <w:szCs w:val="24"/>
          <w:lang w:val="en-US"/>
        </w:rPr>
        <w:t xml:space="preserve">Bhatti, M.I. (2012). </w:t>
      </w:r>
      <w:r w:rsidR="00205375">
        <w:rPr>
          <w:rFonts w:ascii="Times New Roman" w:hAnsi="Times New Roman" w:cs="Times New Roman"/>
          <w:sz w:val="24"/>
          <w:szCs w:val="24"/>
          <w:lang w:val="en-US"/>
        </w:rPr>
        <w:t>“</w:t>
      </w:r>
      <w:r w:rsidRPr="00671681">
        <w:rPr>
          <w:rFonts w:ascii="Times New Roman" w:hAnsi="Times New Roman" w:cs="Times New Roman"/>
          <w:sz w:val="24"/>
          <w:szCs w:val="24"/>
          <w:lang w:val="en-US"/>
        </w:rPr>
        <w:t xml:space="preserve">Copula </w:t>
      </w:r>
      <w:r w:rsidR="00205375">
        <w:rPr>
          <w:rFonts w:ascii="Times New Roman" w:hAnsi="Times New Roman" w:cs="Times New Roman"/>
          <w:sz w:val="24"/>
          <w:szCs w:val="24"/>
          <w:lang w:val="en-US"/>
        </w:rPr>
        <w:t>M</w:t>
      </w:r>
      <w:r w:rsidRPr="00671681">
        <w:rPr>
          <w:rFonts w:ascii="Times New Roman" w:hAnsi="Times New Roman" w:cs="Times New Roman"/>
          <w:sz w:val="24"/>
          <w:szCs w:val="24"/>
          <w:lang w:val="en-US"/>
        </w:rPr>
        <w:t xml:space="preserve">odel </w:t>
      </w:r>
      <w:r w:rsidR="00205375">
        <w:rPr>
          <w:rFonts w:ascii="Times New Roman" w:hAnsi="Times New Roman" w:cs="Times New Roman"/>
          <w:sz w:val="24"/>
          <w:szCs w:val="24"/>
          <w:lang w:val="en-US"/>
        </w:rPr>
        <w:t>D</w:t>
      </w:r>
      <w:r w:rsidRPr="00671681">
        <w:rPr>
          <w:rFonts w:ascii="Times New Roman" w:hAnsi="Times New Roman" w:cs="Times New Roman"/>
          <w:sz w:val="24"/>
          <w:szCs w:val="24"/>
          <w:lang w:val="en-US"/>
        </w:rPr>
        <w:t xml:space="preserve">ependency </w:t>
      </w:r>
      <w:r w:rsidR="00205375">
        <w:rPr>
          <w:rFonts w:ascii="Times New Roman" w:hAnsi="Times New Roman" w:cs="Times New Roman"/>
          <w:sz w:val="24"/>
          <w:szCs w:val="24"/>
          <w:lang w:val="en-US"/>
        </w:rPr>
        <w:t>B</w:t>
      </w:r>
      <w:r w:rsidRPr="00671681">
        <w:rPr>
          <w:rFonts w:ascii="Times New Roman" w:hAnsi="Times New Roman" w:cs="Times New Roman"/>
          <w:sz w:val="24"/>
          <w:szCs w:val="24"/>
          <w:lang w:val="en-US"/>
        </w:rPr>
        <w:t xml:space="preserve">etween </w:t>
      </w:r>
      <w:r w:rsidR="00205375">
        <w:rPr>
          <w:rFonts w:ascii="Times New Roman" w:hAnsi="Times New Roman" w:cs="Times New Roman"/>
          <w:sz w:val="24"/>
          <w:szCs w:val="24"/>
          <w:lang w:val="en-US"/>
        </w:rPr>
        <w:t>O</w:t>
      </w:r>
      <w:r w:rsidRPr="00671681">
        <w:rPr>
          <w:rFonts w:ascii="Times New Roman" w:hAnsi="Times New Roman" w:cs="Times New Roman"/>
          <w:sz w:val="24"/>
          <w:szCs w:val="24"/>
          <w:lang w:val="en-US"/>
        </w:rPr>
        <w:t xml:space="preserve">il </w:t>
      </w:r>
      <w:r w:rsidR="00205375">
        <w:rPr>
          <w:rFonts w:ascii="Times New Roman" w:hAnsi="Times New Roman" w:cs="Times New Roman"/>
          <w:sz w:val="24"/>
          <w:szCs w:val="24"/>
          <w:lang w:val="en-US"/>
        </w:rPr>
        <w:t>P</w:t>
      </w:r>
      <w:r w:rsidRPr="00671681">
        <w:rPr>
          <w:rFonts w:ascii="Times New Roman" w:hAnsi="Times New Roman" w:cs="Times New Roman"/>
          <w:sz w:val="24"/>
          <w:szCs w:val="24"/>
          <w:lang w:val="en-US"/>
        </w:rPr>
        <w:t xml:space="preserve">rices and </w:t>
      </w:r>
      <w:r w:rsidR="00205375">
        <w:rPr>
          <w:rFonts w:ascii="Times New Roman" w:hAnsi="Times New Roman" w:cs="Times New Roman"/>
          <w:sz w:val="24"/>
          <w:szCs w:val="24"/>
          <w:lang w:val="en-US"/>
        </w:rPr>
        <w:t>S</w:t>
      </w:r>
      <w:r w:rsidRPr="00671681">
        <w:rPr>
          <w:rFonts w:ascii="Times New Roman" w:hAnsi="Times New Roman" w:cs="Times New Roman"/>
          <w:sz w:val="24"/>
          <w:szCs w:val="24"/>
          <w:lang w:val="en-US"/>
        </w:rPr>
        <w:t xml:space="preserve">tock </w:t>
      </w:r>
      <w:r w:rsidR="00205375">
        <w:rPr>
          <w:rFonts w:ascii="Times New Roman" w:hAnsi="Times New Roman" w:cs="Times New Roman"/>
          <w:sz w:val="24"/>
          <w:szCs w:val="24"/>
          <w:lang w:val="en-US"/>
        </w:rPr>
        <w:t>M</w:t>
      </w:r>
      <w:r w:rsidRPr="00671681">
        <w:rPr>
          <w:rFonts w:ascii="Times New Roman" w:hAnsi="Times New Roman" w:cs="Times New Roman"/>
          <w:sz w:val="24"/>
          <w:szCs w:val="24"/>
          <w:lang w:val="en-US"/>
        </w:rPr>
        <w:t xml:space="preserve">arkets: </w:t>
      </w:r>
      <w:r w:rsidR="00205375">
        <w:rPr>
          <w:rFonts w:ascii="Times New Roman" w:hAnsi="Times New Roman" w:cs="Times New Roman"/>
          <w:sz w:val="24"/>
          <w:szCs w:val="24"/>
          <w:lang w:val="en-US"/>
        </w:rPr>
        <w:t>E</w:t>
      </w:r>
      <w:r w:rsidRPr="00671681">
        <w:rPr>
          <w:rFonts w:ascii="Times New Roman" w:hAnsi="Times New Roman" w:cs="Times New Roman"/>
          <w:sz w:val="24"/>
          <w:szCs w:val="24"/>
          <w:lang w:val="en-US"/>
        </w:rPr>
        <w:t>vidence from China and Vietnam</w:t>
      </w:r>
      <w:r w:rsidR="009C0C9C">
        <w:rPr>
          <w:rFonts w:ascii="Times New Roman" w:hAnsi="Times New Roman" w:cs="Times New Roman"/>
          <w:sz w:val="24"/>
          <w:szCs w:val="24"/>
          <w:lang w:val="en-US"/>
        </w:rPr>
        <w:t>.</w:t>
      </w:r>
      <w:r w:rsidR="00205375">
        <w:rPr>
          <w:rFonts w:ascii="Times New Roman" w:hAnsi="Times New Roman" w:cs="Times New Roman"/>
          <w:sz w:val="24"/>
          <w:szCs w:val="24"/>
          <w:lang w:val="en-US"/>
        </w:rPr>
        <w:t>”</w:t>
      </w:r>
      <w:r w:rsidRPr="00671681">
        <w:rPr>
          <w:rFonts w:ascii="Times New Roman" w:hAnsi="Times New Roman" w:cs="Times New Roman"/>
          <w:sz w:val="24"/>
          <w:szCs w:val="24"/>
          <w:lang w:val="en-US"/>
        </w:rPr>
        <w:t xml:space="preserve"> </w:t>
      </w:r>
      <w:r w:rsidRPr="009C0C9C">
        <w:rPr>
          <w:rFonts w:ascii="Times New Roman" w:hAnsi="Times New Roman" w:cs="Times New Roman"/>
          <w:i/>
          <w:iCs/>
          <w:sz w:val="24"/>
          <w:szCs w:val="24"/>
          <w:lang w:val="en-US"/>
        </w:rPr>
        <w:t>Journal of International Financial Markets, Institutions and Money</w:t>
      </w:r>
      <w:r w:rsidRPr="00671681">
        <w:rPr>
          <w:rFonts w:ascii="Times New Roman" w:hAnsi="Times New Roman" w:cs="Times New Roman"/>
          <w:sz w:val="24"/>
          <w:szCs w:val="24"/>
          <w:lang w:val="en-US"/>
        </w:rPr>
        <w:t xml:space="preserve"> 22</w:t>
      </w:r>
      <w:r w:rsidR="009609B4">
        <w:rPr>
          <w:rFonts w:ascii="Times New Roman" w:hAnsi="Times New Roman" w:cs="Times New Roman"/>
          <w:sz w:val="24"/>
          <w:szCs w:val="24"/>
          <w:lang w:val="en-US"/>
        </w:rPr>
        <w:t>(4)</w:t>
      </w:r>
      <w:r w:rsidR="00205375">
        <w:rPr>
          <w:rFonts w:ascii="Times New Roman" w:hAnsi="Times New Roman" w:cs="Times New Roman"/>
          <w:sz w:val="24"/>
          <w:szCs w:val="24"/>
          <w:lang w:val="en-US"/>
        </w:rPr>
        <w:t>:</w:t>
      </w:r>
      <w:r w:rsidRPr="00671681">
        <w:rPr>
          <w:rFonts w:ascii="Times New Roman" w:hAnsi="Times New Roman" w:cs="Times New Roman"/>
          <w:sz w:val="24"/>
          <w:szCs w:val="24"/>
          <w:lang w:val="en-US"/>
        </w:rPr>
        <w:t xml:space="preserve"> 758-773.</w:t>
      </w:r>
    </w:p>
    <w:p w14:paraId="0F05F356" w14:textId="3DE8B0F8" w:rsidR="00421B9C" w:rsidRPr="00671681" w:rsidRDefault="00421B9C" w:rsidP="009C10BE">
      <w:pPr>
        <w:spacing w:line="360" w:lineRule="auto"/>
        <w:ind w:left="630" w:hanging="630"/>
        <w:jc w:val="both"/>
        <w:rPr>
          <w:rFonts w:ascii="Times New Roman" w:hAnsi="Times New Roman" w:cs="Times New Roman"/>
          <w:sz w:val="24"/>
          <w:szCs w:val="24"/>
          <w:lang w:val="en-US"/>
        </w:rPr>
      </w:pPr>
      <w:proofErr w:type="spellStart"/>
      <w:r w:rsidRPr="00671681">
        <w:rPr>
          <w:rFonts w:ascii="Times New Roman" w:hAnsi="Times New Roman" w:cs="Times New Roman"/>
          <w:sz w:val="24"/>
          <w:szCs w:val="24"/>
          <w:lang w:val="en-US"/>
        </w:rPr>
        <w:t>Reboredo</w:t>
      </w:r>
      <w:proofErr w:type="spellEnd"/>
      <w:r w:rsidRPr="00671681">
        <w:rPr>
          <w:rFonts w:ascii="Times New Roman" w:hAnsi="Times New Roman" w:cs="Times New Roman"/>
          <w:sz w:val="24"/>
          <w:szCs w:val="24"/>
          <w:lang w:val="en-US"/>
        </w:rPr>
        <w:t xml:space="preserve">, J.C., </w:t>
      </w:r>
      <w:r w:rsidR="00205375">
        <w:rPr>
          <w:rFonts w:ascii="Times New Roman" w:hAnsi="Times New Roman" w:cs="Times New Roman"/>
          <w:sz w:val="24"/>
          <w:szCs w:val="24"/>
          <w:lang w:val="en-US"/>
        </w:rPr>
        <w:t>and</w:t>
      </w:r>
      <w:r w:rsidRPr="00671681">
        <w:rPr>
          <w:rFonts w:ascii="Times New Roman" w:hAnsi="Times New Roman" w:cs="Times New Roman"/>
          <w:sz w:val="24"/>
          <w:szCs w:val="24"/>
          <w:lang w:val="en-US"/>
        </w:rPr>
        <w:t xml:space="preserve"> Rivera-Castro, M.A. (2014). </w:t>
      </w:r>
      <w:r w:rsidR="00205375">
        <w:rPr>
          <w:rFonts w:ascii="Times New Roman" w:hAnsi="Times New Roman" w:cs="Times New Roman"/>
          <w:sz w:val="24"/>
          <w:szCs w:val="24"/>
          <w:lang w:val="en-US"/>
        </w:rPr>
        <w:t>“</w:t>
      </w:r>
      <w:r w:rsidRPr="00671681">
        <w:rPr>
          <w:rFonts w:ascii="Times New Roman" w:hAnsi="Times New Roman" w:cs="Times New Roman"/>
          <w:sz w:val="24"/>
          <w:szCs w:val="24"/>
          <w:lang w:val="en-US"/>
        </w:rPr>
        <w:t>Wavelet-</w:t>
      </w:r>
      <w:r w:rsidR="00205375">
        <w:rPr>
          <w:rFonts w:ascii="Times New Roman" w:hAnsi="Times New Roman" w:cs="Times New Roman"/>
          <w:sz w:val="24"/>
          <w:szCs w:val="24"/>
          <w:lang w:val="en-US"/>
        </w:rPr>
        <w:t>B</w:t>
      </w:r>
      <w:r w:rsidRPr="00671681">
        <w:rPr>
          <w:rFonts w:ascii="Times New Roman" w:hAnsi="Times New Roman" w:cs="Times New Roman"/>
          <w:sz w:val="24"/>
          <w:szCs w:val="24"/>
          <w:lang w:val="en-US"/>
        </w:rPr>
        <w:t xml:space="preserve">ased </w:t>
      </w:r>
      <w:r w:rsidR="00205375">
        <w:rPr>
          <w:rFonts w:ascii="Times New Roman" w:hAnsi="Times New Roman" w:cs="Times New Roman"/>
          <w:sz w:val="24"/>
          <w:szCs w:val="24"/>
          <w:lang w:val="en-US"/>
        </w:rPr>
        <w:t>E</w:t>
      </w:r>
      <w:r w:rsidRPr="00671681">
        <w:rPr>
          <w:rFonts w:ascii="Times New Roman" w:hAnsi="Times New Roman" w:cs="Times New Roman"/>
          <w:sz w:val="24"/>
          <w:szCs w:val="24"/>
          <w:lang w:val="en-US"/>
        </w:rPr>
        <w:t xml:space="preserve">vidence of the </w:t>
      </w:r>
      <w:r w:rsidR="00205375">
        <w:rPr>
          <w:rFonts w:ascii="Times New Roman" w:hAnsi="Times New Roman" w:cs="Times New Roman"/>
          <w:sz w:val="24"/>
          <w:szCs w:val="24"/>
          <w:lang w:val="en-US"/>
        </w:rPr>
        <w:t>I</w:t>
      </w:r>
      <w:r w:rsidRPr="00671681">
        <w:rPr>
          <w:rFonts w:ascii="Times New Roman" w:hAnsi="Times New Roman" w:cs="Times New Roman"/>
          <w:sz w:val="24"/>
          <w:szCs w:val="24"/>
          <w:lang w:val="en-US"/>
        </w:rPr>
        <w:t xml:space="preserve">mpact of </w:t>
      </w:r>
      <w:r w:rsidR="00205375">
        <w:rPr>
          <w:rFonts w:ascii="Times New Roman" w:hAnsi="Times New Roman" w:cs="Times New Roman"/>
          <w:sz w:val="24"/>
          <w:szCs w:val="24"/>
          <w:lang w:val="en-US"/>
        </w:rPr>
        <w:t>O</w:t>
      </w:r>
      <w:r w:rsidRPr="00671681">
        <w:rPr>
          <w:rFonts w:ascii="Times New Roman" w:hAnsi="Times New Roman" w:cs="Times New Roman"/>
          <w:sz w:val="24"/>
          <w:szCs w:val="24"/>
          <w:lang w:val="en-US"/>
        </w:rPr>
        <w:t xml:space="preserve">il </w:t>
      </w:r>
      <w:r w:rsidR="00205375">
        <w:rPr>
          <w:rFonts w:ascii="Times New Roman" w:hAnsi="Times New Roman" w:cs="Times New Roman"/>
          <w:sz w:val="24"/>
          <w:szCs w:val="24"/>
          <w:lang w:val="en-US"/>
        </w:rPr>
        <w:t>P</w:t>
      </w:r>
      <w:r w:rsidRPr="00671681">
        <w:rPr>
          <w:rFonts w:ascii="Times New Roman" w:hAnsi="Times New Roman" w:cs="Times New Roman"/>
          <w:sz w:val="24"/>
          <w:szCs w:val="24"/>
          <w:lang w:val="en-US"/>
        </w:rPr>
        <w:t xml:space="preserve">rices on </w:t>
      </w:r>
      <w:r w:rsidR="00205375">
        <w:rPr>
          <w:rFonts w:ascii="Times New Roman" w:hAnsi="Times New Roman" w:cs="Times New Roman"/>
          <w:sz w:val="24"/>
          <w:szCs w:val="24"/>
          <w:lang w:val="en-US"/>
        </w:rPr>
        <w:t>S</w:t>
      </w:r>
      <w:r w:rsidRPr="00671681">
        <w:rPr>
          <w:rFonts w:ascii="Times New Roman" w:hAnsi="Times New Roman" w:cs="Times New Roman"/>
          <w:sz w:val="24"/>
          <w:szCs w:val="24"/>
          <w:lang w:val="en-US"/>
        </w:rPr>
        <w:t xml:space="preserve">tock </w:t>
      </w:r>
      <w:r w:rsidR="00205375">
        <w:rPr>
          <w:rFonts w:ascii="Times New Roman" w:hAnsi="Times New Roman" w:cs="Times New Roman"/>
          <w:sz w:val="24"/>
          <w:szCs w:val="24"/>
          <w:lang w:val="en-US"/>
        </w:rPr>
        <w:t>R</w:t>
      </w:r>
      <w:r w:rsidRPr="00671681">
        <w:rPr>
          <w:rFonts w:ascii="Times New Roman" w:hAnsi="Times New Roman" w:cs="Times New Roman"/>
          <w:sz w:val="24"/>
          <w:szCs w:val="24"/>
          <w:lang w:val="en-US"/>
        </w:rPr>
        <w:t>eturns.</w:t>
      </w:r>
      <w:r w:rsidR="00205375">
        <w:rPr>
          <w:rFonts w:ascii="Times New Roman" w:hAnsi="Times New Roman" w:cs="Times New Roman"/>
          <w:sz w:val="24"/>
          <w:szCs w:val="24"/>
          <w:lang w:val="en-US"/>
        </w:rPr>
        <w:t>”</w:t>
      </w:r>
      <w:r w:rsidRPr="00671681">
        <w:rPr>
          <w:rFonts w:ascii="Times New Roman" w:hAnsi="Times New Roman" w:cs="Times New Roman"/>
          <w:sz w:val="24"/>
          <w:szCs w:val="24"/>
          <w:lang w:val="en-US"/>
        </w:rPr>
        <w:t xml:space="preserve"> </w:t>
      </w:r>
      <w:r w:rsidRPr="009C0C9C">
        <w:rPr>
          <w:rFonts w:ascii="Times New Roman" w:hAnsi="Times New Roman" w:cs="Times New Roman"/>
          <w:i/>
          <w:iCs/>
          <w:sz w:val="24"/>
          <w:szCs w:val="24"/>
          <w:lang w:val="en-US"/>
        </w:rPr>
        <w:t>International Review of Economics and Finance</w:t>
      </w:r>
      <w:r w:rsidRPr="00671681">
        <w:rPr>
          <w:rFonts w:ascii="Times New Roman" w:hAnsi="Times New Roman" w:cs="Times New Roman"/>
          <w:sz w:val="24"/>
          <w:szCs w:val="24"/>
          <w:lang w:val="en-US"/>
        </w:rPr>
        <w:t xml:space="preserve"> 29</w:t>
      </w:r>
      <w:r w:rsidR="009609B4">
        <w:rPr>
          <w:rFonts w:ascii="Times New Roman" w:hAnsi="Times New Roman" w:cs="Times New Roman"/>
          <w:sz w:val="24"/>
          <w:szCs w:val="24"/>
          <w:lang w:val="en-US"/>
        </w:rPr>
        <w:t>(1)</w:t>
      </w:r>
      <w:r w:rsidR="007C73BA">
        <w:rPr>
          <w:rFonts w:ascii="Times New Roman" w:hAnsi="Times New Roman" w:cs="Times New Roman"/>
          <w:sz w:val="24"/>
          <w:szCs w:val="24"/>
          <w:lang w:val="en-US"/>
        </w:rPr>
        <w:t>:</w:t>
      </w:r>
      <w:r w:rsidRPr="00671681">
        <w:rPr>
          <w:rFonts w:ascii="Times New Roman" w:hAnsi="Times New Roman" w:cs="Times New Roman"/>
          <w:sz w:val="24"/>
          <w:szCs w:val="24"/>
          <w:lang w:val="en-US"/>
        </w:rPr>
        <w:t xml:space="preserve"> 145-176.</w:t>
      </w:r>
    </w:p>
    <w:p w14:paraId="302D6D8A" w14:textId="17D2CA7A" w:rsidR="00421B9C" w:rsidRPr="00671681" w:rsidRDefault="00421B9C" w:rsidP="009C10BE">
      <w:pPr>
        <w:spacing w:line="360" w:lineRule="auto"/>
        <w:ind w:left="630" w:hanging="630"/>
        <w:jc w:val="both"/>
        <w:rPr>
          <w:rFonts w:ascii="Times New Roman" w:hAnsi="Times New Roman" w:cs="Times New Roman"/>
          <w:sz w:val="24"/>
          <w:szCs w:val="24"/>
          <w:shd w:val="clear" w:color="auto" w:fill="FFFFFF"/>
          <w:lang w:val="en-US"/>
        </w:rPr>
      </w:pPr>
      <w:proofErr w:type="spellStart"/>
      <w:r w:rsidRPr="00671681">
        <w:rPr>
          <w:rFonts w:ascii="Times New Roman" w:hAnsi="Times New Roman" w:cs="Times New Roman"/>
          <w:sz w:val="24"/>
          <w:szCs w:val="24"/>
          <w:shd w:val="clear" w:color="auto" w:fill="FFFFFF"/>
          <w:lang w:val="en-US"/>
        </w:rPr>
        <w:t>Shelor</w:t>
      </w:r>
      <w:proofErr w:type="spellEnd"/>
      <w:r w:rsidRPr="00671681">
        <w:rPr>
          <w:rFonts w:ascii="Times New Roman" w:hAnsi="Times New Roman" w:cs="Times New Roman"/>
          <w:sz w:val="24"/>
          <w:szCs w:val="24"/>
          <w:shd w:val="clear" w:color="auto" w:fill="FFFFFF"/>
          <w:lang w:val="en-US"/>
        </w:rPr>
        <w:t xml:space="preserve">, R.M., Anderson, D.C., </w:t>
      </w:r>
      <w:r w:rsidR="007C73BA">
        <w:rPr>
          <w:rFonts w:ascii="Times New Roman" w:hAnsi="Times New Roman" w:cs="Times New Roman"/>
          <w:sz w:val="24"/>
          <w:szCs w:val="24"/>
          <w:shd w:val="clear" w:color="auto" w:fill="FFFFFF"/>
          <w:lang w:val="en-US"/>
        </w:rPr>
        <w:t>and</w:t>
      </w:r>
      <w:r w:rsidRPr="00671681">
        <w:rPr>
          <w:rFonts w:ascii="Times New Roman" w:hAnsi="Times New Roman" w:cs="Times New Roman"/>
          <w:sz w:val="24"/>
          <w:szCs w:val="24"/>
          <w:shd w:val="clear" w:color="auto" w:fill="FFFFFF"/>
          <w:lang w:val="en-US"/>
        </w:rPr>
        <w:t xml:space="preserve"> Cross, M.L. (1992). </w:t>
      </w:r>
      <w:r w:rsidR="007C73BA">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xml:space="preserve">Gaining from </w:t>
      </w:r>
      <w:r w:rsidR="007C73BA">
        <w:rPr>
          <w:rFonts w:ascii="Times New Roman" w:hAnsi="Times New Roman" w:cs="Times New Roman"/>
          <w:sz w:val="24"/>
          <w:szCs w:val="24"/>
          <w:shd w:val="clear" w:color="auto" w:fill="FFFFFF"/>
          <w:lang w:val="en-US"/>
        </w:rPr>
        <w:t>L</w:t>
      </w:r>
      <w:r w:rsidRPr="00671681">
        <w:rPr>
          <w:rFonts w:ascii="Times New Roman" w:hAnsi="Times New Roman" w:cs="Times New Roman"/>
          <w:sz w:val="24"/>
          <w:szCs w:val="24"/>
          <w:shd w:val="clear" w:color="auto" w:fill="FFFFFF"/>
          <w:lang w:val="en-US"/>
        </w:rPr>
        <w:t xml:space="preserve">oss: </w:t>
      </w:r>
      <w:r w:rsidR="007C73BA">
        <w:rPr>
          <w:rFonts w:ascii="Times New Roman" w:hAnsi="Times New Roman" w:cs="Times New Roman"/>
          <w:sz w:val="24"/>
          <w:szCs w:val="24"/>
          <w:shd w:val="clear" w:color="auto" w:fill="FFFFFF"/>
          <w:lang w:val="en-US"/>
        </w:rPr>
        <w:t>P</w:t>
      </w:r>
      <w:r w:rsidRPr="00671681">
        <w:rPr>
          <w:rFonts w:ascii="Times New Roman" w:hAnsi="Times New Roman" w:cs="Times New Roman"/>
          <w:sz w:val="24"/>
          <w:szCs w:val="24"/>
          <w:shd w:val="clear" w:color="auto" w:fill="FFFFFF"/>
          <w:lang w:val="en-US"/>
        </w:rPr>
        <w:t>roperty-</w:t>
      </w:r>
      <w:r w:rsidR="007C73BA">
        <w:rPr>
          <w:rFonts w:ascii="Times New Roman" w:hAnsi="Times New Roman" w:cs="Times New Roman"/>
          <w:sz w:val="24"/>
          <w:szCs w:val="24"/>
          <w:shd w:val="clear" w:color="auto" w:fill="FFFFFF"/>
          <w:lang w:val="en-US"/>
        </w:rPr>
        <w:t>L</w:t>
      </w:r>
      <w:r w:rsidRPr="00671681">
        <w:rPr>
          <w:rFonts w:ascii="Times New Roman" w:hAnsi="Times New Roman" w:cs="Times New Roman"/>
          <w:sz w:val="24"/>
          <w:szCs w:val="24"/>
          <w:shd w:val="clear" w:color="auto" w:fill="FFFFFF"/>
          <w:lang w:val="en-US"/>
        </w:rPr>
        <w:t xml:space="preserve">iability </w:t>
      </w:r>
      <w:r w:rsidR="007C73BA">
        <w:rPr>
          <w:rFonts w:ascii="Times New Roman" w:hAnsi="Times New Roman" w:cs="Times New Roman"/>
          <w:sz w:val="24"/>
          <w:szCs w:val="24"/>
          <w:shd w:val="clear" w:color="auto" w:fill="FFFFFF"/>
          <w:lang w:val="en-US"/>
        </w:rPr>
        <w:t>I</w:t>
      </w:r>
      <w:r w:rsidRPr="00671681">
        <w:rPr>
          <w:rFonts w:ascii="Times New Roman" w:hAnsi="Times New Roman" w:cs="Times New Roman"/>
          <w:sz w:val="24"/>
          <w:szCs w:val="24"/>
          <w:shd w:val="clear" w:color="auto" w:fill="FFFFFF"/>
          <w:lang w:val="en-US"/>
        </w:rPr>
        <w:t xml:space="preserve">nsurer </w:t>
      </w:r>
      <w:r w:rsidR="007C73BA">
        <w:rPr>
          <w:rFonts w:ascii="Times New Roman" w:hAnsi="Times New Roman" w:cs="Times New Roman"/>
          <w:sz w:val="24"/>
          <w:szCs w:val="24"/>
          <w:shd w:val="clear" w:color="auto" w:fill="FFFFFF"/>
          <w:lang w:val="en-US"/>
        </w:rPr>
        <w:t>S</w:t>
      </w:r>
      <w:r w:rsidRPr="00671681">
        <w:rPr>
          <w:rFonts w:ascii="Times New Roman" w:hAnsi="Times New Roman" w:cs="Times New Roman"/>
          <w:sz w:val="24"/>
          <w:szCs w:val="24"/>
          <w:shd w:val="clear" w:color="auto" w:fill="FFFFFF"/>
          <w:lang w:val="en-US"/>
        </w:rPr>
        <w:t xml:space="preserve">tock </w:t>
      </w:r>
      <w:r w:rsidR="007C73BA">
        <w:rPr>
          <w:rFonts w:ascii="Times New Roman" w:hAnsi="Times New Roman" w:cs="Times New Roman"/>
          <w:sz w:val="24"/>
          <w:szCs w:val="24"/>
          <w:shd w:val="clear" w:color="auto" w:fill="FFFFFF"/>
          <w:lang w:val="en-US"/>
        </w:rPr>
        <w:t>V</w:t>
      </w:r>
      <w:r w:rsidRPr="00671681">
        <w:rPr>
          <w:rFonts w:ascii="Times New Roman" w:hAnsi="Times New Roman" w:cs="Times New Roman"/>
          <w:sz w:val="24"/>
          <w:szCs w:val="24"/>
          <w:shd w:val="clear" w:color="auto" w:fill="FFFFFF"/>
          <w:lang w:val="en-US"/>
        </w:rPr>
        <w:t xml:space="preserve">alues in the </w:t>
      </w:r>
      <w:r w:rsidR="007C73BA">
        <w:rPr>
          <w:rFonts w:ascii="Times New Roman" w:hAnsi="Times New Roman" w:cs="Times New Roman"/>
          <w:sz w:val="24"/>
          <w:szCs w:val="24"/>
          <w:shd w:val="clear" w:color="auto" w:fill="FFFFFF"/>
          <w:lang w:val="en-US"/>
        </w:rPr>
        <w:t>A</w:t>
      </w:r>
      <w:r w:rsidRPr="00671681">
        <w:rPr>
          <w:rFonts w:ascii="Times New Roman" w:hAnsi="Times New Roman" w:cs="Times New Roman"/>
          <w:sz w:val="24"/>
          <w:szCs w:val="24"/>
          <w:shd w:val="clear" w:color="auto" w:fill="FFFFFF"/>
          <w:lang w:val="en-US"/>
        </w:rPr>
        <w:t xml:space="preserve">ftermath of the 1989 California </w:t>
      </w:r>
      <w:r w:rsidR="007C73BA">
        <w:rPr>
          <w:rFonts w:ascii="Times New Roman" w:hAnsi="Times New Roman" w:cs="Times New Roman"/>
          <w:sz w:val="24"/>
          <w:szCs w:val="24"/>
          <w:shd w:val="clear" w:color="auto" w:fill="FFFFFF"/>
          <w:lang w:val="en-US"/>
        </w:rPr>
        <w:t>E</w:t>
      </w:r>
      <w:r w:rsidRPr="00671681">
        <w:rPr>
          <w:rFonts w:ascii="Times New Roman" w:hAnsi="Times New Roman" w:cs="Times New Roman"/>
          <w:sz w:val="24"/>
          <w:szCs w:val="24"/>
          <w:shd w:val="clear" w:color="auto" w:fill="FFFFFF"/>
          <w:lang w:val="en-US"/>
        </w:rPr>
        <w:t>arthquake.</w:t>
      </w:r>
      <w:r w:rsidR="007C73BA">
        <w:rPr>
          <w:rFonts w:ascii="Times New Roman" w:hAnsi="Times New Roman" w:cs="Times New Roman"/>
          <w:sz w:val="24"/>
          <w:szCs w:val="24"/>
          <w:shd w:val="clear" w:color="auto" w:fill="FFFFFF"/>
          <w:lang w:val="en-US"/>
        </w:rPr>
        <w:t>”</w:t>
      </w:r>
      <w:r w:rsidRPr="00671681">
        <w:rPr>
          <w:rFonts w:ascii="Times New Roman" w:hAnsi="Times New Roman" w:cs="Times New Roman"/>
          <w:sz w:val="24"/>
          <w:szCs w:val="24"/>
          <w:shd w:val="clear" w:color="auto" w:fill="FFFFFF"/>
          <w:lang w:val="en-US"/>
        </w:rPr>
        <w:t> </w:t>
      </w:r>
      <w:r w:rsidRPr="00671681">
        <w:rPr>
          <w:rFonts w:ascii="Times New Roman" w:hAnsi="Times New Roman" w:cs="Times New Roman"/>
          <w:i/>
          <w:iCs/>
          <w:sz w:val="24"/>
          <w:szCs w:val="24"/>
          <w:shd w:val="clear" w:color="auto" w:fill="FFFFFF"/>
          <w:lang w:val="en-US"/>
        </w:rPr>
        <w:t>Journal of Risk and Insurance</w:t>
      </w:r>
      <w:r w:rsidRPr="00671681">
        <w:rPr>
          <w:rFonts w:ascii="Times New Roman" w:hAnsi="Times New Roman" w:cs="Times New Roman"/>
          <w:sz w:val="24"/>
          <w:szCs w:val="24"/>
          <w:shd w:val="clear" w:color="auto" w:fill="FFFFFF"/>
          <w:lang w:val="en-US"/>
        </w:rPr>
        <w:t xml:space="preserve"> </w:t>
      </w:r>
      <w:r w:rsidR="009C0C9C">
        <w:rPr>
          <w:rFonts w:ascii="Times New Roman" w:hAnsi="Times New Roman" w:cs="Times New Roman"/>
          <w:sz w:val="24"/>
          <w:szCs w:val="24"/>
          <w:shd w:val="clear" w:color="auto" w:fill="FFFFFF"/>
          <w:lang w:val="en-US"/>
        </w:rPr>
        <w:t>59</w:t>
      </w:r>
      <w:r w:rsidR="009609B4">
        <w:rPr>
          <w:rFonts w:ascii="Times New Roman" w:hAnsi="Times New Roman" w:cs="Times New Roman"/>
          <w:sz w:val="24"/>
          <w:szCs w:val="24"/>
          <w:shd w:val="clear" w:color="auto" w:fill="FFFFFF"/>
          <w:lang w:val="en-US"/>
        </w:rPr>
        <w:t>(3)</w:t>
      </w:r>
      <w:r w:rsidR="007C73BA">
        <w:rPr>
          <w:rFonts w:ascii="Times New Roman" w:hAnsi="Times New Roman" w:cs="Times New Roman"/>
          <w:sz w:val="24"/>
          <w:szCs w:val="24"/>
          <w:shd w:val="clear" w:color="auto" w:fill="FFFFFF"/>
          <w:lang w:val="en-US"/>
        </w:rPr>
        <w:t>:</w:t>
      </w:r>
      <w:r w:rsidR="009C0C9C">
        <w:rPr>
          <w:rFonts w:ascii="Times New Roman" w:hAnsi="Times New Roman" w:cs="Times New Roman"/>
          <w:sz w:val="24"/>
          <w:szCs w:val="24"/>
          <w:shd w:val="clear" w:color="auto" w:fill="FFFFFF"/>
          <w:lang w:val="en-US"/>
        </w:rPr>
        <w:t xml:space="preserve"> </w:t>
      </w:r>
      <w:r w:rsidRPr="00671681">
        <w:rPr>
          <w:rFonts w:ascii="Times New Roman" w:hAnsi="Times New Roman" w:cs="Times New Roman"/>
          <w:sz w:val="24"/>
          <w:szCs w:val="24"/>
          <w:shd w:val="clear" w:color="auto" w:fill="FFFFFF"/>
          <w:lang w:val="en-US"/>
        </w:rPr>
        <w:t>476-488.</w:t>
      </w:r>
    </w:p>
    <w:p w14:paraId="59D020BF" w14:textId="6664E131" w:rsidR="00421B9C" w:rsidRPr="00421B9C" w:rsidRDefault="00421B9C" w:rsidP="009C10BE">
      <w:pPr>
        <w:spacing w:line="360" w:lineRule="auto"/>
        <w:ind w:left="630" w:hanging="630"/>
        <w:jc w:val="both"/>
        <w:rPr>
          <w:rFonts w:ascii="Times New Roman" w:hAnsi="Times New Roman" w:cs="Times New Roman"/>
          <w:color w:val="222222"/>
          <w:sz w:val="24"/>
          <w:szCs w:val="24"/>
          <w:shd w:val="clear" w:color="auto" w:fill="FFFFFF"/>
          <w:lang w:val="en-US"/>
        </w:rPr>
      </w:pPr>
      <w:proofErr w:type="spellStart"/>
      <w:r w:rsidRPr="00421B9C">
        <w:rPr>
          <w:rFonts w:ascii="Times New Roman" w:hAnsi="Times New Roman" w:cs="Times New Roman"/>
          <w:color w:val="222222"/>
          <w:sz w:val="24"/>
          <w:szCs w:val="24"/>
          <w:shd w:val="clear" w:color="auto" w:fill="FFFFFF"/>
          <w:lang w:val="en-US"/>
        </w:rPr>
        <w:t>Shelor</w:t>
      </w:r>
      <w:proofErr w:type="spellEnd"/>
      <w:r w:rsidRPr="00421B9C">
        <w:rPr>
          <w:rFonts w:ascii="Times New Roman" w:hAnsi="Times New Roman" w:cs="Times New Roman"/>
          <w:color w:val="222222"/>
          <w:sz w:val="24"/>
          <w:szCs w:val="24"/>
          <w:shd w:val="clear" w:color="auto" w:fill="FFFFFF"/>
          <w:lang w:val="en-US"/>
        </w:rPr>
        <w:t xml:space="preserve">, R., Anderson, D., </w:t>
      </w:r>
      <w:r w:rsidR="007C73BA">
        <w:rPr>
          <w:rFonts w:ascii="Times New Roman" w:hAnsi="Times New Roman" w:cs="Times New Roman"/>
          <w:color w:val="222222"/>
          <w:sz w:val="24"/>
          <w:szCs w:val="24"/>
          <w:shd w:val="clear" w:color="auto" w:fill="FFFFFF"/>
          <w:lang w:val="en-US"/>
        </w:rPr>
        <w:t>and</w:t>
      </w:r>
      <w:r w:rsidRPr="00421B9C">
        <w:rPr>
          <w:rFonts w:ascii="Times New Roman" w:hAnsi="Times New Roman" w:cs="Times New Roman"/>
          <w:color w:val="222222"/>
          <w:sz w:val="24"/>
          <w:szCs w:val="24"/>
          <w:shd w:val="clear" w:color="auto" w:fill="FFFFFF"/>
          <w:lang w:val="en-US"/>
        </w:rPr>
        <w:t xml:space="preserve"> Cross, M. (1990). </w:t>
      </w:r>
      <w:r w:rsidR="007C73BA">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The </w:t>
      </w:r>
      <w:r w:rsidR="007C73BA">
        <w:rPr>
          <w:rFonts w:ascii="Times New Roman" w:hAnsi="Times New Roman" w:cs="Times New Roman"/>
          <w:color w:val="222222"/>
          <w:sz w:val="24"/>
          <w:szCs w:val="24"/>
          <w:shd w:val="clear" w:color="auto" w:fill="FFFFFF"/>
          <w:lang w:val="en-US"/>
        </w:rPr>
        <w:t>I</w:t>
      </w:r>
      <w:r w:rsidRPr="00421B9C">
        <w:rPr>
          <w:rFonts w:ascii="Times New Roman" w:hAnsi="Times New Roman" w:cs="Times New Roman"/>
          <w:color w:val="222222"/>
          <w:sz w:val="24"/>
          <w:szCs w:val="24"/>
          <w:shd w:val="clear" w:color="auto" w:fill="FFFFFF"/>
          <w:lang w:val="en-US"/>
        </w:rPr>
        <w:t xml:space="preserve">mpact of the California </w:t>
      </w:r>
      <w:r w:rsidR="007C73BA">
        <w:rPr>
          <w:rFonts w:ascii="Times New Roman" w:hAnsi="Times New Roman" w:cs="Times New Roman"/>
          <w:color w:val="222222"/>
          <w:sz w:val="24"/>
          <w:szCs w:val="24"/>
          <w:shd w:val="clear" w:color="auto" w:fill="FFFFFF"/>
          <w:lang w:val="en-US"/>
        </w:rPr>
        <w:t>E</w:t>
      </w:r>
      <w:r w:rsidRPr="00421B9C">
        <w:rPr>
          <w:rFonts w:ascii="Times New Roman" w:hAnsi="Times New Roman" w:cs="Times New Roman"/>
          <w:color w:val="222222"/>
          <w:sz w:val="24"/>
          <w:szCs w:val="24"/>
          <w:shd w:val="clear" w:color="auto" w:fill="FFFFFF"/>
          <w:lang w:val="en-US"/>
        </w:rPr>
        <w:t xml:space="preserve">arthquake on </w:t>
      </w:r>
      <w:r w:rsidR="007C73BA">
        <w:rPr>
          <w:rFonts w:ascii="Times New Roman" w:hAnsi="Times New Roman" w:cs="Times New Roman"/>
          <w:color w:val="222222"/>
          <w:sz w:val="24"/>
          <w:szCs w:val="24"/>
          <w:shd w:val="clear" w:color="auto" w:fill="FFFFFF"/>
          <w:lang w:val="en-US"/>
        </w:rPr>
        <w:t>R</w:t>
      </w:r>
      <w:r w:rsidRPr="00421B9C">
        <w:rPr>
          <w:rFonts w:ascii="Times New Roman" w:hAnsi="Times New Roman" w:cs="Times New Roman"/>
          <w:color w:val="222222"/>
          <w:sz w:val="24"/>
          <w:szCs w:val="24"/>
          <w:shd w:val="clear" w:color="auto" w:fill="FFFFFF"/>
          <w:lang w:val="en-US"/>
        </w:rPr>
        <w:t xml:space="preserve">eal </w:t>
      </w:r>
      <w:r w:rsidR="007C73BA">
        <w:rPr>
          <w:rFonts w:ascii="Times New Roman" w:hAnsi="Times New Roman" w:cs="Times New Roman"/>
          <w:color w:val="222222"/>
          <w:sz w:val="24"/>
          <w:szCs w:val="24"/>
          <w:shd w:val="clear" w:color="auto" w:fill="FFFFFF"/>
          <w:lang w:val="en-US"/>
        </w:rPr>
        <w:t>E</w:t>
      </w:r>
      <w:r w:rsidRPr="00421B9C">
        <w:rPr>
          <w:rFonts w:ascii="Times New Roman" w:hAnsi="Times New Roman" w:cs="Times New Roman"/>
          <w:color w:val="222222"/>
          <w:sz w:val="24"/>
          <w:szCs w:val="24"/>
          <w:shd w:val="clear" w:color="auto" w:fill="FFFFFF"/>
          <w:lang w:val="en-US"/>
        </w:rPr>
        <w:t xml:space="preserve">state </w:t>
      </w:r>
      <w:r w:rsidR="007C73BA">
        <w:rPr>
          <w:rFonts w:ascii="Times New Roman" w:hAnsi="Times New Roman" w:cs="Times New Roman"/>
          <w:color w:val="222222"/>
          <w:sz w:val="24"/>
          <w:szCs w:val="24"/>
          <w:shd w:val="clear" w:color="auto" w:fill="FFFFFF"/>
          <w:lang w:val="en-US"/>
        </w:rPr>
        <w:t>F</w:t>
      </w:r>
      <w:r w:rsidRPr="00421B9C">
        <w:rPr>
          <w:rFonts w:ascii="Times New Roman" w:hAnsi="Times New Roman" w:cs="Times New Roman"/>
          <w:color w:val="222222"/>
          <w:sz w:val="24"/>
          <w:szCs w:val="24"/>
          <w:shd w:val="clear" w:color="auto" w:fill="FFFFFF"/>
          <w:lang w:val="en-US"/>
        </w:rPr>
        <w:t xml:space="preserve">irms' </w:t>
      </w:r>
      <w:r w:rsidR="007C73BA">
        <w:rPr>
          <w:rFonts w:ascii="Times New Roman" w:hAnsi="Times New Roman" w:cs="Times New Roman"/>
          <w:color w:val="222222"/>
          <w:sz w:val="24"/>
          <w:szCs w:val="24"/>
          <w:shd w:val="clear" w:color="auto" w:fill="FFFFFF"/>
          <w:lang w:val="en-US"/>
        </w:rPr>
        <w:t>S</w:t>
      </w:r>
      <w:r w:rsidRPr="00421B9C">
        <w:rPr>
          <w:rFonts w:ascii="Times New Roman" w:hAnsi="Times New Roman" w:cs="Times New Roman"/>
          <w:color w:val="222222"/>
          <w:sz w:val="24"/>
          <w:szCs w:val="24"/>
          <w:shd w:val="clear" w:color="auto" w:fill="FFFFFF"/>
          <w:lang w:val="en-US"/>
        </w:rPr>
        <w:t xml:space="preserve">tock </w:t>
      </w:r>
      <w:r w:rsidR="007C73BA">
        <w:rPr>
          <w:rFonts w:ascii="Times New Roman" w:hAnsi="Times New Roman" w:cs="Times New Roman"/>
          <w:color w:val="222222"/>
          <w:sz w:val="24"/>
          <w:szCs w:val="24"/>
          <w:shd w:val="clear" w:color="auto" w:fill="FFFFFF"/>
          <w:lang w:val="en-US"/>
        </w:rPr>
        <w:t>V</w:t>
      </w:r>
      <w:r w:rsidRPr="00421B9C">
        <w:rPr>
          <w:rFonts w:ascii="Times New Roman" w:hAnsi="Times New Roman" w:cs="Times New Roman"/>
          <w:color w:val="222222"/>
          <w:sz w:val="24"/>
          <w:szCs w:val="24"/>
          <w:shd w:val="clear" w:color="auto" w:fill="FFFFFF"/>
          <w:lang w:val="en-US"/>
        </w:rPr>
        <w:t>alue.</w:t>
      </w:r>
      <w:r w:rsidR="007C73BA">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w:t>
      </w:r>
      <w:r w:rsidRPr="00421B9C">
        <w:rPr>
          <w:rFonts w:ascii="Times New Roman" w:hAnsi="Times New Roman" w:cs="Times New Roman"/>
          <w:i/>
          <w:iCs/>
          <w:color w:val="222222"/>
          <w:sz w:val="24"/>
          <w:szCs w:val="24"/>
          <w:shd w:val="clear" w:color="auto" w:fill="FFFFFF"/>
          <w:lang w:val="en-US"/>
        </w:rPr>
        <w:t>Journal of Real Estate Research</w:t>
      </w:r>
      <w:r w:rsidRPr="00421B9C">
        <w:rPr>
          <w:rFonts w:ascii="Times New Roman" w:hAnsi="Times New Roman" w:cs="Times New Roman"/>
          <w:color w:val="222222"/>
          <w:sz w:val="24"/>
          <w:szCs w:val="24"/>
          <w:shd w:val="clear" w:color="auto" w:fill="FFFFFF"/>
          <w:lang w:val="en-US"/>
        </w:rPr>
        <w:t> </w:t>
      </w:r>
      <w:r w:rsidRPr="009C0C9C">
        <w:rPr>
          <w:rFonts w:ascii="Times New Roman" w:hAnsi="Times New Roman" w:cs="Times New Roman"/>
          <w:color w:val="222222"/>
          <w:sz w:val="24"/>
          <w:szCs w:val="24"/>
          <w:shd w:val="clear" w:color="auto" w:fill="FFFFFF"/>
          <w:lang w:val="en-US"/>
        </w:rPr>
        <w:t>5</w:t>
      </w:r>
      <w:r w:rsidR="009609B4">
        <w:rPr>
          <w:rFonts w:ascii="Times New Roman" w:hAnsi="Times New Roman" w:cs="Times New Roman"/>
          <w:color w:val="222222"/>
          <w:sz w:val="24"/>
          <w:szCs w:val="24"/>
          <w:shd w:val="clear" w:color="auto" w:fill="FFFFFF"/>
          <w:lang w:val="en-US"/>
        </w:rPr>
        <w:t>(3)</w:t>
      </w:r>
      <w:r w:rsidR="007C73BA">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 335-340.</w:t>
      </w:r>
    </w:p>
    <w:p w14:paraId="2E8A07B5" w14:textId="358E82EC" w:rsidR="00421B9C" w:rsidRPr="00421B9C" w:rsidRDefault="00421B9C" w:rsidP="009C10BE">
      <w:pPr>
        <w:spacing w:line="360" w:lineRule="auto"/>
        <w:ind w:left="630" w:hanging="630"/>
        <w:jc w:val="both"/>
        <w:rPr>
          <w:rStyle w:val="Hyperlink"/>
          <w:rFonts w:ascii="Times New Roman" w:hAnsi="Times New Roman" w:cs="Times New Roman"/>
          <w:sz w:val="24"/>
          <w:szCs w:val="24"/>
          <w:lang w:val="en-US"/>
        </w:rPr>
      </w:pPr>
      <w:r w:rsidRPr="00421B9C">
        <w:rPr>
          <w:rFonts w:ascii="Times New Roman" w:hAnsi="Times New Roman" w:cs="Times New Roman"/>
          <w:sz w:val="24"/>
          <w:szCs w:val="24"/>
          <w:lang w:val="en-US"/>
        </w:rPr>
        <w:t xml:space="preserve">Velde, F. </w:t>
      </w:r>
      <w:r w:rsidR="009C0C9C">
        <w:rPr>
          <w:rFonts w:ascii="Times New Roman" w:hAnsi="Times New Roman" w:cs="Times New Roman"/>
          <w:sz w:val="24"/>
          <w:szCs w:val="24"/>
          <w:lang w:val="en-US"/>
        </w:rPr>
        <w:t>(</w:t>
      </w:r>
      <w:r w:rsidRPr="00421B9C">
        <w:rPr>
          <w:rFonts w:ascii="Times New Roman" w:hAnsi="Times New Roman" w:cs="Times New Roman"/>
          <w:sz w:val="24"/>
          <w:szCs w:val="24"/>
          <w:lang w:val="en-US"/>
        </w:rPr>
        <w:t>2020</w:t>
      </w:r>
      <w:r w:rsidR="009C0C9C">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t>
      </w:r>
      <w:r w:rsidR="007C73BA">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The </w:t>
      </w:r>
      <w:r w:rsidR="007C73BA">
        <w:rPr>
          <w:rFonts w:ascii="Times New Roman" w:hAnsi="Times New Roman" w:cs="Times New Roman"/>
          <w:sz w:val="24"/>
          <w:szCs w:val="24"/>
          <w:lang w:val="en-US"/>
        </w:rPr>
        <w:t>E</w:t>
      </w:r>
      <w:r w:rsidRPr="00421B9C">
        <w:rPr>
          <w:rFonts w:ascii="Times New Roman" w:hAnsi="Times New Roman" w:cs="Times New Roman"/>
          <w:sz w:val="24"/>
          <w:szCs w:val="24"/>
          <w:lang w:val="en-US"/>
        </w:rPr>
        <w:t xml:space="preserve">conomy and </w:t>
      </w:r>
      <w:r w:rsidR="007C73BA">
        <w:rPr>
          <w:rFonts w:ascii="Times New Roman" w:hAnsi="Times New Roman" w:cs="Times New Roman"/>
          <w:sz w:val="24"/>
          <w:szCs w:val="24"/>
          <w:lang w:val="en-US"/>
        </w:rPr>
        <w:t>P</w:t>
      </w:r>
      <w:r w:rsidRPr="00421B9C">
        <w:rPr>
          <w:rFonts w:ascii="Times New Roman" w:hAnsi="Times New Roman" w:cs="Times New Roman"/>
          <w:sz w:val="24"/>
          <w:szCs w:val="24"/>
          <w:lang w:val="en-US"/>
        </w:rPr>
        <w:t xml:space="preserve">olicy in the </w:t>
      </w:r>
      <w:r w:rsidR="007C73BA">
        <w:rPr>
          <w:rFonts w:ascii="Times New Roman" w:hAnsi="Times New Roman" w:cs="Times New Roman"/>
          <w:sz w:val="24"/>
          <w:szCs w:val="24"/>
          <w:lang w:val="en-US"/>
        </w:rPr>
        <w:t>C</w:t>
      </w:r>
      <w:r w:rsidRPr="00421B9C">
        <w:rPr>
          <w:rFonts w:ascii="Times New Roman" w:hAnsi="Times New Roman" w:cs="Times New Roman"/>
          <w:sz w:val="24"/>
          <w:szCs w:val="24"/>
          <w:lang w:val="en-US"/>
        </w:rPr>
        <w:t xml:space="preserve">oronavirus </w:t>
      </w:r>
      <w:r w:rsidR="007C73BA">
        <w:rPr>
          <w:rFonts w:ascii="Times New Roman" w:hAnsi="Times New Roman" w:cs="Times New Roman"/>
          <w:sz w:val="24"/>
          <w:szCs w:val="24"/>
          <w:lang w:val="en-US"/>
        </w:rPr>
        <w:t>C</w:t>
      </w:r>
      <w:r w:rsidRPr="00421B9C">
        <w:rPr>
          <w:rFonts w:ascii="Times New Roman" w:hAnsi="Times New Roman" w:cs="Times New Roman"/>
          <w:sz w:val="24"/>
          <w:szCs w:val="24"/>
          <w:lang w:val="en-US"/>
        </w:rPr>
        <w:t xml:space="preserve">risis to </w:t>
      </w:r>
      <w:r w:rsidR="007C73BA">
        <w:rPr>
          <w:rFonts w:ascii="Times New Roman" w:hAnsi="Times New Roman" w:cs="Times New Roman"/>
          <w:sz w:val="24"/>
          <w:szCs w:val="24"/>
          <w:lang w:val="en-US"/>
        </w:rPr>
        <w:t>D</w:t>
      </w:r>
      <w:r w:rsidRPr="00421B9C">
        <w:rPr>
          <w:rFonts w:ascii="Times New Roman" w:hAnsi="Times New Roman" w:cs="Times New Roman"/>
          <w:sz w:val="24"/>
          <w:szCs w:val="24"/>
          <w:lang w:val="en-US"/>
        </w:rPr>
        <w:t>ate.</w:t>
      </w:r>
      <w:r w:rsidR="007C73BA">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Presentation at a panel session for the Brookings Papers on Economics Activity, 20 March. Available at: </w:t>
      </w:r>
      <w:hyperlink r:id="rId11" w:history="1">
        <w:r w:rsidRPr="00421B9C">
          <w:rPr>
            <w:rStyle w:val="Hyperlink"/>
            <w:rFonts w:ascii="Times New Roman" w:hAnsi="Times New Roman" w:cs="Times New Roman"/>
            <w:sz w:val="24"/>
            <w:szCs w:val="24"/>
            <w:lang w:val="en-US"/>
          </w:rPr>
          <w:t>https://www.brookings.edu/blog/up-front/2020/03/20/the-economyand-policy-in-the-coronavirus-crisis-to-date/</w:t>
        </w:r>
      </w:hyperlink>
    </w:p>
    <w:p w14:paraId="005677DC" w14:textId="0C1EB0CD" w:rsidR="00421B9C" w:rsidRPr="00421B9C" w:rsidRDefault="00421B9C" w:rsidP="009C10BE">
      <w:pPr>
        <w:spacing w:line="360" w:lineRule="auto"/>
        <w:ind w:left="630" w:hanging="630"/>
        <w:jc w:val="both"/>
        <w:rPr>
          <w:rFonts w:ascii="Times New Roman" w:hAnsi="Times New Roman" w:cs="Times New Roman"/>
          <w:sz w:val="24"/>
          <w:szCs w:val="24"/>
          <w:lang w:val="en-US"/>
        </w:rPr>
      </w:pPr>
      <w:r w:rsidRPr="00421B9C">
        <w:rPr>
          <w:rFonts w:ascii="Times New Roman" w:hAnsi="Times New Roman" w:cs="Times New Roman"/>
          <w:color w:val="222222"/>
          <w:sz w:val="24"/>
          <w:szCs w:val="24"/>
          <w:shd w:val="clear" w:color="auto" w:fill="FFFFFF"/>
          <w:lang w:val="en-US"/>
        </w:rPr>
        <w:t xml:space="preserve">Wang, L., </w:t>
      </w:r>
      <w:r w:rsidR="007C73BA">
        <w:rPr>
          <w:rFonts w:ascii="Times New Roman" w:hAnsi="Times New Roman" w:cs="Times New Roman"/>
          <w:color w:val="222222"/>
          <w:sz w:val="24"/>
          <w:szCs w:val="24"/>
          <w:shd w:val="clear" w:color="auto" w:fill="FFFFFF"/>
          <w:lang w:val="en-US"/>
        </w:rPr>
        <w:t>and</w:t>
      </w:r>
      <w:r w:rsidRPr="00421B9C">
        <w:rPr>
          <w:rFonts w:ascii="Times New Roman" w:hAnsi="Times New Roman" w:cs="Times New Roman"/>
          <w:color w:val="222222"/>
          <w:sz w:val="24"/>
          <w:szCs w:val="24"/>
          <w:shd w:val="clear" w:color="auto" w:fill="FFFFFF"/>
          <w:lang w:val="en-US"/>
        </w:rPr>
        <w:t xml:space="preserve"> </w:t>
      </w:r>
      <w:proofErr w:type="spellStart"/>
      <w:r w:rsidRPr="00421B9C">
        <w:rPr>
          <w:rFonts w:ascii="Times New Roman" w:hAnsi="Times New Roman" w:cs="Times New Roman"/>
          <w:color w:val="222222"/>
          <w:sz w:val="24"/>
          <w:szCs w:val="24"/>
          <w:shd w:val="clear" w:color="auto" w:fill="FFFFFF"/>
          <w:lang w:val="en-US"/>
        </w:rPr>
        <w:t>Kutan</w:t>
      </w:r>
      <w:proofErr w:type="spellEnd"/>
      <w:r w:rsidRPr="00421B9C">
        <w:rPr>
          <w:rFonts w:ascii="Times New Roman" w:hAnsi="Times New Roman" w:cs="Times New Roman"/>
          <w:color w:val="222222"/>
          <w:sz w:val="24"/>
          <w:szCs w:val="24"/>
          <w:shd w:val="clear" w:color="auto" w:fill="FFFFFF"/>
          <w:lang w:val="en-US"/>
        </w:rPr>
        <w:t xml:space="preserve">, A.M. (2013). </w:t>
      </w:r>
      <w:r w:rsidR="007C73BA">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The </w:t>
      </w:r>
      <w:r w:rsidR="007C73BA">
        <w:rPr>
          <w:rFonts w:ascii="Times New Roman" w:hAnsi="Times New Roman" w:cs="Times New Roman"/>
          <w:color w:val="222222"/>
          <w:sz w:val="24"/>
          <w:szCs w:val="24"/>
          <w:shd w:val="clear" w:color="auto" w:fill="FFFFFF"/>
          <w:lang w:val="en-US"/>
        </w:rPr>
        <w:t>I</w:t>
      </w:r>
      <w:r w:rsidRPr="00421B9C">
        <w:rPr>
          <w:rFonts w:ascii="Times New Roman" w:hAnsi="Times New Roman" w:cs="Times New Roman"/>
          <w:color w:val="222222"/>
          <w:sz w:val="24"/>
          <w:szCs w:val="24"/>
          <w:shd w:val="clear" w:color="auto" w:fill="FFFFFF"/>
          <w:lang w:val="en-US"/>
        </w:rPr>
        <w:t xml:space="preserve">mpact of </w:t>
      </w:r>
      <w:r w:rsidR="007C73BA">
        <w:rPr>
          <w:rFonts w:ascii="Times New Roman" w:hAnsi="Times New Roman" w:cs="Times New Roman"/>
          <w:color w:val="222222"/>
          <w:sz w:val="24"/>
          <w:szCs w:val="24"/>
          <w:shd w:val="clear" w:color="auto" w:fill="FFFFFF"/>
          <w:lang w:val="en-US"/>
        </w:rPr>
        <w:t>N</w:t>
      </w:r>
      <w:r w:rsidRPr="00421B9C">
        <w:rPr>
          <w:rFonts w:ascii="Times New Roman" w:hAnsi="Times New Roman" w:cs="Times New Roman"/>
          <w:color w:val="222222"/>
          <w:sz w:val="24"/>
          <w:szCs w:val="24"/>
          <w:shd w:val="clear" w:color="auto" w:fill="FFFFFF"/>
          <w:lang w:val="en-US"/>
        </w:rPr>
        <w:t xml:space="preserve">atural </w:t>
      </w:r>
      <w:r w:rsidR="007C73BA">
        <w:rPr>
          <w:rFonts w:ascii="Times New Roman" w:hAnsi="Times New Roman" w:cs="Times New Roman"/>
          <w:color w:val="222222"/>
          <w:sz w:val="24"/>
          <w:szCs w:val="24"/>
          <w:shd w:val="clear" w:color="auto" w:fill="FFFFFF"/>
          <w:lang w:val="en-US"/>
        </w:rPr>
        <w:t>D</w:t>
      </w:r>
      <w:r w:rsidRPr="00421B9C">
        <w:rPr>
          <w:rFonts w:ascii="Times New Roman" w:hAnsi="Times New Roman" w:cs="Times New Roman"/>
          <w:color w:val="222222"/>
          <w:sz w:val="24"/>
          <w:szCs w:val="24"/>
          <w:shd w:val="clear" w:color="auto" w:fill="FFFFFF"/>
          <w:lang w:val="en-US"/>
        </w:rPr>
        <w:t xml:space="preserve">isasters on </w:t>
      </w:r>
      <w:r w:rsidR="007C73BA">
        <w:rPr>
          <w:rFonts w:ascii="Times New Roman" w:hAnsi="Times New Roman" w:cs="Times New Roman"/>
          <w:color w:val="222222"/>
          <w:sz w:val="24"/>
          <w:szCs w:val="24"/>
          <w:shd w:val="clear" w:color="auto" w:fill="FFFFFF"/>
          <w:lang w:val="en-US"/>
        </w:rPr>
        <w:t>S</w:t>
      </w:r>
      <w:r w:rsidRPr="00421B9C">
        <w:rPr>
          <w:rFonts w:ascii="Times New Roman" w:hAnsi="Times New Roman" w:cs="Times New Roman"/>
          <w:color w:val="222222"/>
          <w:sz w:val="24"/>
          <w:szCs w:val="24"/>
          <w:shd w:val="clear" w:color="auto" w:fill="FFFFFF"/>
          <w:lang w:val="en-US"/>
        </w:rPr>
        <w:t xml:space="preserve">tock </w:t>
      </w:r>
      <w:r w:rsidR="007C73BA">
        <w:rPr>
          <w:rFonts w:ascii="Times New Roman" w:hAnsi="Times New Roman" w:cs="Times New Roman"/>
          <w:color w:val="222222"/>
          <w:sz w:val="24"/>
          <w:szCs w:val="24"/>
          <w:shd w:val="clear" w:color="auto" w:fill="FFFFFF"/>
          <w:lang w:val="en-US"/>
        </w:rPr>
        <w:t>M</w:t>
      </w:r>
      <w:r w:rsidRPr="00421B9C">
        <w:rPr>
          <w:rFonts w:ascii="Times New Roman" w:hAnsi="Times New Roman" w:cs="Times New Roman"/>
          <w:color w:val="222222"/>
          <w:sz w:val="24"/>
          <w:szCs w:val="24"/>
          <w:shd w:val="clear" w:color="auto" w:fill="FFFFFF"/>
          <w:lang w:val="en-US"/>
        </w:rPr>
        <w:t>arkets: Evidence from Japan and the US.</w:t>
      </w:r>
      <w:r w:rsidR="007C73BA">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w:t>
      </w:r>
      <w:r w:rsidRPr="00421B9C">
        <w:rPr>
          <w:rFonts w:ascii="Times New Roman" w:hAnsi="Times New Roman" w:cs="Times New Roman"/>
          <w:i/>
          <w:iCs/>
          <w:color w:val="222222"/>
          <w:sz w:val="24"/>
          <w:szCs w:val="24"/>
          <w:shd w:val="clear" w:color="auto" w:fill="FFFFFF"/>
          <w:lang w:val="en-US"/>
        </w:rPr>
        <w:t>Comparative Economic Studies</w:t>
      </w:r>
      <w:r w:rsidRPr="00421B9C">
        <w:rPr>
          <w:rFonts w:ascii="Times New Roman" w:hAnsi="Times New Roman" w:cs="Times New Roman"/>
          <w:color w:val="222222"/>
          <w:sz w:val="24"/>
          <w:szCs w:val="24"/>
          <w:shd w:val="clear" w:color="auto" w:fill="FFFFFF"/>
          <w:lang w:val="en-US"/>
        </w:rPr>
        <w:t> </w:t>
      </w:r>
      <w:r w:rsidRPr="009C0C9C">
        <w:rPr>
          <w:rFonts w:ascii="Times New Roman" w:hAnsi="Times New Roman" w:cs="Times New Roman"/>
          <w:color w:val="222222"/>
          <w:sz w:val="24"/>
          <w:szCs w:val="24"/>
          <w:shd w:val="clear" w:color="auto" w:fill="FFFFFF"/>
          <w:lang w:val="en-US"/>
        </w:rPr>
        <w:t>55</w:t>
      </w:r>
      <w:r w:rsidR="009609B4">
        <w:rPr>
          <w:rFonts w:ascii="Times New Roman" w:hAnsi="Times New Roman" w:cs="Times New Roman"/>
          <w:color w:val="222222"/>
          <w:sz w:val="24"/>
          <w:szCs w:val="24"/>
          <w:shd w:val="clear" w:color="auto" w:fill="FFFFFF"/>
          <w:lang w:val="en-US"/>
        </w:rPr>
        <w:t>(4)</w:t>
      </w:r>
      <w:r w:rsidR="007C73BA">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 672-686.</w:t>
      </w:r>
    </w:p>
    <w:p w14:paraId="1040E2E1" w14:textId="4BAECE5F" w:rsidR="00421B9C" w:rsidRPr="00421B9C" w:rsidRDefault="00421B9C" w:rsidP="009C10BE">
      <w:pPr>
        <w:spacing w:line="360" w:lineRule="auto"/>
        <w:ind w:left="630" w:hanging="630"/>
        <w:jc w:val="both"/>
        <w:rPr>
          <w:rFonts w:ascii="Times New Roman" w:hAnsi="Times New Roman" w:cs="Times New Roman"/>
          <w:color w:val="222222"/>
          <w:sz w:val="24"/>
          <w:szCs w:val="24"/>
          <w:shd w:val="clear" w:color="auto" w:fill="FFFFFF"/>
          <w:lang w:val="en-US"/>
        </w:rPr>
      </w:pPr>
      <w:r w:rsidRPr="00421B9C">
        <w:rPr>
          <w:rFonts w:ascii="Times New Roman" w:hAnsi="Times New Roman" w:cs="Times New Roman"/>
          <w:color w:val="222222"/>
          <w:sz w:val="24"/>
          <w:szCs w:val="24"/>
          <w:shd w:val="clear" w:color="auto" w:fill="FFFFFF"/>
          <w:lang w:val="en-US"/>
        </w:rPr>
        <w:t xml:space="preserve">Wang, Y., Wu, C., </w:t>
      </w:r>
      <w:r w:rsidR="007C73BA">
        <w:rPr>
          <w:rFonts w:ascii="Times New Roman" w:hAnsi="Times New Roman" w:cs="Times New Roman"/>
          <w:color w:val="222222"/>
          <w:sz w:val="24"/>
          <w:szCs w:val="24"/>
          <w:shd w:val="clear" w:color="auto" w:fill="FFFFFF"/>
          <w:lang w:val="en-US"/>
        </w:rPr>
        <w:t>and</w:t>
      </w:r>
      <w:r w:rsidRPr="00421B9C">
        <w:rPr>
          <w:rFonts w:ascii="Times New Roman" w:hAnsi="Times New Roman" w:cs="Times New Roman"/>
          <w:color w:val="222222"/>
          <w:sz w:val="24"/>
          <w:szCs w:val="24"/>
          <w:shd w:val="clear" w:color="auto" w:fill="FFFFFF"/>
          <w:lang w:val="en-US"/>
        </w:rPr>
        <w:t xml:space="preserve"> Yang, L. (2013). </w:t>
      </w:r>
      <w:r w:rsidR="007C73BA">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Oil </w:t>
      </w:r>
      <w:r w:rsidR="007C73BA">
        <w:rPr>
          <w:rFonts w:ascii="Times New Roman" w:hAnsi="Times New Roman" w:cs="Times New Roman"/>
          <w:color w:val="222222"/>
          <w:sz w:val="24"/>
          <w:szCs w:val="24"/>
          <w:shd w:val="clear" w:color="auto" w:fill="FFFFFF"/>
          <w:lang w:val="en-US"/>
        </w:rPr>
        <w:t>P</w:t>
      </w:r>
      <w:r w:rsidRPr="00421B9C">
        <w:rPr>
          <w:rFonts w:ascii="Times New Roman" w:hAnsi="Times New Roman" w:cs="Times New Roman"/>
          <w:color w:val="222222"/>
          <w:sz w:val="24"/>
          <w:szCs w:val="24"/>
          <w:shd w:val="clear" w:color="auto" w:fill="FFFFFF"/>
          <w:lang w:val="en-US"/>
        </w:rPr>
        <w:t xml:space="preserve">rice </w:t>
      </w:r>
      <w:r w:rsidR="007C73BA">
        <w:rPr>
          <w:rFonts w:ascii="Times New Roman" w:hAnsi="Times New Roman" w:cs="Times New Roman"/>
          <w:color w:val="222222"/>
          <w:sz w:val="24"/>
          <w:szCs w:val="24"/>
          <w:shd w:val="clear" w:color="auto" w:fill="FFFFFF"/>
          <w:lang w:val="en-US"/>
        </w:rPr>
        <w:t>S</w:t>
      </w:r>
      <w:r w:rsidRPr="00421B9C">
        <w:rPr>
          <w:rFonts w:ascii="Times New Roman" w:hAnsi="Times New Roman" w:cs="Times New Roman"/>
          <w:color w:val="222222"/>
          <w:sz w:val="24"/>
          <w:szCs w:val="24"/>
          <w:shd w:val="clear" w:color="auto" w:fill="FFFFFF"/>
          <w:lang w:val="en-US"/>
        </w:rPr>
        <w:t xml:space="preserve">hocks and </w:t>
      </w:r>
      <w:r w:rsidR="007C73BA">
        <w:rPr>
          <w:rFonts w:ascii="Times New Roman" w:hAnsi="Times New Roman" w:cs="Times New Roman"/>
          <w:color w:val="222222"/>
          <w:sz w:val="24"/>
          <w:szCs w:val="24"/>
          <w:shd w:val="clear" w:color="auto" w:fill="FFFFFF"/>
          <w:lang w:val="en-US"/>
        </w:rPr>
        <w:t>S</w:t>
      </w:r>
      <w:r w:rsidRPr="00421B9C">
        <w:rPr>
          <w:rFonts w:ascii="Times New Roman" w:hAnsi="Times New Roman" w:cs="Times New Roman"/>
          <w:color w:val="222222"/>
          <w:sz w:val="24"/>
          <w:szCs w:val="24"/>
          <w:shd w:val="clear" w:color="auto" w:fill="FFFFFF"/>
          <w:lang w:val="en-US"/>
        </w:rPr>
        <w:t xml:space="preserve">tock </w:t>
      </w:r>
      <w:r w:rsidR="007C73BA">
        <w:rPr>
          <w:rFonts w:ascii="Times New Roman" w:hAnsi="Times New Roman" w:cs="Times New Roman"/>
          <w:color w:val="222222"/>
          <w:sz w:val="24"/>
          <w:szCs w:val="24"/>
          <w:shd w:val="clear" w:color="auto" w:fill="FFFFFF"/>
          <w:lang w:val="en-US"/>
        </w:rPr>
        <w:t>M</w:t>
      </w:r>
      <w:r w:rsidRPr="00421B9C">
        <w:rPr>
          <w:rFonts w:ascii="Times New Roman" w:hAnsi="Times New Roman" w:cs="Times New Roman"/>
          <w:color w:val="222222"/>
          <w:sz w:val="24"/>
          <w:szCs w:val="24"/>
          <w:shd w:val="clear" w:color="auto" w:fill="FFFFFF"/>
          <w:lang w:val="en-US"/>
        </w:rPr>
        <w:t xml:space="preserve">arket </w:t>
      </w:r>
      <w:r w:rsidR="007C73BA">
        <w:rPr>
          <w:rFonts w:ascii="Times New Roman" w:hAnsi="Times New Roman" w:cs="Times New Roman"/>
          <w:color w:val="222222"/>
          <w:sz w:val="24"/>
          <w:szCs w:val="24"/>
          <w:shd w:val="clear" w:color="auto" w:fill="FFFFFF"/>
          <w:lang w:val="en-US"/>
        </w:rPr>
        <w:t>A</w:t>
      </w:r>
      <w:r w:rsidRPr="00421B9C">
        <w:rPr>
          <w:rFonts w:ascii="Times New Roman" w:hAnsi="Times New Roman" w:cs="Times New Roman"/>
          <w:color w:val="222222"/>
          <w:sz w:val="24"/>
          <w:szCs w:val="24"/>
          <w:shd w:val="clear" w:color="auto" w:fill="FFFFFF"/>
          <w:lang w:val="en-US"/>
        </w:rPr>
        <w:t xml:space="preserve">ctivities: </w:t>
      </w:r>
      <w:r w:rsidR="007C73BA">
        <w:rPr>
          <w:rFonts w:ascii="Times New Roman" w:hAnsi="Times New Roman" w:cs="Times New Roman"/>
          <w:color w:val="222222"/>
          <w:sz w:val="24"/>
          <w:szCs w:val="24"/>
          <w:shd w:val="clear" w:color="auto" w:fill="FFFFFF"/>
          <w:lang w:val="en-US"/>
        </w:rPr>
        <w:t>E</w:t>
      </w:r>
      <w:r w:rsidRPr="00421B9C">
        <w:rPr>
          <w:rFonts w:ascii="Times New Roman" w:hAnsi="Times New Roman" w:cs="Times New Roman"/>
          <w:color w:val="222222"/>
          <w:sz w:val="24"/>
          <w:szCs w:val="24"/>
          <w:shd w:val="clear" w:color="auto" w:fill="FFFFFF"/>
          <w:lang w:val="en-US"/>
        </w:rPr>
        <w:t xml:space="preserve">vidence from </w:t>
      </w:r>
      <w:r w:rsidR="007C73BA">
        <w:rPr>
          <w:rFonts w:ascii="Times New Roman" w:hAnsi="Times New Roman" w:cs="Times New Roman"/>
          <w:color w:val="222222"/>
          <w:sz w:val="24"/>
          <w:szCs w:val="24"/>
          <w:shd w:val="clear" w:color="auto" w:fill="FFFFFF"/>
          <w:lang w:val="en-US"/>
        </w:rPr>
        <w:t>O</w:t>
      </w:r>
      <w:r w:rsidRPr="00421B9C">
        <w:rPr>
          <w:rFonts w:ascii="Times New Roman" w:hAnsi="Times New Roman" w:cs="Times New Roman"/>
          <w:color w:val="222222"/>
          <w:sz w:val="24"/>
          <w:szCs w:val="24"/>
          <w:shd w:val="clear" w:color="auto" w:fill="FFFFFF"/>
          <w:lang w:val="en-US"/>
        </w:rPr>
        <w:t>il-</w:t>
      </w:r>
      <w:r w:rsidR="007C73BA">
        <w:rPr>
          <w:rFonts w:ascii="Times New Roman" w:hAnsi="Times New Roman" w:cs="Times New Roman"/>
          <w:color w:val="222222"/>
          <w:sz w:val="24"/>
          <w:szCs w:val="24"/>
          <w:shd w:val="clear" w:color="auto" w:fill="FFFFFF"/>
          <w:lang w:val="en-US"/>
        </w:rPr>
        <w:t>I</w:t>
      </w:r>
      <w:r w:rsidRPr="00421B9C">
        <w:rPr>
          <w:rFonts w:ascii="Times New Roman" w:hAnsi="Times New Roman" w:cs="Times New Roman"/>
          <w:color w:val="222222"/>
          <w:sz w:val="24"/>
          <w:szCs w:val="24"/>
          <w:shd w:val="clear" w:color="auto" w:fill="FFFFFF"/>
          <w:lang w:val="en-US"/>
        </w:rPr>
        <w:t xml:space="preserve">mporting and </w:t>
      </w:r>
      <w:r w:rsidR="007C73BA">
        <w:rPr>
          <w:rFonts w:ascii="Times New Roman" w:hAnsi="Times New Roman" w:cs="Times New Roman"/>
          <w:color w:val="222222"/>
          <w:sz w:val="24"/>
          <w:szCs w:val="24"/>
          <w:shd w:val="clear" w:color="auto" w:fill="FFFFFF"/>
          <w:lang w:val="en-US"/>
        </w:rPr>
        <w:t>O</w:t>
      </w:r>
      <w:r w:rsidRPr="00421B9C">
        <w:rPr>
          <w:rFonts w:ascii="Times New Roman" w:hAnsi="Times New Roman" w:cs="Times New Roman"/>
          <w:color w:val="222222"/>
          <w:sz w:val="24"/>
          <w:szCs w:val="24"/>
          <w:shd w:val="clear" w:color="auto" w:fill="FFFFFF"/>
          <w:lang w:val="en-US"/>
        </w:rPr>
        <w:t>il-</w:t>
      </w:r>
      <w:r w:rsidR="007C73BA">
        <w:rPr>
          <w:rFonts w:ascii="Times New Roman" w:hAnsi="Times New Roman" w:cs="Times New Roman"/>
          <w:color w:val="222222"/>
          <w:sz w:val="24"/>
          <w:szCs w:val="24"/>
          <w:shd w:val="clear" w:color="auto" w:fill="FFFFFF"/>
          <w:lang w:val="en-US"/>
        </w:rPr>
        <w:t>E</w:t>
      </w:r>
      <w:r w:rsidRPr="00421B9C">
        <w:rPr>
          <w:rFonts w:ascii="Times New Roman" w:hAnsi="Times New Roman" w:cs="Times New Roman"/>
          <w:color w:val="222222"/>
          <w:sz w:val="24"/>
          <w:szCs w:val="24"/>
          <w:shd w:val="clear" w:color="auto" w:fill="FFFFFF"/>
          <w:lang w:val="en-US"/>
        </w:rPr>
        <w:t xml:space="preserve">xporting </w:t>
      </w:r>
      <w:r w:rsidR="007C73BA">
        <w:rPr>
          <w:rFonts w:ascii="Times New Roman" w:hAnsi="Times New Roman" w:cs="Times New Roman"/>
          <w:color w:val="222222"/>
          <w:sz w:val="24"/>
          <w:szCs w:val="24"/>
          <w:shd w:val="clear" w:color="auto" w:fill="FFFFFF"/>
          <w:lang w:val="en-US"/>
        </w:rPr>
        <w:t>C</w:t>
      </w:r>
      <w:r w:rsidRPr="00421B9C">
        <w:rPr>
          <w:rFonts w:ascii="Times New Roman" w:hAnsi="Times New Roman" w:cs="Times New Roman"/>
          <w:color w:val="222222"/>
          <w:sz w:val="24"/>
          <w:szCs w:val="24"/>
          <w:shd w:val="clear" w:color="auto" w:fill="FFFFFF"/>
          <w:lang w:val="en-US"/>
        </w:rPr>
        <w:t>ountries.</w:t>
      </w:r>
      <w:r w:rsidR="007C73BA">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w:t>
      </w:r>
      <w:r w:rsidRPr="00421B9C">
        <w:rPr>
          <w:rFonts w:ascii="Times New Roman" w:hAnsi="Times New Roman" w:cs="Times New Roman"/>
          <w:i/>
          <w:iCs/>
          <w:color w:val="222222"/>
          <w:sz w:val="24"/>
          <w:szCs w:val="24"/>
          <w:shd w:val="clear" w:color="auto" w:fill="FFFFFF"/>
          <w:lang w:val="en-US"/>
        </w:rPr>
        <w:t>Journal of Comparative Economics</w:t>
      </w:r>
      <w:r w:rsidRPr="00421B9C">
        <w:rPr>
          <w:rFonts w:ascii="Times New Roman" w:hAnsi="Times New Roman" w:cs="Times New Roman"/>
          <w:color w:val="222222"/>
          <w:sz w:val="24"/>
          <w:szCs w:val="24"/>
          <w:shd w:val="clear" w:color="auto" w:fill="FFFFFF"/>
          <w:lang w:val="en-US"/>
        </w:rPr>
        <w:t> </w:t>
      </w:r>
      <w:r w:rsidRPr="009C0C9C">
        <w:rPr>
          <w:rFonts w:ascii="Times New Roman" w:hAnsi="Times New Roman" w:cs="Times New Roman"/>
          <w:color w:val="222222"/>
          <w:sz w:val="24"/>
          <w:szCs w:val="24"/>
          <w:shd w:val="clear" w:color="auto" w:fill="FFFFFF"/>
          <w:lang w:val="en-US"/>
        </w:rPr>
        <w:t>41</w:t>
      </w:r>
      <w:r w:rsidR="009609B4">
        <w:rPr>
          <w:rFonts w:ascii="Times New Roman" w:hAnsi="Times New Roman" w:cs="Times New Roman"/>
          <w:color w:val="222222"/>
          <w:sz w:val="24"/>
          <w:szCs w:val="24"/>
          <w:shd w:val="clear" w:color="auto" w:fill="FFFFFF"/>
          <w:lang w:val="en-US"/>
        </w:rPr>
        <w:t>(9)</w:t>
      </w:r>
      <w:r w:rsidR="007C73BA">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 1220-1239.</w:t>
      </w:r>
    </w:p>
    <w:p w14:paraId="244C8ECF" w14:textId="6AA16E71" w:rsidR="00421B9C" w:rsidRPr="00421B9C" w:rsidRDefault="00421B9C" w:rsidP="009C10BE">
      <w:pPr>
        <w:pStyle w:val="NoSpacing"/>
        <w:spacing w:line="360" w:lineRule="auto"/>
        <w:ind w:left="630" w:hanging="630"/>
        <w:jc w:val="both"/>
        <w:rPr>
          <w:rFonts w:ascii="Times New Roman" w:hAnsi="Times New Roman" w:cs="Times New Roman"/>
          <w:sz w:val="24"/>
          <w:szCs w:val="24"/>
          <w:lang w:val="en-US"/>
        </w:rPr>
      </w:pPr>
      <w:r w:rsidRPr="00421B9C">
        <w:rPr>
          <w:rFonts w:ascii="Times New Roman" w:hAnsi="Times New Roman" w:cs="Times New Roman"/>
          <w:sz w:val="24"/>
          <w:szCs w:val="24"/>
          <w:lang w:val="en-US"/>
        </w:rPr>
        <w:lastRenderedPageBreak/>
        <w:t>WHO (</w:t>
      </w:r>
      <w:proofErr w:type="gramStart"/>
      <w:r w:rsidRPr="00421B9C">
        <w:rPr>
          <w:rFonts w:ascii="Times New Roman" w:hAnsi="Times New Roman" w:cs="Times New Roman"/>
          <w:sz w:val="24"/>
          <w:szCs w:val="24"/>
          <w:lang w:val="en-US"/>
        </w:rPr>
        <w:t>2020).</w:t>
      </w:r>
      <w:proofErr w:type="gramEnd"/>
      <w:r w:rsidRPr="00421B9C">
        <w:rPr>
          <w:rFonts w:ascii="Times New Roman" w:hAnsi="Times New Roman" w:cs="Times New Roman"/>
          <w:sz w:val="24"/>
          <w:szCs w:val="24"/>
          <w:lang w:val="en-US"/>
        </w:rPr>
        <w:t xml:space="preserve"> </w:t>
      </w:r>
      <w:r w:rsidR="007C73BA">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Coronavirus </w:t>
      </w:r>
      <w:r w:rsidR="007C73BA">
        <w:rPr>
          <w:rFonts w:ascii="Times New Roman" w:hAnsi="Times New Roman" w:cs="Times New Roman"/>
          <w:sz w:val="24"/>
          <w:szCs w:val="24"/>
          <w:lang w:val="en-US"/>
        </w:rPr>
        <w:t>D</w:t>
      </w:r>
      <w:r w:rsidRPr="00421B9C">
        <w:rPr>
          <w:rFonts w:ascii="Times New Roman" w:hAnsi="Times New Roman" w:cs="Times New Roman"/>
          <w:sz w:val="24"/>
          <w:szCs w:val="24"/>
          <w:lang w:val="en-US"/>
        </w:rPr>
        <w:t xml:space="preserve">isease2019 </w:t>
      </w:r>
      <w:r w:rsidR="007C73BA">
        <w:rPr>
          <w:rFonts w:ascii="Times New Roman" w:hAnsi="Times New Roman" w:cs="Times New Roman"/>
          <w:sz w:val="24"/>
          <w:szCs w:val="24"/>
          <w:lang w:val="en-US"/>
        </w:rPr>
        <w:t>S</w:t>
      </w:r>
      <w:r w:rsidRPr="00421B9C">
        <w:rPr>
          <w:rFonts w:ascii="Times New Roman" w:hAnsi="Times New Roman" w:cs="Times New Roman"/>
          <w:sz w:val="24"/>
          <w:szCs w:val="24"/>
          <w:lang w:val="en-US"/>
        </w:rPr>
        <w:t xml:space="preserve">ituation </w:t>
      </w:r>
      <w:r w:rsidR="007C73BA">
        <w:rPr>
          <w:rFonts w:ascii="Times New Roman" w:hAnsi="Times New Roman" w:cs="Times New Roman"/>
          <w:sz w:val="24"/>
          <w:szCs w:val="24"/>
          <w:lang w:val="en-US"/>
        </w:rPr>
        <w:t>R</w:t>
      </w:r>
      <w:r w:rsidRPr="00421B9C">
        <w:rPr>
          <w:rFonts w:ascii="Times New Roman" w:hAnsi="Times New Roman" w:cs="Times New Roman"/>
          <w:sz w:val="24"/>
          <w:szCs w:val="24"/>
          <w:lang w:val="en-US"/>
        </w:rPr>
        <w:t>eport-67.</w:t>
      </w:r>
      <w:r w:rsidR="007C73BA">
        <w:rPr>
          <w:rFonts w:ascii="Times New Roman" w:hAnsi="Times New Roman" w:cs="Times New Roman"/>
          <w:sz w:val="24"/>
          <w:szCs w:val="24"/>
          <w:lang w:val="en-US"/>
        </w:rPr>
        <w:t>”</w:t>
      </w:r>
      <w:r w:rsidRPr="00421B9C">
        <w:rPr>
          <w:rFonts w:ascii="Times New Roman" w:hAnsi="Times New Roman" w:cs="Times New Roman"/>
          <w:sz w:val="24"/>
          <w:szCs w:val="24"/>
          <w:lang w:val="en-US"/>
        </w:rPr>
        <w:t xml:space="preserve"> World Health Organization. May 5, 2020 available at</w:t>
      </w:r>
      <w:r w:rsidR="009C0C9C">
        <w:rPr>
          <w:rFonts w:ascii="Times New Roman" w:hAnsi="Times New Roman" w:cs="Times New Roman"/>
          <w:sz w:val="24"/>
          <w:szCs w:val="24"/>
          <w:lang w:val="en-US"/>
        </w:rPr>
        <w:t xml:space="preserve">: </w:t>
      </w:r>
      <w:hyperlink r:id="rId12" w:history="1">
        <w:r w:rsidR="009C0C9C" w:rsidRPr="00991816">
          <w:rPr>
            <w:rStyle w:val="Hyperlink"/>
            <w:rFonts w:ascii="Times New Roman" w:hAnsi="Times New Roman" w:cs="Times New Roman"/>
            <w:sz w:val="24"/>
            <w:szCs w:val="24"/>
            <w:lang w:val="en-US"/>
          </w:rPr>
          <w:t>https://www.who.int/emergencies/diseases/novel-coronavirus-2019/situation-reports</w:t>
        </w:r>
      </w:hyperlink>
      <w:r w:rsidR="009C0C9C">
        <w:rPr>
          <w:rFonts w:ascii="Times New Roman" w:hAnsi="Times New Roman" w:cs="Times New Roman"/>
          <w:sz w:val="24"/>
          <w:szCs w:val="24"/>
          <w:lang w:val="en-US"/>
        </w:rPr>
        <w:t xml:space="preserve"> </w:t>
      </w:r>
    </w:p>
    <w:p w14:paraId="280F5E78" w14:textId="28960A07" w:rsidR="00421B9C" w:rsidRPr="00421B9C" w:rsidRDefault="00421B9C" w:rsidP="009C10BE">
      <w:pPr>
        <w:pStyle w:val="NoSpacing"/>
        <w:spacing w:line="360" w:lineRule="auto"/>
        <w:ind w:left="630" w:hanging="630"/>
        <w:jc w:val="both"/>
        <w:rPr>
          <w:rFonts w:ascii="Times New Roman" w:hAnsi="Times New Roman" w:cs="Times New Roman"/>
          <w:sz w:val="24"/>
          <w:szCs w:val="24"/>
          <w:lang w:val="en-US"/>
        </w:rPr>
      </w:pPr>
      <w:r w:rsidRPr="00421B9C">
        <w:rPr>
          <w:rFonts w:ascii="Times New Roman" w:hAnsi="Times New Roman" w:cs="Times New Roman"/>
          <w:sz w:val="24"/>
          <w:szCs w:val="24"/>
          <w:shd w:val="clear" w:color="auto" w:fill="FFFFFF"/>
          <w:lang w:val="en-US"/>
        </w:rPr>
        <w:t xml:space="preserve">Zhang, D., Hu, M., </w:t>
      </w:r>
      <w:r w:rsidR="007C73BA">
        <w:rPr>
          <w:rFonts w:ascii="Times New Roman" w:hAnsi="Times New Roman" w:cs="Times New Roman"/>
          <w:sz w:val="24"/>
          <w:szCs w:val="24"/>
          <w:shd w:val="clear" w:color="auto" w:fill="FFFFFF"/>
          <w:lang w:val="en-US"/>
        </w:rPr>
        <w:t>and</w:t>
      </w:r>
      <w:r w:rsidRPr="00421B9C">
        <w:rPr>
          <w:rFonts w:ascii="Times New Roman" w:hAnsi="Times New Roman" w:cs="Times New Roman"/>
          <w:sz w:val="24"/>
          <w:szCs w:val="24"/>
          <w:shd w:val="clear" w:color="auto" w:fill="FFFFFF"/>
          <w:lang w:val="en-US"/>
        </w:rPr>
        <w:t xml:space="preserve"> Ji, Q. (2020). </w:t>
      </w:r>
      <w:r w:rsidR="007C73BA">
        <w:rPr>
          <w:rFonts w:ascii="Times New Roman" w:hAnsi="Times New Roman" w:cs="Times New Roman"/>
          <w:sz w:val="24"/>
          <w:szCs w:val="24"/>
          <w:shd w:val="clear" w:color="auto" w:fill="FFFFFF"/>
          <w:lang w:val="en-US"/>
        </w:rPr>
        <w:t>“</w:t>
      </w:r>
      <w:r w:rsidRPr="00421B9C">
        <w:rPr>
          <w:rFonts w:ascii="Times New Roman" w:hAnsi="Times New Roman" w:cs="Times New Roman"/>
          <w:sz w:val="24"/>
          <w:szCs w:val="24"/>
          <w:shd w:val="clear" w:color="auto" w:fill="FFFFFF"/>
          <w:lang w:val="en-US"/>
        </w:rPr>
        <w:t xml:space="preserve">Financial </w:t>
      </w:r>
      <w:r w:rsidR="007C73BA">
        <w:rPr>
          <w:rFonts w:ascii="Times New Roman" w:hAnsi="Times New Roman" w:cs="Times New Roman"/>
          <w:sz w:val="24"/>
          <w:szCs w:val="24"/>
          <w:shd w:val="clear" w:color="auto" w:fill="FFFFFF"/>
          <w:lang w:val="en-US"/>
        </w:rPr>
        <w:t>M</w:t>
      </w:r>
      <w:r w:rsidRPr="00421B9C">
        <w:rPr>
          <w:rFonts w:ascii="Times New Roman" w:hAnsi="Times New Roman" w:cs="Times New Roman"/>
          <w:sz w:val="24"/>
          <w:szCs w:val="24"/>
          <w:shd w:val="clear" w:color="auto" w:fill="FFFFFF"/>
          <w:lang w:val="en-US"/>
        </w:rPr>
        <w:t xml:space="preserve">arkets </w:t>
      </w:r>
      <w:r w:rsidR="007C73BA">
        <w:rPr>
          <w:rFonts w:ascii="Times New Roman" w:hAnsi="Times New Roman" w:cs="Times New Roman"/>
          <w:sz w:val="24"/>
          <w:szCs w:val="24"/>
          <w:shd w:val="clear" w:color="auto" w:fill="FFFFFF"/>
          <w:lang w:val="en-US"/>
        </w:rPr>
        <w:t>U</w:t>
      </w:r>
      <w:r w:rsidRPr="00421B9C">
        <w:rPr>
          <w:rFonts w:ascii="Times New Roman" w:hAnsi="Times New Roman" w:cs="Times New Roman"/>
          <w:sz w:val="24"/>
          <w:szCs w:val="24"/>
          <w:shd w:val="clear" w:color="auto" w:fill="FFFFFF"/>
          <w:lang w:val="en-US"/>
        </w:rPr>
        <w:t xml:space="preserve">nder the </w:t>
      </w:r>
      <w:r w:rsidR="007C73BA">
        <w:rPr>
          <w:rFonts w:ascii="Times New Roman" w:hAnsi="Times New Roman" w:cs="Times New Roman"/>
          <w:sz w:val="24"/>
          <w:szCs w:val="24"/>
          <w:shd w:val="clear" w:color="auto" w:fill="FFFFFF"/>
          <w:lang w:val="en-US"/>
        </w:rPr>
        <w:t>G</w:t>
      </w:r>
      <w:r w:rsidRPr="00421B9C">
        <w:rPr>
          <w:rFonts w:ascii="Times New Roman" w:hAnsi="Times New Roman" w:cs="Times New Roman"/>
          <w:sz w:val="24"/>
          <w:szCs w:val="24"/>
          <w:shd w:val="clear" w:color="auto" w:fill="FFFFFF"/>
          <w:lang w:val="en-US"/>
        </w:rPr>
        <w:t xml:space="preserve">lobal </w:t>
      </w:r>
      <w:r w:rsidR="007C73BA">
        <w:rPr>
          <w:rFonts w:ascii="Times New Roman" w:hAnsi="Times New Roman" w:cs="Times New Roman"/>
          <w:sz w:val="24"/>
          <w:szCs w:val="24"/>
          <w:shd w:val="clear" w:color="auto" w:fill="FFFFFF"/>
          <w:lang w:val="en-US"/>
        </w:rPr>
        <w:t>P</w:t>
      </w:r>
      <w:r w:rsidRPr="00421B9C">
        <w:rPr>
          <w:rFonts w:ascii="Times New Roman" w:hAnsi="Times New Roman" w:cs="Times New Roman"/>
          <w:sz w:val="24"/>
          <w:szCs w:val="24"/>
          <w:shd w:val="clear" w:color="auto" w:fill="FFFFFF"/>
          <w:lang w:val="en-US"/>
        </w:rPr>
        <w:t>andemic of COVID-19.</w:t>
      </w:r>
      <w:r w:rsidR="007C73BA">
        <w:rPr>
          <w:rFonts w:ascii="Times New Roman" w:hAnsi="Times New Roman" w:cs="Times New Roman"/>
          <w:sz w:val="24"/>
          <w:szCs w:val="24"/>
          <w:shd w:val="clear" w:color="auto" w:fill="FFFFFF"/>
          <w:lang w:val="en-US"/>
        </w:rPr>
        <w:t>”</w:t>
      </w:r>
      <w:r w:rsidRPr="00421B9C">
        <w:rPr>
          <w:rFonts w:ascii="Times New Roman" w:hAnsi="Times New Roman" w:cs="Times New Roman"/>
          <w:sz w:val="24"/>
          <w:szCs w:val="24"/>
          <w:shd w:val="clear" w:color="auto" w:fill="FFFFFF"/>
          <w:lang w:val="en-US"/>
        </w:rPr>
        <w:t xml:space="preserve"> </w:t>
      </w:r>
      <w:r w:rsidRPr="00421B9C">
        <w:rPr>
          <w:rFonts w:ascii="Times New Roman" w:hAnsi="Times New Roman" w:cs="Times New Roman"/>
          <w:i/>
          <w:iCs/>
          <w:sz w:val="24"/>
          <w:szCs w:val="24"/>
          <w:lang w:val="en-US"/>
        </w:rPr>
        <w:t>Finance Research Letters</w:t>
      </w:r>
      <w:r w:rsidR="009609B4">
        <w:rPr>
          <w:rFonts w:ascii="Times New Roman" w:hAnsi="Times New Roman" w:cs="Times New Roman"/>
          <w:i/>
          <w:iCs/>
          <w:sz w:val="24"/>
          <w:szCs w:val="24"/>
          <w:lang w:val="en-US"/>
        </w:rPr>
        <w:t xml:space="preserve"> (forthcoming)</w:t>
      </w:r>
      <w:r w:rsidRPr="00421B9C">
        <w:rPr>
          <w:rFonts w:ascii="Times New Roman" w:hAnsi="Times New Roman" w:cs="Times New Roman"/>
          <w:sz w:val="24"/>
          <w:szCs w:val="24"/>
          <w:shd w:val="clear" w:color="auto" w:fill="FFFFFF"/>
          <w:lang w:val="en-US"/>
        </w:rPr>
        <w:t>.</w:t>
      </w:r>
    </w:p>
    <w:p w14:paraId="70A7E148" w14:textId="0F947278" w:rsidR="00421B9C" w:rsidRPr="007C73BA" w:rsidRDefault="00421B9C" w:rsidP="00421B9C">
      <w:pPr>
        <w:pStyle w:val="NoSpacing"/>
        <w:spacing w:line="360" w:lineRule="auto"/>
        <w:ind w:left="630" w:hanging="630"/>
        <w:jc w:val="both"/>
        <w:rPr>
          <w:rFonts w:ascii="Times New Roman" w:hAnsi="Times New Roman" w:cs="Times New Roman"/>
          <w:color w:val="222222"/>
          <w:sz w:val="24"/>
          <w:szCs w:val="24"/>
          <w:shd w:val="clear" w:color="auto" w:fill="FFFFFF"/>
          <w:lang w:val="en-US"/>
        </w:rPr>
      </w:pPr>
      <w:r w:rsidRPr="00421B9C">
        <w:rPr>
          <w:rFonts w:ascii="Times New Roman" w:hAnsi="Times New Roman" w:cs="Times New Roman"/>
          <w:color w:val="222222"/>
          <w:sz w:val="24"/>
          <w:szCs w:val="24"/>
          <w:shd w:val="clear" w:color="auto" w:fill="FFFFFF"/>
          <w:lang w:val="en-US"/>
        </w:rPr>
        <w:t xml:space="preserve">Zhu, H., </w:t>
      </w:r>
      <w:proofErr w:type="spellStart"/>
      <w:r w:rsidRPr="00421B9C">
        <w:rPr>
          <w:rFonts w:ascii="Times New Roman" w:hAnsi="Times New Roman" w:cs="Times New Roman"/>
          <w:color w:val="222222"/>
          <w:sz w:val="24"/>
          <w:szCs w:val="24"/>
          <w:shd w:val="clear" w:color="auto" w:fill="FFFFFF"/>
          <w:lang w:val="en-US"/>
        </w:rPr>
        <w:t>Su</w:t>
      </w:r>
      <w:proofErr w:type="spellEnd"/>
      <w:r w:rsidRPr="00421B9C">
        <w:rPr>
          <w:rFonts w:ascii="Times New Roman" w:hAnsi="Times New Roman" w:cs="Times New Roman"/>
          <w:color w:val="222222"/>
          <w:sz w:val="24"/>
          <w:szCs w:val="24"/>
          <w:shd w:val="clear" w:color="auto" w:fill="FFFFFF"/>
          <w:lang w:val="en-US"/>
        </w:rPr>
        <w:t xml:space="preserve">, X., You, W., </w:t>
      </w:r>
      <w:r w:rsidR="007C73BA">
        <w:rPr>
          <w:rFonts w:ascii="Times New Roman" w:hAnsi="Times New Roman" w:cs="Times New Roman"/>
          <w:color w:val="222222"/>
          <w:sz w:val="24"/>
          <w:szCs w:val="24"/>
          <w:shd w:val="clear" w:color="auto" w:fill="FFFFFF"/>
          <w:lang w:val="en-US"/>
        </w:rPr>
        <w:t>and</w:t>
      </w:r>
      <w:r w:rsidRPr="00421B9C">
        <w:rPr>
          <w:rFonts w:ascii="Times New Roman" w:hAnsi="Times New Roman" w:cs="Times New Roman"/>
          <w:color w:val="222222"/>
          <w:sz w:val="24"/>
          <w:szCs w:val="24"/>
          <w:shd w:val="clear" w:color="auto" w:fill="FFFFFF"/>
          <w:lang w:val="en-US"/>
        </w:rPr>
        <w:t xml:space="preserve"> Ren, Y. (2017). </w:t>
      </w:r>
      <w:r w:rsidR="007C73BA">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xml:space="preserve">Asymmetric </w:t>
      </w:r>
      <w:r w:rsidR="007C73BA">
        <w:rPr>
          <w:rFonts w:ascii="Times New Roman" w:hAnsi="Times New Roman" w:cs="Times New Roman"/>
          <w:color w:val="222222"/>
          <w:sz w:val="24"/>
          <w:szCs w:val="24"/>
          <w:shd w:val="clear" w:color="auto" w:fill="FFFFFF"/>
          <w:lang w:val="en-US"/>
        </w:rPr>
        <w:t>E</w:t>
      </w:r>
      <w:r w:rsidRPr="00421B9C">
        <w:rPr>
          <w:rFonts w:ascii="Times New Roman" w:hAnsi="Times New Roman" w:cs="Times New Roman"/>
          <w:color w:val="222222"/>
          <w:sz w:val="24"/>
          <w:szCs w:val="24"/>
          <w:shd w:val="clear" w:color="auto" w:fill="FFFFFF"/>
          <w:lang w:val="en-US"/>
        </w:rPr>
        <w:t xml:space="preserve">ffects of </w:t>
      </w:r>
      <w:r w:rsidR="007C73BA">
        <w:rPr>
          <w:rFonts w:ascii="Times New Roman" w:hAnsi="Times New Roman" w:cs="Times New Roman"/>
          <w:color w:val="222222"/>
          <w:sz w:val="24"/>
          <w:szCs w:val="24"/>
          <w:shd w:val="clear" w:color="auto" w:fill="FFFFFF"/>
          <w:lang w:val="en-US"/>
        </w:rPr>
        <w:t>O</w:t>
      </w:r>
      <w:r w:rsidRPr="00421B9C">
        <w:rPr>
          <w:rFonts w:ascii="Times New Roman" w:hAnsi="Times New Roman" w:cs="Times New Roman"/>
          <w:color w:val="222222"/>
          <w:sz w:val="24"/>
          <w:szCs w:val="24"/>
          <w:shd w:val="clear" w:color="auto" w:fill="FFFFFF"/>
          <w:lang w:val="en-US"/>
        </w:rPr>
        <w:t xml:space="preserve">il </w:t>
      </w:r>
      <w:r w:rsidR="007C73BA">
        <w:rPr>
          <w:rFonts w:ascii="Times New Roman" w:hAnsi="Times New Roman" w:cs="Times New Roman"/>
          <w:color w:val="222222"/>
          <w:sz w:val="24"/>
          <w:szCs w:val="24"/>
          <w:shd w:val="clear" w:color="auto" w:fill="FFFFFF"/>
          <w:lang w:val="en-US"/>
        </w:rPr>
        <w:t>P</w:t>
      </w:r>
      <w:r w:rsidRPr="00421B9C">
        <w:rPr>
          <w:rFonts w:ascii="Times New Roman" w:hAnsi="Times New Roman" w:cs="Times New Roman"/>
          <w:color w:val="222222"/>
          <w:sz w:val="24"/>
          <w:szCs w:val="24"/>
          <w:shd w:val="clear" w:color="auto" w:fill="FFFFFF"/>
          <w:lang w:val="en-US"/>
        </w:rPr>
        <w:t xml:space="preserve">rice </w:t>
      </w:r>
      <w:r w:rsidR="007C73BA">
        <w:rPr>
          <w:rFonts w:ascii="Times New Roman" w:hAnsi="Times New Roman" w:cs="Times New Roman"/>
          <w:color w:val="222222"/>
          <w:sz w:val="24"/>
          <w:szCs w:val="24"/>
          <w:shd w:val="clear" w:color="auto" w:fill="FFFFFF"/>
          <w:lang w:val="en-US"/>
        </w:rPr>
        <w:t>S</w:t>
      </w:r>
      <w:r w:rsidRPr="00421B9C">
        <w:rPr>
          <w:rFonts w:ascii="Times New Roman" w:hAnsi="Times New Roman" w:cs="Times New Roman"/>
          <w:color w:val="222222"/>
          <w:sz w:val="24"/>
          <w:szCs w:val="24"/>
          <w:shd w:val="clear" w:color="auto" w:fill="FFFFFF"/>
          <w:lang w:val="en-US"/>
        </w:rPr>
        <w:t xml:space="preserve">hocks on </w:t>
      </w:r>
      <w:r w:rsidR="007C73BA">
        <w:rPr>
          <w:rFonts w:ascii="Times New Roman" w:hAnsi="Times New Roman" w:cs="Times New Roman"/>
          <w:color w:val="222222"/>
          <w:sz w:val="24"/>
          <w:szCs w:val="24"/>
          <w:shd w:val="clear" w:color="auto" w:fill="FFFFFF"/>
          <w:lang w:val="en-US"/>
        </w:rPr>
        <w:t>S</w:t>
      </w:r>
      <w:r w:rsidRPr="00421B9C">
        <w:rPr>
          <w:rFonts w:ascii="Times New Roman" w:hAnsi="Times New Roman" w:cs="Times New Roman"/>
          <w:color w:val="222222"/>
          <w:sz w:val="24"/>
          <w:szCs w:val="24"/>
          <w:shd w:val="clear" w:color="auto" w:fill="FFFFFF"/>
          <w:lang w:val="en-US"/>
        </w:rPr>
        <w:t xml:space="preserve">tock </w:t>
      </w:r>
      <w:r w:rsidR="007C73BA">
        <w:rPr>
          <w:rFonts w:ascii="Times New Roman" w:hAnsi="Times New Roman" w:cs="Times New Roman"/>
          <w:color w:val="222222"/>
          <w:sz w:val="24"/>
          <w:szCs w:val="24"/>
          <w:shd w:val="clear" w:color="auto" w:fill="FFFFFF"/>
          <w:lang w:val="en-US"/>
        </w:rPr>
        <w:t>R</w:t>
      </w:r>
      <w:r w:rsidRPr="00421B9C">
        <w:rPr>
          <w:rFonts w:ascii="Times New Roman" w:hAnsi="Times New Roman" w:cs="Times New Roman"/>
          <w:color w:val="222222"/>
          <w:sz w:val="24"/>
          <w:szCs w:val="24"/>
          <w:shd w:val="clear" w:color="auto" w:fill="FFFFFF"/>
          <w:lang w:val="en-US"/>
        </w:rPr>
        <w:t xml:space="preserve">eturns: </w:t>
      </w:r>
      <w:r w:rsidR="007C73BA">
        <w:rPr>
          <w:rFonts w:ascii="Times New Roman" w:hAnsi="Times New Roman" w:cs="Times New Roman"/>
          <w:color w:val="222222"/>
          <w:sz w:val="24"/>
          <w:szCs w:val="24"/>
          <w:shd w:val="clear" w:color="auto" w:fill="FFFFFF"/>
          <w:lang w:val="en-US"/>
        </w:rPr>
        <w:t>E</w:t>
      </w:r>
      <w:r w:rsidRPr="00421B9C">
        <w:rPr>
          <w:rFonts w:ascii="Times New Roman" w:hAnsi="Times New Roman" w:cs="Times New Roman"/>
          <w:color w:val="222222"/>
          <w:sz w:val="24"/>
          <w:szCs w:val="24"/>
          <w:shd w:val="clear" w:color="auto" w:fill="FFFFFF"/>
          <w:lang w:val="en-US"/>
        </w:rPr>
        <w:t xml:space="preserve">vidence from a </w:t>
      </w:r>
      <w:r w:rsidR="007C73BA">
        <w:rPr>
          <w:rFonts w:ascii="Times New Roman" w:hAnsi="Times New Roman" w:cs="Times New Roman"/>
          <w:color w:val="222222"/>
          <w:sz w:val="24"/>
          <w:szCs w:val="24"/>
          <w:shd w:val="clear" w:color="auto" w:fill="FFFFFF"/>
          <w:lang w:val="en-US"/>
        </w:rPr>
        <w:t>T</w:t>
      </w:r>
      <w:r w:rsidRPr="00421B9C">
        <w:rPr>
          <w:rFonts w:ascii="Times New Roman" w:hAnsi="Times New Roman" w:cs="Times New Roman"/>
          <w:color w:val="222222"/>
          <w:sz w:val="24"/>
          <w:szCs w:val="24"/>
          <w:shd w:val="clear" w:color="auto" w:fill="FFFFFF"/>
          <w:lang w:val="en-US"/>
        </w:rPr>
        <w:t>wo-</w:t>
      </w:r>
      <w:r w:rsidR="007C73BA">
        <w:rPr>
          <w:rFonts w:ascii="Times New Roman" w:hAnsi="Times New Roman" w:cs="Times New Roman"/>
          <w:color w:val="222222"/>
          <w:sz w:val="24"/>
          <w:szCs w:val="24"/>
          <w:shd w:val="clear" w:color="auto" w:fill="FFFFFF"/>
          <w:lang w:val="en-US"/>
        </w:rPr>
        <w:t>S</w:t>
      </w:r>
      <w:r w:rsidRPr="00421B9C">
        <w:rPr>
          <w:rFonts w:ascii="Times New Roman" w:hAnsi="Times New Roman" w:cs="Times New Roman"/>
          <w:color w:val="222222"/>
          <w:sz w:val="24"/>
          <w:szCs w:val="24"/>
          <w:shd w:val="clear" w:color="auto" w:fill="FFFFFF"/>
          <w:lang w:val="en-US"/>
        </w:rPr>
        <w:t xml:space="preserve">tage Markov </w:t>
      </w:r>
      <w:r w:rsidR="007C73BA">
        <w:rPr>
          <w:rFonts w:ascii="Times New Roman" w:hAnsi="Times New Roman" w:cs="Times New Roman"/>
          <w:color w:val="222222"/>
          <w:sz w:val="24"/>
          <w:szCs w:val="24"/>
          <w:shd w:val="clear" w:color="auto" w:fill="FFFFFF"/>
          <w:lang w:val="en-US"/>
        </w:rPr>
        <w:t>R</w:t>
      </w:r>
      <w:r w:rsidRPr="00421B9C">
        <w:rPr>
          <w:rFonts w:ascii="Times New Roman" w:hAnsi="Times New Roman" w:cs="Times New Roman"/>
          <w:color w:val="222222"/>
          <w:sz w:val="24"/>
          <w:szCs w:val="24"/>
          <w:shd w:val="clear" w:color="auto" w:fill="FFFFFF"/>
          <w:lang w:val="en-US"/>
        </w:rPr>
        <w:t>egime-</w:t>
      </w:r>
      <w:r w:rsidR="007C73BA">
        <w:rPr>
          <w:rFonts w:ascii="Times New Roman" w:hAnsi="Times New Roman" w:cs="Times New Roman"/>
          <w:color w:val="222222"/>
          <w:sz w:val="24"/>
          <w:szCs w:val="24"/>
          <w:shd w:val="clear" w:color="auto" w:fill="FFFFFF"/>
          <w:lang w:val="en-US"/>
        </w:rPr>
        <w:t>S</w:t>
      </w:r>
      <w:r w:rsidRPr="00421B9C">
        <w:rPr>
          <w:rFonts w:ascii="Times New Roman" w:hAnsi="Times New Roman" w:cs="Times New Roman"/>
          <w:color w:val="222222"/>
          <w:sz w:val="24"/>
          <w:szCs w:val="24"/>
          <w:shd w:val="clear" w:color="auto" w:fill="FFFFFF"/>
          <w:lang w:val="en-US"/>
        </w:rPr>
        <w:t xml:space="preserve">witching </w:t>
      </w:r>
      <w:r w:rsidR="007C73BA">
        <w:rPr>
          <w:rFonts w:ascii="Times New Roman" w:hAnsi="Times New Roman" w:cs="Times New Roman"/>
          <w:color w:val="222222"/>
          <w:sz w:val="24"/>
          <w:szCs w:val="24"/>
          <w:shd w:val="clear" w:color="auto" w:fill="FFFFFF"/>
          <w:lang w:val="en-US"/>
        </w:rPr>
        <w:t>A</w:t>
      </w:r>
      <w:r w:rsidRPr="00421B9C">
        <w:rPr>
          <w:rFonts w:ascii="Times New Roman" w:hAnsi="Times New Roman" w:cs="Times New Roman"/>
          <w:color w:val="222222"/>
          <w:sz w:val="24"/>
          <w:szCs w:val="24"/>
          <w:shd w:val="clear" w:color="auto" w:fill="FFFFFF"/>
          <w:lang w:val="en-US"/>
        </w:rPr>
        <w:t>pproach.</w:t>
      </w:r>
      <w:r w:rsidR="007C73BA">
        <w:rPr>
          <w:rFonts w:ascii="Times New Roman" w:hAnsi="Times New Roman" w:cs="Times New Roman"/>
          <w:color w:val="222222"/>
          <w:sz w:val="24"/>
          <w:szCs w:val="24"/>
          <w:shd w:val="clear" w:color="auto" w:fill="FFFFFF"/>
          <w:lang w:val="en-US"/>
        </w:rPr>
        <w:t>”</w:t>
      </w:r>
      <w:r w:rsidRPr="00421B9C">
        <w:rPr>
          <w:rFonts w:ascii="Times New Roman" w:hAnsi="Times New Roman" w:cs="Times New Roman"/>
          <w:color w:val="222222"/>
          <w:sz w:val="24"/>
          <w:szCs w:val="24"/>
          <w:shd w:val="clear" w:color="auto" w:fill="FFFFFF"/>
          <w:lang w:val="en-US"/>
        </w:rPr>
        <w:t> </w:t>
      </w:r>
      <w:r w:rsidRPr="007C73BA">
        <w:rPr>
          <w:rFonts w:ascii="Times New Roman" w:hAnsi="Times New Roman" w:cs="Times New Roman"/>
          <w:i/>
          <w:iCs/>
          <w:color w:val="222222"/>
          <w:sz w:val="24"/>
          <w:szCs w:val="24"/>
          <w:shd w:val="clear" w:color="auto" w:fill="FFFFFF"/>
          <w:lang w:val="en-US"/>
        </w:rPr>
        <w:t>Applied Economics</w:t>
      </w:r>
      <w:r w:rsidRPr="007C73BA">
        <w:rPr>
          <w:rFonts w:ascii="Times New Roman" w:hAnsi="Times New Roman" w:cs="Times New Roman"/>
          <w:color w:val="222222"/>
          <w:sz w:val="24"/>
          <w:szCs w:val="24"/>
          <w:shd w:val="clear" w:color="auto" w:fill="FFFFFF"/>
          <w:lang w:val="en-US"/>
        </w:rPr>
        <w:t> 49</w:t>
      </w:r>
      <w:r w:rsidR="009609B4">
        <w:rPr>
          <w:rFonts w:ascii="Times New Roman" w:hAnsi="Times New Roman" w:cs="Times New Roman"/>
          <w:color w:val="222222"/>
          <w:sz w:val="24"/>
          <w:szCs w:val="24"/>
          <w:shd w:val="clear" w:color="auto" w:fill="FFFFFF"/>
          <w:lang w:val="en-US"/>
        </w:rPr>
        <w:t>(16)</w:t>
      </w:r>
      <w:r w:rsidR="007C73BA">
        <w:rPr>
          <w:rFonts w:ascii="Times New Roman" w:hAnsi="Times New Roman" w:cs="Times New Roman"/>
          <w:color w:val="222222"/>
          <w:sz w:val="24"/>
          <w:szCs w:val="24"/>
          <w:shd w:val="clear" w:color="auto" w:fill="FFFFFF"/>
          <w:lang w:val="en-US"/>
        </w:rPr>
        <w:t>:</w:t>
      </w:r>
      <w:r w:rsidRPr="007C73BA">
        <w:rPr>
          <w:rFonts w:ascii="Times New Roman" w:hAnsi="Times New Roman" w:cs="Times New Roman"/>
          <w:color w:val="222222"/>
          <w:sz w:val="24"/>
          <w:szCs w:val="24"/>
          <w:shd w:val="clear" w:color="auto" w:fill="FFFFFF"/>
          <w:lang w:val="en-US"/>
        </w:rPr>
        <w:t xml:space="preserve"> 2491-2507.</w:t>
      </w:r>
    </w:p>
    <w:p w14:paraId="4F1759D3" w14:textId="77777777" w:rsidR="008D7C0F" w:rsidRPr="00421B9C" w:rsidRDefault="008D7C0F" w:rsidP="008D7C0F">
      <w:pPr>
        <w:spacing w:line="360" w:lineRule="auto"/>
        <w:jc w:val="both"/>
        <w:rPr>
          <w:rFonts w:ascii="Times New Roman" w:hAnsi="Times New Roman" w:cs="Times New Roman"/>
          <w:color w:val="222222"/>
          <w:sz w:val="24"/>
          <w:szCs w:val="24"/>
          <w:shd w:val="clear" w:color="auto" w:fill="FFFFFF"/>
          <w:lang w:val="en-US"/>
        </w:rPr>
      </w:pPr>
    </w:p>
    <w:sectPr w:rsidR="008D7C0F" w:rsidRPr="00421B9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EF4E8B" w14:textId="77777777" w:rsidR="00891805" w:rsidRDefault="00891805" w:rsidP="00AB35AD">
      <w:pPr>
        <w:spacing w:after="0" w:line="240" w:lineRule="auto"/>
      </w:pPr>
      <w:r>
        <w:separator/>
      </w:r>
    </w:p>
  </w:endnote>
  <w:endnote w:type="continuationSeparator" w:id="0">
    <w:p w14:paraId="0564EBC3" w14:textId="77777777" w:rsidR="00891805" w:rsidRDefault="00891805" w:rsidP="00AB3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97A05" w14:textId="77777777" w:rsidR="0037696A" w:rsidRDefault="003769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4354" w14:textId="40145CDE" w:rsidR="0037696A" w:rsidRDefault="0037696A">
    <w:pPr>
      <w:pStyle w:val="Footer"/>
    </w:pPr>
    <w:r>
      <w:rPr>
        <w:noProof/>
      </w:rPr>
      <mc:AlternateContent>
        <mc:Choice Requires="wps">
          <w:drawing>
            <wp:anchor distT="0" distB="0" distL="114300" distR="114300" simplePos="0" relativeHeight="251659264" behindDoc="0" locked="0" layoutInCell="0" allowOverlap="1" wp14:anchorId="683B91AE" wp14:editId="68378D2B">
              <wp:simplePos x="0" y="0"/>
              <wp:positionH relativeFrom="page">
                <wp:posOffset>0</wp:posOffset>
              </wp:positionH>
              <wp:positionV relativeFrom="page">
                <wp:posOffset>10234930</wp:posOffset>
              </wp:positionV>
              <wp:extent cx="7560310" cy="266700"/>
              <wp:effectExtent l="0" t="0" r="0" b="0"/>
              <wp:wrapNone/>
              <wp:docPr id="1" name="MSIPCM46e342ceb01e54fee9fc63a2"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9D9B6B" w14:textId="6A9355A5" w:rsidR="0037696A" w:rsidRPr="008707FA" w:rsidRDefault="0037696A" w:rsidP="008707FA">
                          <w:pPr>
                            <w:spacing w:after="0"/>
                            <w:rPr>
                              <w:rFonts w:ascii="Calibri" w:hAnsi="Calibri" w:cs="Calibri"/>
                              <w:color w:val="000000"/>
                              <w:sz w:val="24"/>
                            </w:rPr>
                          </w:pPr>
                          <w:r w:rsidRPr="008707FA">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83B91AE" id="_x0000_t202" coordsize="21600,21600" o:spt="202" path="m,l,21600r21600,l21600,xe">
              <v:stroke joinstyle="miter"/>
              <v:path gradientshapeok="t" o:connecttype="rect"/>
            </v:shapetype>
            <v:shape id="MSIPCM46e342ceb01e54fee9fc63a2"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" o:allowincell="f" filled="f" stroked="f" strokeweight=".5pt">
              <v:textbox inset="20pt,0,,0">
                <w:txbxContent>
                  <w:p w14:paraId="649D9B6B" w14:textId="6A9355A5" w:rsidR="00F53415" w:rsidRPr="008707FA" w:rsidRDefault="00F53415" w:rsidP="008707FA">
                    <w:pPr>
                      <w:spacing w:after="0"/>
                      <w:rPr>
                        <w:rFonts w:ascii="Calibri" w:hAnsi="Calibri" w:cs="Calibri"/>
                        <w:color w:val="000000"/>
                        <w:sz w:val="24"/>
                      </w:rPr>
                    </w:pPr>
                    <w:r w:rsidRPr="008707FA">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63641" w14:textId="77777777" w:rsidR="0037696A" w:rsidRDefault="0037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8DEB1" w14:textId="77777777" w:rsidR="00891805" w:rsidRDefault="00891805" w:rsidP="00AB35AD">
      <w:pPr>
        <w:spacing w:after="0" w:line="240" w:lineRule="auto"/>
      </w:pPr>
      <w:r>
        <w:separator/>
      </w:r>
    </w:p>
  </w:footnote>
  <w:footnote w:type="continuationSeparator" w:id="0">
    <w:p w14:paraId="3345AC41" w14:textId="77777777" w:rsidR="00891805" w:rsidRDefault="00891805" w:rsidP="00AB35AD">
      <w:pPr>
        <w:spacing w:after="0" w:line="240" w:lineRule="auto"/>
      </w:pPr>
      <w:r>
        <w:continuationSeparator/>
      </w:r>
    </w:p>
  </w:footnote>
  <w:footnote w:id="1">
    <w:p w14:paraId="5D7D129A" w14:textId="77777777" w:rsidR="0037696A" w:rsidRPr="00BE5B44" w:rsidRDefault="0037696A" w:rsidP="00BE5B44">
      <w:pPr>
        <w:pStyle w:val="FootnoteText"/>
        <w:jc w:val="both"/>
        <w:rPr>
          <w:rFonts w:ascii="Times New Roman" w:hAnsi="Times New Roman" w:cs="Times New Roman"/>
          <w:lang w:val="en-GB"/>
        </w:rPr>
      </w:pPr>
      <w:r w:rsidRPr="008613D1">
        <w:rPr>
          <w:rStyle w:val="FootnoteReference"/>
          <w:rFonts w:ascii="Times New Roman" w:hAnsi="Times New Roman" w:cs="Times New Roman"/>
        </w:rPr>
        <w:footnoteRef/>
      </w:r>
      <w:r w:rsidRPr="008613D1">
        <w:rPr>
          <w:rFonts w:ascii="Times New Roman" w:hAnsi="Times New Roman" w:cs="Times New Roman"/>
        </w:rPr>
        <w:t xml:space="preserve"> </w:t>
      </w:r>
      <w:r w:rsidRPr="00BE5B44">
        <w:rPr>
          <w:rFonts w:ascii="Times New Roman" w:hAnsi="Times New Roman" w:cs="Times New Roman"/>
        </w:rPr>
        <w:t>https://blogs.imf.org/2020/04/14/the-great-lockdown-worst-economic-downturn-since-the-great-depression/</w:t>
      </w:r>
    </w:p>
  </w:footnote>
  <w:footnote w:id="2">
    <w:p w14:paraId="23DA84EC" w14:textId="4E2BFC90" w:rsidR="0037696A" w:rsidRPr="0020501D" w:rsidRDefault="0037696A" w:rsidP="00BE5B44">
      <w:pPr>
        <w:pStyle w:val="FootnoteText"/>
        <w:jc w:val="both"/>
        <w:rPr>
          <w:lang w:val="en-GB"/>
        </w:rPr>
      </w:pPr>
      <w:r w:rsidRPr="00BE5B44">
        <w:rPr>
          <w:rStyle w:val="FootnoteReference"/>
          <w:rFonts w:ascii="Times New Roman" w:hAnsi="Times New Roman" w:cs="Times New Roman"/>
        </w:rPr>
        <w:footnoteRef/>
      </w:r>
      <w:r w:rsidRPr="00BE5B44">
        <w:rPr>
          <w:rFonts w:ascii="Times New Roman" w:hAnsi="Times New Roman" w:cs="Times New Roman"/>
          <w:sz w:val="18"/>
          <w:szCs w:val="18"/>
          <w:lang w:val="en-US"/>
        </w:rPr>
        <w:t xml:space="preserve"> </w:t>
      </w:r>
      <w:r w:rsidRPr="00BE5B44">
        <w:rPr>
          <w:rFonts w:ascii="Times New Roman" w:hAnsi="Times New Roman" w:cs="Times New Roman"/>
          <w:sz w:val="18"/>
          <w:szCs w:val="18"/>
          <w:lang w:val="en-GB"/>
        </w:rPr>
        <w:t xml:space="preserve">In a recent survey, </w:t>
      </w:r>
      <w:r w:rsidRPr="00BE5B44">
        <w:rPr>
          <w:rFonts w:ascii="Times New Roman" w:hAnsi="Times New Roman" w:cs="Times New Roman"/>
          <w:color w:val="222222"/>
          <w:sz w:val="18"/>
          <w:szCs w:val="18"/>
          <w:shd w:val="clear" w:color="auto" w:fill="FFFFFF"/>
          <w:lang w:val="en-US"/>
        </w:rPr>
        <w:t>Goodell (2020)</w:t>
      </w:r>
      <w:r w:rsidRPr="00BE5B44">
        <w:rPr>
          <w:rFonts w:ascii="Times New Roman" w:hAnsi="Times New Roman" w:cs="Times New Roman"/>
          <w:color w:val="222222"/>
          <w:sz w:val="18"/>
          <w:szCs w:val="18"/>
          <w:shd w:val="clear" w:color="auto" w:fill="FFFFFF"/>
          <w:lang w:val="en-GB"/>
        </w:rPr>
        <w:t xml:space="preserve"> finds</w:t>
      </w:r>
      <w:r w:rsidRPr="0020501D">
        <w:rPr>
          <w:rFonts w:ascii="Times New Roman" w:hAnsi="Times New Roman" w:cs="Times New Roman"/>
          <w:color w:val="222222"/>
          <w:sz w:val="18"/>
          <w:szCs w:val="18"/>
          <w:shd w:val="clear" w:color="auto" w:fill="FFFFFF"/>
          <w:lang w:val="en-GB"/>
        </w:rPr>
        <w:t xml:space="preserve"> that the research on the effects of pandemics is seriously limited.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A506" w14:textId="77777777" w:rsidR="0037696A" w:rsidRDefault="003769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626867"/>
      <w:docPartObj>
        <w:docPartGallery w:val="Page Numbers (Top of Page)"/>
        <w:docPartUnique/>
      </w:docPartObj>
    </w:sdtPr>
    <w:sdtEndPr>
      <w:rPr>
        <w:noProof/>
      </w:rPr>
    </w:sdtEndPr>
    <w:sdtContent>
      <w:p w14:paraId="30CC6CBE" w14:textId="679D13DE" w:rsidR="0037696A" w:rsidRDefault="0037696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3F2C309" w14:textId="77777777" w:rsidR="0037696A" w:rsidRDefault="003769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EF1E1" w14:textId="77777777" w:rsidR="0037696A" w:rsidRDefault="003769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F15A7"/>
    <w:multiLevelType w:val="hybridMultilevel"/>
    <w:tmpl w:val="A1A238FE"/>
    <w:lvl w:ilvl="0" w:tplc="59DE023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DB52E1A"/>
    <w:multiLevelType w:val="hybridMultilevel"/>
    <w:tmpl w:val="0D98E018"/>
    <w:lvl w:ilvl="0" w:tplc="F314106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4373432F"/>
    <w:multiLevelType w:val="hybridMultilevel"/>
    <w:tmpl w:val="7C8A1836"/>
    <w:lvl w:ilvl="0" w:tplc="6580623E">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3" w15:restartNumberingAfterBreak="0">
    <w:nsid w:val="578374EF"/>
    <w:multiLevelType w:val="multilevel"/>
    <w:tmpl w:val="6E5E9420"/>
    <w:lvl w:ilvl="0">
      <w:start w:val="1"/>
      <w:numFmt w:val="decimal"/>
      <w:pStyle w:val="Heading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B4763A5"/>
    <w:multiLevelType w:val="hybridMultilevel"/>
    <w:tmpl w:val="98D6AF84"/>
    <w:lvl w:ilvl="0" w:tplc="11204FF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6BF30B19"/>
    <w:multiLevelType w:val="hybridMultilevel"/>
    <w:tmpl w:val="2E888AB4"/>
    <w:lvl w:ilvl="0" w:tplc="EDB009F4">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52C729D"/>
    <w:multiLevelType w:val="hybridMultilevel"/>
    <w:tmpl w:val="E5D02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0F"/>
    <w:rsid w:val="000137B2"/>
    <w:rsid w:val="000216C0"/>
    <w:rsid w:val="00024043"/>
    <w:rsid w:val="0002789A"/>
    <w:rsid w:val="000278B0"/>
    <w:rsid w:val="00031488"/>
    <w:rsid w:val="00046CFF"/>
    <w:rsid w:val="0005065E"/>
    <w:rsid w:val="00061C3E"/>
    <w:rsid w:val="00063DA0"/>
    <w:rsid w:val="000649F3"/>
    <w:rsid w:val="0007369E"/>
    <w:rsid w:val="000777BF"/>
    <w:rsid w:val="000B08F5"/>
    <w:rsid w:val="000B2953"/>
    <w:rsid w:val="000B6D48"/>
    <w:rsid w:val="000B7E93"/>
    <w:rsid w:val="000D3E83"/>
    <w:rsid w:val="000F30D9"/>
    <w:rsid w:val="00104D89"/>
    <w:rsid w:val="001079EB"/>
    <w:rsid w:val="00125633"/>
    <w:rsid w:val="001271F4"/>
    <w:rsid w:val="001303E9"/>
    <w:rsid w:val="00134AC2"/>
    <w:rsid w:val="001363F9"/>
    <w:rsid w:val="00140425"/>
    <w:rsid w:val="00150857"/>
    <w:rsid w:val="0015215B"/>
    <w:rsid w:val="001563BA"/>
    <w:rsid w:val="001667E6"/>
    <w:rsid w:val="001A1AE5"/>
    <w:rsid w:val="001A2BFE"/>
    <w:rsid w:val="001D514A"/>
    <w:rsid w:val="001E19DA"/>
    <w:rsid w:val="001E3CF7"/>
    <w:rsid w:val="0020124D"/>
    <w:rsid w:val="0020501D"/>
    <w:rsid w:val="00205375"/>
    <w:rsid w:val="00207932"/>
    <w:rsid w:val="00210ABC"/>
    <w:rsid w:val="00212A17"/>
    <w:rsid w:val="00212B73"/>
    <w:rsid w:val="00226185"/>
    <w:rsid w:val="002356C7"/>
    <w:rsid w:val="00240E7C"/>
    <w:rsid w:val="00242D59"/>
    <w:rsid w:val="0024353B"/>
    <w:rsid w:val="00243A22"/>
    <w:rsid w:val="00245BBF"/>
    <w:rsid w:val="00252268"/>
    <w:rsid w:val="0026259B"/>
    <w:rsid w:val="002A4D79"/>
    <w:rsid w:val="002B1C6C"/>
    <w:rsid w:val="002B4268"/>
    <w:rsid w:val="002D2439"/>
    <w:rsid w:val="002D722C"/>
    <w:rsid w:val="002D775B"/>
    <w:rsid w:val="002E17E5"/>
    <w:rsid w:val="00303378"/>
    <w:rsid w:val="00304165"/>
    <w:rsid w:val="003141A7"/>
    <w:rsid w:val="00317812"/>
    <w:rsid w:val="00325851"/>
    <w:rsid w:val="00332A81"/>
    <w:rsid w:val="0037696A"/>
    <w:rsid w:val="00377042"/>
    <w:rsid w:val="00380BA9"/>
    <w:rsid w:val="00391736"/>
    <w:rsid w:val="0039593B"/>
    <w:rsid w:val="003B0A8D"/>
    <w:rsid w:val="0040607A"/>
    <w:rsid w:val="004105BA"/>
    <w:rsid w:val="0041399B"/>
    <w:rsid w:val="00420CA2"/>
    <w:rsid w:val="00421B9C"/>
    <w:rsid w:val="004454B7"/>
    <w:rsid w:val="004601B4"/>
    <w:rsid w:val="00461097"/>
    <w:rsid w:val="00491D4E"/>
    <w:rsid w:val="004A6E29"/>
    <w:rsid w:val="004B0A41"/>
    <w:rsid w:val="004D01B2"/>
    <w:rsid w:val="004D0FDA"/>
    <w:rsid w:val="004D3958"/>
    <w:rsid w:val="004E3245"/>
    <w:rsid w:val="004E7E7B"/>
    <w:rsid w:val="004F0393"/>
    <w:rsid w:val="0051063B"/>
    <w:rsid w:val="00512FE2"/>
    <w:rsid w:val="005205B9"/>
    <w:rsid w:val="0052448C"/>
    <w:rsid w:val="0053216A"/>
    <w:rsid w:val="00534EFC"/>
    <w:rsid w:val="005400A2"/>
    <w:rsid w:val="00562A20"/>
    <w:rsid w:val="005669B6"/>
    <w:rsid w:val="005757CF"/>
    <w:rsid w:val="00580588"/>
    <w:rsid w:val="00586A99"/>
    <w:rsid w:val="0059139D"/>
    <w:rsid w:val="00594CB9"/>
    <w:rsid w:val="00595450"/>
    <w:rsid w:val="00596885"/>
    <w:rsid w:val="005A20B3"/>
    <w:rsid w:val="005B2939"/>
    <w:rsid w:val="005D0BFE"/>
    <w:rsid w:val="005D572D"/>
    <w:rsid w:val="005E0E3E"/>
    <w:rsid w:val="005E1E2C"/>
    <w:rsid w:val="005F675A"/>
    <w:rsid w:val="00616BB3"/>
    <w:rsid w:val="00624BE6"/>
    <w:rsid w:val="006251B4"/>
    <w:rsid w:val="006336E5"/>
    <w:rsid w:val="00644243"/>
    <w:rsid w:val="00650F82"/>
    <w:rsid w:val="006567A3"/>
    <w:rsid w:val="00662904"/>
    <w:rsid w:val="0066407B"/>
    <w:rsid w:val="00670A04"/>
    <w:rsid w:val="00671681"/>
    <w:rsid w:val="00674723"/>
    <w:rsid w:val="00681E93"/>
    <w:rsid w:val="00686341"/>
    <w:rsid w:val="006A20F1"/>
    <w:rsid w:val="006C278B"/>
    <w:rsid w:val="006C6E45"/>
    <w:rsid w:val="006D5089"/>
    <w:rsid w:val="006D61E8"/>
    <w:rsid w:val="006F0110"/>
    <w:rsid w:val="00705423"/>
    <w:rsid w:val="00706B30"/>
    <w:rsid w:val="00730618"/>
    <w:rsid w:val="007347D5"/>
    <w:rsid w:val="007405BD"/>
    <w:rsid w:val="007419B7"/>
    <w:rsid w:val="00743F5D"/>
    <w:rsid w:val="007509EA"/>
    <w:rsid w:val="00753269"/>
    <w:rsid w:val="00760756"/>
    <w:rsid w:val="0078593B"/>
    <w:rsid w:val="007940C0"/>
    <w:rsid w:val="007A21BF"/>
    <w:rsid w:val="007B4E5F"/>
    <w:rsid w:val="007C0AC2"/>
    <w:rsid w:val="007C3A10"/>
    <w:rsid w:val="007C5CAD"/>
    <w:rsid w:val="007C73BA"/>
    <w:rsid w:val="007C7E0B"/>
    <w:rsid w:val="007D414B"/>
    <w:rsid w:val="00802487"/>
    <w:rsid w:val="00804054"/>
    <w:rsid w:val="00804394"/>
    <w:rsid w:val="00811367"/>
    <w:rsid w:val="00823BE5"/>
    <w:rsid w:val="00833E81"/>
    <w:rsid w:val="008466B3"/>
    <w:rsid w:val="008613D1"/>
    <w:rsid w:val="00865A59"/>
    <w:rsid w:val="008664E5"/>
    <w:rsid w:val="00867693"/>
    <w:rsid w:val="008707FA"/>
    <w:rsid w:val="00891805"/>
    <w:rsid w:val="0089262B"/>
    <w:rsid w:val="00894861"/>
    <w:rsid w:val="008B0C0D"/>
    <w:rsid w:val="008B3A38"/>
    <w:rsid w:val="008D19E7"/>
    <w:rsid w:val="008D72F7"/>
    <w:rsid w:val="008D7C0F"/>
    <w:rsid w:val="00902573"/>
    <w:rsid w:val="009053FE"/>
    <w:rsid w:val="0091232D"/>
    <w:rsid w:val="009126CC"/>
    <w:rsid w:val="00913BD9"/>
    <w:rsid w:val="00917037"/>
    <w:rsid w:val="00917CCB"/>
    <w:rsid w:val="009204DF"/>
    <w:rsid w:val="00936CA8"/>
    <w:rsid w:val="009422FB"/>
    <w:rsid w:val="0094243D"/>
    <w:rsid w:val="009430A7"/>
    <w:rsid w:val="00955010"/>
    <w:rsid w:val="009609B4"/>
    <w:rsid w:val="0098131F"/>
    <w:rsid w:val="0099534C"/>
    <w:rsid w:val="00997138"/>
    <w:rsid w:val="009A1AD2"/>
    <w:rsid w:val="009B5C3B"/>
    <w:rsid w:val="009B70AE"/>
    <w:rsid w:val="009B7AE5"/>
    <w:rsid w:val="009C0C9C"/>
    <w:rsid w:val="009C10BE"/>
    <w:rsid w:val="009D4207"/>
    <w:rsid w:val="009E5136"/>
    <w:rsid w:val="009F255E"/>
    <w:rsid w:val="009F7962"/>
    <w:rsid w:val="00A125E9"/>
    <w:rsid w:val="00A133C7"/>
    <w:rsid w:val="00A140B2"/>
    <w:rsid w:val="00A15D4A"/>
    <w:rsid w:val="00A17BEA"/>
    <w:rsid w:val="00A23E3A"/>
    <w:rsid w:val="00A34041"/>
    <w:rsid w:val="00A4344F"/>
    <w:rsid w:val="00A70284"/>
    <w:rsid w:val="00A70CE7"/>
    <w:rsid w:val="00A902B9"/>
    <w:rsid w:val="00A92632"/>
    <w:rsid w:val="00A92A55"/>
    <w:rsid w:val="00A9461A"/>
    <w:rsid w:val="00A95154"/>
    <w:rsid w:val="00AA08BE"/>
    <w:rsid w:val="00AA7148"/>
    <w:rsid w:val="00AB35AD"/>
    <w:rsid w:val="00AC05C9"/>
    <w:rsid w:val="00AC540B"/>
    <w:rsid w:val="00AE4119"/>
    <w:rsid w:val="00AF11D0"/>
    <w:rsid w:val="00AF1681"/>
    <w:rsid w:val="00AF3FD0"/>
    <w:rsid w:val="00AF4F2B"/>
    <w:rsid w:val="00AF5556"/>
    <w:rsid w:val="00B03E38"/>
    <w:rsid w:val="00B1550C"/>
    <w:rsid w:val="00B2536C"/>
    <w:rsid w:val="00B30429"/>
    <w:rsid w:val="00B43477"/>
    <w:rsid w:val="00B54305"/>
    <w:rsid w:val="00B564AE"/>
    <w:rsid w:val="00B70504"/>
    <w:rsid w:val="00B72E0A"/>
    <w:rsid w:val="00B82BBE"/>
    <w:rsid w:val="00B852B4"/>
    <w:rsid w:val="00BA1177"/>
    <w:rsid w:val="00BB1181"/>
    <w:rsid w:val="00BD4516"/>
    <w:rsid w:val="00BE15C9"/>
    <w:rsid w:val="00BE42B1"/>
    <w:rsid w:val="00BE471C"/>
    <w:rsid w:val="00BE5B44"/>
    <w:rsid w:val="00C0386D"/>
    <w:rsid w:val="00C0741D"/>
    <w:rsid w:val="00C13DE5"/>
    <w:rsid w:val="00C15F2D"/>
    <w:rsid w:val="00C3307B"/>
    <w:rsid w:val="00C505AB"/>
    <w:rsid w:val="00C52FDD"/>
    <w:rsid w:val="00C60787"/>
    <w:rsid w:val="00C62494"/>
    <w:rsid w:val="00C674B6"/>
    <w:rsid w:val="00C80780"/>
    <w:rsid w:val="00C81297"/>
    <w:rsid w:val="00C871A8"/>
    <w:rsid w:val="00C93601"/>
    <w:rsid w:val="00C97F96"/>
    <w:rsid w:val="00CB5362"/>
    <w:rsid w:val="00CB738E"/>
    <w:rsid w:val="00CC4299"/>
    <w:rsid w:val="00D2161B"/>
    <w:rsid w:val="00D3166C"/>
    <w:rsid w:val="00D33883"/>
    <w:rsid w:val="00D33EA3"/>
    <w:rsid w:val="00D4268A"/>
    <w:rsid w:val="00D46294"/>
    <w:rsid w:val="00D70AF8"/>
    <w:rsid w:val="00D80B30"/>
    <w:rsid w:val="00D87000"/>
    <w:rsid w:val="00D97630"/>
    <w:rsid w:val="00DB27AE"/>
    <w:rsid w:val="00DB42C6"/>
    <w:rsid w:val="00DC2361"/>
    <w:rsid w:val="00DD0637"/>
    <w:rsid w:val="00DD57B8"/>
    <w:rsid w:val="00DE1765"/>
    <w:rsid w:val="00DE38A8"/>
    <w:rsid w:val="00DF1CB7"/>
    <w:rsid w:val="00DF5E49"/>
    <w:rsid w:val="00E30030"/>
    <w:rsid w:val="00E406DB"/>
    <w:rsid w:val="00E40A08"/>
    <w:rsid w:val="00E4350E"/>
    <w:rsid w:val="00E81DE4"/>
    <w:rsid w:val="00E82417"/>
    <w:rsid w:val="00E939A1"/>
    <w:rsid w:val="00E9407F"/>
    <w:rsid w:val="00E96403"/>
    <w:rsid w:val="00E969AD"/>
    <w:rsid w:val="00EA78F0"/>
    <w:rsid w:val="00EB2751"/>
    <w:rsid w:val="00EB4342"/>
    <w:rsid w:val="00EC62CE"/>
    <w:rsid w:val="00F07CC5"/>
    <w:rsid w:val="00F14BA7"/>
    <w:rsid w:val="00F26C49"/>
    <w:rsid w:val="00F27B57"/>
    <w:rsid w:val="00F36275"/>
    <w:rsid w:val="00F53415"/>
    <w:rsid w:val="00F71AF0"/>
    <w:rsid w:val="00F958F3"/>
    <w:rsid w:val="00FA1A8E"/>
    <w:rsid w:val="00FA6C69"/>
    <w:rsid w:val="00FA73AD"/>
    <w:rsid w:val="00FB0DFA"/>
    <w:rsid w:val="00FB473F"/>
    <w:rsid w:val="00FD60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88985"/>
  <w15:chartTrackingRefBased/>
  <w15:docId w15:val="{3D4B18A5-035A-4F02-853B-5845390A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24043"/>
    <w:pPr>
      <w:keepNext/>
      <w:keepLines/>
      <w:numPr>
        <w:numId w:val="7"/>
      </w:numPr>
      <w:spacing w:before="240" w:after="240" w:line="240" w:lineRule="auto"/>
      <w:ind w:left="714" w:hanging="357"/>
      <w:outlineLvl w:val="0"/>
    </w:pPr>
    <w:rPr>
      <w:rFonts w:ascii="Times New Roman" w:eastAsiaTheme="majorEastAsia" w:hAnsi="Times New Roman" w:cstheme="majorBid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7C0F"/>
    <w:rPr>
      <w:color w:val="0563C1" w:themeColor="hyperlink"/>
      <w:u w:val="single"/>
    </w:rPr>
  </w:style>
  <w:style w:type="character" w:styleId="UnresolvedMention">
    <w:name w:val="Unresolved Mention"/>
    <w:basedOn w:val="DefaultParagraphFont"/>
    <w:uiPriority w:val="99"/>
    <w:semiHidden/>
    <w:unhideWhenUsed/>
    <w:rsid w:val="008D7C0F"/>
    <w:rPr>
      <w:color w:val="605E5C"/>
      <w:shd w:val="clear" w:color="auto" w:fill="E1DFDD"/>
    </w:rPr>
  </w:style>
  <w:style w:type="paragraph" w:styleId="BalloonText">
    <w:name w:val="Balloon Text"/>
    <w:basedOn w:val="Normal"/>
    <w:link w:val="BalloonTextChar"/>
    <w:uiPriority w:val="99"/>
    <w:semiHidden/>
    <w:unhideWhenUsed/>
    <w:rsid w:val="009971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38"/>
    <w:rPr>
      <w:rFonts w:ascii="Segoe UI" w:hAnsi="Segoe UI" w:cs="Segoe UI"/>
      <w:sz w:val="18"/>
      <w:szCs w:val="18"/>
    </w:rPr>
  </w:style>
  <w:style w:type="table" w:styleId="TableGrid">
    <w:name w:val="Table Grid"/>
    <w:basedOn w:val="TableNormal"/>
    <w:uiPriority w:val="39"/>
    <w:rsid w:val="00210A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4DF"/>
    <w:pPr>
      <w:ind w:left="720"/>
      <w:contextualSpacing/>
    </w:pPr>
  </w:style>
  <w:style w:type="paragraph" w:styleId="Header">
    <w:name w:val="header"/>
    <w:basedOn w:val="Normal"/>
    <w:link w:val="HeaderChar"/>
    <w:uiPriority w:val="99"/>
    <w:unhideWhenUsed/>
    <w:rsid w:val="00AB35AD"/>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35AD"/>
  </w:style>
  <w:style w:type="paragraph" w:styleId="Footer">
    <w:name w:val="footer"/>
    <w:basedOn w:val="Normal"/>
    <w:link w:val="FooterChar"/>
    <w:uiPriority w:val="99"/>
    <w:unhideWhenUsed/>
    <w:rsid w:val="00AB35AD"/>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35AD"/>
  </w:style>
  <w:style w:type="paragraph" w:styleId="NoSpacing">
    <w:name w:val="No Spacing"/>
    <w:uiPriority w:val="1"/>
    <w:qFormat/>
    <w:rsid w:val="00B43477"/>
    <w:pPr>
      <w:spacing w:after="0" w:line="240" w:lineRule="auto"/>
    </w:pPr>
  </w:style>
  <w:style w:type="character" w:customStyle="1" w:styleId="Heading1Char">
    <w:name w:val="Heading 1 Char"/>
    <w:basedOn w:val="DefaultParagraphFont"/>
    <w:link w:val="Heading1"/>
    <w:uiPriority w:val="9"/>
    <w:rsid w:val="00024043"/>
    <w:rPr>
      <w:rFonts w:ascii="Times New Roman" w:eastAsiaTheme="majorEastAsia" w:hAnsi="Times New Roman" w:cstheme="majorBidi"/>
      <w:b/>
      <w:bCs/>
      <w:sz w:val="24"/>
      <w:szCs w:val="24"/>
      <w:lang w:val="en-US"/>
    </w:rPr>
  </w:style>
  <w:style w:type="paragraph" w:styleId="FootnoteText">
    <w:name w:val="footnote text"/>
    <w:basedOn w:val="Normal"/>
    <w:link w:val="FootnoteTextChar"/>
    <w:uiPriority w:val="99"/>
    <w:semiHidden/>
    <w:unhideWhenUsed/>
    <w:rsid w:val="00B72E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72E0A"/>
    <w:rPr>
      <w:sz w:val="20"/>
      <w:szCs w:val="20"/>
    </w:rPr>
  </w:style>
  <w:style w:type="character" w:styleId="FootnoteReference">
    <w:name w:val="footnote reference"/>
    <w:basedOn w:val="DefaultParagraphFont"/>
    <w:uiPriority w:val="99"/>
    <w:semiHidden/>
    <w:unhideWhenUsed/>
    <w:rsid w:val="00B72E0A"/>
    <w:rPr>
      <w:vertAlign w:val="superscript"/>
    </w:rPr>
  </w:style>
  <w:style w:type="character" w:customStyle="1" w:styleId="year">
    <w:name w:val="year"/>
    <w:basedOn w:val="DefaultParagraphFont"/>
    <w:rsid w:val="00E406DB"/>
  </w:style>
  <w:style w:type="character" w:customStyle="1" w:styleId="Title1">
    <w:name w:val="Title1"/>
    <w:basedOn w:val="DefaultParagraphFont"/>
    <w:rsid w:val="00E406DB"/>
  </w:style>
  <w:style w:type="character" w:customStyle="1" w:styleId="journal">
    <w:name w:val="journal"/>
    <w:basedOn w:val="DefaultParagraphFont"/>
    <w:rsid w:val="00E406DB"/>
  </w:style>
  <w:style w:type="character" w:customStyle="1" w:styleId="vol">
    <w:name w:val="vol"/>
    <w:basedOn w:val="DefaultParagraphFont"/>
    <w:rsid w:val="00E406DB"/>
  </w:style>
  <w:style w:type="character" w:customStyle="1" w:styleId="pages">
    <w:name w:val="pages"/>
    <w:basedOn w:val="DefaultParagraphFont"/>
    <w:rsid w:val="00E406DB"/>
  </w:style>
  <w:style w:type="character" w:styleId="PlaceholderText">
    <w:name w:val="Placeholder Text"/>
    <w:basedOn w:val="DefaultParagraphFont"/>
    <w:uiPriority w:val="99"/>
    <w:semiHidden/>
    <w:rsid w:val="004F03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94678">
      <w:bodyDiv w:val="1"/>
      <w:marLeft w:val="0"/>
      <w:marRight w:val="0"/>
      <w:marTop w:val="0"/>
      <w:marBottom w:val="0"/>
      <w:divBdr>
        <w:top w:val="none" w:sz="0" w:space="0" w:color="auto"/>
        <w:left w:val="none" w:sz="0" w:space="0" w:color="auto"/>
        <w:bottom w:val="none" w:sz="0" w:space="0" w:color="auto"/>
        <w:right w:val="none" w:sz="0" w:space="0" w:color="auto"/>
      </w:divBdr>
    </w:div>
    <w:div w:id="604848597">
      <w:bodyDiv w:val="1"/>
      <w:marLeft w:val="0"/>
      <w:marRight w:val="0"/>
      <w:marTop w:val="0"/>
      <w:marBottom w:val="0"/>
      <w:divBdr>
        <w:top w:val="none" w:sz="0" w:space="0" w:color="auto"/>
        <w:left w:val="none" w:sz="0" w:space="0" w:color="auto"/>
        <w:bottom w:val="none" w:sz="0" w:space="0" w:color="auto"/>
        <w:right w:val="none" w:sz="0" w:space="0" w:color="auto"/>
      </w:divBdr>
    </w:div>
    <w:div w:id="605818756">
      <w:bodyDiv w:val="1"/>
      <w:marLeft w:val="0"/>
      <w:marRight w:val="0"/>
      <w:marTop w:val="0"/>
      <w:marBottom w:val="0"/>
      <w:divBdr>
        <w:top w:val="none" w:sz="0" w:space="0" w:color="auto"/>
        <w:left w:val="none" w:sz="0" w:space="0" w:color="auto"/>
        <w:bottom w:val="none" w:sz="0" w:space="0" w:color="auto"/>
        <w:right w:val="none" w:sz="0" w:space="0" w:color="auto"/>
      </w:divBdr>
    </w:div>
    <w:div w:id="897326300">
      <w:bodyDiv w:val="1"/>
      <w:marLeft w:val="0"/>
      <w:marRight w:val="0"/>
      <w:marTop w:val="0"/>
      <w:marBottom w:val="0"/>
      <w:divBdr>
        <w:top w:val="none" w:sz="0" w:space="0" w:color="auto"/>
        <w:left w:val="none" w:sz="0" w:space="0" w:color="auto"/>
        <w:bottom w:val="none" w:sz="0" w:space="0" w:color="auto"/>
        <w:right w:val="none" w:sz="0" w:space="0" w:color="auto"/>
      </w:divBdr>
    </w:div>
    <w:div w:id="933439137">
      <w:bodyDiv w:val="1"/>
      <w:marLeft w:val="0"/>
      <w:marRight w:val="0"/>
      <w:marTop w:val="0"/>
      <w:marBottom w:val="0"/>
      <w:divBdr>
        <w:top w:val="none" w:sz="0" w:space="0" w:color="auto"/>
        <w:left w:val="none" w:sz="0" w:space="0" w:color="auto"/>
        <w:bottom w:val="none" w:sz="0" w:space="0" w:color="auto"/>
        <w:right w:val="none" w:sz="0" w:space="0" w:color="auto"/>
      </w:divBdr>
    </w:div>
    <w:div w:id="1201433229">
      <w:bodyDiv w:val="1"/>
      <w:marLeft w:val="0"/>
      <w:marRight w:val="0"/>
      <w:marTop w:val="0"/>
      <w:marBottom w:val="0"/>
      <w:divBdr>
        <w:top w:val="none" w:sz="0" w:space="0" w:color="auto"/>
        <w:left w:val="none" w:sz="0" w:space="0" w:color="auto"/>
        <w:bottom w:val="none" w:sz="0" w:space="0" w:color="auto"/>
        <w:right w:val="none" w:sz="0" w:space="0" w:color="auto"/>
      </w:divBdr>
    </w:div>
    <w:div w:id="1214730955">
      <w:bodyDiv w:val="1"/>
      <w:marLeft w:val="0"/>
      <w:marRight w:val="0"/>
      <w:marTop w:val="0"/>
      <w:marBottom w:val="0"/>
      <w:divBdr>
        <w:top w:val="none" w:sz="0" w:space="0" w:color="auto"/>
        <w:left w:val="none" w:sz="0" w:space="0" w:color="auto"/>
        <w:bottom w:val="none" w:sz="0" w:space="0" w:color="auto"/>
        <w:right w:val="none" w:sz="0" w:space="0" w:color="auto"/>
      </w:divBdr>
    </w:div>
    <w:div w:id="1393888487">
      <w:bodyDiv w:val="1"/>
      <w:marLeft w:val="0"/>
      <w:marRight w:val="0"/>
      <w:marTop w:val="0"/>
      <w:marBottom w:val="0"/>
      <w:divBdr>
        <w:top w:val="none" w:sz="0" w:space="0" w:color="auto"/>
        <w:left w:val="none" w:sz="0" w:space="0" w:color="auto"/>
        <w:bottom w:val="none" w:sz="0" w:space="0" w:color="auto"/>
        <w:right w:val="none" w:sz="0" w:space="0" w:color="auto"/>
      </w:divBdr>
    </w:div>
    <w:div w:id="1720662534">
      <w:bodyDiv w:val="1"/>
      <w:marLeft w:val="0"/>
      <w:marRight w:val="0"/>
      <w:marTop w:val="0"/>
      <w:marBottom w:val="0"/>
      <w:divBdr>
        <w:top w:val="none" w:sz="0" w:space="0" w:color="auto"/>
        <w:left w:val="none" w:sz="0" w:space="0" w:color="auto"/>
        <w:bottom w:val="none" w:sz="0" w:space="0" w:color="auto"/>
        <w:right w:val="none" w:sz="0" w:space="0" w:color="auto"/>
      </w:divBdr>
    </w:div>
    <w:div w:id="213570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pergis@derby.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o.int/emergencies/diseases/novel-coronavirus-2019/situation-repor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okings.edu/blog/up-front/2020/03/20/the-economyand-policy-in-the-coronavirus-crisis-to-dat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who.int/emergencies/diseases/novel-coronavirus-2019/situationrepor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apergis@hud.ac.uk" TargetMode="External"/><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A7029-4732-46F2-958A-B2DEA61F7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17</Pages>
  <Words>4952</Words>
  <Characters>28230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napergis</dc:creator>
  <cp:keywords/>
  <dc:description/>
  <cp:lastModifiedBy>Nick Apergis</cp:lastModifiedBy>
  <cp:revision>21</cp:revision>
  <dcterms:created xsi:type="dcterms:W3CDTF">2020-05-24T18:06:00Z</dcterms:created>
  <dcterms:modified xsi:type="dcterms:W3CDTF">2020-08-08T08:08:00Z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786521@derby.ac.uk</vt:lpwstr>
  </property>
  <property fmtid="{D5CDD505-2E9C-101B-9397-08002B2CF9AE}" pid="5" name="MSIP_Label_b47d098f-2640-4837-b575-e0be04df0525_SetDate">
    <vt:lpwstr>2020-05-05T12:08:56.7535608Z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786521@derby.ac.uk</vt:lpwstr>
  </property>
  <property fmtid="{D5CDD505-2E9C-101B-9397-08002B2CF9AE}" pid="12" name="MSIP_Label_501a0944-9d81-4c75-b857-2ec7863455b7_SetDate">
    <vt:lpwstr>2020-05-05T12:08:56.7535608Z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