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637F6" w14:textId="77777777" w:rsidR="00F9225F" w:rsidRPr="00F9225F" w:rsidRDefault="00F9225F" w:rsidP="00F9225F">
      <w:pPr>
        <w:rPr>
          <w:b/>
          <w:sz w:val="24"/>
        </w:rPr>
      </w:pPr>
      <w:r w:rsidRPr="00F9225F">
        <w:rPr>
          <w:b/>
          <w:sz w:val="24"/>
        </w:rPr>
        <w:t>ABSTRACT</w:t>
      </w:r>
    </w:p>
    <w:p w14:paraId="326D8B2B" w14:textId="77777777" w:rsidR="00F9225F" w:rsidRPr="00F9225F" w:rsidRDefault="00F9225F" w:rsidP="00F9225F">
      <w:pPr>
        <w:rPr>
          <w:sz w:val="24"/>
        </w:rPr>
      </w:pPr>
    </w:p>
    <w:p w14:paraId="2F80D04E" w14:textId="77777777" w:rsidR="00F9225F" w:rsidRPr="00F9225F" w:rsidRDefault="00F9225F" w:rsidP="00F9225F">
      <w:pPr>
        <w:rPr>
          <w:sz w:val="24"/>
        </w:rPr>
      </w:pPr>
      <w:r w:rsidRPr="00F9225F">
        <w:rPr>
          <w:sz w:val="24"/>
        </w:rPr>
        <w:t>Rural coastal communities in the global south are mostly natural resource-dependent and their livelihoods are therefore vulnerable to the impacts of climate and environmental changes. Efforts to improve their adaptive capacity often prove mal-adaptive due to misunderstanding the dynamics of the unique socioeconomic factors that shape their vulnerability. By integrating theories from climate change vulnerability and the Sustainable Livelihoods Approach, this study draws upon household survey data from a fishing community in Ghana to assess the vulnerability of fishing households to climate change and explore how their vulnerability is differentiated within the community. The findings suggest that household incomes in the last decade have reduced significantly, attributable to an interaction of both climatic and non-climatic factors. Analysis of the characteristics of three vulnerability groups derived by quantile clustering showed that the most vulnerable household group is not necessarily women or poorer households as expected. Rather, it is dynamic and includes all gender and economic class categories in varying proportions depending on the success or failure of the fishing season. The findings suggest furthermore that the factors that significantly differentiates vulnerability between households differ, depending on whether households are categorised by economic class, gender of household-head or vulnerability group. Consequently, the study highlights the importance of looking beyond existing social categorizations like gender and economic classes when identifying and prioritizing households for climate change adaptive capacity building.</w:t>
      </w:r>
    </w:p>
    <w:p w14:paraId="3B65DB32" w14:textId="7BC41873" w:rsidR="00F9225F" w:rsidRDefault="00F9225F" w:rsidP="00F9225F">
      <w:pPr>
        <w:rPr>
          <w:b/>
          <w:sz w:val="24"/>
        </w:rPr>
      </w:pPr>
      <w:r w:rsidRPr="00F9225F">
        <w:rPr>
          <w:b/>
          <w:sz w:val="24"/>
        </w:rPr>
        <w:t>Keywords: Ghana; Fishing; Vulnerability; Adaptive capacity; Climate change</w:t>
      </w:r>
    </w:p>
    <w:p w14:paraId="0BA53D91" w14:textId="7EC735BF" w:rsidR="00594600" w:rsidRDefault="00131F49" w:rsidP="00664941">
      <w:pPr>
        <w:rPr>
          <w:b/>
          <w:sz w:val="24"/>
        </w:rPr>
      </w:pPr>
      <w:r w:rsidRPr="00FF0092">
        <w:rPr>
          <w:b/>
          <w:sz w:val="24"/>
        </w:rPr>
        <w:t xml:space="preserve">1. INTRODUCTION </w:t>
      </w:r>
    </w:p>
    <w:p w14:paraId="5D378825" w14:textId="1A6E31AC" w:rsidR="005527FB" w:rsidRDefault="00A409E0" w:rsidP="00F672A4">
      <w:pPr>
        <w:jc w:val="both"/>
        <w:rPr>
          <w:sz w:val="24"/>
        </w:rPr>
      </w:pPr>
      <w:r>
        <w:rPr>
          <w:sz w:val="24"/>
        </w:rPr>
        <w:t>In 2018, t</w:t>
      </w:r>
      <w:r w:rsidR="000174A4">
        <w:rPr>
          <w:sz w:val="24"/>
        </w:rPr>
        <w:t xml:space="preserve">he </w:t>
      </w:r>
      <w:r w:rsidR="00C3031C">
        <w:rPr>
          <w:sz w:val="24"/>
        </w:rPr>
        <w:t xml:space="preserve">Food and Agriculture Organisation </w:t>
      </w:r>
      <w:r w:rsidR="00077A07">
        <w:rPr>
          <w:sz w:val="24"/>
        </w:rPr>
        <w:t xml:space="preserve">(FAO) </w:t>
      </w:r>
      <w:r w:rsidR="00A9579B">
        <w:rPr>
          <w:sz w:val="24"/>
        </w:rPr>
        <w:t xml:space="preserve">estimated in its </w:t>
      </w:r>
      <w:r w:rsidR="00436CD8">
        <w:rPr>
          <w:sz w:val="24"/>
        </w:rPr>
        <w:t xml:space="preserve">State of the World’s Fisheries and Aquaculture </w:t>
      </w:r>
      <w:r w:rsidR="002E13C9">
        <w:rPr>
          <w:sz w:val="24"/>
        </w:rPr>
        <w:t>report that</w:t>
      </w:r>
      <w:r>
        <w:rPr>
          <w:sz w:val="24"/>
        </w:rPr>
        <w:t xml:space="preserve"> </w:t>
      </w:r>
      <w:r w:rsidR="00070AD2">
        <w:rPr>
          <w:sz w:val="24"/>
        </w:rPr>
        <w:t>about 60 million people</w:t>
      </w:r>
      <w:r w:rsidR="00E6511E">
        <w:rPr>
          <w:sz w:val="24"/>
        </w:rPr>
        <w:t xml:space="preserve"> globally </w:t>
      </w:r>
      <w:r w:rsidR="00070AD2">
        <w:rPr>
          <w:sz w:val="24"/>
        </w:rPr>
        <w:t xml:space="preserve">are engaged in </w:t>
      </w:r>
      <w:r w:rsidR="003916CA">
        <w:rPr>
          <w:sz w:val="24"/>
        </w:rPr>
        <w:t xml:space="preserve">the </w:t>
      </w:r>
      <w:r w:rsidR="007F596C">
        <w:rPr>
          <w:sz w:val="24"/>
        </w:rPr>
        <w:t xml:space="preserve">primary </w:t>
      </w:r>
      <w:r w:rsidR="001F766C">
        <w:rPr>
          <w:sz w:val="24"/>
        </w:rPr>
        <w:t>activity of fishing</w:t>
      </w:r>
      <w:r w:rsidR="007F596C">
        <w:rPr>
          <w:sz w:val="24"/>
        </w:rPr>
        <w:t xml:space="preserve"> </w:t>
      </w:r>
      <w:r w:rsidR="00DF369D">
        <w:rPr>
          <w:sz w:val="24"/>
        </w:rPr>
        <w:fldChar w:fldCharType="begin" w:fldLock="1"/>
      </w:r>
      <w:r w:rsidR="007C77C1">
        <w:rPr>
          <w:sz w:val="24"/>
        </w:rPr>
        <w:instrText>ADDIN CSL_CITATION {"citationItems":[{"id":"ITEM-1","itemData":{"ISBN":"9789251305621","ISSN":"05479665","abstract":"World fishery production is now over six times what it was in 1950, with a three-fold increase in production destined for direct human consumption over the last four decades. Twenty countries account for 80% of the world's total production while ten countries account for almost 70%. The contribution of aquaculture to total food fish and shellfish supplies has more than quadrupled over the last half century. These are among the indications of status and trends reported in FAO's most recent assessment of the world's fisheries and aquaculture.","author":[{"dropping-particle":"","family":"FAO","given":"","non-dropping-particle":"","parse-names":false,"suffix":""}],"container-title":"Rome","id":"ITEM-1","issue":"3","issued":{"date-parts":[["2018"]]},"number-of-pages":"4-13","title":"The State of World Fisheries and Aquaculture 2018","type":"report","volume":"35"},"uris":["http://www.mendeley.com/documents/?uuid=0b977d9c-2a79-460e-a8f5-39e6a8b69c66"]}],"mendeley":{"formattedCitation":"[1]","plainTextFormattedCitation":"[1]","previouslyFormattedCitation":"[1]"},"properties":{"noteIndex":0},"schema":"https://github.com/citation-style-language/schema/raw/master/csl-citation.json"}</w:instrText>
      </w:r>
      <w:r w:rsidR="00DF369D">
        <w:rPr>
          <w:sz w:val="24"/>
        </w:rPr>
        <w:fldChar w:fldCharType="separate"/>
      </w:r>
      <w:r w:rsidR="009043E8" w:rsidRPr="009043E8">
        <w:rPr>
          <w:noProof/>
          <w:sz w:val="24"/>
        </w:rPr>
        <w:t>[1]</w:t>
      </w:r>
      <w:r w:rsidR="00DF369D">
        <w:rPr>
          <w:sz w:val="24"/>
        </w:rPr>
        <w:fldChar w:fldCharType="end"/>
      </w:r>
      <w:r w:rsidR="009037FE">
        <w:rPr>
          <w:sz w:val="24"/>
        </w:rPr>
        <w:t>.</w:t>
      </w:r>
      <w:r w:rsidR="009C60C3">
        <w:rPr>
          <w:sz w:val="24"/>
        </w:rPr>
        <w:t xml:space="preserve"> </w:t>
      </w:r>
      <w:r w:rsidR="00D73507">
        <w:rPr>
          <w:sz w:val="24"/>
        </w:rPr>
        <w:t>About 67% of this number, according to the</w:t>
      </w:r>
      <w:r w:rsidR="00077A07">
        <w:rPr>
          <w:sz w:val="24"/>
        </w:rPr>
        <w:t xml:space="preserve"> FAO</w:t>
      </w:r>
      <w:r w:rsidR="007358C7">
        <w:rPr>
          <w:sz w:val="24"/>
        </w:rPr>
        <w:t xml:space="preserve"> </w:t>
      </w:r>
      <w:r w:rsidR="007358C7">
        <w:rPr>
          <w:sz w:val="24"/>
        </w:rPr>
        <w:fldChar w:fldCharType="begin" w:fldLock="1"/>
      </w:r>
      <w:r w:rsidR="007358C7">
        <w:rPr>
          <w:sz w:val="24"/>
        </w:rPr>
        <w:instrText>ADDIN CSL_CITATION {"citationItems":[{"id":"ITEM-1","itemData":{"ISBN":"9789251305621","ISSN":"05479665","abstract":"World fishery production is now over six times what it was in 1950, with a three-fold increase in production destined for direct human consumption over the last four decades. Twenty countries account for 80% of the world's total production while ten countries account for almost 70%. The contribution of aquaculture to total food fish and shellfish supplies has more than quadrupled over the last half century. These are among the indications of status and trends reported in FAO's most recent assessment of the world's fisheries and aquaculture.","author":[{"dropping-particle":"","family":"FAO","given":"","non-dropping-particle":"","parse-names":false,"suffix":""}],"container-title":"Rome","id":"ITEM-1","issue":"3","issued":{"date-parts":[["2018"]]},"number-of-pages":"4-13","title":"The State of World Fisheries and Aquaculture 2018","type":"report","volume":"35"},"uris":["http://www.mendeley.com/documents/?uuid=0b977d9c-2a79-460e-a8f5-39e6a8b69c66"]}],"mendeley":{"formattedCitation":"[1]","plainTextFormattedCitation":"[1]","previouslyFormattedCitation":"[1]"},"properties":{"noteIndex":0},"schema":"https://github.com/citation-style-language/schema/raw/master/csl-citation.json"}</w:instrText>
      </w:r>
      <w:r w:rsidR="007358C7">
        <w:rPr>
          <w:sz w:val="24"/>
        </w:rPr>
        <w:fldChar w:fldCharType="separate"/>
      </w:r>
      <w:r w:rsidR="007358C7" w:rsidRPr="009043E8">
        <w:rPr>
          <w:noProof/>
          <w:sz w:val="24"/>
        </w:rPr>
        <w:t>[1]</w:t>
      </w:r>
      <w:r w:rsidR="007358C7">
        <w:rPr>
          <w:sz w:val="24"/>
        </w:rPr>
        <w:fldChar w:fldCharType="end"/>
      </w:r>
      <w:r w:rsidR="002E13C9">
        <w:rPr>
          <w:sz w:val="24"/>
        </w:rPr>
        <w:t xml:space="preserve"> are employed in the</w:t>
      </w:r>
      <w:r w:rsidR="00B2634D">
        <w:rPr>
          <w:sz w:val="24"/>
        </w:rPr>
        <w:t xml:space="preserve"> capture fisheries sector, with</w:t>
      </w:r>
      <w:r w:rsidR="005718E0">
        <w:rPr>
          <w:sz w:val="24"/>
        </w:rPr>
        <w:t xml:space="preserve"> </w:t>
      </w:r>
      <w:r w:rsidR="00A5202A">
        <w:rPr>
          <w:sz w:val="24"/>
        </w:rPr>
        <w:t xml:space="preserve">the </w:t>
      </w:r>
      <w:r w:rsidR="005718E0">
        <w:rPr>
          <w:sz w:val="24"/>
        </w:rPr>
        <w:t>majority in</w:t>
      </w:r>
      <w:r w:rsidR="008A1600">
        <w:rPr>
          <w:sz w:val="24"/>
        </w:rPr>
        <w:t xml:space="preserve"> </w:t>
      </w:r>
      <w:r w:rsidR="00B2634D">
        <w:rPr>
          <w:sz w:val="24"/>
        </w:rPr>
        <w:t>Asia and Africa</w:t>
      </w:r>
      <w:r w:rsidR="001D6E54">
        <w:rPr>
          <w:sz w:val="24"/>
        </w:rPr>
        <w:t>. M</w:t>
      </w:r>
      <w:r w:rsidR="001D217F">
        <w:rPr>
          <w:sz w:val="24"/>
        </w:rPr>
        <w:t xml:space="preserve">any of </w:t>
      </w:r>
      <w:r w:rsidR="001D6E54">
        <w:rPr>
          <w:sz w:val="24"/>
        </w:rPr>
        <w:t xml:space="preserve">them also </w:t>
      </w:r>
      <w:r w:rsidR="001D217F">
        <w:rPr>
          <w:sz w:val="24"/>
        </w:rPr>
        <w:t xml:space="preserve">live </w:t>
      </w:r>
      <w:r w:rsidR="0091690F">
        <w:rPr>
          <w:sz w:val="24"/>
        </w:rPr>
        <w:t>in rural coastal resource</w:t>
      </w:r>
      <w:r w:rsidR="003505B8">
        <w:rPr>
          <w:sz w:val="24"/>
        </w:rPr>
        <w:t>-</w:t>
      </w:r>
      <w:r w:rsidR="0091690F">
        <w:rPr>
          <w:sz w:val="24"/>
        </w:rPr>
        <w:t>dependent communities</w:t>
      </w:r>
      <w:r w:rsidR="00F672A4">
        <w:rPr>
          <w:sz w:val="24"/>
        </w:rPr>
        <w:t xml:space="preserve"> </w:t>
      </w:r>
      <w:r w:rsidR="00051636">
        <w:rPr>
          <w:sz w:val="24"/>
        </w:rPr>
        <w:fldChar w:fldCharType="begin" w:fldLock="1"/>
      </w:r>
      <w:r w:rsidR="007C77C1">
        <w:rPr>
          <w:sz w:val="24"/>
        </w:rPr>
        <w:instrText>ADDIN CSL_CITATION {"citationItems":[{"id":"ITEM-1","itemData":{"author":[{"dropping-particle":"","family":"Carney","given":"Diana","non-dropping-particle":"","parse-names":false,"suffix":""}],"id":"ITEM-1","issued":{"date-parts":[["1998"]]},"page":"213","publisher":"DFID","publisher-place":"London","title":"Sustainable rural livelihoods: what contribution can we make?","type":"article"},"uris":["http://www.mendeley.com/documents/?uuid=fe69689f-a141-499d-88dd-d23cd767d637"]},{"id":"ITEM-2","itemData":{"DOI":"10.1016/j.marpol.2018.04.013","ISSN":"0308597X","abstract":"It is estimated that more than 200 million people worldwide depend on small-scale fisheries for their livelihood, driving the need for fisheries reform to develop effective, local-level governance systems to protect food security and lessen reliance on common resources. However, our ability to impose new management relies on the assessment of vulnerability and adaptive capacity, and the lack of social-ecological data often stifles decision making. Here we test the use of simple fisheries attributes from 33 fishing communities in an understudied, and chronically poor region of the Colombian Pacific, to generate indicators of relative fisheries adaptive capacity, as a proxy for vulnerability to planned management changes. We demonstrate the strengths of this approach using four variables (species assemblage, spatial dependence, gear dependence and compliance), and illustrate how potential threats to livelihoods can be identified early, and with limited data, allowing for management to adapt decision-making accordingly. We show that in the absence of detailed socio-economic information, relatively basic fisheries data recorded by community observers can be applied to decrease uncertainty by providing a rapid characterisation of community vulnerability to management decision-making, in a range of management intervention options.","author":[{"dropping-particle":"","family":"Tilley","given":"Alexander","non-dropping-particle":"","parse-names":false,"suffix":""},{"dropping-particle":"","family":"Herrón","given":"Pilar","non-dropping-particle":"","parse-names":false,"suffix":""},{"dropping-particle":"","family":"Espinosa","given":"Silvana","non-dropping-particle":"","parse-names":false,"suffix":""},{"dropping-particle":"","family":"Angarita","given":"Juliana López","non-dropping-particle":"","parse-names":false,"suffix":""},{"dropping-particle":"","family":"Box","given":"Stephen","non-dropping-particle":"","parse-names":false,"suffix":""}],"container-title":"Marine Policy","id":"ITEM-2","issue":"May","issued":{"date-parts":[["2018"]]},"page":"39-45","publisher":"Elsevier Ltd","title":"Predicting vulnerability to management changes in data-limited, small-scale fisheries","type":"article-journal","volume":"94"},"uris":["http://www.mendeley.com/documents/?uuid=ae0c989d-a013-4e39-aacb-1d3db16ee2d4"]}],"mendeley":{"formattedCitation":"[2], [3]","plainTextFormattedCitation":"[2], [3]","previouslyFormattedCitation":"[2], [3]"},"properties":{"noteIndex":0},"schema":"https://github.com/citation-style-language/schema/raw/master/csl-citation.json"}</w:instrText>
      </w:r>
      <w:r w:rsidR="00051636">
        <w:rPr>
          <w:sz w:val="24"/>
        </w:rPr>
        <w:fldChar w:fldCharType="separate"/>
      </w:r>
      <w:r w:rsidR="009043E8" w:rsidRPr="009043E8">
        <w:rPr>
          <w:noProof/>
          <w:sz w:val="24"/>
        </w:rPr>
        <w:t>[2], [3]</w:t>
      </w:r>
      <w:r w:rsidR="00051636">
        <w:rPr>
          <w:sz w:val="24"/>
        </w:rPr>
        <w:fldChar w:fldCharType="end"/>
      </w:r>
      <w:r w:rsidR="00E5526E" w:rsidRPr="00E5526E">
        <w:rPr>
          <w:sz w:val="24"/>
        </w:rPr>
        <w:t>.</w:t>
      </w:r>
      <w:r w:rsidR="002E13C9">
        <w:rPr>
          <w:sz w:val="24"/>
        </w:rPr>
        <w:t xml:space="preserve"> </w:t>
      </w:r>
      <w:r w:rsidR="006825F6">
        <w:rPr>
          <w:sz w:val="24"/>
        </w:rPr>
        <w:t xml:space="preserve">The growing scientific evidence </w:t>
      </w:r>
      <w:r w:rsidR="000A324E">
        <w:rPr>
          <w:sz w:val="24"/>
        </w:rPr>
        <w:t xml:space="preserve">for </w:t>
      </w:r>
      <w:r w:rsidR="008B0E10">
        <w:rPr>
          <w:sz w:val="24"/>
        </w:rPr>
        <w:t xml:space="preserve">global </w:t>
      </w:r>
      <w:r w:rsidR="00F95B3F">
        <w:rPr>
          <w:sz w:val="24"/>
        </w:rPr>
        <w:t>climate change</w:t>
      </w:r>
      <w:r w:rsidR="008B0E10">
        <w:rPr>
          <w:sz w:val="24"/>
        </w:rPr>
        <w:t xml:space="preserve"> and its predicted </w:t>
      </w:r>
      <w:r w:rsidR="00F95B3F">
        <w:rPr>
          <w:sz w:val="24"/>
        </w:rPr>
        <w:t xml:space="preserve">impacts on </w:t>
      </w:r>
      <w:r w:rsidR="00241D54">
        <w:rPr>
          <w:sz w:val="24"/>
        </w:rPr>
        <w:t xml:space="preserve">the world’s fisheries and fishing livelihoods </w:t>
      </w:r>
      <w:r w:rsidR="00B467A1">
        <w:rPr>
          <w:sz w:val="24"/>
        </w:rPr>
        <w:t>raises concer</w:t>
      </w:r>
      <w:r w:rsidR="008B0E10">
        <w:rPr>
          <w:sz w:val="24"/>
        </w:rPr>
        <w:t xml:space="preserve">n about the </w:t>
      </w:r>
      <w:r w:rsidR="003B618B">
        <w:rPr>
          <w:sz w:val="24"/>
        </w:rPr>
        <w:t xml:space="preserve">resilience and ultimate </w:t>
      </w:r>
      <w:r w:rsidR="00241D54">
        <w:rPr>
          <w:sz w:val="24"/>
        </w:rPr>
        <w:t xml:space="preserve">wellbeing of </w:t>
      </w:r>
      <w:r w:rsidR="003B618B">
        <w:rPr>
          <w:sz w:val="24"/>
        </w:rPr>
        <w:t xml:space="preserve">such </w:t>
      </w:r>
      <w:r w:rsidR="00241D54">
        <w:rPr>
          <w:sz w:val="24"/>
        </w:rPr>
        <w:t>resource-dependent communities</w:t>
      </w:r>
      <w:r w:rsidR="0095380B">
        <w:rPr>
          <w:sz w:val="24"/>
        </w:rPr>
        <w:t>.</w:t>
      </w:r>
      <w:r w:rsidR="007C2D75">
        <w:rPr>
          <w:sz w:val="24"/>
        </w:rPr>
        <w:t xml:space="preserve"> </w:t>
      </w:r>
      <w:r w:rsidR="000B130F">
        <w:rPr>
          <w:sz w:val="24"/>
        </w:rPr>
        <w:t>Rising sea</w:t>
      </w:r>
      <w:r w:rsidR="00141638">
        <w:rPr>
          <w:sz w:val="24"/>
        </w:rPr>
        <w:t xml:space="preserve"> surface temperatures, acidification, and deoxygenation </w:t>
      </w:r>
      <w:r w:rsidR="000A324E">
        <w:rPr>
          <w:sz w:val="24"/>
        </w:rPr>
        <w:t>are</w:t>
      </w:r>
      <w:r w:rsidR="00141638">
        <w:rPr>
          <w:sz w:val="24"/>
        </w:rPr>
        <w:t xml:space="preserve"> predicted </w:t>
      </w:r>
      <w:r w:rsidR="007630BC">
        <w:rPr>
          <w:sz w:val="24"/>
        </w:rPr>
        <w:t xml:space="preserve">to </w:t>
      </w:r>
      <w:r w:rsidR="0097130A">
        <w:rPr>
          <w:sz w:val="24"/>
        </w:rPr>
        <w:t>affect</w:t>
      </w:r>
      <w:r w:rsidR="00A140CD">
        <w:rPr>
          <w:sz w:val="24"/>
        </w:rPr>
        <w:t xml:space="preserve"> marine fish produc</w:t>
      </w:r>
      <w:r w:rsidR="000752E6">
        <w:rPr>
          <w:sz w:val="24"/>
        </w:rPr>
        <w:t>tion</w:t>
      </w:r>
      <w:r w:rsidR="0097130A">
        <w:rPr>
          <w:sz w:val="24"/>
        </w:rPr>
        <w:t xml:space="preserve"> and </w:t>
      </w:r>
      <w:r w:rsidR="00166FDB">
        <w:rPr>
          <w:sz w:val="24"/>
        </w:rPr>
        <w:t xml:space="preserve">species distribution thereby affecting maximum catch and revenue potential </w:t>
      </w:r>
      <w:r w:rsidR="00166FDB">
        <w:rPr>
          <w:sz w:val="24"/>
        </w:rPr>
        <w:fldChar w:fldCharType="begin" w:fldLock="1"/>
      </w:r>
      <w:r w:rsidR="007C77C1">
        <w:rPr>
          <w:sz w:val="24"/>
        </w:rPr>
        <w:instrText>ADDIN CSL_CITATION {"citationItems":[{"id":"ITEM-1","itemData":{"DOI":"10.1038/srep32607","ISSN":"20452322","abstract":"Previous studies highlight the winners and losers in fisheries under climate change based on shifts in biomass, species composition and potential catches. Understanding how climate change is likely to alter the fisheries revenues of maritime countries is a crucial next step towards the development of effective socio-economic policy and food sustainability strategies to mitigate and adapt to climate change. Particularly, fish prices and cross-oceans connections through distant water fishing operations may largely modify the projected climate change impacts on fisheries revenues. However, these factors have not formally been considered in global studies. Here, using climate-living marine resources simulation models, we show that global fisheries revenues could drop by 35% more than the projected decrease in catches by the 2050 s under high CO 2 emission scenarios. Regionally, the projected increases in fish catch in high latitudes may not translate into increases in revenues because of the increasing dominance of low value fish, and the decrease in catches by these countries' vessels operating in more severely impacted distant waters. Also, we find that developing countries with high fisheries dependency are negatively impacted. Our results suggest the need to conduct full-fledged economic analyses of the potential economic effects of climate change on global marine fisheries.","author":[{"dropping-particle":"","family":"Lam","given":"Vicky W.Y.","non-dropping-particle":"","parse-names":false,"suffix":""},{"dropping-particle":"","family":"Cheung","given":"William W.L.","non-dropping-particle":"","parse-names":false,"suffix":""},{"dropping-particle":"","family":"Reygondeau","given":"Gabriel","non-dropping-particle":"","parse-names":false,"suffix":""},{"dropping-particle":"","family":"Rashid Sumaila","given":"U.","non-dropping-particle":"","parse-names":false,"suffix":""}],"container-title":"Scientific Reports","id":"ITEM-1","issued":{"date-parts":[["2016"]]},"page":"6-13","publisher":"Nature Publishing Group","title":"Projected change in global fisheries revenues under climate change","type":"article-journal","volume":"6"},"uris":["http://www.mendeley.com/documents/?uuid=9dbaf7b3-ee06-4528-a009-79e168d5a12e"]},{"id":"ITEM-2","itemData":{"DOI":"10.1016/j.marpol.2009.08.007","ISSN":"0308597X","abstract":"There is increasing concern over the consequences of global warming for the food security and livelihoods of the world's 36 million fisherfolk and the nearly 1.5 billion consumers who rely on fish for more than 20% of their dietary animal protein. With mounting evidence of the impacts of climate variability and change on aquatic ecosystems, the resulting impacts on fisheries livelihoods are likely to be significant, but remain a neglected area in climate adaptation policy. Drawing upon our research and the available literature, and using a livelihoods framework, this paper synthesizes the pathways through which climate variability and change impact fisherfolk livelihoods at the household and community level. We identify current and potential adaptation strategies and explore the wider implications for local livelihoods, fisheries management and climate policies. Responses to climate change can be anticipatory or reactive and should include: (1) management approaches and policies that build the livelihood asset base, reducing vulnerability to multiple stressors, including climate change; (2) an understanding of current response mechanisms to climate variability and other shocks in order to inform planned adaptation; (3) a recognition of the opportunities that climate change could bring to the sector; (4) adaptive strategies designed with a multi-sector perspective; and (5) a recognition of fisheries potential contribution to mitigation efforts. © 2009 Elsevier Ltd. All rights reserved.","author":[{"dropping-particle":"","family":"Badjeck","given":"Marie Caroline","non-dropping-particle":"","parse-names":false,"suffix":""},{"dropping-particle":"","family":"Allison","given":"Edward H.","non-dropping-particle":"","parse-names":false,"suffix":""},{"dropping-particle":"","family":"Halls","given":"Ashley S.","non-dropping-particle":"","parse-names":false,"suffix":""},{"dropping-particle":"","family":"Dulvy","given":"Nicholas K.","non-dropping-particle":"","parse-names":false,"suffix":""}],"container-title":"Marine Policy","id":"ITEM-2","issue":"3","issued":{"date-parts":[["2010"]]},"page":"375-383","publisher":"Elsevier","title":"Impacts of climate variability and change on fishery-based livelihoods","type":"article-journal","volume":"34"},"uris":["http://www.mendeley.com/documents/?uuid=00a10675-a04c-40b5-a069-1c616c26256a"]}],"mendeley":{"formattedCitation":"[4], [5]","plainTextFormattedCitation":"[4], [5]","previouslyFormattedCitation":"[4], [5]"},"properties":{"noteIndex":0},"schema":"https://github.com/citation-style-language/schema/raw/master/csl-citation.json"}</w:instrText>
      </w:r>
      <w:r w:rsidR="00166FDB">
        <w:rPr>
          <w:sz w:val="24"/>
        </w:rPr>
        <w:fldChar w:fldCharType="separate"/>
      </w:r>
      <w:r w:rsidR="009043E8" w:rsidRPr="009043E8">
        <w:rPr>
          <w:noProof/>
          <w:sz w:val="24"/>
        </w:rPr>
        <w:t>[4], [5]</w:t>
      </w:r>
      <w:r w:rsidR="00166FDB">
        <w:rPr>
          <w:sz w:val="24"/>
        </w:rPr>
        <w:fldChar w:fldCharType="end"/>
      </w:r>
      <w:r w:rsidR="00B242AD">
        <w:rPr>
          <w:sz w:val="24"/>
        </w:rPr>
        <w:t xml:space="preserve">. </w:t>
      </w:r>
      <w:r w:rsidR="00DF7409">
        <w:rPr>
          <w:sz w:val="24"/>
        </w:rPr>
        <w:t xml:space="preserve">Up to 0.77 m </w:t>
      </w:r>
      <w:r w:rsidR="00F02383">
        <w:rPr>
          <w:sz w:val="24"/>
        </w:rPr>
        <w:t xml:space="preserve">predicted </w:t>
      </w:r>
      <w:r w:rsidR="00DF7409">
        <w:rPr>
          <w:sz w:val="24"/>
        </w:rPr>
        <w:t>rise in global mean s</w:t>
      </w:r>
      <w:r w:rsidR="001429F0">
        <w:rPr>
          <w:sz w:val="24"/>
        </w:rPr>
        <w:t>ea</w:t>
      </w:r>
      <w:r w:rsidR="00490186">
        <w:rPr>
          <w:sz w:val="24"/>
        </w:rPr>
        <w:t>-</w:t>
      </w:r>
      <w:r w:rsidR="001429F0">
        <w:rPr>
          <w:sz w:val="24"/>
        </w:rPr>
        <w:t>level</w:t>
      </w:r>
      <w:r w:rsidR="002C6515">
        <w:rPr>
          <w:sz w:val="24"/>
        </w:rPr>
        <w:t xml:space="preserve"> by </w:t>
      </w:r>
      <w:r w:rsidR="00406453">
        <w:rPr>
          <w:sz w:val="24"/>
        </w:rPr>
        <w:t>the end of the century</w:t>
      </w:r>
      <w:r w:rsidR="001429F0">
        <w:rPr>
          <w:sz w:val="24"/>
        </w:rPr>
        <w:t xml:space="preserve"> </w:t>
      </w:r>
      <w:r w:rsidR="00F02383">
        <w:rPr>
          <w:sz w:val="24"/>
        </w:rPr>
        <w:t>raises the risk of</w:t>
      </w:r>
      <w:r w:rsidR="00DF7409">
        <w:rPr>
          <w:sz w:val="24"/>
        </w:rPr>
        <w:t xml:space="preserve"> coastal flooding</w:t>
      </w:r>
      <w:r w:rsidR="00D83858">
        <w:rPr>
          <w:sz w:val="24"/>
        </w:rPr>
        <w:t xml:space="preserve"> and </w:t>
      </w:r>
      <w:r w:rsidR="007D5EDE">
        <w:rPr>
          <w:sz w:val="24"/>
        </w:rPr>
        <w:t xml:space="preserve">permanent </w:t>
      </w:r>
      <w:r w:rsidR="00387ACB">
        <w:rPr>
          <w:sz w:val="24"/>
        </w:rPr>
        <w:t xml:space="preserve">changes in </w:t>
      </w:r>
      <w:r w:rsidR="004403E5">
        <w:rPr>
          <w:sz w:val="24"/>
        </w:rPr>
        <w:t xml:space="preserve">freshwater </w:t>
      </w:r>
      <w:r w:rsidR="00387ACB">
        <w:rPr>
          <w:sz w:val="24"/>
        </w:rPr>
        <w:t>ecosystem</w:t>
      </w:r>
      <w:r w:rsidR="002D76F6">
        <w:rPr>
          <w:sz w:val="24"/>
        </w:rPr>
        <w:t>s</w:t>
      </w:r>
      <w:r w:rsidR="00387ACB">
        <w:rPr>
          <w:sz w:val="24"/>
        </w:rPr>
        <w:t xml:space="preserve"> </w:t>
      </w:r>
      <w:r w:rsidR="00916AB3">
        <w:rPr>
          <w:sz w:val="24"/>
        </w:rPr>
        <w:fldChar w:fldCharType="begin" w:fldLock="1"/>
      </w:r>
      <w:r w:rsidR="00C05D7F">
        <w:rPr>
          <w:sz w:val="24"/>
        </w:rPr>
        <w:instrText>ADDIN CSL_CITATION {"citationItems":[{"id":"ITEM-1","itemData":{"DOI":"10.1017/CBO9781107415324","ISBN":"9789291691432","ISSN":"1476-4687","PMID":"17429376","abstract":"This Report responds to the invitation for IPCC ‘... to provide a Special Report in 2018 on the impacts of global warming of 1.5°C above pre-industrial levels and related global greenhouse gas emission pathways’ contained in the Decision of the 21st Conference of Parties of the United Nations Framework Convention on Climate Change to adopt the Paris Agreement.1 The IPCC accepted the invitation in April 2016, deciding to prepare this Special Report on the impacts of global warming of 1.5°C above pre-industrial levels and related global greenhouse gas emission pathways, in the context of strengthening the global response to the threat of climate change, sustainable development, and efforts to eradicate poverty. This Summary for Policymakers (SPM) presents the key findings of the Special Report, based on the assessment of the available scientific, technical and socio-economic literature2 relevant to global warming of 1.5°C and for the comparison between global warming of 1.5°C and 2°C above pre-industrial levels. The level of confidence associated with each key finding is reported using the IPCC calibrated language.3 The underlying scientific basis of each key finding is indicated by references provided to chapter elements. In the SPM, knowledge gaps are identified associated with the underlying chapters of the Report. A.","author":[{"dropping-particle":"","family":"Masson-Delmotte","given":"Valérie","non-dropping-particle":"","parse-names":false,"suffix":""},{"dropping-particle":"","family":"Zhai","given":"Panmao","non-dropping-particle":"","parse-names":false,"suffix":""},{"dropping-particle":"","family":"Pörtner","given":"Hans-Otto","non-dropping-particle":"","parse-names":false,"suffix":""},{"dropping-particle":"","family":"Roberts","given":"Debra","non-dropping-particle":"","parse-names":false,"suffix":""},{"dropping-particle":"","family":"Skea","given":"Jim","non-dropping-particle":"","parse-names":false,"suffix":""},{"dropping-particle":"","family":"Shukla","given":"Priyadarshi R","non-dropping-particle":"","parse-names":false,"suffix":""},{"dropping-particle":"","family":"Pirani","given":"Anna","non-dropping-particle":"","parse-names":false,"suffix":""},{"dropping-particle":"","family":"Moufouma-Okia","given":"Wilfran","non-dropping-particle":"","parse-names":false,"suffix":""},{"dropping-particle":"","family":"Péan","given":"Clotilde","non-dropping-particle":"","parse-names":false,"suffix":""},{"dropping-particle":"","family":"Pidcock","given":"Roz","non-dropping-particle":"","parse-names":false,"suffix":""},{"dropping-particle":"","family":"Connors","given":"Sarah","non-dropping-particle":"","parse-names":false,"suffix":""},{"dropping-particle":"","family":"Matthews","given":"J B Robin","non-dropping-particle":"","parse-names":false,"suffix":""},{"dropping-particle":"","family":"Chen","given":"Yang","non-dropping-particle":"","parse-names":false,"suffix":""},{"dropping-particle":"","family":"Zhou","given":"Xiao","non-dropping-particle":"","parse-names":false,"suffix":""},{"dropping-particle":"","family":"Gomis","given":"Melissa I","non-dropping-particle":"","parse-names":false,"suffix":""},{"dropping-particle":"","family":"Lonnoy","given":"Elisabeth","non-dropping-particle":"","parse-names":false,"suffix":""},{"dropping-particle":"","family":"Maycock","given":"Tom","non-dropping-particle":"","parse-names":false,"suffix":""},{"dropping-particle":"","family":"Tignor","given":"Melinda","non-dropping-particle":"","parse-names":false,"suffix":""},{"dropping-particle":"","family":"Waterfield","given":"Tim","non-dropping-particle":"","parse-names":false,"suffix":""}],"container-title":"IPCC-Summary for Policymakers","id":"ITEM-1","issued":{"date-parts":[["2018"]]},"title":"Intergovernmental Panel on Climate Change-Global Warming of 1.5 Degrees Celcius","type":"book"},"uris":["http://www.mendeley.com/documents/?uuid=176938c8-d231-4c65-b189-edccbbc950d4"]},{"id":"ITEM-2","itemData":{"DOI":"10.1007/s11852-015-0403-y","ISSN":"14000350","abstract":"Lagoon-wetland systems are common along low-lying coastlines. They provide rich species habitats, multiple ecosystem services and socio-economic activities. They are particularly susceptible to the impacts of sea level rise (SLR), especially in less developed countries (LDCs) where economic and development constraints limit adaptation. The Muni-Pomadze lagoon is one of five coastal Ramsar sites in Ghana and one of many along the country’s coastline. It is an intermittently closed lagoon with extreme seasonal hydrological and physico-chemical variation. Field observation, digital mapping and GIS analysis of the shoreline has enabled an understanding of coastal change and SLR at the lagoon. From 1972 to 2014 the high water mark has shifted landwards with an average retreat rate of 0.22 m/year. Evidence of erosion and sediment washover indicate loss of and a shift landward of the sand barrier separating the lagoon from the ocean. Creation of an inundation map for a one-meter rise of sea level reveals fragementation and breaching of the barrier and an increasingly permanent connection to the ocean. A more open lagoon system stabilises hydrological and physico-chemical conditions, leading to increases in biodiversity and aquatic productivity. The lagoon currently has no consideration of SLR in its management plan. The results of this analysis and the limited development of the Muni-Pomadze lagoon support a no intervention approach to coastal management that allows SLR to transform the closed lagoon to an open estuary. A similar approach at comparable coastal wetland systems in Ghana and in other LDCs could prove an effective management option. © 2015, Springer Science+Business Media Dordrecht.","author":[{"dropping-particle":"","family":"Davies-Vollum","given":"K. Siân","non-dropping-particle":"","parse-names":false,"suffix":""},{"dropping-particle":"","family":"West","given":"Matthew","non-dropping-particle":"","parse-names":false,"suffix":""}],"container-title":"Journal of Coastal Conservation","id":"ITEM-2","issue":"4","issued":{"date-parts":[["2015"]]},"page":"515-525","title":"Shoreline change and sea level rise at the Muni-Pomadze coastal wetland (Ramsar site), Ghana","type":"article-journal","volume":"19"},"uris":["http://www.mendeley.com/documents/?uuid=b19b4aec-c520-4510-ba0f-1050f1848f53"]},{"id":"ITEM-3","itemData":{"DOI":"10.1007/s11852-018-0658-1","ISSN":"18747841","abstract":"© 2018, The Author(s). Lagoon-barrier systems are a dynamic coastal environment. When an ephemeral connection between a lagoon and the ocean develops, it has significant impact on hydrology, sedimentology and ecology. Increasingly, human actions and sea level rise also influence lagoons with the potential to increase their connectivity with the ocean. The Muni-Pomadze lagoon in central Ghana is a small lagoon-barrier system that is intermittently open to the ocean. Following opening in 2014 the lagoon was open to the ocean for more than two years. Causes for the unusually long period of lagoon opening are unclear although human intrevention has played a role. Field observation, digital mapping and GIS analysis of the shoreline during the two year period of lagoon opening has enabled an understanding of how the lagoon-ocean connection has impacted coastal morphology, erosion and sedimentation. Opening has resulted in rapid changes to the location of the barrier breaching (tidal inlet), erosion on the barrier and sedimentation in the lagoon. Such modifications have implications for local resources and ecosystem services that underpin the livelihood and wellbeing of local communities. Elucidating how a connection to the ocean impacts lagoons and the coastal communities they support are important to managing lagoons not only in Ghana but across West Africa.","author":[{"dropping-particle":"","family":"Davies-Vollum","given":"K. Sian","non-dropping-particle":"","parse-names":false,"suffix":""},{"dropping-particle":"","family":"Zhang","given":"Zihao","non-dropping-particle":"","parse-names":false,"suffix":""},{"dropping-particle":"","family":"Agyekumhene","given":"Andrews","non-dropping-particle":"","parse-names":false,"suffix":""}],"container-title":"Journal of Coastal Conservation","id":"ITEM-3","issue":"2","issued":{"date-parts":[["2019"]]},"page":"293-301","publisher":"Journal of Coastal Conservation","title":"Impacts of lagoon opening and implications for coastal management: case study from Muni-Pomadze lagoon, Ghana","type":"article-journal","volume":"23"},"uris":["http://www.mendeley.com/documents/?uuid=c01e8760-7d8b-4a9b-8c97-46926605dc27"]},{"id":"ITEM-4","itemData":{"DOI":"10.1016/j.marpol.2009.08.007","ISSN":"0308597X","abstract":"There is increasing concern over the consequences of global warming for the food security and livelihoods of the world's 36 million fisherfolk and the nearly 1.5 billion consumers who rely on fish for more than 20% of their dietary animal protein. With mounting evidence of the impacts of climate variability and change on aquatic ecosystems, the resulting impacts on fisheries livelihoods are likely to be significant, but remain a neglected area in climate adaptation policy. Drawing upon our research and the available literature, and using a livelihoods framework, this paper synthesizes the pathways through which climate variability and change impact fisherfolk livelihoods at the household and community level. We identify current and potential adaptation strategies and explore the wider implications for local livelihoods, fisheries management and climate policies. Responses to climate change can be anticipatory or reactive and should include: (1) management approaches and policies that build the livelihood asset base, reducing vulnerability to multiple stressors, including climate change; (2) an understanding of current response mechanisms to climate variability and other shocks in order to inform planned adaptation; (3) a recognition of the opportunities that climate change could bring to the sector; (4) adaptive strategies designed with a multi-sector perspective; and (5) a recognition of fisheries potential contribution to mitigation efforts. © 2009 Elsevier Ltd. All rights reserved.","author":[{"dropping-particle":"","family":"Badjeck","given":"Marie Caroline","non-dropping-particle":"","parse-names":false,"suffix":""},{"dropping-particle":"","family":"Allison","given":"Edward H.","non-dropping-particle":"","parse-names":false,"suffix":""},{"dropping-particle":"","family":"Halls","given":"Ashley S.","non-dropping-particle":"","parse-names":false,"suffix":""},{"dropping-particle":"","family":"Dulvy","given":"Nicholas K.","non-dropping-particle":"","parse-names":false,"suffix":""}],"container-title":"Marine Policy","id":"ITEM-4","issue":"3","issued":{"date-parts":[["2010"]]},"page":"375-383","publisher":"Elsevier","title":"Impacts of climate variability and change on fishery-based livelihoods","type":"article-journal","volume":"34"},"uris":["http://www.mendeley.com/documents/?uuid=00a10675-a04c-40b5-a069-1c616c26256a"]}],"mendeley":{"formattedCitation":"[5]–[8]","plainTextFormattedCitation":"[5]–[8]","previouslyFormattedCitation":"[5]–[8]"},"properties":{"noteIndex":0},"schema":"https://github.com/citation-style-language/schema/raw/master/csl-citation.json"}</w:instrText>
      </w:r>
      <w:r w:rsidR="00916AB3">
        <w:rPr>
          <w:sz w:val="24"/>
        </w:rPr>
        <w:fldChar w:fldCharType="separate"/>
      </w:r>
      <w:r w:rsidR="009043E8" w:rsidRPr="009043E8">
        <w:rPr>
          <w:noProof/>
          <w:sz w:val="24"/>
        </w:rPr>
        <w:t>[5]–[8]</w:t>
      </w:r>
      <w:r w:rsidR="00916AB3">
        <w:rPr>
          <w:sz w:val="24"/>
        </w:rPr>
        <w:fldChar w:fldCharType="end"/>
      </w:r>
      <w:r w:rsidR="002E4126">
        <w:rPr>
          <w:sz w:val="24"/>
        </w:rPr>
        <w:t>.</w:t>
      </w:r>
      <w:r w:rsidR="00166FDB">
        <w:rPr>
          <w:sz w:val="24"/>
        </w:rPr>
        <w:t xml:space="preserve"> </w:t>
      </w:r>
      <w:r w:rsidR="0012142E">
        <w:rPr>
          <w:sz w:val="24"/>
        </w:rPr>
        <w:t>P</w:t>
      </w:r>
      <w:r w:rsidR="00D10450">
        <w:rPr>
          <w:sz w:val="24"/>
        </w:rPr>
        <w:t xml:space="preserve">redicted increases in the frequency and intensity of storms and cyclones </w:t>
      </w:r>
      <w:r w:rsidR="005031A2">
        <w:rPr>
          <w:sz w:val="24"/>
        </w:rPr>
        <w:t xml:space="preserve">are </w:t>
      </w:r>
      <w:r w:rsidR="007047DF">
        <w:rPr>
          <w:sz w:val="24"/>
        </w:rPr>
        <w:t>at present</w:t>
      </w:r>
      <w:r w:rsidR="00D10450">
        <w:rPr>
          <w:sz w:val="24"/>
        </w:rPr>
        <w:t xml:space="preserve"> causing disruptions</w:t>
      </w:r>
      <w:r w:rsidR="00E10E5F">
        <w:rPr>
          <w:sz w:val="24"/>
        </w:rPr>
        <w:t xml:space="preserve"> to fishing operations and </w:t>
      </w:r>
      <w:r w:rsidR="00DF7DB0">
        <w:rPr>
          <w:sz w:val="24"/>
        </w:rPr>
        <w:t xml:space="preserve">destruction of </w:t>
      </w:r>
      <w:r w:rsidR="00A40759">
        <w:rPr>
          <w:sz w:val="24"/>
        </w:rPr>
        <w:t xml:space="preserve">fishers’ capital </w:t>
      </w:r>
      <w:r w:rsidR="00BF6C66">
        <w:rPr>
          <w:sz w:val="24"/>
        </w:rPr>
        <w:t xml:space="preserve">assets </w:t>
      </w:r>
      <w:r w:rsidR="00BF6C66">
        <w:rPr>
          <w:sz w:val="24"/>
        </w:rPr>
        <w:fldChar w:fldCharType="begin" w:fldLock="1"/>
      </w:r>
      <w:r w:rsidR="007C77C1">
        <w:rPr>
          <w:sz w:val="24"/>
        </w:rPr>
        <w:instrText>ADDIN CSL_CITATION {"citationItems":[{"id":"ITEM-1","itemData":{"DOI":"10.1007/s10113-013-0487-6","ISSN":"14363798","abstract":"Globally, fisheries support livelihoods of over half a billion people who are exposed to multiple climatic stresses and shocks that affect their capacity to subsist. Yet, only limited research exists on the vulnerability of fishery-based livelihood systems to climate change. We assess the vulnerability of fishery-based livelihoods to the impacts of climate variability and change in two coastal fishing communities in Bangladesh. We use a composite index approach to calculate livelihood vulnerability and qualitative methods to understand how exposure, sensitivity, and adaptive capacity measured by sub-indices produce vulnerability. Our results suggest that exposure to floods and cyclones, sensitivity (such as dependence on small-scale marine fisheries for livelihoods), and lack of adaptive capacity in terms of physical, natural, and financial capital and diverse livelihood strategies construe livelihood vulnerability in different ways depending on the context. The most exposed community is not necessarily the most sensitive or least able to adapt because livelihood vulnerability is a result of combined but unequal influences of bio-physical and socio-economic characteristics of communities and households. But within a fishing community, where households are similarly exposed, higher sensitivity and lower adaptive capacity combine to create higher vulnerability. Initiatives to reduce livelihood vulnerability should be correspondingly multifaceted. © 2013 The Author(s).","author":[{"dropping-particle":"","family":"Islam","given":"Md Monirul","non-dropping-particle":"","parse-names":false,"suffix":""},{"dropping-particle":"","family":"Sallu","given":"Susannah","non-dropping-particle":"","parse-names":false,"suffix":""},{"dropping-particle":"","family":"Hubacek","given":"Klaus","non-dropping-particle":"","parse-names":false,"suffix":""},{"dropping-particle":"","family":"Paavola","given":"Jouni","non-dropping-particle":"","parse-names":false,"suffix":""}],"container-title":"Regional Environmental Change","id":"ITEM-1","issue":"1","issued":{"date-parts":[["2014"]]},"page":"281-294","title":"Vulnerability of fishery-based livelihoods to the impacts of climate variability and change: Insights from coastal Bangladesh","type":"article-journal","volume":"14"},"uris":["http://www.mendeley.com/documents/?uuid=394b94ce-bbbe-48df-85a8-468bbddbda2b"]},{"id":"ITEM-2","itemData":{"DOI":"10.1016/j.gloenvcha.2016.03.005","ISSN":"09593780","abstract":"The objective of this paper is to better understand the various individual and household factors that influence resilience, that is, people's ability to respond adequately to shocks and stressors. One of our hypotheses is that resilience does not simply reflect the expected effects of quantifiable factors such as level of assets, or even less quantifiable social processes such as people's experience, but is also determined by more subjective dimensions related to people's perceptions of their ability to cope, adapt or transform in the face of adverse events. Data collected over two years in Fiji, Ghana, Sri Lanka and Vietnam confirms the importance of wealth in the recovery process of households affected by shocks and stressors. However our results challenge the idea that within communities, assets are a systematic differentiator in people's response to adverse events. The findings regarding social capital are mixed and call for more research: social capital had a strong positive influence on resilience at the community level, yet our analysis failed to demonstrate any tangible positive correlation at the household level. Finally, the data confirm that, like vulnerability, resilience is at least in part socially constructed, endogenous to individual and groups, and hence contingent on knowledge, attitudes to risk, culture and subjectivity.","author":[{"dropping-particle":"","family":"Béné","given":"Christophe","non-dropping-particle":"","parse-names":false,"suffix":""},{"dropping-particle":"","family":"Al-Hassan","given":"Ramatu M.","non-dropping-particle":"","parse-names":false,"suffix":""},{"dropping-particle":"","family":"Amarasinghe","given":"Oscar","non-dropping-particle":"","parse-names":false,"suffix":""},{"dropping-particle":"","family":"Fong","given":"Patrick","non-dropping-particle":"","parse-names":false,"suffix":""},{"dropping-particle":"","family":"Ocran","given":"Joseph","non-dropping-particle":"","parse-names":false,"suffix":""},{"dropping-particle":"","family":"Onumah","given":"Edward","non-dropping-particle":"","parse-names":false,"suffix":""},{"dropping-particle":"","family":"Ratuniata","given":"Rusiata","non-dropping-particle":"","parse-names":false,"suffix":""},{"dropping-particle":"Van","family":"Tuyen","given":"Truong","non-dropping-particle":"","parse-names":false,"suffix":""},{"dropping-particle":"","family":"McGregor","given":"J. Allister","non-dropping-particle":"","parse-names":false,"suffix":""},{"dropping-particle":"","family":"Mills","given":"David J.","non-dropping-particle":"","parse-names":false,"suffix":""}],"container-title":"Global Environmental Change","id":"ITEM-2","issued":{"date-parts":[["2016"]]},"page":"153-170","publisher":"Elsevier Ltd","title":"Is resilience socially constructed? Empirical evidence from Fiji, Ghana, Sri Lanka, and Vietnam","type":"article-journal","volume":"38"},"uris":["http://www.mendeley.com/documents/?uuid=64634c07-c87f-4dc5-b6c9-6ad71cf97952"]},{"id":"ITEM-3","itemData":{"DOI":"10.1016/j.crm.2018.02.003","ISSN":"22120963","abstract":"Climate change poses significant threats to the livelihoods of people living in coastal areas, especially in the developing world. There is a critical need to assess vulnerability to inform both scientific debates and policy makers in facilitating adaptation and coping strategies at different scales. This study advances existing approaches to assessing vulnerability by focusing on both household and collective scales in a coastal district in Vietnam: Ngu Hanh Son district. A mixed-method approach was used including 100 household questionnaires, 12 key informant interviews and data from direct observations. At household scale, results indicate large variation in the degree of vulnerability to climate change among households in the same agro-climate zone. These differences are attributable to variations in socio-economic household characteristics and ability to access livelihood assets. Diversifying livelihoods and reducing poverty are important in contributing to the resilience of households. At a collective scale, qualitative data indicates a lack of multi-directional flows of information and highlights gaps in the current governance system. Findings suggest the need to bridge the governance gaps and establish an effective communication system to reduce collective vulnerability in the district. Findings also highlight the need to promote social equity, equality and democracy in formulating climate policies in an effort to reduce the overall vulnerability to climate change.","author":[{"dropping-particle":"","family":"Huynh","given":"Lam Thi Mai","non-dropping-particle":"","parse-names":false,"suffix":""},{"dropping-particle":"","family":"Stringer","given":"Lindsay C.","non-dropping-particle":"","parse-names":false,"suffix":""}],"container-title":"Climate Risk Management","id":"ITEM-3","issue":"February","issued":{"date-parts":[["2018"]]},"page":"165-180","publisher":"Elsevier","title":"Multi-scale assessment of social vulnerability to climate change: An empirical study in coastal Vietnam","type":"article-journal","volume":"20"},"uris":["http://www.mendeley.com/documents/?uuid=7c97eac2-6264-4146-9e4b-c61b27bb6ddb"]},{"id":"ITEM-4","itemData":{"DOI":"10.1016/j.jclepro.2017.11.165","ISSN":"09596526","abstract":"Among the climate change-induced threats to coastal regions, sea level rise is considered as the most serious one. Most large and prosperous cities in China are located along coastal regions and are thus likely to suffer huge economic impacts when a sea level rise occurs. The effects on coastal regions can also be transmitted to inland regions through movement of labor and trade, thus affecting regional disparity. To strengthen evidence-based policies of abatement and adaptation, it is essential to assess the economic impacts of sea level rise in addition to the physical impacts already investigated in the literature. Based on data from GIS analysis of flooded areas, this study uses a state-of-the-art technique (TERM-China, a multiregional general equilibrium model of China) to evaluate the economic impacts of sea level rise. The simulation results suggest that if the sea level rise coincides with sudden-onset extreme storm surges, the coastal regions’ GDP loss would reach 11% in 2050, wherein Tianjin, Shanghai, and Jiangsu would have the most severe losses with over a 20% decline in their individual GDP in 2050. At the sectoral level, high capital-intensive sectors have more significant output losses. Our results also indicate that sea level rise could cause more unemployment in developed coastal regions, drive people to other developing inland regions, and even convert some mega-cities into middle-scale cities.","author":[{"dropping-particle":"","family":"Cui","given":"Qi","non-dropping-particle":"","parse-names":false,"suffix":""},{"dropping-particle":"","family":"Xie","given":"Wei","non-dropping-particle":"","parse-names":false,"suffix":""},{"dropping-particle":"","family":"Liu","given":"Yu","non-dropping-particle":"","parse-names":false,"suffix":""}],"container-title":"Journal of Cleaner Production","id":"ITEM-4","issued":{"date-parts":[["2018"]]},"page":"1245-1253","publisher":"Elsevier Ltd","title":"Effects of sea level rise on economic development and regional disparity in China","type":"article-journal","volume":"176"},"uris":["http://www.mendeley.com/documents/?uuid=f62fd755-0c47-4438-b3de-93c8b5029605"]},{"id":"ITEM-5","itemData":{"DOI":"10.1111/geoj.12282","ISSN":"14754959","abstract":"Small‐scale coastal fisheries (SSCF) in the Western region of Ghana are affected by a combination of climate and non-climate stressors. Coastal communities are particularly vulnerable to these stressors because of their proximity to the sea and high dependence on small-scale fisheries for their livelihoods. A better understanding of how fishing communities, particularly SSCF, respond to climate and non-climate stressors is paramount to improve planning and implementation of effective adaptation action. Drawing on the capitals framework, this study examines the adaptive capacity of SSCF to the combined effects of climate-related (increasing coastal erosion, and wave and storm frequency) and non-climate related stressors (declining catches; scarcity and prohibitive cost of fuel; inconsiderate implementation of fisheries laws and policies; competition from the oil and gas industry; sand mining; and algal blooms). The findings show how fishers mobilise and use adaptive capacity through exploitation of various forms of capital, including cultural capital (e.g., local innovation); political capital (e.g., lobbying government and local authorities); social capital (e.g., collective action); human capital (e.g., local leadership); and natural capital (e.g., utilising beach sand) to respond to multiple stressors. Nevertheless, in many cases, fishers’ responses were reactive and led to negative (maladaptive) outcomes. Furthermore, this study underscores the importance of critically considering the interactive nature of capitals and how they collectively influence adaptive capacity in the planning and implementation of adaptation research, policy and practice.","author":[{"dropping-particle":"","family":"Freduah","given":"George","non-dropping-particle":"","parse-names":false,"suffix":""},{"dropping-particle":"","family":"Fidelman","given":"Pedro","non-dropping-particle":"","parse-names":false,"suffix":""},{"dropping-particle":"","family":"Smith","given":"Timothy F.","non-dropping-particle":"","parse-names":false,"suffix":""}],"container-title":"Geographical Journal","id":"ITEM-5","issue":"1","issued":{"date-parts":[["2019"]]},"page":"96-110","title":"Adaptive capacity of small-scale coastal fishers to climate and non-climate stressors in the Western region of Ghana","type":"article-journal","volume":"185"},"uris":["http://www.mendeley.com/documents/?uuid=746285dd-cadc-41b5-b2f3-6ef092c92394"]},{"id":"ITEM-6","itemData":{"DOI":"10.1016/j.marpol.2009.08.007","ISSN":"0308597X","abstract":"There is increasing concern over the consequences of global warming for the food security and livelihoods of the world's 36 million fisherfolk and the nearly 1.5 billion consumers who rely on fish for more than 20% of their dietary animal protein. With mounting evidence of the impacts of climate variability and change on aquatic ecosystems, the resulting impacts on fisheries livelihoods are likely to be significant, but remain a neglected area in climate adaptation policy. Drawing upon our research and the available literature, and using a livelihoods framework, this paper synthesizes the pathways through which climate variability and change impact fisherfolk livelihoods at the household and community level. We identify current and potential adaptation strategies and explore the wider implications for local livelihoods, fisheries management and climate policies. Responses to climate change can be anticipatory or reactive and should include: (1) management approaches and policies that build the livelihood asset base, reducing vulnerability to multiple stressors, including climate change; (2) an understanding of current response mechanisms to climate variability and other shocks in order to inform planned adaptation; (3) a recognition of the opportunities that climate change could bring to the sector; (4) adaptive strategies designed with a multi-sector perspective; and (5) a recognition of fisheries potential contribution to mitigation efforts. © 2009 Elsevier Ltd. All rights reserved.","author":[{"dropping-particle":"","family":"Badjeck","given":"Marie Caroline","non-dropping-particle":"","parse-names":false,"suffix":""},{"dropping-particle":"","family":"Allison","given":"Edward H.","non-dropping-particle":"","parse-names":false,"suffix":""},{"dropping-particle":"","family":"Halls","given":"Ashley S.","non-dropping-particle":"","parse-names":false,"suffix":""},{"dropping-particle":"","family":"Dulvy","given":"Nicholas K.","non-dropping-particle":"","parse-names":false,"suffix":""}],"container-title":"Marine Policy","id":"ITEM-6","issue":"3","issued":{"date-parts":[["2010"]]},"page":"375-383","publisher":"Elsevier","title":"Impacts of climate variability and change on fishery-based livelihoods","type":"article-journal","volume":"34"},"uris":["http://www.mendeley.com/documents/?uuid=00a10675-a04c-40b5-a069-1c616c26256a"]}],"mendeley":{"formattedCitation":"[5], [9]–[13]","plainTextFormattedCitation":"[5], [9]–[13]","previouslyFormattedCitation":"[5], [9]–[13]"},"properties":{"noteIndex":0},"schema":"https://github.com/citation-style-language/schema/raw/master/csl-citation.json"}</w:instrText>
      </w:r>
      <w:r w:rsidR="00BF6C66">
        <w:rPr>
          <w:sz w:val="24"/>
        </w:rPr>
        <w:fldChar w:fldCharType="separate"/>
      </w:r>
      <w:r w:rsidR="009043E8" w:rsidRPr="009043E8">
        <w:rPr>
          <w:noProof/>
          <w:sz w:val="24"/>
        </w:rPr>
        <w:t>[5], [9]–[13]</w:t>
      </w:r>
      <w:r w:rsidR="00BF6C66">
        <w:rPr>
          <w:sz w:val="24"/>
        </w:rPr>
        <w:fldChar w:fldCharType="end"/>
      </w:r>
      <w:r w:rsidR="00BF6C66">
        <w:rPr>
          <w:sz w:val="24"/>
        </w:rPr>
        <w:t>.</w:t>
      </w:r>
      <w:r w:rsidR="0020488F">
        <w:rPr>
          <w:sz w:val="24"/>
        </w:rPr>
        <w:t xml:space="preserve"> </w:t>
      </w:r>
      <w:r w:rsidR="00586FDF">
        <w:rPr>
          <w:sz w:val="24"/>
        </w:rPr>
        <w:t>I</w:t>
      </w:r>
      <w:r w:rsidR="008605BD">
        <w:rPr>
          <w:sz w:val="24"/>
        </w:rPr>
        <w:t xml:space="preserve">t is generally </w:t>
      </w:r>
      <w:r w:rsidR="007F0836">
        <w:rPr>
          <w:sz w:val="24"/>
        </w:rPr>
        <w:t xml:space="preserve">agreed that </w:t>
      </w:r>
      <w:r w:rsidR="00AA3246">
        <w:rPr>
          <w:sz w:val="24"/>
        </w:rPr>
        <w:t>these</w:t>
      </w:r>
      <w:r w:rsidR="005458C0">
        <w:rPr>
          <w:sz w:val="24"/>
        </w:rPr>
        <w:t xml:space="preserve"> </w:t>
      </w:r>
      <w:r w:rsidR="00D137F9">
        <w:rPr>
          <w:sz w:val="24"/>
        </w:rPr>
        <w:t xml:space="preserve">climate </w:t>
      </w:r>
      <w:r w:rsidR="00911568">
        <w:rPr>
          <w:sz w:val="24"/>
        </w:rPr>
        <w:t>change impacts intersect</w:t>
      </w:r>
      <w:r w:rsidR="008605BD">
        <w:rPr>
          <w:sz w:val="24"/>
        </w:rPr>
        <w:t xml:space="preserve"> with context-specific non-climatic </w:t>
      </w:r>
      <w:r w:rsidR="007F0836">
        <w:rPr>
          <w:sz w:val="24"/>
        </w:rPr>
        <w:t xml:space="preserve">factors </w:t>
      </w:r>
      <w:r w:rsidR="00911568">
        <w:rPr>
          <w:sz w:val="24"/>
        </w:rPr>
        <w:t>to</w:t>
      </w:r>
      <w:r w:rsidR="007F0836">
        <w:rPr>
          <w:sz w:val="24"/>
        </w:rPr>
        <w:t xml:space="preserve"> make </w:t>
      </w:r>
      <w:r w:rsidR="00613515">
        <w:rPr>
          <w:sz w:val="24"/>
        </w:rPr>
        <w:t>rural coastal</w:t>
      </w:r>
      <w:r w:rsidR="00E71A81">
        <w:rPr>
          <w:sz w:val="24"/>
        </w:rPr>
        <w:t>-resource</w:t>
      </w:r>
      <w:r w:rsidR="00613515">
        <w:rPr>
          <w:sz w:val="24"/>
        </w:rPr>
        <w:t xml:space="preserve"> dependent co</w:t>
      </w:r>
      <w:r w:rsidR="00E71A81">
        <w:rPr>
          <w:sz w:val="24"/>
        </w:rPr>
        <w:t xml:space="preserve">mmunities </w:t>
      </w:r>
      <w:r w:rsidR="00E50BBD">
        <w:rPr>
          <w:sz w:val="24"/>
        </w:rPr>
        <w:t xml:space="preserve">in developing economies </w:t>
      </w:r>
      <w:r w:rsidR="00E71A81">
        <w:rPr>
          <w:sz w:val="24"/>
        </w:rPr>
        <w:t xml:space="preserve">disproportionately more </w:t>
      </w:r>
      <w:r w:rsidR="00B91BA1">
        <w:rPr>
          <w:sz w:val="24"/>
        </w:rPr>
        <w:t>vulnerable</w:t>
      </w:r>
      <w:r w:rsidR="00951B27">
        <w:rPr>
          <w:sz w:val="24"/>
        </w:rPr>
        <w:t xml:space="preserve"> to climate change impacts</w:t>
      </w:r>
      <w:r w:rsidR="0046223E">
        <w:rPr>
          <w:sz w:val="24"/>
        </w:rPr>
        <w:t xml:space="preserve"> </w:t>
      </w:r>
      <w:r w:rsidR="0046223E">
        <w:rPr>
          <w:sz w:val="24"/>
        </w:rPr>
        <w:fldChar w:fldCharType="begin" w:fldLock="1"/>
      </w:r>
      <w:r w:rsidR="00643F1B">
        <w:rPr>
          <w:sz w:val="24"/>
        </w:rPr>
        <w:instrText>ADDIN CSL_CITATION {"citationItems":[{"id":"ITEM-1","itemData":{"DOI":"10.1111/j.1467-2979.2008.00310.x","ISSN":"1467-2960","abstract":"Abstract Anthropogenic global warming has significantly influenced physical and biological processes at global and regional scales. The observed and anticipated changes in global climate present significant opportunities and challenges for societies and economies. We compare the vulnerability of 132 national economies to potential climate change impacts on their capture fisheries using an indicator-based approach. Countries in Central and Western Africa (e.g. Malawi, Guinea, Senegal, and Uganda), Peru and Colombia in north-western South America, and four tropical Asian countries (Bangladesh, Cambodia, Pakistan, and Yemen) were identified as most vulnerable. This vulnerability was due to the combined effect of predicted warming, the relative importance of fisheries to national economies and diets, and limited societal capacity to adapt to potential impacts and opportunities. Many vulnerable countries were also among the world?s least developed countries whose inhabitants are among the world?s poorest and twice as reliant on fish, which provides 27% of dietary protein compared to 13% in less vulnerable countries. These countries also produce 20% of the world?s fish exports and are in greatest need of adaptation planning to maintain or enhance the contribution that fisheries can make to poverty reduction. Although the precise impacts and direction of climate-driven change for particular fish stocks and fisheries are uncertain, our analysis suggests they are likely to lead to either increased economic hardship or missed opportunities for development in countries that depend upon fisheries but lack the capacity to adapt.","author":[{"dropping-particle":"","family":"Allison","given":"Edward H","non-dropping-particle":"","parse-names":false,"suffix":""},{"dropping-particle":"","family":"Perry","given":"Allison L","non-dropping-particle":"","parse-names":false,"suffix":""},{"dropping-particle":"","family":"Badjeck","given":"Marie-Caroline","non-dropping-particle":"","parse-names":false,"suffix":""},{"dropping-particle":"","family":"Neil Adger","given":"W","non-dropping-particle":"","parse-names":false,"suffix":""},{"dropping-particle":"","family":"Brown","given":"Katrina","non-dropping-particle":"","parse-names":false,"suffix":""},{"dropping-particle":"","family":"Conway","given":"Declan","non-dropping-particle":"","parse-names":false,"suffix":""},{"dropping-particle":"","family":"Halls","given":"Ashley S","non-dropping-particle":"","parse-names":false,"suffix":""},{"dropping-particle":"","family":"Pilling","given":"Graham M","non-dropping-particle":"","parse-names":false,"suffix":""},{"dropping-particle":"","family":"Reynolds","given":"John D","non-dropping-particle":"","parse-names":false,"suffix":""},{"dropping-particle":"","family":"Andrew","given":"Neil L","non-dropping-particle":"","parse-names":false,"suffix":""},{"dropping-particle":"","family":"Dulvy","given":"Nicholas K","non-dropping-particle":"","parse-names":false,"suffix":""}],"container-title":"Fish and Fisheries","id":"ITEM-1","issue":"2","issued":{"date-parts":[["2009","6","1"]]},"note":"doi: 10.1111/j.1467-2979.2008.00310.x","page":"173-196","publisher":"John Wiley &amp; Sons, Ltd (10.1111)","title":"Vulnerability of national economies to the impacts of climate change on fisheries","type":"article-journal","volume":"10"},"uris":["http://www.mendeley.com/documents/?uuid=123fa285-824c-46ca-9cd9-6adcdee22d3c"]},{"id":"ITEM-2","itemData":{"DOI":"10.1111/geoj.12282","ISSN":"14754959","abstract":"Small‐scale coastal fisheries (SSCF) in the Western region of Ghana are affected by a combination of climate and non-climate stressors. Coastal communities are particularly vulnerable to these stressors because of their proximity to the sea and high dependence on small-scale fisheries for their livelihoods. A better understanding of how fishing communities, particularly SSCF, respond to climate and non-climate stressors is paramount to improve planning and implementation of effective adaptation action. Drawing on the capitals framework, this study examines the adaptive capacity of SSCF to the combined effects of climate-related (increasing coastal erosion, and wave and storm frequency) and non-climate related stressors (declining catches; scarcity and prohibitive cost of fuel; inconsiderate implementation of fisheries laws and policies; competition from the oil and gas industry; sand mining; and algal blooms). The findings show how fishers mobilise and use adaptive capacity through exploitation of various forms of capital, including cultural capital (e.g., local innovation); political capital (e.g., lobbying government and local authorities); social capital (e.g., collective action); human capital (e.g., local leadership); and natural capital (e.g., utilising beach sand) to respond to multiple stressors. Nevertheless, in many cases, fishers’ responses were reactive and led to negative (maladaptive) outcomes. Furthermore, this study underscores the importance of critically considering the interactive nature of capitals and how they collectively influence adaptive capacity in the planning and implementation of adaptation research, policy and practice.","author":[{"dropping-particle":"","family":"Freduah","given":"George","non-dropping-particle":"","parse-names":false,"suffix":""},{"dropping-particle":"","family":"Fidelman","given":"Pedro","non-dropping-particle":"","parse-names":false,"suffix":""},{"dropping-particle":"","family":"Smith","given":"Timothy F.","non-dropping-particle":"","parse-names":false,"suffix":""}],"container-title":"Geographical Journal","id":"ITEM-2","issue":"1","issued":{"date-parts":[["2019"]]},"page":"96-110","title":"Adaptive capacity of small-scale coastal fishers to climate and non-climate stressors in the Western region of Ghana","type":"article-journal","volume":"185"},"uris":["http://www.mendeley.com/documents/?uuid=746285dd-cadc-41b5-b2f3-6ef092c92394"]},{"id":"ITEM-3","itemData":{"DOI":"10.1016/j.gloenvcha.2015.03.003","ISSN":"09593780","abstract":"This paper investigates the relative importance of climate change in the context of multiple stressors in semi-arid Ghana. It draws upon ethnographic research in two agrarian villages, and integrates theories from resilience, vulnerability and feminist political ecology. The findings empirically demonstrate that many farmers do not worry about climate change, even in situations where local perceptions and the climate data show a clear pattern of variability. Additionally, the paper provides evidence of a 'gendered double exposure,' whereby patriarchy and local culture shape how different social groups are impacted by climate change. Overall, the emerging findings suggest that an overemphasis on scenario-based climate change impacts may detract attention from equally important non-climatic factors that loom large in people's lives. The article's central argument is not meant to downplay the ongoing impacts of climate change in Africa. It rather suggests that climate change should be addressed as one problem among many socio-ecological challenges facing smallholder farmers.","author":[{"dropping-particle":"","family":"Nyantakyi-Frimpong","given":"Hanson","non-dropping-particle":"","parse-names":false,"suffix":""},{"dropping-particle":"","family":"Bezner-Kerr","given":"Rachel","non-dropping-particle":"","parse-names":false,"suffix":""}],"container-title":"Global Environmental Change","id":"ITEM-3","issued":{"date-parts":[["2015"]]},"page":"40-56","publisher":"Elsevier Ltd","title":"The relative importance of climate change in the context of multiple stressors in semi-arid Ghana","type":"article-journal","volume":"32"},"uris":["http://www.mendeley.com/documents/?uuid=147f7ec4-5dde-4b63-922d-3e214dca80ee"]},{"id":"ITEM-4","itemData":{"DOI":"10.1016/j.gloenvcha.2014.10.007","ISSN":"09593780","abstract":"This paper examines vulnerability to climate change in the context of multiple stressors through a case study of Funafuti, Tuvalu. Climate change research in Pacific Islands has largely focused on biophysical changes such as sea-level rise. Less is known about how livelihoods are affected and what adaptation options are realistic. The research employs a vulnerability framework to identify where climate fits in the suite of forces (socioeconomic, cultural, environmental) already affecting livelihoods. The participatory approach includes semi-structured interviews with community members, initially without reference to climate. Key areas of concern to people in Funafuti are economic, food, water and overcrowding, rather than climate change. Vulnerability to changing climatic conditions is evident in water, land, and food through the interaction of non-climatic forces (e.g. overcrowding, urbanization, few economic opportunities, changing land use, and shifting cultural norms), and climatic forces (e.g. dry spells, extreme sea-levels, strong winds and changing marine conditions). Adaptations, beyond bearing the effects and sharing the burden, are mainly reactive and short-term. Future changes in climate will be experienced in the context of these multiple, interacting forces, and adaptation initiatives will need to be designed in light of these.","author":[{"dropping-particle":"","family":"McCubbin","given":"Sandra","non-dropping-particle":"","parse-names":false,"suffix":""},{"dropping-particle":"","family":"Smit","given":"Barry","non-dropping-particle":"","parse-names":false,"suffix":""},{"dropping-particle":"","family":"Pearce","given":"Tristan","non-dropping-particle":"","parse-names":false,"suffix":""}],"container-title":"Global Environmental Change","id":"ITEM-4","issued":{"date-parts":[["2015"]]},"page":"43-55","publisher":"Elsevier Ltd","title":"Where does climate fit? Vulnerability to climate change in the context of multiple stressors in Funafuti, Tuvalu","type":"article-journal","volume":"30"},"uris":["http://www.mendeley.com/documents/?uuid=ad805d91-3654-4581-9a93-415b98d22486"]}],"mendeley":{"formattedCitation":"[13]–[16]","plainTextFormattedCitation":"[13]–[16]","previouslyFormattedCitation":"[13]–[16]"},"properties":{"noteIndex":0},"schema":"https://github.com/citation-style-language/schema/raw/master/csl-citation.json"}</w:instrText>
      </w:r>
      <w:r w:rsidR="0046223E">
        <w:rPr>
          <w:sz w:val="24"/>
        </w:rPr>
        <w:fldChar w:fldCharType="separate"/>
      </w:r>
      <w:r w:rsidR="0076085D" w:rsidRPr="0076085D">
        <w:rPr>
          <w:noProof/>
          <w:sz w:val="24"/>
        </w:rPr>
        <w:t>[13]–[16]</w:t>
      </w:r>
      <w:r w:rsidR="0046223E">
        <w:rPr>
          <w:sz w:val="24"/>
        </w:rPr>
        <w:fldChar w:fldCharType="end"/>
      </w:r>
      <w:r w:rsidR="00514D21">
        <w:rPr>
          <w:sz w:val="24"/>
        </w:rPr>
        <w:t xml:space="preserve">. </w:t>
      </w:r>
    </w:p>
    <w:p w14:paraId="366EE6BD" w14:textId="10744C49" w:rsidR="00620BE3" w:rsidRDefault="00514D21" w:rsidP="00F672A4">
      <w:pPr>
        <w:jc w:val="both"/>
        <w:rPr>
          <w:sz w:val="24"/>
        </w:rPr>
      </w:pPr>
      <w:r>
        <w:rPr>
          <w:sz w:val="24"/>
        </w:rPr>
        <w:lastRenderedPageBreak/>
        <w:t>S</w:t>
      </w:r>
      <w:r w:rsidR="00112E7B">
        <w:rPr>
          <w:sz w:val="24"/>
        </w:rPr>
        <w:t xml:space="preserve">tudies </w:t>
      </w:r>
      <w:r>
        <w:rPr>
          <w:sz w:val="24"/>
        </w:rPr>
        <w:t xml:space="preserve">that </w:t>
      </w:r>
      <w:r w:rsidR="00112E7B">
        <w:rPr>
          <w:sz w:val="24"/>
        </w:rPr>
        <w:t xml:space="preserve">have </w:t>
      </w:r>
      <w:r w:rsidR="009836B2">
        <w:rPr>
          <w:sz w:val="24"/>
        </w:rPr>
        <w:t>assessed</w:t>
      </w:r>
      <w:r w:rsidR="00112E7B">
        <w:rPr>
          <w:sz w:val="24"/>
        </w:rPr>
        <w:t xml:space="preserve"> the </w:t>
      </w:r>
      <w:r w:rsidR="00117134">
        <w:rPr>
          <w:sz w:val="24"/>
        </w:rPr>
        <w:t>impact of climate change on</w:t>
      </w:r>
      <w:r w:rsidR="00112E7B">
        <w:rPr>
          <w:sz w:val="24"/>
        </w:rPr>
        <w:t xml:space="preserve"> </w:t>
      </w:r>
      <w:r w:rsidR="00645BC5">
        <w:rPr>
          <w:sz w:val="24"/>
        </w:rPr>
        <w:t xml:space="preserve">rural coastal fishing communities </w:t>
      </w:r>
      <w:r w:rsidR="00AD62BE">
        <w:rPr>
          <w:sz w:val="24"/>
        </w:rPr>
        <w:t>have highlighted the</w:t>
      </w:r>
      <w:r w:rsidR="00996708">
        <w:rPr>
          <w:sz w:val="24"/>
        </w:rPr>
        <w:t>ir generally weak adaptive capacity</w:t>
      </w:r>
      <w:r w:rsidR="0087719A">
        <w:rPr>
          <w:sz w:val="24"/>
        </w:rPr>
        <w:t xml:space="preserve"> </w:t>
      </w:r>
      <w:r w:rsidR="0087719A">
        <w:rPr>
          <w:sz w:val="24"/>
        </w:rPr>
        <w:fldChar w:fldCharType="begin" w:fldLock="1"/>
      </w:r>
      <w:r w:rsidR="007C77C1">
        <w:rPr>
          <w:sz w:val="24"/>
        </w:rPr>
        <w:instrText>ADDIN CSL_CITATION {"citationItems":[{"id":"ITEM-1","itemData":{"DOI":"10.1007/s10113-013-0487-6","ISSN":"14363798","abstract":"Globally, fisheries support livelihoods of over half a billion people who are exposed to multiple climatic stresses and shocks that affect their capacity to subsist. Yet, only limited research exists on the vulnerability of fishery-based livelihood systems to climate change. We assess the vulnerability of fishery-based livelihoods to the impacts of climate variability and change in two coastal fishing communities in Bangladesh. We use a composite index approach to calculate livelihood vulnerability and qualitative methods to understand how exposure, sensitivity, and adaptive capacity measured by sub-indices produce vulnerability. Our results suggest that exposure to floods and cyclones, sensitivity (such as dependence on small-scale marine fisheries for livelihoods), and lack of adaptive capacity in terms of physical, natural, and financial capital and diverse livelihood strategies construe livelihood vulnerability in different ways depending on the context. The most exposed community is not necessarily the most sensitive or least able to adapt because livelihood vulnerability is a result of combined but unequal influences of bio-physical and socio-economic characteristics of communities and households. But within a fishing community, where households are similarly exposed, higher sensitivity and lower adaptive capacity combine to create higher vulnerability. Initiatives to reduce livelihood vulnerability should be correspondingly multifaceted. © 2013 The Author(s).","author":[{"dropping-particle":"","family":"Islam","given":"Md Monirul","non-dropping-particle":"","parse-names":false,"suffix":""},{"dropping-particle":"","family":"Sallu","given":"Susannah","non-dropping-particle":"","parse-names":false,"suffix":""},{"dropping-particle":"","family":"Hubacek","given":"Klaus","non-dropping-particle":"","parse-names":false,"suffix":""},{"dropping-particle":"","family":"Paavola","given":"Jouni","non-dropping-particle":"","parse-names":false,"suffix":""}],"container-title":"Regional Environmental Change","id":"ITEM-1","issue":"1","issued":{"date-parts":[["2014"]]},"page":"281-294","title":"Vulnerability of fishery-based livelihoods to the impacts of climate variability and change: Insights from coastal Bangladesh","type":"article-journal","volume":"14"},"uris":["http://www.mendeley.com/documents/?uuid=394b94ce-bbbe-48df-85a8-468bbddbda2b"]}],"mendeley":{"formattedCitation":"[9]","plainTextFormattedCitation":"[9]","previouslyFormattedCitation":"[9]"},"properties":{"noteIndex":0},"schema":"https://github.com/citation-style-language/schema/raw/master/csl-citation.json"}</w:instrText>
      </w:r>
      <w:r w:rsidR="0087719A">
        <w:rPr>
          <w:sz w:val="24"/>
        </w:rPr>
        <w:fldChar w:fldCharType="separate"/>
      </w:r>
      <w:r w:rsidR="009043E8" w:rsidRPr="009043E8">
        <w:rPr>
          <w:noProof/>
          <w:sz w:val="24"/>
        </w:rPr>
        <w:t>[9]</w:t>
      </w:r>
      <w:r w:rsidR="0087719A">
        <w:rPr>
          <w:sz w:val="24"/>
        </w:rPr>
        <w:fldChar w:fldCharType="end"/>
      </w:r>
      <w:r w:rsidR="0087719A">
        <w:rPr>
          <w:sz w:val="24"/>
        </w:rPr>
        <w:t xml:space="preserve">, </w:t>
      </w:r>
      <w:r w:rsidR="00313FE3">
        <w:rPr>
          <w:sz w:val="24"/>
        </w:rPr>
        <w:t>despite attempt</w:t>
      </w:r>
      <w:r w:rsidR="004B11B9">
        <w:rPr>
          <w:sz w:val="24"/>
        </w:rPr>
        <w:t>s</w:t>
      </w:r>
      <w:r w:rsidR="00313FE3">
        <w:rPr>
          <w:sz w:val="24"/>
        </w:rPr>
        <w:t xml:space="preserve"> to diversify</w:t>
      </w:r>
      <w:r w:rsidR="00586FDF">
        <w:rPr>
          <w:sz w:val="24"/>
        </w:rPr>
        <w:t xml:space="preserve"> their livelihood</w:t>
      </w:r>
      <w:r w:rsidR="00313FE3">
        <w:rPr>
          <w:sz w:val="24"/>
        </w:rPr>
        <w:t xml:space="preserve"> </w:t>
      </w:r>
      <w:r w:rsidR="004B11B9">
        <w:rPr>
          <w:sz w:val="24"/>
        </w:rPr>
        <w:fldChar w:fldCharType="begin" w:fldLock="1"/>
      </w:r>
      <w:r w:rsidR="007C77C1">
        <w:rPr>
          <w:sz w:val="24"/>
        </w:rPr>
        <w:instrText>ADDIN CSL_CITATION {"citationItems":[{"id":"ITEM-1","itemData":{"DOI":"10.1016/j.gloenvcha.2016.03.005","ISSN":"09593780","abstract":"The objective of this paper is to better understand the various individual and household factors that influence resilience, that is, people's ability to respond adequately to shocks and stressors. One of our hypotheses is that resilience does not simply reflect the expected effects of quantifiable factors such as level of assets, or even less quantifiable social processes such as people's experience, but is also determined by more subjective dimensions related to people's perceptions of their ability to cope, adapt or transform in the face of adverse events. Data collected over two years in Fiji, Ghana, Sri Lanka and Vietnam confirms the importance of wealth in the recovery process of households affected by shocks and stressors. However our results challenge the idea that within communities, assets are a systematic differentiator in people's response to adverse events. The findings regarding social capital are mixed and call for more research: social capital had a strong positive influence on resilience at the community level, yet our analysis failed to demonstrate any tangible positive correlation at the household level. Finally, the data confirm that, like vulnerability, resilience is at least in part socially constructed, endogenous to individual and groups, and hence contingent on knowledge, attitudes to risk, culture and subjectivity.","author":[{"dropping-particle":"","family":"Béné","given":"Christophe","non-dropping-particle":"","parse-names":false,"suffix":""},{"dropping-particle":"","family":"Al-Hassan","given":"Ramatu M.","non-dropping-particle":"","parse-names":false,"suffix":""},{"dropping-particle":"","family":"Amarasinghe","given":"Oscar","non-dropping-particle":"","parse-names":false,"suffix":""},{"dropping-particle":"","family":"Fong","given":"Patrick","non-dropping-particle":"","parse-names":false,"suffix":""},{"dropping-particle":"","family":"Ocran","given":"Joseph","non-dropping-particle":"","parse-names":false,"suffix":""},{"dropping-particle":"","family":"Onumah","given":"Edward","non-dropping-particle":"","parse-names":false,"suffix":""},{"dropping-particle":"","family":"Ratuniata","given":"Rusiata","non-dropping-particle":"","parse-names":false,"suffix":""},{"dropping-particle":"Van","family":"Tuyen","given":"Truong","non-dropping-particle":"","parse-names":false,"suffix":""},{"dropping-particle":"","family":"McGregor","given":"J. Allister","non-dropping-particle":"","parse-names":false,"suffix":""},{"dropping-particle":"","family":"Mills","given":"David J.","non-dropping-particle":"","parse-names":false,"suffix":""}],"container-title":"Global Environmental Change","id":"ITEM-1","issued":{"date-parts":[["2016"]]},"page":"153-170","publisher":"Elsevier Ltd","title":"Is resilience socially constructed? Empirical evidence from Fiji, Ghana, Sri Lanka, and Vietnam","type":"article-journal","volume":"38"},"uris":["http://www.mendeley.com/documents/?uuid=64634c07-c87f-4dc5-b6c9-6ad71cf97952"]}],"mendeley":{"formattedCitation":"[10]","plainTextFormattedCitation":"[10]","previouslyFormattedCitation":"[10]"},"properties":{"noteIndex":0},"schema":"https://github.com/citation-style-language/schema/raw/master/csl-citation.json"}</w:instrText>
      </w:r>
      <w:r w:rsidR="004B11B9">
        <w:rPr>
          <w:sz w:val="24"/>
        </w:rPr>
        <w:fldChar w:fldCharType="separate"/>
      </w:r>
      <w:r w:rsidR="009043E8" w:rsidRPr="009043E8">
        <w:rPr>
          <w:noProof/>
          <w:sz w:val="24"/>
        </w:rPr>
        <w:t>[10]</w:t>
      </w:r>
      <w:r w:rsidR="004B11B9">
        <w:rPr>
          <w:sz w:val="24"/>
        </w:rPr>
        <w:fldChar w:fldCharType="end"/>
      </w:r>
      <w:r w:rsidR="004B11B9">
        <w:rPr>
          <w:sz w:val="24"/>
        </w:rPr>
        <w:t xml:space="preserve">, </w:t>
      </w:r>
      <w:r w:rsidR="00D239EE">
        <w:rPr>
          <w:sz w:val="24"/>
        </w:rPr>
        <w:t xml:space="preserve">their </w:t>
      </w:r>
      <w:r w:rsidR="009A1C6C">
        <w:rPr>
          <w:sz w:val="24"/>
        </w:rPr>
        <w:t xml:space="preserve">high sensitivity </w:t>
      </w:r>
      <w:r w:rsidR="0004301D">
        <w:rPr>
          <w:sz w:val="24"/>
        </w:rPr>
        <w:t xml:space="preserve">to </w:t>
      </w:r>
      <w:r w:rsidR="00EC1EEC">
        <w:rPr>
          <w:sz w:val="24"/>
        </w:rPr>
        <w:t xml:space="preserve">impacts </w:t>
      </w:r>
      <w:r w:rsidR="009A1C6C">
        <w:rPr>
          <w:sz w:val="24"/>
        </w:rPr>
        <w:fldChar w:fldCharType="begin" w:fldLock="1"/>
      </w:r>
      <w:r w:rsidR="007C77C1">
        <w:rPr>
          <w:sz w:val="24"/>
        </w:rPr>
        <w:instrText>ADDIN CSL_CITATION {"citationItems":[{"id":"ITEM-1","itemData":{"DOI":"10.1007/s10113-013-0487-6","ISSN":"14363798","abstract":"Globally, fisheries support livelihoods of over half a billion people who are exposed to multiple climatic stresses and shocks that affect their capacity to subsist. Yet, only limited research exists on the vulnerability of fishery-based livelihood systems to climate change. We assess the vulnerability of fishery-based livelihoods to the impacts of climate variability and change in two coastal fishing communities in Bangladesh. We use a composite index approach to calculate livelihood vulnerability and qualitative methods to understand how exposure, sensitivity, and adaptive capacity measured by sub-indices produce vulnerability. Our results suggest that exposure to floods and cyclones, sensitivity (such as dependence on small-scale marine fisheries for livelihoods), and lack of adaptive capacity in terms of physical, natural, and financial capital and diverse livelihood strategies construe livelihood vulnerability in different ways depending on the context. The most exposed community is not necessarily the most sensitive or least able to adapt because livelihood vulnerability is a result of combined but unequal influences of bio-physical and socio-economic characteristics of communities and households. But within a fishing community, where households are similarly exposed, higher sensitivity and lower adaptive capacity combine to create higher vulnerability. Initiatives to reduce livelihood vulnerability should be correspondingly multifaceted. © 2013 The Author(s).","author":[{"dropping-particle":"","family":"Islam","given":"Md Monirul","non-dropping-particle":"","parse-names":false,"suffix":""},{"dropping-particle":"","family":"Sallu","given":"Susannah","non-dropping-particle":"","parse-names":false,"suffix":""},{"dropping-particle":"","family":"Hubacek","given":"Klaus","non-dropping-particle":"","parse-names":false,"suffix":""},{"dropping-particle":"","family":"Paavola","given":"Jouni","non-dropping-particle":"","parse-names":false,"suffix":""}],"container-title":"Regional Environmental Change","id":"ITEM-1","issue":"1","issued":{"date-parts":[["2014"]]},"page":"281-294","title":"Vulnerability of fishery-based livelihoods to the impacts of climate variability and change: Insights from coastal Bangladesh","type":"article-journal","volume":"14"},"uris":["http://www.mendeley.com/documents/?uuid=394b94ce-bbbe-48df-85a8-468bbddbda2b"]}],"mendeley":{"formattedCitation":"[9]","plainTextFormattedCitation":"[9]","previouslyFormattedCitation":"[9]"},"properties":{"noteIndex":0},"schema":"https://github.com/citation-style-language/schema/raw/master/csl-citation.json"}</w:instrText>
      </w:r>
      <w:r w:rsidR="009A1C6C">
        <w:rPr>
          <w:sz w:val="24"/>
        </w:rPr>
        <w:fldChar w:fldCharType="separate"/>
      </w:r>
      <w:r w:rsidR="009043E8" w:rsidRPr="009043E8">
        <w:rPr>
          <w:noProof/>
          <w:sz w:val="24"/>
        </w:rPr>
        <w:t>[9]</w:t>
      </w:r>
      <w:r w:rsidR="009A1C6C">
        <w:rPr>
          <w:sz w:val="24"/>
        </w:rPr>
        <w:fldChar w:fldCharType="end"/>
      </w:r>
      <w:r w:rsidR="00D239EE">
        <w:rPr>
          <w:sz w:val="24"/>
        </w:rPr>
        <w:t xml:space="preserve"> and</w:t>
      </w:r>
      <w:r w:rsidR="009A1C6C">
        <w:rPr>
          <w:sz w:val="24"/>
        </w:rPr>
        <w:t xml:space="preserve"> </w:t>
      </w:r>
      <w:r w:rsidR="00AD0A76">
        <w:rPr>
          <w:sz w:val="24"/>
        </w:rPr>
        <w:t xml:space="preserve">large intra-community variation in vulnerability </w:t>
      </w:r>
      <w:r w:rsidR="009A1C6C">
        <w:rPr>
          <w:sz w:val="24"/>
        </w:rPr>
        <w:fldChar w:fldCharType="begin" w:fldLock="1"/>
      </w:r>
      <w:r w:rsidR="007C77C1">
        <w:rPr>
          <w:sz w:val="24"/>
        </w:rPr>
        <w:instrText>ADDIN CSL_CITATION {"citationItems":[{"id":"ITEM-1","itemData":{"DOI":"10.1016/j.crm.2018.02.003","ISSN":"22120963","abstract":"Climate change poses significant threats to the livelihoods of people living in coastal areas, especially in the developing world. There is a critical need to assess vulnerability to inform both scientific debates and policy makers in facilitating adaptation and coping strategies at different scales. This study advances existing approaches to assessing vulnerability by focusing on both household and collective scales in a coastal district in Vietnam: Ngu Hanh Son district. A mixed-method approach was used including 100 household questionnaires, 12 key informant interviews and data from direct observations. At household scale, results indicate large variation in the degree of vulnerability to climate change among households in the same agro-climate zone. These differences are attributable to variations in socio-economic household characteristics and ability to access livelihood assets. Diversifying livelihoods and reducing poverty are important in contributing to the resilience of households. At a collective scale, qualitative data indicates a lack of multi-directional flows of information and highlights gaps in the current governance system. Findings suggest the need to bridge the governance gaps and establish an effective communication system to reduce collective vulnerability in the district. Findings also highlight the need to promote social equity, equality and democracy in formulating climate policies in an effort to reduce the overall vulnerability to climate change.","author":[{"dropping-particle":"","family":"Huynh","given":"Lam Thi Mai","non-dropping-particle":"","parse-names":false,"suffix":""},{"dropping-particle":"","family":"Stringer","given":"Lindsay C.","non-dropping-particle":"","parse-names":false,"suffix":""}],"container-title":"Climate Risk Management","id":"ITEM-1","issue":"February","issued":{"date-parts":[["2018"]]},"page":"165-180","publisher":"Elsevier","title":"Multi-scale assessment of social vulnerability to climate change: An empirical study in coastal Vietnam","type":"article-journal","volume":"20"},"uris":["http://www.mendeley.com/documents/?uuid=7c97eac2-6264-4146-9e4b-c61b27bb6ddb"]}],"mendeley":{"formattedCitation":"[11]","plainTextFormattedCitation":"[11]","previouslyFormattedCitation":"[11]"},"properties":{"noteIndex":0},"schema":"https://github.com/citation-style-language/schema/raw/master/csl-citation.json"}</w:instrText>
      </w:r>
      <w:r w:rsidR="009A1C6C">
        <w:rPr>
          <w:sz w:val="24"/>
        </w:rPr>
        <w:fldChar w:fldCharType="separate"/>
      </w:r>
      <w:r w:rsidR="009043E8" w:rsidRPr="009043E8">
        <w:rPr>
          <w:noProof/>
          <w:sz w:val="24"/>
        </w:rPr>
        <w:t>[11]</w:t>
      </w:r>
      <w:r w:rsidR="009A1C6C">
        <w:rPr>
          <w:sz w:val="24"/>
        </w:rPr>
        <w:fldChar w:fldCharType="end"/>
      </w:r>
      <w:r w:rsidR="00D239EE">
        <w:rPr>
          <w:sz w:val="24"/>
        </w:rPr>
        <w:t xml:space="preserve">. </w:t>
      </w:r>
      <w:r w:rsidR="004F36DD">
        <w:rPr>
          <w:sz w:val="24"/>
        </w:rPr>
        <w:t xml:space="preserve">Perhaps the most unanimous of </w:t>
      </w:r>
      <w:r w:rsidR="002E6B03">
        <w:rPr>
          <w:sz w:val="24"/>
        </w:rPr>
        <w:t xml:space="preserve">the </w:t>
      </w:r>
      <w:r w:rsidR="007E46BB">
        <w:rPr>
          <w:sz w:val="24"/>
        </w:rPr>
        <w:t>findings so far is</w:t>
      </w:r>
      <w:r w:rsidR="00424810">
        <w:rPr>
          <w:sz w:val="24"/>
        </w:rPr>
        <w:t xml:space="preserve"> that </w:t>
      </w:r>
      <w:r w:rsidR="007E07BE">
        <w:rPr>
          <w:sz w:val="24"/>
        </w:rPr>
        <w:t xml:space="preserve">their </w:t>
      </w:r>
      <w:r w:rsidR="00424810">
        <w:rPr>
          <w:sz w:val="24"/>
        </w:rPr>
        <w:t xml:space="preserve">vulnerability </w:t>
      </w:r>
      <w:r w:rsidR="00F965C5">
        <w:rPr>
          <w:sz w:val="24"/>
        </w:rPr>
        <w:t xml:space="preserve">has more to do with </w:t>
      </w:r>
      <w:r w:rsidR="003C1E33">
        <w:rPr>
          <w:sz w:val="24"/>
        </w:rPr>
        <w:t xml:space="preserve">the configuration of </w:t>
      </w:r>
      <w:r w:rsidR="008143DF">
        <w:rPr>
          <w:sz w:val="24"/>
        </w:rPr>
        <w:t>local socioeconomic and institutional factors</w:t>
      </w:r>
      <w:r w:rsidR="00F965C5">
        <w:rPr>
          <w:sz w:val="24"/>
        </w:rPr>
        <w:t xml:space="preserve"> than with </w:t>
      </w:r>
      <w:r w:rsidR="00C05CDB">
        <w:rPr>
          <w:sz w:val="24"/>
        </w:rPr>
        <w:t xml:space="preserve">prevailing </w:t>
      </w:r>
      <w:r w:rsidR="00CA2730">
        <w:rPr>
          <w:sz w:val="24"/>
        </w:rPr>
        <w:t xml:space="preserve">climatic </w:t>
      </w:r>
      <w:r w:rsidR="000601EA">
        <w:rPr>
          <w:sz w:val="24"/>
        </w:rPr>
        <w:t>threats</w:t>
      </w:r>
      <w:r w:rsidR="00CA2730">
        <w:rPr>
          <w:sz w:val="24"/>
        </w:rPr>
        <w:t xml:space="preserve"> </w:t>
      </w:r>
      <w:r w:rsidR="00CA2730">
        <w:rPr>
          <w:sz w:val="24"/>
        </w:rPr>
        <w:fldChar w:fldCharType="begin" w:fldLock="1"/>
      </w:r>
      <w:r w:rsidR="00643F1B">
        <w:rPr>
          <w:sz w:val="24"/>
        </w:rPr>
        <w:instrText>ADDIN CSL_CITATION {"citationItems":[{"id":"ITEM-1","itemData":{"DOI":"10.1038/s41558-017-0065-x","ISSN":"17586798","abstract":"© 2018 The Author(s). To minimize the impacts of climate change on human wellbeing, governments, development agencies, and civil society organizations have made substantial investments in improving people's capacity to adapt to change. Yet to date, these investments have tended to focus on a very narrow understanding of adaptive capacity. Here, we propose an approach to build adaptive capacity across five domains: the assets that people can draw upon in times of need; the flexibility to change strategies; the ability to organize and act collectively; learning to recognize and respond to change; and the agency to determine whether to change or not.","author":[{"dropping-particle":"","family":"Cinner","given":"Joshua E.","non-dropping-particle":"","parse-names":false,"suffix":""},{"dropping-particle":"","family":"Adger","given":"W. Neil","non-dropping-particle":"","parse-names":false,"suffix":""},{"dropping-particle":"","family":"Allison","given":"Edward H.","non-dropping-particle":"","parse-names":false,"suffix":""},{"dropping-particle":"","family":"Barnes","given":"Michele L.","non-dropping-particle":"","parse-names":false,"suffix":""},{"dropping-particle":"","family":"Brown","given":"Katrina","non-dropping-particle":"","parse-names":false,"suffix":""},{"dropping-particle":"","family":"Cohen","given":"Philippa J.","non-dropping-particle":"","parse-names":false,"suffix":""},{"dropping-particle":"","family":"Gelcich","given":"Stefan","non-dropping-particle":"","parse-names":false,"suffix":""},{"dropping-particle":"","family":"Hicks","given":"Christina C.","non-dropping-particle":"","parse-names":false,"suffix":""},{"dropping-particle":"","family":"Hughes","given":"Terry P.","non-dropping-particle":"","parse-names":false,"suffix":""},{"dropping-particle":"","family":"Lau","given":"Jacqueline","non-dropping-particle":"","parse-names":false,"suffix":""},{"dropping-particle":"","family":"Marshall","given":"Nadine A.","non-dropping-particle":"","parse-names":false,"suffix":""},{"dropping-particle":"","family":"Morrison","given":"Tiffany H.","non-dropping-particle":"","parse-names":false,"suffix":""}],"container-title":"Nature Climate Change","id":"ITEM-1","issue":"2","issued":{"date-parts":[["2018"]]},"page":"117-123","publisher":"Springer US","title":"Building adaptive capacity to climate change in tropical coastal communities","type":"article-journal","volume":"8"},"uris":["http://www.mendeley.com/documents/?uuid=23068310-ea88-4930-b723-40b7df3f6846"]},{"id":"ITEM-2","itemData":{"DOI":"10.1016/S0305-750X(98)00136-3","ISSN":"0305750X","abstract":"A framework for analyzing social vulnerability is outlined, an aspect largely underemphasized in assessments of the impacts of climate change and climate extremes. Vulnerability is defined in this paper as the exposure of individuals or collective groups to livelihood stress as a result of the impacts of such environmental change. It is constituted by individual and collective aspects which can be disaggregated, but are linked through the political economy of markets and institutions. Research in coastal northern Vietnam shows that baseline social vulnerability is enhanced by some institutional and economic factors associated with Vietnam's economic transition from central planning, namely the breakdown of collective action on protection from extreme events and an increasingly skewed income. Offsetting these trends are other institutional changes associated with the dynamic nature of the economic restructuring and evolution of the market transition in Vietnam, which decrease vulnerability.","author":[{"dropping-particle":"","family":"Neil Adger","given":"W.","non-dropping-particle":"","parse-names":false,"suffix":""}],"container-title":"World Development","id":"ITEM-2","issue":"2","issued":{"date-parts":[["1999"]]},"page":"249-269","title":"Social vulnerability to climate change and extremes in coastal Vietnam","type":"article-journal","volume":"27"},"uris":["http://www.mendeley.com/documents/?uuid=1d2e39a0-9b6e-4cbb-aa84-519a0ff0bf10"]},{"id":"ITEM-3","itemData":{"DOI":"10.1111/geoj.12282","ISSN":"14754959","abstract":"Small‐scale coastal fisheries (SSCF) in the Western region of Ghana are affected by a combination of climate and non-climate stressors. Coastal communities are particularly vulnerable to these stressors because of their proximity to the sea and high dependence on small-scale fisheries for their livelihoods. A better understanding of how fishing communities, particularly SSCF, respond to climate and non-climate stressors is paramount to improve planning and implementation of effective adaptation action. Drawing on the capitals framework, this study examines the adaptive capacity of SSCF to the combined effects of climate-related (increasing coastal erosion, and wave and storm frequency) and non-climate related stressors (declining catches; scarcity and prohibitive cost of fuel; inconsiderate implementation of fisheries laws and policies; competition from the oil and gas industry; sand mining; and algal blooms). The findings show how fishers mobilise and use adaptive capacity through exploitation of various forms of capital, including cultural capital (e.g., local innovation); political capital (e.g., lobbying government and local authorities); social capital (e.g., collective action); human capital (e.g., local leadership); and natural capital (e.g., utilising beach sand) to respond to multiple stressors. Nevertheless, in many cases, fishers’ responses were reactive and led to negative (maladaptive) outcomes. Furthermore, this study underscores the importance of critically considering the interactive nature of capitals and how they collectively influence adaptive capacity in the planning and implementation of adaptation research, policy and practice.","author":[{"dropping-particle":"","family":"Freduah","given":"George","non-dropping-particle":"","parse-names":false,"suffix":""},{"dropping-particle":"","family":"Fidelman","given":"Pedro","non-dropping-particle":"","parse-names":false,"suffix":""},{"dropping-particle":"","family":"Smith","given":"Timothy F.","non-dropping-particle":"","parse-names":false,"suffix":""}],"container-title":"Geographical Journal","id":"ITEM-3","issue":"1","issued":{"date-parts":[["2019"]]},"page":"96-110","title":"Adaptive capacity of small-scale coastal fishers to climate and non-climate stressors in the Western region of Ghana","type":"article-journal","volume":"185"},"uris":["http://www.mendeley.com/documents/?uuid=746285dd-cadc-41b5-b2f3-6ef092c92394"]},{"id":"ITEM-4","itemData":{"DOI":"10.1016/j.marpol.2013.06.007","ISSN":"0308597X","abstract":"Limits and barriers to adaptation restrict people's ability to address the negative impacts of climate change or manage risks in a way that maximises their wellbeing. There is a lack of evidence of this on small-scale fishing communities in developing countries. This study identifies and characterises limits and barriers to adaptation of fishing activities to cyclones and examines interactions between them in two fishing communities in Bangladesh, using household questionnaires, oral history interviews, vulnerability matrices and focus group discussions. The limits include physical characteristics of climate and sea like higher frequency and duration of cyclones, and hidden sandbars. Barriers include technologically poor boats, inaccurate weather forecast, poor radio signal, lack of access to credit, low incomes, underestimation of cyclone occurrence, coercion of fishermen by the boat owners and captains, lack of education, skills and livelihood alternatives, unfavourable credit schemes, lack of enforcement of fishing regulations and maritime laws, and lack of access to fish markets. These local and wider scale factors interact in complex ways and constrain completion of fishing trips, coping with cyclones at sea, safe return of boats from sea, timely responses to cyclones and livelihood diversification. The findings indicate a need for further detailed research into the determinants and implications of such limits and barriers, in order to move towards an improved characterisation of adaptation and to identify most suitable means to overcome the limits and barriers. © 2013 The Authors.","author":[{"dropping-particle":"","family":"Monirul Islam","given":"Md","non-dropping-particle":"","parse-names":false,"suffix":""},{"dropping-particle":"","family":"Sallu","given":"Susannah","non-dropping-particle":"","parse-names":false,"suffix":""},{"dropping-particle":"","family":"Hubacek","given":"Klaus","non-dropping-particle":"","parse-names":false,"suffix":""},{"dropping-particle":"","family":"Paavola","given":"Jouni","non-dropping-particle":"","parse-names":false,"suffix":""}],"container-title":"Marine Policy","id":"ITEM-4","issued":{"date-parts":[["2014"]]},"page":"208-216","publisher":"Elsevier","title":"Limits and barriers to adaptation to climate variability and change in Bangladeshi coastal fishing communities","type":"article-journal","volume":"43"},"uris":["http://www.mendeley.com/documents/?uuid=de2490d6-0d3b-4069-bc72-e52acefbdcd4"]}],"mendeley":{"formattedCitation":"[13], [17]–[19]","plainTextFormattedCitation":"[13], [17]–[19]","previouslyFormattedCitation":"[13], [17]–[19]"},"properties":{"noteIndex":0},"schema":"https://github.com/citation-style-language/schema/raw/master/csl-citation.json"}</w:instrText>
      </w:r>
      <w:r w:rsidR="00CA2730">
        <w:rPr>
          <w:sz w:val="24"/>
        </w:rPr>
        <w:fldChar w:fldCharType="separate"/>
      </w:r>
      <w:r w:rsidR="0076085D" w:rsidRPr="0076085D">
        <w:rPr>
          <w:noProof/>
          <w:sz w:val="24"/>
        </w:rPr>
        <w:t>[13], [17]–[19]</w:t>
      </w:r>
      <w:r w:rsidR="00CA2730">
        <w:rPr>
          <w:sz w:val="24"/>
        </w:rPr>
        <w:fldChar w:fldCharType="end"/>
      </w:r>
      <w:r w:rsidR="005D1B9B">
        <w:rPr>
          <w:sz w:val="24"/>
        </w:rPr>
        <w:t>,</w:t>
      </w:r>
      <w:r w:rsidR="00D6379B">
        <w:rPr>
          <w:sz w:val="24"/>
        </w:rPr>
        <w:t xml:space="preserve"> and</w:t>
      </w:r>
      <w:r w:rsidR="00961B79">
        <w:rPr>
          <w:sz w:val="24"/>
        </w:rPr>
        <w:t xml:space="preserve"> </w:t>
      </w:r>
      <w:r w:rsidR="000C7B57">
        <w:rPr>
          <w:sz w:val="24"/>
        </w:rPr>
        <w:t>thus</w:t>
      </w:r>
      <w:r w:rsidR="00D87604">
        <w:rPr>
          <w:sz w:val="24"/>
        </w:rPr>
        <w:t>,</w:t>
      </w:r>
      <w:r w:rsidR="000C7B57">
        <w:rPr>
          <w:sz w:val="24"/>
        </w:rPr>
        <w:t xml:space="preserve"> </w:t>
      </w:r>
      <w:r w:rsidR="00961B79">
        <w:rPr>
          <w:sz w:val="24"/>
        </w:rPr>
        <w:t>is</w:t>
      </w:r>
      <w:r w:rsidR="00D6379B">
        <w:rPr>
          <w:sz w:val="24"/>
        </w:rPr>
        <w:t xml:space="preserve"> context</w:t>
      </w:r>
      <w:r w:rsidR="000C7B57">
        <w:rPr>
          <w:sz w:val="24"/>
        </w:rPr>
        <w:t>-</w:t>
      </w:r>
      <w:r w:rsidR="00D6379B">
        <w:rPr>
          <w:sz w:val="24"/>
        </w:rPr>
        <w:t xml:space="preserve">specific </w:t>
      </w:r>
      <w:r w:rsidR="00D6379B">
        <w:rPr>
          <w:sz w:val="24"/>
        </w:rPr>
        <w:fldChar w:fldCharType="begin" w:fldLock="1"/>
      </w:r>
      <w:r w:rsidR="00643F1B">
        <w:rPr>
          <w:sz w:val="24"/>
        </w:rPr>
        <w:instrText>ADDIN CSL_CITATION {"citationItems":[{"id":"ITEM-1","itemData":{"DOI":"10.1016/j.marpol.2013.06.007","ISSN":"0308597X","abstract":"Limits and barriers to adaptation restrict people's ability to address the negative impacts of climate change or manage risks in a way that maximises their wellbeing. There is a lack of evidence of this on small-scale fishing communities in developing countries. This study identifies and characterises limits and barriers to adaptation of fishing activities to cyclones and examines interactions between them in two fishing communities in Bangladesh, using household questionnaires, oral history interviews, vulnerability matrices and focus group discussions. The limits include physical characteristics of climate and sea like higher frequency and duration of cyclones, and hidden sandbars. Barriers include technologically poor boats, inaccurate weather forecast, poor radio signal, lack of access to credit, low incomes, underestimation of cyclone occurrence, coercion of fishermen by the boat owners and captains, lack of education, skills and livelihood alternatives, unfavourable credit schemes, lack of enforcement of fishing regulations and maritime laws, and lack of access to fish markets. These local and wider scale factors interact in complex ways and constrain completion of fishing trips, coping with cyclones at sea, safe return of boats from sea, timely responses to cyclones and livelihood diversification. The findings indicate a need for further detailed research into the determinants and implications of such limits and barriers, in order to move towards an improved characterisation of adaptation and to identify most suitable means to overcome the limits and barriers. © 2013 The Authors.","author":[{"dropping-particle":"","family":"Monirul Islam","given":"Md","non-dropping-particle":"","parse-names":false,"suffix":""},{"dropping-particle":"","family":"Sallu","given":"Susannah","non-dropping-particle":"","parse-names":false,"suffix":""},{"dropping-particle":"","family":"Hubacek","given":"Klaus","non-dropping-particle":"","parse-names":false,"suffix":""},{"dropping-particle":"","family":"Paavola","given":"Jouni","non-dropping-particle":"","parse-names":false,"suffix":""}],"container-title":"Marine Policy","id":"ITEM-1","issued":{"date-parts":[["2014"]]},"page":"208-216","publisher":"Elsevier","title":"Limits and barriers to adaptation to climate variability and change in Bangladeshi coastal fishing communities","type":"article-journal","volume":"43"},"uris":["http://www.mendeley.com/documents/?uuid=de2490d6-0d3b-4069-bc72-e52acefbdcd4"]}],"mendeley":{"formattedCitation":"[19]","plainTextFormattedCitation":"[19]","previouslyFormattedCitation":"[19]"},"properties":{"noteIndex":0},"schema":"https://github.com/citation-style-language/schema/raw/master/csl-citation.json"}</w:instrText>
      </w:r>
      <w:r w:rsidR="00D6379B">
        <w:rPr>
          <w:sz w:val="24"/>
        </w:rPr>
        <w:fldChar w:fldCharType="separate"/>
      </w:r>
      <w:r w:rsidR="0076085D" w:rsidRPr="0076085D">
        <w:rPr>
          <w:noProof/>
          <w:sz w:val="24"/>
        </w:rPr>
        <w:t>[19]</w:t>
      </w:r>
      <w:r w:rsidR="00D6379B">
        <w:rPr>
          <w:sz w:val="24"/>
        </w:rPr>
        <w:fldChar w:fldCharType="end"/>
      </w:r>
      <w:r w:rsidR="00D6379B">
        <w:rPr>
          <w:sz w:val="24"/>
        </w:rPr>
        <w:t>.</w:t>
      </w:r>
      <w:r w:rsidR="00796599">
        <w:rPr>
          <w:sz w:val="24"/>
        </w:rPr>
        <w:t xml:space="preserve"> </w:t>
      </w:r>
      <w:r w:rsidR="00C35CA8">
        <w:rPr>
          <w:sz w:val="24"/>
        </w:rPr>
        <w:t xml:space="preserve">The </w:t>
      </w:r>
      <w:r w:rsidR="00D2548E">
        <w:rPr>
          <w:sz w:val="24"/>
        </w:rPr>
        <w:t xml:space="preserve">problem of </w:t>
      </w:r>
      <w:r w:rsidR="00C35CA8">
        <w:rPr>
          <w:sz w:val="24"/>
        </w:rPr>
        <w:t>context</w:t>
      </w:r>
      <w:r w:rsidR="00D2548E">
        <w:rPr>
          <w:sz w:val="24"/>
        </w:rPr>
        <w:t xml:space="preserve">-specificity limits the </w:t>
      </w:r>
      <w:r w:rsidR="00267ED5">
        <w:rPr>
          <w:sz w:val="24"/>
        </w:rPr>
        <w:t xml:space="preserve">extent of the generalization that can be made from such studies </w:t>
      </w:r>
      <w:r w:rsidR="00267ED5">
        <w:rPr>
          <w:sz w:val="24"/>
        </w:rPr>
        <w:fldChar w:fldCharType="begin" w:fldLock="1"/>
      </w:r>
      <w:r w:rsidR="00643F1B">
        <w:rPr>
          <w:sz w:val="24"/>
        </w:rPr>
        <w:instrText>ADDIN CSL_CITATION {"citationItems":[{"id":"ITEM-1","itemData":{"DOI":"10.1002/9781119154051.ch3","ISBN":"9789251063477","abstract":"An overview of the current scientific knowledge available on climate change implications for fisheries and aquaculture is provided through three technical papers that were presented and discussed during the Expert Workshop on Climate Change Implications for Fisheries and Aquaculture (Rome, 79 April 2008). A summary of the workshop outcomes as well as key messages on impacts of climate change on aquatic ecosystems and on fisheries- and aquaculture-based livelihoods are provided in the introduction of this Technical Paper. The first paper reviews the physical and ecological impacts of climate change relevant to marine and inland capture fisheries and aquaculture. The paper begins with a review of the physical impacts of climate change on marine and freshwater systems and then connects these changes with observed effects on fish production processes. It also outlines a series of scenarios of climate change impacts on fish production and ecosystems through case studies in different regions and ecosystems. The second paper tackles the consequences of climate change impacts on fisheries and their dependent communities. It analyses the exposure, sensitivity and vulnerability of fisheries to climate change and presents examples of adaptive mechanisms currently used in the sector. The contribution of fisheries to greenhouse gas emissions is addressed and examples of mitigation strategies are given. The role of public policy and institutions in promoting climate change adaptation and mitigation is also explored. Finally, the third paper addresses the impacts of climate change on aquaculture. It provides an overview of the current food fish and aquaculture production and a synthesis of existing studies on climate change effects on aquaculture and fisheries. The paper focuses on the direct and indirect impacts of climate change on aquaculture, in terms of biodiversity, fish disease and fishmeal. Contribution of aquaculture to climate change is addressed (carbon emission and carbon sequestration), as well as possible adaptation and mitigation measures that could be implemented.","author":[{"dropping-particle":"","family":"Cochrane, K., De Young, C., Soto, D., &amp; Bahri","given":"T.","non-dropping-particle":"","parse-names":false,"suffix":""}],"container-title":"Climate Change Impacts on Fisheries and Aquaculture","editor":[{"dropping-particle":"","family":"Cochrane, K., De Young, C., Soto, D., &amp; Bahri","given":"T.","non-dropping-particle":"","parse-names":false,"suffix":""}],"id":"ITEM-1","issued":{"date-parts":[["2009","9","22"]]},"page":"212","publisher":"FAO Fisheries and aquaculture technical paper, 530","publisher-place":"Rome","title":"Climate Change Implications for Fisheries and Aquaculture","type":"chapter"},"uris":["http://www.mendeley.com/documents/?uuid=fa839180-885c-42f6-b441-ffab1dff0b41"]}],"mendeley":{"formattedCitation":"[20]","plainTextFormattedCitation":"[20]","previouslyFormattedCitation":"[20]"},"properties":{"noteIndex":0},"schema":"https://github.com/citation-style-language/schema/raw/master/csl-citation.json"}</w:instrText>
      </w:r>
      <w:r w:rsidR="00267ED5">
        <w:rPr>
          <w:sz w:val="24"/>
        </w:rPr>
        <w:fldChar w:fldCharType="separate"/>
      </w:r>
      <w:r w:rsidR="0076085D" w:rsidRPr="0076085D">
        <w:rPr>
          <w:noProof/>
          <w:sz w:val="24"/>
        </w:rPr>
        <w:t>[20]</w:t>
      </w:r>
      <w:r w:rsidR="00267ED5">
        <w:rPr>
          <w:sz w:val="24"/>
        </w:rPr>
        <w:fldChar w:fldCharType="end"/>
      </w:r>
      <w:r w:rsidR="00267ED5">
        <w:rPr>
          <w:sz w:val="24"/>
        </w:rPr>
        <w:t>.</w:t>
      </w:r>
      <w:r w:rsidR="00D2548E">
        <w:rPr>
          <w:sz w:val="24"/>
        </w:rPr>
        <w:t xml:space="preserve"> </w:t>
      </w:r>
      <w:r w:rsidR="00267ED5">
        <w:rPr>
          <w:sz w:val="24"/>
        </w:rPr>
        <w:t>As such, m</w:t>
      </w:r>
      <w:r w:rsidR="00CB05CC">
        <w:rPr>
          <w:sz w:val="24"/>
        </w:rPr>
        <w:t>ore</w:t>
      </w:r>
      <w:r w:rsidR="00624182">
        <w:rPr>
          <w:sz w:val="24"/>
        </w:rPr>
        <w:t xml:space="preserve"> </w:t>
      </w:r>
      <w:r w:rsidR="00E754C0">
        <w:rPr>
          <w:sz w:val="24"/>
        </w:rPr>
        <w:t xml:space="preserve">research </w:t>
      </w:r>
      <w:r w:rsidR="0015218B">
        <w:rPr>
          <w:sz w:val="24"/>
        </w:rPr>
        <w:t>from</w:t>
      </w:r>
      <w:r w:rsidR="00CA5C22">
        <w:rPr>
          <w:sz w:val="24"/>
        </w:rPr>
        <w:t xml:space="preserve"> </w:t>
      </w:r>
      <w:r w:rsidR="002E4A29">
        <w:rPr>
          <w:sz w:val="24"/>
        </w:rPr>
        <w:t>a variety of geographical, soci</w:t>
      </w:r>
      <w:r w:rsidR="002342D1">
        <w:rPr>
          <w:sz w:val="24"/>
        </w:rPr>
        <w:t xml:space="preserve">oeconomic and </w:t>
      </w:r>
      <w:r w:rsidR="00E81791">
        <w:rPr>
          <w:sz w:val="24"/>
        </w:rPr>
        <w:t>stressor</w:t>
      </w:r>
      <w:r w:rsidR="002342D1">
        <w:rPr>
          <w:sz w:val="24"/>
        </w:rPr>
        <w:t xml:space="preserve"> contexts</w:t>
      </w:r>
      <w:r w:rsidR="0096593D">
        <w:rPr>
          <w:sz w:val="24"/>
        </w:rPr>
        <w:t xml:space="preserve"> </w:t>
      </w:r>
      <w:r w:rsidR="00110556">
        <w:rPr>
          <w:sz w:val="24"/>
        </w:rPr>
        <w:t xml:space="preserve">are needed </w:t>
      </w:r>
      <w:r w:rsidR="00E754C0">
        <w:rPr>
          <w:sz w:val="24"/>
        </w:rPr>
        <w:t>to fully</w:t>
      </w:r>
      <w:r w:rsidR="000261FF">
        <w:rPr>
          <w:sz w:val="24"/>
        </w:rPr>
        <w:t xml:space="preserve"> elucidate </w:t>
      </w:r>
      <w:r w:rsidR="00B252F6">
        <w:rPr>
          <w:sz w:val="24"/>
        </w:rPr>
        <w:t xml:space="preserve">the factors that characterise the vulnerability of </w:t>
      </w:r>
      <w:r w:rsidR="0015218B">
        <w:rPr>
          <w:sz w:val="24"/>
        </w:rPr>
        <w:t xml:space="preserve">rural </w:t>
      </w:r>
      <w:r w:rsidR="00B252F6">
        <w:rPr>
          <w:sz w:val="24"/>
        </w:rPr>
        <w:t xml:space="preserve">coastal </w:t>
      </w:r>
      <w:r w:rsidR="00E676F3">
        <w:rPr>
          <w:sz w:val="24"/>
        </w:rPr>
        <w:t>fishing</w:t>
      </w:r>
      <w:r w:rsidR="002609F0">
        <w:rPr>
          <w:sz w:val="24"/>
        </w:rPr>
        <w:t xml:space="preserve"> communities</w:t>
      </w:r>
      <w:r w:rsidR="0015218B">
        <w:rPr>
          <w:sz w:val="24"/>
        </w:rPr>
        <w:t xml:space="preserve"> to climate change</w:t>
      </w:r>
      <w:r w:rsidR="008A4751">
        <w:rPr>
          <w:sz w:val="24"/>
        </w:rPr>
        <w:t>.</w:t>
      </w:r>
      <w:r w:rsidR="002609F0">
        <w:rPr>
          <w:sz w:val="24"/>
        </w:rPr>
        <w:t xml:space="preserve"> </w:t>
      </w:r>
      <w:r w:rsidR="000D71D5">
        <w:rPr>
          <w:sz w:val="24"/>
        </w:rPr>
        <w:t xml:space="preserve">In Ghana, </w:t>
      </w:r>
      <w:r w:rsidR="00A471B8">
        <w:rPr>
          <w:sz w:val="24"/>
        </w:rPr>
        <w:t>some studies have attempted to assess what characterises climate change vulnerability in farming communities</w:t>
      </w:r>
      <w:r w:rsidR="00C67882">
        <w:rPr>
          <w:sz w:val="24"/>
        </w:rPr>
        <w:t xml:space="preserve"> </w:t>
      </w:r>
      <w:r w:rsidR="00341A95">
        <w:rPr>
          <w:sz w:val="24"/>
        </w:rPr>
        <w:fldChar w:fldCharType="begin" w:fldLock="1"/>
      </w:r>
      <w:r w:rsidR="007C77C1">
        <w:rPr>
          <w:sz w:val="24"/>
        </w:rPr>
        <w:instrText>ADDIN CSL_CITATION {"citationItems":[{"id":"ITEM-1","itemData":{"DOI":"10.1007/s10668-012-9418-9","ISSN":"1387585X","abstract":"This paper builds on national- and regional-level vulnerability assessments by developing and applying a livelihood vulnerability index at the community and household scales to explore the nature of climate vulnerability. It provides innovative methodological steps in relation to livelihood assessment to identify the vulnerability of households and communities to drought. This will help to improve drought vulnerability assessments in Ghana and more widely as it shows extra information can be obtained from local-level vulnerability assessment that may be lacking in national- and regional-level analysis. The research employs quantitative and qualitative data collected through participatory methods, key informant interviews and a questionnaire survey with 270 households across 6 communities in two regions in Ghana. Results show that within the same agroecological zone, households and communities experience different degrees of climate vulnerability. These differences can be largely explained by socioeconomic characteristics such as wealth and gender, as well as access to capital assets. Results identify vulnerable households within resilient communities as well as more resilient households within vulnerable communities. These outliers are studied in detail. It is found that outlier households in vulnerable communities have an array of alternative livelihood options and tend to be socially well connected, enabling them to take advantage of opportunities associated with environmental and economic changes. To sustain and enhance the livelihoods of vulnerable households and communities, policymakers need to identify and facilitate appropriate interventions that foster asset building, improve institutional capacity as well as build social capital. © 2012 Springer Science+Business Media Dordrecht.","author":[{"dropping-particle":"","family":"Antwi-Agyei","given":"Philip","non-dropping-particle":"","parse-names":false,"suffix":""},{"dropping-particle":"","family":"Dougill","given":"Andrew J.","non-dropping-particle":"","parse-names":false,"suffix":""},{"dropping-particle":"","family":"Fraser","given":"Evan D.G.","non-dropping-particle":"","parse-names":false,"suffix":""},{"dropping-particle":"","family":"Stringer","given":"Lindsay C.","non-dropping-particle":"","parse-names":false,"suffix":""}],"container-title":"Environment, Development and Sustainability","id":"ITEM-1","issue":"4","issued":{"date-parts":[["2013"]]},"page":"903-926","title":"Characterising the nature of household vulnerability to climate variability: Empirical evidence from two regions of Ghana","type":"article-journal","volume":"15"},"uris":["http://www.mendeley.com/documents/?uuid=43de67cb-04c8-449a-a6e9-e0be618cfa96"]}],"mendeley":{"formattedCitation":"[21]","plainTextFormattedCitation":"[21]","previouslyFormattedCitation":"[21]"},"properties":{"noteIndex":0},"schema":"https://github.com/citation-style-language/schema/raw/master/csl-citation.json"}</w:instrText>
      </w:r>
      <w:r w:rsidR="00341A95">
        <w:rPr>
          <w:sz w:val="24"/>
        </w:rPr>
        <w:fldChar w:fldCharType="separate"/>
      </w:r>
      <w:r w:rsidR="009043E8" w:rsidRPr="009043E8">
        <w:rPr>
          <w:noProof/>
          <w:sz w:val="24"/>
        </w:rPr>
        <w:t>[21]</w:t>
      </w:r>
      <w:r w:rsidR="00341A95">
        <w:rPr>
          <w:sz w:val="24"/>
        </w:rPr>
        <w:fldChar w:fldCharType="end"/>
      </w:r>
      <w:r w:rsidR="00A471B8">
        <w:rPr>
          <w:sz w:val="24"/>
        </w:rPr>
        <w:t>.</w:t>
      </w:r>
      <w:r w:rsidR="00C67882">
        <w:rPr>
          <w:sz w:val="24"/>
        </w:rPr>
        <w:t xml:space="preserve"> </w:t>
      </w:r>
      <w:r w:rsidR="00CF1A5B">
        <w:rPr>
          <w:sz w:val="24"/>
        </w:rPr>
        <w:t>A gap in this knowledge exists for fishing communities</w:t>
      </w:r>
      <w:r w:rsidR="002D76E0">
        <w:rPr>
          <w:sz w:val="24"/>
        </w:rPr>
        <w:t xml:space="preserve"> </w:t>
      </w:r>
      <w:r w:rsidR="00190437">
        <w:rPr>
          <w:sz w:val="24"/>
        </w:rPr>
        <w:fldChar w:fldCharType="begin" w:fldLock="1"/>
      </w:r>
      <w:r w:rsidR="00B924BC">
        <w:rPr>
          <w:sz w:val="24"/>
        </w:rPr>
        <w:instrText>ADDIN CSL_CITATION {"citationItems":[{"id":"ITEM-1","itemData":{"DOI":"10.1111/j.2040-0209.2014.00446.x","ISBN":"9781781181850","abstract":"This paper gives insight into the political economy of climate compatible development (CCD) in Ghana’s artisanal fisheries, focusing on two contentious policy areas that both have the potential to offer “triple-win” benefits, but in practice may not: the subsidized premix fuel provided to artisanal fishermen, and mangrove protection. Regarding the premix fuel subsidy, it is highly opposed by artisanal fishermen who argue that it would damage their livelihoods, and it may force fishermen into alternative, potentially unsustainable livelihoods. Regarding mangrove protection, there is insufficient funding and administrative coordination across ministries and agencies, meaning it is neglected. Therefore, a major constraint to CCD is institutional failing, rather than a lack of policies. The paper emphasises that CCD needs to be conceptualised as a process that is dynamic across space and time, and that pressure from a number of actors, including grass-roots actors, may demand short-term improvements to current problems rather than aspiring to triple-win outcomes in the long-term, creating challenges for CCD. There is also an overview of artisanal fishing in Ghana, and the impacts of climate change.","author":[{"dropping-particle":"","family":"Tanner","given":"Thomas","non-dropping-particle":"","parse-names":false,"suffix":""},{"dropping-particle":"","family":"Mensah","given":"Adelina","non-dropping-particle":"","parse-names":false,"suffix":""},{"dropping-particle":"","family":"Lawson","given":"Elaine T.","non-dropping-particle":"","parse-names":false,"suffix":""},{"dropping-particle":"","family":"Gordon","given":"Chris","non-dropping-particle":"","parse-names":false,"suffix":""},{"dropping-particle":"","family":"Godfrey-Wood","given":"Rachel","non-dropping-particle":"","parse-names":false,"suffix":""},{"dropping-particle":"","family":"Cannon","given":"Terry","non-dropping-particle":"","parse-names":false,"suffix":""}],"container-title":"IDS Working Papers","id":"ITEM-1","issue":"446","issued":{"date-parts":[["2014"]]},"page":"1-30","title":"Political Economy of Climate Compatible Development: Artisanal Fisheries and Climate Change in Ghana","type":"article-journal","volume":"2014"},"uris":["http://www.mendeley.com/documents/?uuid=8b6cc563-9076-42bf-a72b-c6c420c056ae"]},{"id":"ITEM-2","itemData":{"DOI":"10.1016/j.ocecoaman.2018.04.029","ISSN":"09645691","author":[{"dropping-particle":"","family":"Ankrah","given":"Johnson","non-dropping-particle":"","parse-names":false,"suffix":""}],"container-title":"Ocean and Coastal Management","id":"ITEM-2","issue":"May","issued":{"date-parts":[["2018"]]},"page":"141-146","publisher":"Elsevier","title":"Climate change impacts and coastal livelihoods; an analysis of fishers of coastal Winneba, Ghana","type":"article-journal","volume":"161"},"uris":["http://www.mendeley.com/documents/?uuid=c395da84-f133-41fa-9b60-37a72ac4d02a"]}],"mendeley":{"formattedCitation":"[22], [23]","plainTextFormattedCitation":"[22], [23]","previouslyFormattedCitation":"[22], [23]"},"properties":{"noteIndex":0},"schema":"https://github.com/citation-style-language/schema/raw/master/csl-citation.json"}</w:instrText>
      </w:r>
      <w:r w:rsidR="00190437">
        <w:rPr>
          <w:sz w:val="24"/>
        </w:rPr>
        <w:fldChar w:fldCharType="separate"/>
      </w:r>
      <w:r w:rsidR="000150EF" w:rsidRPr="000150EF">
        <w:rPr>
          <w:noProof/>
          <w:sz w:val="24"/>
        </w:rPr>
        <w:t>[22], [23]</w:t>
      </w:r>
      <w:r w:rsidR="00190437">
        <w:rPr>
          <w:sz w:val="24"/>
        </w:rPr>
        <w:fldChar w:fldCharType="end"/>
      </w:r>
      <w:r w:rsidR="005E6580">
        <w:rPr>
          <w:sz w:val="24"/>
        </w:rPr>
        <w:t xml:space="preserve">. </w:t>
      </w:r>
      <w:r w:rsidR="002609F0">
        <w:rPr>
          <w:sz w:val="24"/>
        </w:rPr>
        <w:t>This study</w:t>
      </w:r>
      <w:r w:rsidR="004347E2">
        <w:rPr>
          <w:sz w:val="24"/>
        </w:rPr>
        <w:t xml:space="preserve"> </w:t>
      </w:r>
      <w:proofErr w:type="gramStart"/>
      <w:r w:rsidR="004347E2">
        <w:rPr>
          <w:sz w:val="24"/>
        </w:rPr>
        <w:t>makes a contributi</w:t>
      </w:r>
      <w:r w:rsidR="00F340A9">
        <w:rPr>
          <w:sz w:val="24"/>
        </w:rPr>
        <w:t>on</w:t>
      </w:r>
      <w:proofErr w:type="gramEnd"/>
      <w:r w:rsidR="004347E2">
        <w:rPr>
          <w:sz w:val="24"/>
        </w:rPr>
        <w:t xml:space="preserve"> using</w:t>
      </w:r>
      <w:r w:rsidR="000757AF">
        <w:rPr>
          <w:sz w:val="24"/>
        </w:rPr>
        <w:t xml:space="preserve"> </w:t>
      </w:r>
      <w:r w:rsidR="009A263D">
        <w:rPr>
          <w:sz w:val="24"/>
        </w:rPr>
        <w:t xml:space="preserve">empirical evidence </w:t>
      </w:r>
      <w:r w:rsidR="00A90346">
        <w:rPr>
          <w:sz w:val="24"/>
        </w:rPr>
        <w:t xml:space="preserve">from a </w:t>
      </w:r>
      <w:r w:rsidR="00A36A55">
        <w:rPr>
          <w:sz w:val="24"/>
        </w:rPr>
        <w:t xml:space="preserve">coastal fishing </w:t>
      </w:r>
      <w:r w:rsidR="00FE1166">
        <w:rPr>
          <w:sz w:val="24"/>
        </w:rPr>
        <w:t>community</w:t>
      </w:r>
      <w:r w:rsidR="000757AF">
        <w:rPr>
          <w:sz w:val="24"/>
        </w:rPr>
        <w:t xml:space="preserve"> in</w:t>
      </w:r>
      <w:r w:rsidR="00FE1166">
        <w:rPr>
          <w:sz w:val="24"/>
        </w:rPr>
        <w:t xml:space="preserve"> </w:t>
      </w:r>
      <w:r w:rsidR="000757AF">
        <w:rPr>
          <w:sz w:val="24"/>
        </w:rPr>
        <w:t xml:space="preserve">Ghana, which is </w:t>
      </w:r>
      <w:r w:rsidR="00FE1166">
        <w:rPr>
          <w:sz w:val="24"/>
        </w:rPr>
        <w:t xml:space="preserve">involved in beach-seining </w:t>
      </w:r>
      <w:r w:rsidR="00904C1E">
        <w:rPr>
          <w:sz w:val="24"/>
        </w:rPr>
        <w:t>and faced with declining fish catches</w:t>
      </w:r>
      <w:r w:rsidR="004347E2">
        <w:rPr>
          <w:sz w:val="24"/>
        </w:rPr>
        <w:t>.</w:t>
      </w:r>
      <w:r w:rsidR="001B3783">
        <w:rPr>
          <w:sz w:val="24"/>
        </w:rPr>
        <w:t xml:space="preserve"> </w:t>
      </w:r>
      <w:r w:rsidR="00265BAE">
        <w:rPr>
          <w:sz w:val="24"/>
        </w:rPr>
        <w:t>B</w:t>
      </w:r>
      <w:r w:rsidR="00265BAE" w:rsidRPr="00265BAE">
        <w:rPr>
          <w:sz w:val="24"/>
        </w:rPr>
        <w:t>each</w:t>
      </w:r>
      <w:r w:rsidR="00084DFF">
        <w:rPr>
          <w:sz w:val="24"/>
        </w:rPr>
        <w:t>-</w:t>
      </w:r>
      <w:r w:rsidR="00265BAE" w:rsidRPr="00265BAE">
        <w:rPr>
          <w:sz w:val="24"/>
        </w:rPr>
        <w:t>seining</w:t>
      </w:r>
      <w:r w:rsidR="00084DFF">
        <w:rPr>
          <w:sz w:val="24"/>
        </w:rPr>
        <w:t xml:space="preserve"> </w:t>
      </w:r>
      <w:r w:rsidR="00265BAE" w:rsidRPr="00265BAE">
        <w:rPr>
          <w:sz w:val="24"/>
        </w:rPr>
        <w:t xml:space="preserve">is a fishing method that targets nearshore fishes by deploying a seine net and hauling it to shore by both ends manually. </w:t>
      </w:r>
      <w:r w:rsidR="006A3F54">
        <w:rPr>
          <w:sz w:val="24"/>
        </w:rPr>
        <w:t>The study address</w:t>
      </w:r>
      <w:r w:rsidR="007067FA">
        <w:rPr>
          <w:sz w:val="24"/>
        </w:rPr>
        <w:t>es</w:t>
      </w:r>
      <w:r w:rsidR="006A3F54">
        <w:rPr>
          <w:sz w:val="24"/>
        </w:rPr>
        <w:t xml:space="preserve"> </w:t>
      </w:r>
      <w:r w:rsidR="00CF33EA">
        <w:rPr>
          <w:sz w:val="24"/>
        </w:rPr>
        <w:t>three</w:t>
      </w:r>
      <w:r w:rsidR="00961560">
        <w:rPr>
          <w:sz w:val="24"/>
        </w:rPr>
        <w:t xml:space="preserve"> key</w:t>
      </w:r>
      <w:r w:rsidR="006A3F54">
        <w:rPr>
          <w:sz w:val="24"/>
        </w:rPr>
        <w:t xml:space="preserve"> </w:t>
      </w:r>
      <w:r w:rsidR="00D90BB8">
        <w:rPr>
          <w:sz w:val="24"/>
        </w:rPr>
        <w:t xml:space="preserve">research </w:t>
      </w:r>
      <w:r w:rsidR="006A3F54">
        <w:rPr>
          <w:sz w:val="24"/>
        </w:rPr>
        <w:t>questions</w:t>
      </w:r>
      <w:r w:rsidR="00C50171">
        <w:rPr>
          <w:sz w:val="24"/>
        </w:rPr>
        <w:t xml:space="preserve">: </w:t>
      </w:r>
      <w:r w:rsidR="00781DC4">
        <w:rPr>
          <w:sz w:val="24"/>
        </w:rPr>
        <w:t xml:space="preserve">does </w:t>
      </w:r>
      <w:r w:rsidR="00764D90">
        <w:rPr>
          <w:sz w:val="24"/>
        </w:rPr>
        <w:t xml:space="preserve">local </w:t>
      </w:r>
      <w:r w:rsidR="00A469B9">
        <w:rPr>
          <w:sz w:val="24"/>
        </w:rPr>
        <w:t>climate data confirm</w:t>
      </w:r>
      <w:r w:rsidR="00272A79">
        <w:rPr>
          <w:sz w:val="24"/>
        </w:rPr>
        <w:t xml:space="preserve"> </w:t>
      </w:r>
      <w:r w:rsidR="00764D90">
        <w:rPr>
          <w:sz w:val="24"/>
        </w:rPr>
        <w:t xml:space="preserve">perceptions of climate change and </w:t>
      </w:r>
      <w:r w:rsidR="00743EC7">
        <w:rPr>
          <w:sz w:val="24"/>
        </w:rPr>
        <w:t xml:space="preserve">climate </w:t>
      </w:r>
      <w:proofErr w:type="gramStart"/>
      <w:r w:rsidR="00764D90">
        <w:rPr>
          <w:sz w:val="24"/>
        </w:rPr>
        <w:t>variability?</w:t>
      </w:r>
      <w:r w:rsidR="00C50171">
        <w:rPr>
          <w:sz w:val="24"/>
        </w:rPr>
        <w:t>;</w:t>
      </w:r>
      <w:proofErr w:type="gramEnd"/>
      <w:r w:rsidR="00C50171">
        <w:rPr>
          <w:sz w:val="24"/>
        </w:rPr>
        <w:t xml:space="preserve"> </w:t>
      </w:r>
      <w:r w:rsidR="006A3F54">
        <w:rPr>
          <w:sz w:val="24"/>
        </w:rPr>
        <w:t>what is the economic impact of climate change</w:t>
      </w:r>
      <w:r w:rsidR="007067FA">
        <w:rPr>
          <w:sz w:val="24"/>
        </w:rPr>
        <w:t xml:space="preserve"> on fishing livelihood</w:t>
      </w:r>
      <w:r w:rsidR="00137E12">
        <w:rPr>
          <w:sz w:val="24"/>
        </w:rPr>
        <w:t>?</w:t>
      </w:r>
      <w:r w:rsidR="00C50171">
        <w:rPr>
          <w:sz w:val="24"/>
        </w:rPr>
        <w:t>;</w:t>
      </w:r>
      <w:r w:rsidR="00137E12">
        <w:rPr>
          <w:sz w:val="24"/>
        </w:rPr>
        <w:t xml:space="preserve"> </w:t>
      </w:r>
      <w:r w:rsidR="00272A79">
        <w:rPr>
          <w:sz w:val="24"/>
        </w:rPr>
        <w:t xml:space="preserve">and </w:t>
      </w:r>
      <w:r w:rsidR="00C50171">
        <w:rPr>
          <w:sz w:val="24"/>
        </w:rPr>
        <w:t>w</w:t>
      </w:r>
      <w:r w:rsidR="00217AF4">
        <w:rPr>
          <w:sz w:val="24"/>
        </w:rPr>
        <w:t>ho are the m</w:t>
      </w:r>
      <w:r w:rsidR="00137E12">
        <w:rPr>
          <w:sz w:val="24"/>
        </w:rPr>
        <w:t>ost vulnerable</w:t>
      </w:r>
      <w:r w:rsidR="00743EC7">
        <w:rPr>
          <w:sz w:val="24"/>
        </w:rPr>
        <w:t xml:space="preserve"> to climate change</w:t>
      </w:r>
      <w:r w:rsidR="0092613A">
        <w:rPr>
          <w:sz w:val="24"/>
        </w:rPr>
        <w:t xml:space="preserve"> </w:t>
      </w:r>
      <w:r w:rsidR="002A5172">
        <w:rPr>
          <w:sz w:val="24"/>
        </w:rPr>
        <w:t xml:space="preserve">in such communities </w:t>
      </w:r>
      <w:r w:rsidR="0092613A">
        <w:rPr>
          <w:sz w:val="24"/>
        </w:rPr>
        <w:t>and why</w:t>
      </w:r>
      <w:r w:rsidR="00137E12">
        <w:rPr>
          <w:sz w:val="24"/>
        </w:rPr>
        <w:t xml:space="preserve">? </w:t>
      </w:r>
      <w:r w:rsidR="00961560">
        <w:rPr>
          <w:sz w:val="24"/>
        </w:rPr>
        <w:t xml:space="preserve"> </w:t>
      </w:r>
    </w:p>
    <w:p w14:paraId="38AECB16" w14:textId="4DB86F4B" w:rsidR="000A1F94" w:rsidRDefault="00131F49" w:rsidP="00664941">
      <w:pPr>
        <w:jc w:val="both"/>
        <w:rPr>
          <w:b/>
          <w:sz w:val="24"/>
        </w:rPr>
      </w:pPr>
      <w:r w:rsidRPr="00CC41F3">
        <w:rPr>
          <w:b/>
          <w:sz w:val="24"/>
        </w:rPr>
        <w:t xml:space="preserve">2. </w:t>
      </w:r>
      <w:r>
        <w:rPr>
          <w:b/>
          <w:sz w:val="24"/>
        </w:rPr>
        <w:t xml:space="preserve">RESOURCE-DEPENDENT LIVELIHOODS AND VULNERABILITY TO CLIMATE CHANGE </w:t>
      </w:r>
    </w:p>
    <w:p w14:paraId="4B0DA2BA" w14:textId="589F33DB" w:rsidR="00D35FC8" w:rsidRDefault="00855B06" w:rsidP="00F672A4">
      <w:pPr>
        <w:jc w:val="both"/>
        <w:rPr>
          <w:sz w:val="24"/>
        </w:rPr>
      </w:pPr>
      <w:r>
        <w:rPr>
          <w:sz w:val="24"/>
        </w:rPr>
        <w:t xml:space="preserve">A livelihood is </w:t>
      </w:r>
      <w:r w:rsidR="00B43BD7">
        <w:rPr>
          <w:sz w:val="24"/>
        </w:rPr>
        <w:t>simply the</w:t>
      </w:r>
      <w:r>
        <w:rPr>
          <w:sz w:val="24"/>
        </w:rPr>
        <w:t xml:space="preserve"> means </w:t>
      </w:r>
      <w:r w:rsidR="00444A3A">
        <w:rPr>
          <w:sz w:val="24"/>
        </w:rPr>
        <w:t>by which people m</w:t>
      </w:r>
      <w:r>
        <w:rPr>
          <w:sz w:val="24"/>
        </w:rPr>
        <w:t>ak</w:t>
      </w:r>
      <w:r w:rsidR="00B43BD7">
        <w:rPr>
          <w:sz w:val="24"/>
        </w:rPr>
        <w:t xml:space="preserve">e an income-related </w:t>
      </w:r>
      <w:r>
        <w:rPr>
          <w:sz w:val="24"/>
        </w:rPr>
        <w:t xml:space="preserve">living. </w:t>
      </w:r>
      <w:r w:rsidR="00BA304B">
        <w:rPr>
          <w:sz w:val="24"/>
        </w:rPr>
        <w:t>A more analytical and widely adopted definition is that</w:t>
      </w:r>
      <w:r w:rsidR="00444A3A">
        <w:rPr>
          <w:sz w:val="24"/>
        </w:rPr>
        <w:t xml:space="preserve"> it</w:t>
      </w:r>
      <w:r w:rsidR="00CD2D59">
        <w:rPr>
          <w:sz w:val="24"/>
        </w:rPr>
        <w:t xml:space="preserve"> </w:t>
      </w:r>
      <w:r w:rsidR="00543009">
        <w:rPr>
          <w:sz w:val="24"/>
        </w:rPr>
        <w:t>compris</w:t>
      </w:r>
      <w:r w:rsidR="00444A3A">
        <w:rPr>
          <w:sz w:val="24"/>
        </w:rPr>
        <w:t>es</w:t>
      </w:r>
      <w:r w:rsidR="00543009">
        <w:rPr>
          <w:sz w:val="24"/>
        </w:rPr>
        <w:t xml:space="preserve"> the capabilities,</w:t>
      </w:r>
      <w:r w:rsidR="004F1EE7">
        <w:rPr>
          <w:sz w:val="24"/>
        </w:rPr>
        <w:t xml:space="preserve"> the </w:t>
      </w:r>
      <w:r w:rsidR="009241C8">
        <w:rPr>
          <w:sz w:val="24"/>
        </w:rPr>
        <w:t xml:space="preserve">tangible and intangible </w:t>
      </w:r>
      <w:r w:rsidR="0084278D">
        <w:rPr>
          <w:sz w:val="24"/>
        </w:rPr>
        <w:t>resources (assets), and the activities that are req</w:t>
      </w:r>
      <w:r w:rsidR="00C647B4">
        <w:rPr>
          <w:sz w:val="24"/>
        </w:rPr>
        <w:t>uired to make a living</w:t>
      </w:r>
      <w:r w:rsidR="003A1C03">
        <w:rPr>
          <w:sz w:val="24"/>
        </w:rPr>
        <w:t xml:space="preserve"> </w:t>
      </w:r>
      <w:r w:rsidR="003A1C03">
        <w:rPr>
          <w:sz w:val="24"/>
        </w:rPr>
        <w:fldChar w:fldCharType="begin" w:fldLock="1"/>
      </w:r>
      <w:r w:rsidR="00B924BC">
        <w:rPr>
          <w:sz w:val="24"/>
        </w:rPr>
        <w:instrText>ADDIN CSL_CITATION {"citationItems":[{"id":"ITEM-1","itemData":{"ISSN":"03085864","abstract":"The purpose of this paper is to provoke discussion by exploring and elaborating the concept of sustainable livelihoods. It is based normatively on the ideas of capability, equity, and sustainability, each of which is both end and means. In the 21st century livelihoods will be needed by perhaps two or three times the present human population. A livelihood comprises people, their capabilities and their means of living, including food, income and assets. Tangible assets are resources and stores, and intangible assets are claims and access. A livelihood is environmentally sustainable when it maintains or enhances the local and global assets on which livelihoods depend, and has net beneficial effects on other livelihoods. A livelihood is socially sustainable which can cope with and recover from stress and shocks, and provide for future generations. For policy and practice, new concepts and analysis are needed. Future generations will vastly outnumber us but are not represented in our decision-making. Current and conventional analysis both undervalues future livelihoods and is pessimistic. Ways can be sought to multiply livelihoods by increasing resource-use intensity and the diversity and complexity of small-farming livelihood systems, and by small-scale economic synergy. Net sustainable livelihood effects and intensity are concepts which deserve to be tested. They entail weighing factors which include environmental and social sustainability, and net effects through competition and externalities. The objective of sustainable livelihoods for all provides a focus for anticipating the 21st century, and points to priorities for policy and research. For policy, implications include personal environmental balance sheets for the better off, and for the poorer, policies and actions to enhance capabilities, improve equity, and increase social sustainability. For research, key questions are better understanding of (a) conditions for low human fertility, (b) intensity, complexity and diversity in small-farming systems, the livelihood-intensity of local economies, and (d) factors influencing migration. Practical development and testing of concepts and methods are indicated. For the reader, there is a challenge to examine this paper from the perspective of a person alive in a hundred years time, and then to do better than the authors have done. Gordon Conway is Representative for the Ford Foundation in India, Nepal and Sri Lanka. He was previously Professor and Chairman …","author":[{"dropping-particle":"","family":"Chambers","given":"R.","non-dropping-particle":"","parse-names":false,"suffix":""},{"dropping-particle":"","family":"Conway","given":"G. R.","non-dropping-particle":"","parse-names":false,"suffix":""}],"container-title":"IDS Discussion Paper","id":"ITEM-1","issued":{"date-parts":[["1992"]]},"title":"Sustainable rural livelihoods: practical concepts for the 21st century","type":"article-journal","volume":"296"},"uris":["http://www.mendeley.com/documents/?uuid=ffe85719-14a7-4e40-bab4-cd29e6ce47ae"]}],"mendeley":{"formattedCitation":"[24]","plainTextFormattedCitation":"[24]","previouslyFormattedCitation":"[24]"},"properties":{"noteIndex":0},"schema":"https://github.com/citation-style-language/schema/raw/master/csl-citation.json"}</w:instrText>
      </w:r>
      <w:r w:rsidR="003A1C03">
        <w:rPr>
          <w:sz w:val="24"/>
        </w:rPr>
        <w:fldChar w:fldCharType="separate"/>
      </w:r>
      <w:r w:rsidR="000150EF" w:rsidRPr="000150EF">
        <w:rPr>
          <w:noProof/>
          <w:sz w:val="24"/>
        </w:rPr>
        <w:t>[24]</w:t>
      </w:r>
      <w:r w:rsidR="003A1C03">
        <w:rPr>
          <w:sz w:val="24"/>
        </w:rPr>
        <w:fldChar w:fldCharType="end"/>
      </w:r>
      <w:r w:rsidR="00D757BB">
        <w:rPr>
          <w:sz w:val="24"/>
        </w:rPr>
        <w:t xml:space="preserve">. </w:t>
      </w:r>
      <w:r w:rsidR="00B65DE0">
        <w:rPr>
          <w:sz w:val="24"/>
        </w:rPr>
        <w:t xml:space="preserve">Capability refers to what people are able to </w:t>
      </w:r>
      <w:r w:rsidR="002A2B86">
        <w:rPr>
          <w:sz w:val="24"/>
        </w:rPr>
        <w:t xml:space="preserve">do </w:t>
      </w:r>
      <w:r w:rsidR="00751D06">
        <w:rPr>
          <w:sz w:val="24"/>
        </w:rPr>
        <w:t>or are capable of being</w:t>
      </w:r>
      <w:r w:rsidR="00E16F5B">
        <w:rPr>
          <w:sz w:val="24"/>
        </w:rPr>
        <w:t xml:space="preserve"> [22]</w:t>
      </w:r>
      <w:r w:rsidR="00751D06">
        <w:rPr>
          <w:sz w:val="24"/>
        </w:rPr>
        <w:t xml:space="preserve">. It describes their ability to </w:t>
      </w:r>
      <w:r w:rsidR="00342C62">
        <w:rPr>
          <w:sz w:val="24"/>
        </w:rPr>
        <w:t>proactively or reactively</w:t>
      </w:r>
      <w:r w:rsidR="00751D06">
        <w:rPr>
          <w:sz w:val="24"/>
        </w:rPr>
        <w:t xml:space="preserve"> make </w:t>
      </w:r>
      <w:r w:rsidR="00850009">
        <w:rPr>
          <w:sz w:val="24"/>
        </w:rPr>
        <w:t>choices by either collaborating, competing</w:t>
      </w:r>
      <w:r w:rsidR="005031A2">
        <w:rPr>
          <w:sz w:val="24"/>
        </w:rPr>
        <w:t>,</w:t>
      </w:r>
      <w:r w:rsidR="00850009">
        <w:rPr>
          <w:sz w:val="24"/>
        </w:rPr>
        <w:t xml:space="preserve"> or taking advantage of opportunities to improve their lives</w:t>
      </w:r>
      <w:r w:rsidR="00CA5337">
        <w:rPr>
          <w:sz w:val="24"/>
        </w:rPr>
        <w:t xml:space="preserve"> [23]</w:t>
      </w:r>
      <w:r w:rsidR="00850009">
        <w:rPr>
          <w:sz w:val="24"/>
        </w:rPr>
        <w:t xml:space="preserve">. </w:t>
      </w:r>
      <w:r w:rsidR="00281C66">
        <w:rPr>
          <w:sz w:val="24"/>
        </w:rPr>
        <w:t>Th</w:t>
      </w:r>
      <w:r w:rsidR="00254AC2">
        <w:rPr>
          <w:sz w:val="24"/>
        </w:rPr>
        <w:t>is capability is used to</w:t>
      </w:r>
      <w:r w:rsidR="00281C66">
        <w:rPr>
          <w:sz w:val="24"/>
        </w:rPr>
        <w:t xml:space="preserve"> </w:t>
      </w:r>
      <w:r w:rsidR="00254AC2">
        <w:rPr>
          <w:sz w:val="24"/>
        </w:rPr>
        <w:t>coordinate various</w:t>
      </w:r>
      <w:r w:rsidR="00986C5C">
        <w:rPr>
          <w:sz w:val="24"/>
        </w:rPr>
        <w:t xml:space="preserve"> material and social resources</w:t>
      </w:r>
      <w:r w:rsidR="00050CD4">
        <w:rPr>
          <w:sz w:val="24"/>
        </w:rPr>
        <w:t xml:space="preserve"> in</w:t>
      </w:r>
      <w:r w:rsidR="007648C8">
        <w:rPr>
          <w:sz w:val="24"/>
        </w:rPr>
        <w:t xml:space="preserve"> </w:t>
      </w:r>
      <w:r w:rsidR="000B5B5A">
        <w:rPr>
          <w:sz w:val="24"/>
        </w:rPr>
        <w:t xml:space="preserve">activities </w:t>
      </w:r>
      <w:r w:rsidR="007648C8">
        <w:rPr>
          <w:sz w:val="24"/>
        </w:rPr>
        <w:t xml:space="preserve">that transform </w:t>
      </w:r>
      <w:r w:rsidR="00050CD4">
        <w:rPr>
          <w:sz w:val="24"/>
        </w:rPr>
        <w:t>them</w:t>
      </w:r>
      <w:r w:rsidR="00993D5C">
        <w:rPr>
          <w:sz w:val="24"/>
        </w:rPr>
        <w:t xml:space="preserve"> into outcomes that are essential for </w:t>
      </w:r>
      <w:r w:rsidR="00050CD4">
        <w:rPr>
          <w:sz w:val="24"/>
        </w:rPr>
        <w:t>peoples’</w:t>
      </w:r>
      <w:r w:rsidR="00993D5C">
        <w:rPr>
          <w:sz w:val="24"/>
        </w:rPr>
        <w:t xml:space="preserve"> wellbeing.</w:t>
      </w:r>
      <w:r w:rsidR="00E16EDB">
        <w:rPr>
          <w:sz w:val="24"/>
        </w:rPr>
        <w:t xml:space="preserve"> </w:t>
      </w:r>
      <w:r w:rsidR="00E24CDE">
        <w:rPr>
          <w:sz w:val="24"/>
        </w:rPr>
        <w:t>A livelihood is therefore</w:t>
      </w:r>
      <w:r w:rsidR="002E29EC">
        <w:rPr>
          <w:sz w:val="24"/>
        </w:rPr>
        <w:t xml:space="preserve"> naturally vulnerable to </w:t>
      </w:r>
      <w:r w:rsidR="008975F8">
        <w:rPr>
          <w:sz w:val="24"/>
        </w:rPr>
        <w:t>both internal</w:t>
      </w:r>
      <w:r w:rsidR="002E29EC">
        <w:rPr>
          <w:sz w:val="24"/>
        </w:rPr>
        <w:t xml:space="preserve"> </w:t>
      </w:r>
      <w:r w:rsidR="008975F8">
        <w:rPr>
          <w:sz w:val="24"/>
        </w:rPr>
        <w:t>and external</w:t>
      </w:r>
      <w:r w:rsidR="002E29EC">
        <w:rPr>
          <w:sz w:val="24"/>
        </w:rPr>
        <w:t xml:space="preserve"> shocks</w:t>
      </w:r>
      <w:r w:rsidR="00A725EC">
        <w:rPr>
          <w:sz w:val="24"/>
        </w:rPr>
        <w:t xml:space="preserve">. Internally, a livelihood can be affected when </w:t>
      </w:r>
      <w:r w:rsidR="001D4A4F">
        <w:rPr>
          <w:sz w:val="24"/>
        </w:rPr>
        <w:t xml:space="preserve">capability is </w:t>
      </w:r>
      <w:r w:rsidR="00AA013A">
        <w:rPr>
          <w:sz w:val="24"/>
        </w:rPr>
        <w:t>insufficient, reduced</w:t>
      </w:r>
      <w:r w:rsidR="005031A2">
        <w:rPr>
          <w:sz w:val="24"/>
        </w:rPr>
        <w:t>,</w:t>
      </w:r>
      <w:r w:rsidR="00AA013A">
        <w:rPr>
          <w:sz w:val="24"/>
        </w:rPr>
        <w:t xml:space="preserve"> or limited, as in, for example,</w:t>
      </w:r>
      <w:r w:rsidR="0055455C">
        <w:rPr>
          <w:sz w:val="24"/>
        </w:rPr>
        <w:t xml:space="preserve"> </w:t>
      </w:r>
      <w:r w:rsidR="005031A2">
        <w:rPr>
          <w:sz w:val="24"/>
        </w:rPr>
        <w:t xml:space="preserve">the </w:t>
      </w:r>
      <w:r w:rsidR="0055455C">
        <w:rPr>
          <w:sz w:val="24"/>
        </w:rPr>
        <w:t xml:space="preserve">inability to use technology or the </w:t>
      </w:r>
      <w:r w:rsidR="006A1BF6">
        <w:rPr>
          <w:sz w:val="24"/>
        </w:rPr>
        <w:t>demise</w:t>
      </w:r>
      <w:r w:rsidR="00AA013A">
        <w:rPr>
          <w:sz w:val="24"/>
        </w:rPr>
        <w:t xml:space="preserve"> of a </w:t>
      </w:r>
      <w:r w:rsidR="00E24CDE">
        <w:rPr>
          <w:sz w:val="24"/>
        </w:rPr>
        <w:t>household head. Externally,</w:t>
      </w:r>
      <w:r w:rsidR="006A1BF6">
        <w:rPr>
          <w:sz w:val="24"/>
        </w:rPr>
        <w:t xml:space="preserve"> it can be affected when </w:t>
      </w:r>
      <w:r w:rsidR="008234EF">
        <w:rPr>
          <w:sz w:val="24"/>
        </w:rPr>
        <w:t xml:space="preserve">the </w:t>
      </w:r>
      <w:r w:rsidR="00A13269">
        <w:rPr>
          <w:sz w:val="24"/>
        </w:rPr>
        <w:t xml:space="preserve">amount of resource </w:t>
      </w:r>
      <w:r w:rsidR="008234EF">
        <w:rPr>
          <w:sz w:val="24"/>
        </w:rPr>
        <w:t xml:space="preserve">it depends on </w:t>
      </w:r>
      <w:r w:rsidR="00A13269">
        <w:rPr>
          <w:sz w:val="24"/>
        </w:rPr>
        <w:t xml:space="preserve">is critically reduced (e.g. reducing fish stocks), </w:t>
      </w:r>
      <w:r w:rsidR="00366D4C">
        <w:rPr>
          <w:sz w:val="24"/>
        </w:rPr>
        <w:t xml:space="preserve">when </w:t>
      </w:r>
      <w:r w:rsidR="006A1BF6">
        <w:rPr>
          <w:sz w:val="24"/>
        </w:rPr>
        <w:t xml:space="preserve">access to resources </w:t>
      </w:r>
      <w:r w:rsidR="005031A2">
        <w:rPr>
          <w:sz w:val="24"/>
        </w:rPr>
        <w:t xml:space="preserve">is </w:t>
      </w:r>
      <w:r w:rsidR="009034E6">
        <w:rPr>
          <w:sz w:val="24"/>
        </w:rPr>
        <w:t>blocked</w:t>
      </w:r>
      <w:r w:rsidR="004E625B">
        <w:rPr>
          <w:sz w:val="24"/>
        </w:rPr>
        <w:t xml:space="preserve"> </w:t>
      </w:r>
      <w:r w:rsidR="007465E1">
        <w:rPr>
          <w:sz w:val="24"/>
        </w:rPr>
        <w:t>(e.g. by</w:t>
      </w:r>
      <w:r w:rsidR="00A13269">
        <w:rPr>
          <w:sz w:val="24"/>
        </w:rPr>
        <w:t xml:space="preserve"> conservation policies</w:t>
      </w:r>
      <w:r w:rsidR="007465E1">
        <w:rPr>
          <w:sz w:val="24"/>
        </w:rPr>
        <w:t>)</w:t>
      </w:r>
      <w:r w:rsidR="00A13269">
        <w:rPr>
          <w:sz w:val="24"/>
        </w:rPr>
        <w:t xml:space="preserve">, </w:t>
      </w:r>
      <w:r w:rsidR="004E625B">
        <w:rPr>
          <w:sz w:val="24"/>
        </w:rPr>
        <w:t>or</w:t>
      </w:r>
      <w:r w:rsidR="009034E6">
        <w:rPr>
          <w:sz w:val="24"/>
        </w:rPr>
        <w:t xml:space="preserve"> </w:t>
      </w:r>
      <w:r w:rsidR="00366D4C">
        <w:rPr>
          <w:sz w:val="24"/>
        </w:rPr>
        <w:t xml:space="preserve">when </w:t>
      </w:r>
      <w:r w:rsidR="009034E6">
        <w:rPr>
          <w:sz w:val="24"/>
        </w:rPr>
        <w:t xml:space="preserve">activities are hindered </w:t>
      </w:r>
      <w:r w:rsidR="00366D4C">
        <w:rPr>
          <w:sz w:val="24"/>
        </w:rPr>
        <w:t>(e.g. by storms).</w:t>
      </w:r>
      <w:r w:rsidR="009034E6">
        <w:rPr>
          <w:sz w:val="24"/>
        </w:rPr>
        <w:t xml:space="preserve"> </w:t>
      </w:r>
      <w:r w:rsidR="00CC1263" w:rsidRPr="008E33A0">
        <w:rPr>
          <w:sz w:val="24"/>
        </w:rPr>
        <w:t xml:space="preserve">Resource-dependent households </w:t>
      </w:r>
      <w:r w:rsidR="00DD00E1">
        <w:rPr>
          <w:sz w:val="24"/>
        </w:rPr>
        <w:t>have therefore been observed</w:t>
      </w:r>
      <w:r w:rsidR="00173DCA" w:rsidRPr="008E33A0">
        <w:rPr>
          <w:sz w:val="24"/>
        </w:rPr>
        <w:t xml:space="preserve"> to </w:t>
      </w:r>
      <w:r w:rsidR="00103A4A" w:rsidRPr="008E33A0">
        <w:rPr>
          <w:sz w:val="24"/>
        </w:rPr>
        <w:t xml:space="preserve">engage in a portfolio of activities </w:t>
      </w:r>
      <w:r w:rsidR="00FE7761" w:rsidRPr="008E33A0">
        <w:rPr>
          <w:sz w:val="24"/>
        </w:rPr>
        <w:t>to reduce their vulnerability</w:t>
      </w:r>
      <w:r w:rsidR="00356813">
        <w:rPr>
          <w:sz w:val="24"/>
        </w:rPr>
        <w:t>,</w:t>
      </w:r>
      <w:r w:rsidR="00FE7761" w:rsidRPr="008E33A0">
        <w:rPr>
          <w:sz w:val="24"/>
        </w:rPr>
        <w:t xml:space="preserve"> and that their capacity to withstand </w:t>
      </w:r>
      <w:r w:rsidR="00A440E7" w:rsidRPr="008E33A0">
        <w:rPr>
          <w:sz w:val="24"/>
        </w:rPr>
        <w:t>internal and external shocks depend</w:t>
      </w:r>
      <w:r w:rsidR="00AF05E8">
        <w:rPr>
          <w:sz w:val="24"/>
        </w:rPr>
        <w:t>s</w:t>
      </w:r>
      <w:r w:rsidR="00A440E7" w:rsidRPr="008E33A0">
        <w:rPr>
          <w:sz w:val="24"/>
        </w:rPr>
        <w:t xml:space="preserve"> to a large extent on their store of assets</w:t>
      </w:r>
      <w:r w:rsidR="00A93AD7" w:rsidRPr="008E33A0">
        <w:rPr>
          <w:sz w:val="24"/>
        </w:rPr>
        <w:t xml:space="preserve"> </w:t>
      </w:r>
      <w:r w:rsidR="00A93AD7" w:rsidRPr="008E33A0">
        <w:rPr>
          <w:sz w:val="24"/>
        </w:rPr>
        <w:fldChar w:fldCharType="begin" w:fldLock="1"/>
      </w:r>
      <w:r w:rsidR="00B924BC">
        <w:rPr>
          <w:sz w:val="24"/>
        </w:rPr>
        <w:instrText>ADDIN CSL_CITATION {"citationItems":[{"id":"ITEM-1","itemData":{"DOI":"10.1057/palgrave.development.1110037","ISBN":"1858642248","ISSN":"00278424","PMID":"60101040","abstract":"The concept of sustainable livelihoods is increasingly important in the development debate. This paper outlines a framework for analysing sustainable livelihoods, defined here in relation to five key indicators. The framework shows how, in different contexts, sustainable livelihoods are achieved through access to a range of livelihood resources (natural, economic, human and social capitals) which are combined in the pursuit of different livelihood strategies (agricultural intensification or extensification, livelihood diversification and migration). Central to the framework is the analysis of the range of formal and informal organisational and institutional factors that influence sustainable livelihood outcomes. In conclusion, the paper briefly considers some of the practical, methodological and operational implications of a sustainable livelihoods approach.","author":[{"dropping-particle":"","family":"Scoones","given":"Ian","non-dropping-particle":"","parse-names":false,"suffix":""}],"container-title":"IDS Working Paper","id":"ITEM-1","issue":"May","issued":{"date-parts":[["1998"]]},"page":"1-22","title":"Sustainable Rural Livelihoods: A Framework for Analysis, IDS Working Paper 72","type":"article-journal","volume":"72"},"uris":["http://www.mendeley.com/documents/?uuid=a55c58d0-69e5-4054-9924-2d502fcbd614"]},{"id":"ITEM-2","itemData":{"author":[{"dropping-particle":"","family":"Hussein","given":"K","non-dropping-particle":"","parse-names":false,"suffix":""},{"dropping-particle":"","family":"Nelson","given":"J","non-dropping-particle":"","parse-names":false,"suffix":""}],"container-title":"Brighton: IDS","id":"ITEM-2","issued":{"date-parts":[["1998"]]},"title":"Sustainable livelihoods and livelihood diversification (No. IDS Working Paper 69)","type":"article-journal"},"uris":["http://www.mendeley.com/documents/?uuid=98c340eb-38d0-48ab-bba6-643728a5f2c4"]}],"mendeley":{"formattedCitation":"[25], [26]","plainTextFormattedCitation":"[25], [26]","previouslyFormattedCitation":"[25], [26]"},"properties":{"noteIndex":0},"schema":"https://github.com/citation-style-language/schema/raw/master/csl-citation.json"}</w:instrText>
      </w:r>
      <w:r w:rsidR="00A93AD7" w:rsidRPr="008E33A0">
        <w:rPr>
          <w:sz w:val="24"/>
        </w:rPr>
        <w:fldChar w:fldCharType="separate"/>
      </w:r>
      <w:r w:rsidR="000150EF" w:rsidRPr="000150EF">
        <w:rPr>
          <w:noProof/>
          <w:sz w:val="24"/>
        </w:rPr>
        <w:t>[25], [26]</w:t>
      </w:r>
      <w:r w:rsidR="00A93AD7" w:rsidRPr="008E33A0">
        <w:rPr>
          <w:sz w:val="24"/>
        </w:rPr>
        <w:fldChar w:fldCharType="end"/>
      </w:r>
      <w:r w:rsidR="00A440E7" w:rsidRPr="008E33A0">
        <w:rPr>
          <w:sz w:val="24"/>
        </w:rPr>
        <w:t xml:space="preserve">. </w:t>
      </w:r>
      <w:r w:rsidR="00D2162D" w:rsidRPr="008E33A0">
        <w:rPr>
          <w:sz w:val="24"/>
        </w:rPr>
        <w:t xml:space="preserve">In </w:t>
      </w:r>
      <w:r w:rsidR="00D2162D">
        <w:rPr>
          <w:sz w:val="24"/>
        </w:rPr>
        <w:t xml:space="preserve">coastal </w:t>
      </w:r>
      <w:r w:rsidR="00C234AF">
        <w:rPr>
          <w:sz w:val="24"/>
        </w:rPr>
        <w:t xml:space="preserve">resource-dependent </w:t>
      </w:r>
      <w:r w:rsidR="00C14507">
        <w:rPr>
          <w:sz w:val="24"/>
        </w:rPr>
        <w:t>communities</w:t>
      </w:r>
      <w:r w:rsidR="009822E0">
        <w:rPr>
          <w:sz w:val="24"/>
        </w:rPr>
        <w:t xml:space="preserve">, the </w:t>
      </w:r>
      <w:r w:rsidR="00CF47EB">
        <w:rPr>
          <w:sz w:val="24"/>
        </w:rPr>
        <w:t>i</w:t>
      </w:r>
      <w:r w:rsidR="00FA1E23">
        <w:rPr>
          <w:sz w:val="24"/>
        </w:rPr>
        <w:t>nteraction of</w:t>
      </w:r>
      <w:r w:rsidR="005C7425">
        <w:rPr>
          <w:sz w:val="24"/>
        </w:rPr>
        <w:t xml:space="preserve"> </w:t>
      </w:r>
      <w:r w:rsidR="00B004C8">
        <w:rPr>
          <w:sz w:val="24"/>
        </w:rPr>
        <w:t>climate change</w:t>
      </w:r>
      <w:r w:rsidR="00D757FB">
        <w:rPr>
          <w:sz w:val="24"/>
        </w:rPr>
        <w:t xml:space="preserve"> </w:t>
      </w:r>
      <w:r w:rsidR="00CF47EB">
        <w:rPr>
          <w:sz w:val="24"/>
        </w:rPr>
        <w:t xml:space="preserve">and socioeconomic </w:t>
      </w:r>
      <w:r w:rsidR="004647D0">
        <w:rPr>
          <w:sz w:val="24"/>
        </w:rPr>
        <w:t xml:space="preserve">risk factors </w:t>
      </w:r>
      <w:r w:rsidR="00A71F59">
        <w:rPr>
          <w:sz w:val="24"/>
        </w:rPr>
        <w:t>can</w:t>
      </w:r>
      <w:r w:rsidR="00713290">
        <w:rPr>
          <w:sz w:val="24"/>
        </w:rPr>
        <w:t xml:space="preserve"> worsen</w:t>
      </w:r>
      <w:r w:rsidR="00F276DC">
        <w:rPr>
          <w:sz w:val="24"/>
        </w:rPr>
        <w:t xml:space="preserve"> what is </w:t>
      </w:r>
      <w:r w:rsidR="00A71F59">
        <w:rPr>
          <w:sz w:val="24"/>
        </w:rPr>
        <w:t xml:space="preserve">already </w:t>
      </w:r>
      <w:r w:rsidR="00F276DC">
        <w:rPr>
          <w:sz w:val="24"/>
        </w:rPr>
        <w:t xml:space="preserve">a </w:t>
      </w:r>
      <w:r w:rsidR="00A71F59">
        <w:rPr>
          <w:sz w:val="24"/>
        </w:rPr>
        <w:t>fragile livelihood</w:t>
      </w:r>
      <w:r w:rsidR="002110B5">
        <w:rPr>
          <w:sz w:val="24"/>
        </w:rPr>
        <w:t xml:space="preserve"> system</w:t>
      </w:r>
      <w:r w:rsidR="0076085D">
        <w:rPr>
          <w:sz w:val="24"/>
        </w:rPr>
        <w:t xml:space="preserve"> </w:t>
      </w:r>
      <w:r w:rsidR="0076085D">
        <w:rPr>
          <w:sz w:val="24"/>
        </w:rPr>
        <w:fldChar w:fldCharType="begin" w:fldLock="1"/>
      </w:r>
      <w:r w:rsidR="00B924BC">
        <w:rPr>
          <w:sz w:val="24"/>
        </w:rPr>
        <w:instrText>ADDIN CSL_CITATION {"citationItems":[{"id":"ITEM-1","itemData":{"DOI":"10.1007/s10113-013-0487-6","ISSN":"14363798","abstract":"Globally, fisheries support livelihoods of over half a billion people who are exposed to multiple climatic stresses and shocks that affect their capacity to subsist. Yet, only limited research exists on the vulnerability of fishery-based livelihood systems to climate change. We assess the vulnerability of fishery-based livelihoods to the impacts of climate variability and change in two coastal fishing communities in Bangladesh. We use a composite index approach to calculate livelihood vulnerability and qualitative methods to understand how exposure, sensitivity, and adaptive capacity measured by sub-indices produce vulnerability. Our results suggest that exposure to floods and cyclones, sensitivity (such as dependence on small-scale marine fisheries for livelihoods), and lack of adaptive capacity in terms of physical, natural, and financial capital and diverse livelihood strategies construe livelihood vulnerability in different ways depending on the context. The most exposed community is not necessarily the most sensitive or least able to adapt because livelihood vulnerability is a result of combined but unequal influences of bio-physical and socio-economic characteristics of communities and households. But within a fishing community, where households are similarly exposed, higher sensitivity and lower adaptive capacity combine to create higher vulnerability. Initiatives to reduce livelihood vulnerability should be correspondingly multifaceted. © 2013 The Author(s).","author":[{"dropping-particle":"","family":"Islam","given":"Md Monirul","non-dropping-particle":"","parse-names":false,"suffix":""},{"dropping-particle":"","family":"Sallu","given":"Susannah","non-dropping-particle":"","parse-names":false,"suffix":""},{"dropping-particle":"","family":"Hubacek","given":"Klaus","non-dropping-particle":"","parse-names":false,"suffix":""},{"dropping-particle":"","family":"Paavola","given":"Jouni","non-dropping-particle":"","parse-names":false,"suffix":""}],"container-title":"Regional Environmental Change","id":"ITEM-1","issue":"1","issued":{"date-parts":[["2014"]]},"page":"281-294","title":"Vulnerability of fishery-based livelihoods to the impacts of climate variability and change: Insights from coastal Bangladesh","type":"article-journal","volume":"14"},"uris":["http://www.mendeley.com/documents/?uuid=394b94ce-bbbe-48df-85a8-468bbddbda2b"]},{"id":"ITEM-2","itemData":{"ISSN":"1354-9839","author":[{"dropping-particle":"","family":"B. Manyena, G. O'Brien, P. O'Keefe","given":"J. Rose","non-dropping-particle":"","parse-names":false,"suffix":""}],"container-title":"LOCAL ENVIRONMENT VO - 16","id":"ITEM-2","issue":"5","issued":{"date-parts":[["2011"]]},"note":"Accession Number: RN294990584; Publication Type: Periodical; Source: LOCAL ENVIRONMENT; Language: English; Publication Date: 20110101; Rights: © COPYRIGHT THE BRITISH LIBRARY BOARD AND OTHER CONTRIBUTORS. ALL RIGHTS RESERVED.; Imprint: Great Britain: Taylor &amp;amp; Francis, 2011.","page":"417","publisher":"Taylor &amp; Francis","publisher-place":"Great Britain","title":"Disaster resilience: a bounce back or bounce forward ability?","type":"article-journal"},"uris":["http://www.mendeley.com/documents/?uuid=08be3e82-a657-4339-8895-554e9ca7b862"]},{"id":"ITEM-3","itemData":{"DOI":"10.1016/j.marpol.2013.10.017","ISSN":"0308597X","abstract":"There is increasing concern over the consequences of environmental change for people and communities that depend on already fragile marine resources, given the mounting evidence of sustained over-exploitation and climate change impacts on marine systems. In order to explore the potential social resilience of marine-dependent livelihoods to environmental change, interviews with fishers and marine-based tourism operators in the Caribbean island of Anguilla were undertaken, to identify the impacts of hurricane events on marine livelihoods, the perceptions of resource-users and their potential adaptability to future change. For both sectors of resource-users, there is evidence that they have diversified livelihoods to achieve financial security, which may provide resilience to future climate related impacts or resource variability. In addition, specific behavioural changes that have been developed following previous hurricane events, e.g. removal of fish pots during hurricane months, or bringing boats to shore, indicate fishers' flexibility to changing conditions. However, strong personal and cultural attachment to occupations, particularly among fishers, may hinder resilience. Additionally, the reliance of all of these marine resource-users on the climate-dependent tourism industry may undermine their capacity to cope with future environmental change. Many of these problems are common throughout the Caribbean, as thousands of marine-dependent livelihoods are vulnerable to marine degradation and climate change impacts. Urgent attention is therefore required to support the development of adaptive, sustainable management of marine resources that may enhance resilience to environmental change. © 2013 Elsevier Ltd.","author":[{"dropping-particle":"","family":"Forster","given":"J.","non-dropping-particle":"","parse-names":false,"suffix":""},{"dropping-particle":"","family":"Lake","given":"I. R.","non-dropping-particle":"","parse-names":false,"suffix":""},{"dropping-particle":"","family":"Watkinson","given":"A. R.","non-dropping-particle":"","parse-names":false,"suffix":""},{"dropping-particle":"","family":"Gill","given":"J. A.","non-dropping-particle":"","parse-names":false,"suffix":""}],"container-title":"Marine Policy","id":"ITEM-3","issued":{"date-parts":[["2014"]]},"page":"204-212","publisher":"Elsevier","title":"Marine dependent livelihoods and resilience to environmental change: A case study of Anguilla","type":"article-journal","volume":"45"},"uris":["http://www.mendeley.com/documents/?uuid=170ef339-1211-46ec-9ff9-bc9507f35229"]}],"mendeley":{"formattedCitation":"[9], [27], [28]","plainTextFormattedCitation":"[9], [27], [28]","previouslyFormattedCitation":"[9], [27], [28]"},"properties":{"noteIndex":0},"schema":"https://github.com/citation-style-language/schema/raw/master/csl-citation.json"}</w:instrText>
      </w:r>
      <w:r w:rsidR="0076085D">
        <w:rPr>
          <w:sz w:val="24"/>
        </w:rPr>
        <w:fldChar w:fldCharType="separate"/>
      </w:r>
      <w:r w:rsidR="000150EF" w:rsidRPr="000150EF">
        <w:rPr>
          <w:noProof/>
          <w:sz w:val="24"/>
        </w:rPr>
        <w:t>[9], [27], [28]</w:t>
      </w:r>
      <w:r w:rsidR="0076085D">
        <w:rPr>
          <w:sz w:val="24"/>
        </w:rPr>
        <w:fldChar w:fldCharType="end"/>
      </w:r>
      <w:r w:rsidR="00F276DC">
        <w:rPr>
          <w:sz w:val="24"/>
        </w:rPr>
        <w:t xml:space="preserve">. </w:t>
      </w:r>
      <w:r w:rsidR="00B42882">
        <w:rPr>
          <w:sz w:val="24"/>
        </w:rPr>
        <w:t xml:space="preserve">According to </w:t>
      </w:r>
      <w:bookmarkStart w:id="0" w:name="_Hlk23350518"/>
      <w:r w:rsidR="00B42882">
        <w:rPr>
          <w:sz w:val="24"/>
        </w:rPr>
        <w:t>Chambers and Conway</w:t>
      </w:r>
      <w:r w:rsidR="00183F5B">
        <w:rPr>
          <w:sz w:val="24"/>
        </w:rPr>
        <w:t xml:space="preserve"> </w:t>
      </w:r>
      <w:bookmarkEnd w:id="0"/>
      <w:r w:rsidR="00183F5B">
        <w:rPr>
          <w:sz w:val="24"/>
        </w:rPr>
        <w:fldChar w:fldCharType="begin" w:fldLock="1"/>
      </w:r>
      <w:r w:rsidR="00B924BC">
        <w:rPr>
          <w:sz w:val="24"/>
        </w:rPr>
        <w:instrText>ADDIN CSL_CITATION {"citationItems":[{"id":"ITEM-1","itemData":{"ISSN":"03085864","abstract":"The purpose of this paper is to provoke discussion by exploring and elaborating the concept of sustainable livelihoods. It is based normatively on the ideas of capability, equity, and sustainability, each of which is both end and means. In the 21st century livelihoods will be needed by perhaps two or three times the present human population. A livelihood comprises people, their capabilities and their means of living, including food, income and assets. Tangible assets are resources and stores, and intangible assets are claims and access. A livelihood is environmentally sustainable when it maintains or enhances the local and global assets on which livelihoods depend, and has net beneficial effects on other livelihoods. A livelihood is socially sustainable which can cope with and recover from stress and shocks, and provide for future generations. For policy and practice, new concepts and analysis are needed. Future generations will vastly outnumber us but are not represented in our decision-making. Current and conventional analysis both undervalues future livelihoods and is pessimistic. Ways can be sought to multiply livelihoods by increasing resource-use intensity and the diversity and complexity of small-farming livelihood systems, and by small-scale economic synergy. Net sustainable livelihood effects and intensity are concepts which deserve to be tested. They entail weighing factors which include environmental and social sustainability, and net effects through competition and externalities. The objective of sustainable livelihoods for all provides a focus for anticipating the 21st century, and points to priorities for policy and research. For policy, implications include personal environmental balance sheets for the better off, and for the poorer, policies and actions to enhance capabilities, improve equity, and increase social sustainability. For research, key questions are better understanding of (a) conditions for low human fertility, (b) intensity, complexity and diversity in small-farming systems, the livelihood-intensity of local economies, and (d) factors influencing migration. Practical development and testing of concepts and methods are indicated. For the reader, there is a challenge to examine this paper from the perspective of a person alive in a hundred years time, and then to do better than the authors have done. Gordon Conway is Representative for the Ford Foundation in India, Nepal and Sri Lanka. He was previously Professor and Chairman …","author":[{"dropping-particle":"","family":"Chambers","given":"R.","non-dropping-particle":"","parse-names":false,"suffix":""},{"dropping-particle":"","family":"Conway","given":"G. R.","non-dropping-particle":"","parse-names":false,"suffix":""}],"container-title":"IDS Discussion Paper","id":"ITEM-1","issued":{"date-parts":[["1992"]]},"title":"Sustainable rural livelihoods: practical concepts for the 21st century","type":"article-journal","volume":"296"},"uris":["http://www.mendeley.com/documents/?uuid=ffe85719-14a7-4e40-bab4-cd29e6ce47ae"]}],"mendeley":{"formattedCitation":"[24]","plainTextFormattedCitation":"[24]","previouslyFormattedCitation":"[24]"},"properties":{"noteIndex":0},"schema":"https://github.com/citation-style-language/schema/raw/master/csl-citation.json"}</w:instrText>
      </w:r>
      <w:r w:rsidR="00183F5B">
        <w:rPr>
          <w:sz w:val="24"/>
        </w:rPr>
        <w:fldChar w:fldCharType="separate"/>
      </w:r>
      <w:r w:rsidR="000150EF" w:rsidRPr="000150EF">
        <w:rPr>
          <w:noProof/>
          <w:sz w:val="24"/>
        </w:rPr>
        <w:t>[24]</w:t>
      </w:r>
      <w:r w:rsidR="00183F5B">
        <w:rPr>
          <w:sz w:val="24"/>
        </w:rPr>
        <w:fldChar w:fldCharType="end"/>
      </w:r>
      <w:r w:rsidR="005031A2">
        <w:rPr>
          <w:sz w:val="24"/>
        </w:rPr>
        <w:t>,</w:t>
      </w:r>
      <w:r w:rsidR="00183F5B">
        <w:rPr>
          <w:sz w:val="24"/>
        </w:rPr>
        <w:t xml:space="preserve"> the entry point to reducing livelihood vulnerability </w:t>
      </w:r>
      <w:r w:rsidR="000F09FE">
        <w:rPr>
          <w:sz w:val="24"/>
        </w:rPr>
        <w:t>is investment</w:t>
      </w:r>
      <w:r w:rsidR="00E26F0D">
        <w:rPr>
          <w:sz w:val="24"/>
        </w:rPr>
        <w:t>.</w:t>
      </w:r>
      <w:r w:rsidR="00685DAC">
        <w:rPr>
          <w:sz w:val="24"/>
        </w:rPr>
        <w:t xml:space="preserve"> That is,</w:t>
      </w:r>
      <w:r w:rsidR="00057D54">
        <w:rPr>
          <w:sz w:val="24"/>
        </w:rPr>
        <w:t xml:space="preserve"> </w:t>
      </w:r>
      <w:r w:rsidR="00A572FD">
        <w:rPr>
          <w:sz w:val="24"/>
        </w:rPr>
        <w:t>p</w:t>
      </w:r>
      <w:r w:rsidR="00973088">
        <w:rPr>
          <w:sz w:val="24"/>
        </w:rPr>
        <w:t xml:space="preserve">ersonal actions like </w:t>
      </w:r>
      <w:r w:rsidR="003376C1">
        <w:rPr>
          <w:sz w:val="24"/>
        </w:rPr>
        <w:t xml:space="preserve">livelihood </w:t>
      </w:r>
      <w:r w:rsidR="00973088">
        <w:rPr>
          <w:sz w:val="24"/>
        </w:rPr>
        <w:t>diversification</w:t>
      </w:r>
      <w:r w:rsidR="00872A94">
        <w:rPr>
          <w:sz w:val="24"/>
        </w:rPr>
        <w:t>,</w:t>
      </w:r>
      <w:r w:rsidR="00A572FD">
        <w:rPr>
          <w:sz w:val="24"/>
        </w:rPr>
        <w:t xml:space="preserve"> and public actions</w:t>
      </w:r>
      <w:r w:rsidR="00973088">
        <w:rPr>
          <w:sz w:val="24"/>
        </w:rPr>
        <w:t xml:space="preserve"> like </w:t>
      </w:r>
      <w:r w:rsidR="006A68FF">
        <w:rPr>
          <w:sz w:val="24"/>
        </w:rPr>
        <w:t>support from external agencies</w:t>
      </w:r>
      <w:r w:rsidR="00E207C7">
        <w:rPr>
          <w:sz w:val="24"/>
        </w:rPr>
        <w:t xml:space="preserve">, such as </w:t>
      </w:r>
      <w:r w:rsidR="00972745">
        <w:rPr>
          <w:sz w:val="24"/>
        </w:rPr>
        <w:t>D</w:t>
      </w:r>
      <w:r w:rsidR="00E207C7">
        <w:rPr>
          <w:sz w:val="24"/>
        </w:rPr>
        <w:t xml:space="preserve">evelopment </w:t>
      </w:r>
      <w:r w:rsidR="006A68FF">
        <w:rPr>
          <w:sz w:val="24"/>
        </w:rPr>
        <w:t xml:space="preserve"> </w:t>
      </w:r>
      <w:r w:rsidR="00E207C7">
        <w:rPr>
          <w:sz w:val="24"/>
        </w:rPr>
        <w:t xml:space="preserve">Non-governmental Agencies (NGOs), </w:t>
      </w:r>
      <w:r w:rsidR="006A68FF">
        <w:rPr>
          <w:sz w:val="24"/>
        </w:rPr>
        <w:t xml:space="preserve">to enhance capability </w:t>
      </w:r>
      <w:r w:rsidR="00A153AD">
        <w:rPr>
          <w:sz w:val="24"/>
        </w:rPr>
        <w:t>and/</w:t>
      </w:r>
      <w:r w:rsidR="006A68FF">
        <w:rPr>
          <w:sz w:val="24"/>
        </w:rPr>
        <w:t xml:space="preserve">or improve access to </w:t>
      </w:r>
      <w:r w:rsidR="00872A94">
        <w:rPr>
          <w:sz w:val="24"/>
        </w:rPr>
        <w:t xml:space="preserve">assets </w:t>
      </w:r>
      <w:r w:rsidR="00872A94">
        <w:rPr>
          <w:sz w:val="24"/>
        </w:rPr>
        <w:fldChar w:fldCharType="begin" w:fldLock="1"/>
      </w:r>
      <w:r w:rsidR="00643F1B">
        <w:rPr>
          <w:sz w:val="24"/>
        </w:rPr>
        <w:instrText>ADDIN CSL_CITATION {"citationItems":[{"id":"ITEM-1","itemData":{"DOI":"10.1038/s41558-017-0065-x","ISSN":"17586798","abstract":"© 2018 The Author(s). To minimize the impacts of climate change on human wellbeing, governments, development agencies, and civil society organizations have made substantial investments in improving people's capacity to adapt to change. Yet to date, these investments have tended to focus on a very narrow understanding of adaptive capacity. Here, we propose an approach to build adaptive capacity across five domains: the assets that people can draw upon in times of need; the flexibility to change strategies; the ability to organize and act collectively; learning to recognize and respond to change; and the agency to determine whether to change or not.","author":[{"dropping-particle":"","family":"Cinner","given":"Joshua E.","non-dropping-particle":"","parse-names":false,"suffix":""},{"dropping-particle":"","family":"Adger","given":"W. Neil","non-dropping-particle":"","parse-names":false,"suffix":""},{"dropping-particle":"","family":"Allison","given":"Edward H.","non-dropping-particle":"","parse-names":false,"suffix":""},{"dropping-particle":"","family":"Barnes","given":"Michele L.","non-dropping-particle":"","parse-names":false,"suffix":""},{"dropping-particle":"","family":"Brown","given":"Katrina","non-dropping-particle":"","parse-names":false,"suffix":""},{"dropping-particle":"","family":"Cohen","given":"Philippa J.","non-dropping-particle":"","parse-names":false,"suffix":""},{"dropping-particle":"","family":"Gelcich","given":"Stefan","non-dropping-particle":"","parse-names":false,"suffix":""},{"dropping-particle":"","family":"Hicks","given":"Christina C.","non-dropping-particle":"","parse-names":false,"suffix":""},{"dropping-particle":"","family":"Hughes","given":"Terry P.","non-dropping-particle":"","parse-names":false,"suffix":""},{"dropping-particle":"","family":"Lau","given":"Jacqueline","non-dropping-particle":"","parse-names":false,"suffix":""},{"dropping-particle":"","family":"Marshall","given":"Nadine A.","non-dropping-particle":"","parse-names":false,"suffix":""},{"dropping-particle":"","family":"Morrison","given":"Tiffany H.","non-dropping-particle":"","parse-names":false,"suffix":""}],"container-title":"Nature Climate Change","id":"ITEM-1","issue":"2","issued":{"date-parts":[["2018"]]},"page":"117-123","publisher":"Springer US","title":"Building adaptive capacity to climate change in tropical coastal communities","type":"article-journal","volume":"8"},"uris":["http://www.mendeley.com/documents/?uuid=23068310-ea88-4930-b723-40b7df3f6846"]}],"mendeley":{"formattedCitation":"[17]","plainTextFormattedCitation":"[17]","previouslyFormattedCitation":"[17]"},"properties":{"noteIndex":0},"schema":"https://github.com/citation-style-language/schema/raw/master/csl-citation.json"}</w:instrText>
      </w:r>
      <w:r w:rsidR="00872A94">
        <w:rPr>
          <w:sz w:val="24"/>
        </w:rPr>
        <w:fldChar w:fldCharType="separate"/>
      </w:r>
      <w:r w:rsidR="0076085D" w:rsidRPr="0076085D">
        <w:rPr>
          <w:noProof/>
          <w:sz w:val="24"/>
        </w:rPr>
        <w:t>[17]</w:t>
      </w:r>
      <w:r w:rsidR="00872A94">
        <w:rPr>
          <w:sz w:val="24"/>
        </w:rPr>
        <w:fldChar w:fldCharType="end"/>
      </w:r>
      <w:r w:rsidR="000F09FE">
        <w:rPr>
          <w:sz w:val="24"/>
        </w:rPr>
        <w:t xml:space="preserve">. </w:t>
      </w:r>
      <w:r w:rsidR="00E55AFD">
        <w:rPr>
          <w:sz w:val="24"/>
        </w:rPr>
        <w:t xml:space="preserve">An important first step </w:t>
      </w:r>
      <w:r w:rsidR="0062518C">
        <w:rPr>
          <w:sz w:val="24"/>
        </w:rPr>
        <w:t xml:space="preserve">in </w:t>
      </w:r>
      <w:r w:rsidR="00685DAC">
        <w:rPr>
          <w:sz w:val="24"/>
        </w:rPr>
        <w:t xml:space="preserve">investment, particularly </w:t>
      </w:r>
      <w:r w:rsidR="007D01A6">
        <w:rPr>
          <w:sz w:val="24"/>
        </w:rPr>
        <w:t xml:space="preserve">for </w:t>
      </w:r>
      <w:r w:rsidR="00A10BE1">
        <w:rPr>
          <w:sz w:val="24"/>
        </w:rPr>
        <w:t xml:space="preserve">such </w:t>
      </w:r>
      <w:r w:rsidR="007D01A6">
        <w:rPr>
          <w:sz w:val="24"/>
        </w:rPr>
        <w:t>external agencies</w:t>
      </w:r>
      <w:r w:rsidR="00A844E7">
        <w:rPr>
          <w:sz w:val="24"/>
        </w:rPr>
        <w:t xml:space="preserve"> </w:t>
      </w:r>
      <w:r w:rsidR="007D01A6">
        <w:rPr>
          <w:sz w:val="24"/>
        </w:rPr>
        <w:t xml:space="preserve">which often have limited </w:t>
      </w:r>
      <w:r w:rsidR="00D72D5E">
        <w:rPr>
          <w:sz w:val="24"/>
        </w:rPr>
        <w:t>funds</w:t>
      </w:r>
      <w:r w:rsidR="00DD33DC">
        <w:rPr>
          <w:sz w:val="24"/>
        </w:rPr>
        <w:t xml:space="preserve"> </w:t>
      </w:r>
      <w:r w:rsidR="00A10BE1">
        <w:rPr>
          <w:sz w:val="24"/>
        </w:rPr>
        <w:fldChar w:fldCharType="begin" w:fldLock="1"/>
      </w:r>
      <w:r w:rsidR="00B924BC">
        <w:rPr>
          <w:sz w:val="24"/>
        </w:rPr>
        <w:instrText>ADDIN CSL_CITATION {"citationItems":[{"id":"ITEM-1","itemData":{"ISBN":"0143-6597","author":[{"dropping-particle":"","family":"Appe","given":"Susan","non-dropping-particle":"","parse-names":false,"suffix":""},{"dropping-particle":"","family":"Schnable","given":"Allison","non-dropping-particle":"","parse-names":false,"suffix":""}],"container-title":"Third world quarterly VO - 40","id":"ITEM-1","issue":"10","issued":{"date-parts":[["2019"]]},"note":"Accession Number: vdc.100089193659.0x000001; Publication Type: Periodical; Source: Third world quarterly; Language: English; Publication Date: 20190101; Rights: © COPYRIGHT THE BRITISH LIBRARY BOARD AND OTHER CONTRIBUTORS. ALL RIGHTS RESERVED.; Imprint: Great Britain: Taylor &amp;amp; Francis, 2019.","page":"1832","publisher":"Taylor &amp; Francis","publisher-place":"Great Britain","title":"Don't reinvent the wheel: possibilities for and limits to building capacity of grassroots international NGOs","type":"paper-conference"},"uris":["http://www.mendeley.com/documents/?uuid=2ea7be6a-6e78-4b53-80e5-8106567b0ed2"]}],"mendeley":{"formattedCitation":"[29]","plainTextFormattedCitation":"[29]","previouslyFormattedCitation":"[29]"},"properties":{"noteIndex":0},"schema":"https://github.com/citation-style-language/schema/raw/master/csl-citation.json"}</w:instrText>
      </w:r>
      <w:r w:rsidR="00A10BE1">
        <w:rPr>
          <w:sz w:val="24"/>
        </w:rPr>
        <w:fldChar w:fldCharType="separate"/>
      </w:r>
      <w:r w:rsidR="000150EF" w:rsidRPr="000150EF">
        <w:rPr>
          <w:noProof/>
          <w:sz w:val="24"/>
        </w:rPr>
        <w:t>[29]</w:t>
      </w:r>
      <w:r w:rsidR="00A10BE1">
        <w:rPr>
          <w:sz w:val="24"/>
        </w:rPr>
        <w:fldChar w:fldCharType="end"/>
      </w:r>
      <w:r w:rsidR="007D01A6">
        <w:rPr>
          <w:sz w:val="24"/>
        </w:rPr>
        <w:t>, is to understa</w:t>
      </w:r>
      <w:r w:rsidR="0062518C">
        <w:rPr>
          <w:sz w:val="24"/>
        </w:rPr>
        <w:t>nd</w:t>
      </w:r>
      <w:r w:rsidR="00683C48">
        <w:rPr>
          <w:sz w:val="24"/>
        </w:rPr>
        <w:t xml:space="preserve"> the </w:t>
      </w:r>
      <w:r w:rsidR="00156AC7">
        <w:rPr>
          <w:sz w:val="24"/>
        </w:rPr>
        <w:t>f</w:t>
      </w:r>
      <w:r w:rsidR="00683C48">
        <w:rPr>
          <w:sz w:val="24"/>
        </w:rPr>
        <w:t xml:space="preserve">actors that </w:t>
      </w:r>
      <w:r w:rsidR="008208F2">
        <w:rPr>
          <w:sz w:val="24"/>
        </w:rPr>
        <w:t xml:space="preserve">shape the vulnerability of </w:t>
      </w:r>
      <w:r w:rsidR="004D0450">
        <w:rPr>
          <w:sz w:val="24"/>
        </w:rPr>
        <w:t xml:space="preserve">fishing </w:t>
      </w:r>
      <w:r w:rsidR="004D0450">
        <w:rPr>
          <w:sz w:val="24"/>
        </w:rPr>
        <w:lastRenderedPageBreak/>
        <w:t xml:space="preserve">households in order to identify </w:t>
      </w:r>
      <w:r w:rsidR="00156AC7">
        <w:rPr>
          <w:sz w:val="24"/>
        </w:rPr>
        <w:t>who is most at risk</w:t>
      </w:r>
      <w:r w:rsidR="0001592C">
        <w:rPr>
          <w:sz w:val="24"/>
        </w:rPr>
        <w:t xml:space="preserve"> and </w:t>
      </w:r>
      <w:r w:rsidR="00AF05E8">
        <w:rPr>
          <w:sz w:val="24"/>
        </w:rPr>
        <w:t xml:space="preserve">thus identify </w:t>
      </w:r>
      <w:r w:rsidR="004D0450">
        <w:rPr>
          <w:sz w:val="24"/>
        </w:rPr>
        <w:t xml:space="preserve">the </w:t>
      </w:r>
      <w:r w:rsidR="00C26EC7">
        <w:rPr>
          <w:sz w:val="24"/>
        </w:rPr>
        <w:t xml:space="preserve">appropriate </w:t>
      </w:r>
      <w:r w:rsidR="00AB4BFD">
        <w:rPr>
          <w:sz w:val="24"/>
        </w:rPr>
        <w:t xml:space="preserve">investment </w:t>
      </w:r>
      <w:r w:rsidR="00C26EC7">
        <w:rPr>
          <w:sz w:val="24"/>
        </w:rPr>
        <w:t>entry points</w:t>
      </w:r>
      <w:r w:rsidR="00B545F0">
        <w:rPr>
          <w:sz w:val="24"/>
        </w:rPr>
        <w:t>.</w:t>
      </w:r>
      <w:r w:rsidR="009951ED">
        <w:rPr>
          <w:sz w:val="24"/>
        </w:rPr>
        <w:t xml:space="preserve"> </w:t>
      </w:r>
    </w:p>
    <w:p w14:paraId="6528895E" w14:textId="6E954042" w:rsidR="00B43FE7" w:rsidRDefault="00B43FE7" w:rsidP="00CE060E">
      <w:pPr>
        <w:spacing w:after="0"/>
        <w:jc w:val="both"/>
        <w:rPr>
          <w:sz w:val="24"/>
        </w:rPr>
      </w:pPr>
      <w:r>
        <w:rPr>
          <w:sz w:val="24"/>
        </w:rPr>
        <w:t>The sustainable livelihood a</w:t>
      </w:r>
      <w:r w:rsidR="00D964C8">
        <w:rPr>
          <w:sz w:val="24"/>
        </w:rPr>
        <w:t>pproach</w:t>
      </w:r>
      <w:r w:rsidR="00067D40">
        <w:rPr>
          <w:sz w:val="24"/>
        </w:rPr>
        <w:t xml:space="preserve"> (SLA)</w:t>
      </w:r>
      <w:r w:rsidR="00F61767">
        <w:rPr>
          <w:sz w:val="24"/>
        </w:rPr>
        <w:t xml:space="preserve"> </w:t>
      </w:r>
      <w:r w:rsidR="00F61767">
        <w:rPr>
          <w:sz w:val="24"/>
        </w:rPr>
        <w:fldChar w:fldCharType="begin" w:fldLock="1"/>
      </w:r>
      <w:r w:rsidR="00B924BC">
        <w:rPr>
          <w:sz w:val="24"/>
        </w:rPr>
        <w:instrText>ADDIN CSL_CITATION {"citationItems":[{"id":"ITEM-1","itemData":{"DOI":"10.1057/palgrave.development.1110037","ISBN":"1858642248","ISSN":"00278424","PMID":"60101040","abstract":"The concept of sustainable livelihoods is increasingly important in the development debate. This paper outlines a framework for analysing sustainable livelihoods, defined here in relation to five key indicators. The framework shows how, in different contexts, sustainable livelihoods are achieved through access to a range of livelihood resources (natural, economic, human and social capitals) which are combined in the pursuit of different livelihood strategies (agricultural intensification or extensification, livelihood diversification and migration). Central to the framework is the analysis of the range of formal and informal organisational and institutional factors that influence sustainable livelihood outcomes. In conclusion, the paper briefly considers some of the practical, methodological and operational implications of a sustainable livelihoods approach.","author":[{"dropping-particle":"","family":"Scoones","given":"Ian","non-dropping-particle":"","parse-names":false,"suffix":""}],"container-title":"IDS Working Paper","id":"ITEM-1","issue":"May","issued":{"date-parts":[["1998"]]},"page":"1-22","title":"Sustainable Rural Livelihoods: A Framework for Analysis, IDS Working Paper 72","type":"article-journal","volume":"72"},"uris":["http://www.mendeley.com/documents/?uuid=a55c58d0-69e5-4054-9924-2d502fcbd614"]},{"id":"ITEM-2","itemData":{"author":[{"dropping-particle":"","family":"Carney","given":"Diana","non-dropping-particle":"","parse-names":false,"suffix":""}],"id":"ITEM-2","issued":{"date-parts":[["1998"]]},"page":"213","publisher":"DFID","publisher-place":"London","title":"Sustainable rural livelihoods: what contribution can we make?","type":"article"},"uris":["http://www.mendeley.com/documents/?uuid=fe69689f-a141-499d-88dd-d23cd767d637"]},{"id":"ITEM-3","itemData":{"DOI":"10.1016/j.ocecoaman.2018.12.024","ISSN":"09645691","abstract":"The sustainable livelihood approach is an analytical framework that helps identifying the assets that local communities rely on, the risks they are subjected to, organisations and institutions influence their daily lives and the strategies they undertake. This is a valuable approach in small-scale fisheries management as artisanal fisheries are exposed to uncertainty in terms of supply and demand, and fishing activities usually are influenced by social and institutional factors. However, in spite of its usefulness and the fact that this approach has been previously used in projects targeting small-scale fisher communities, it is still not widely applied to small-scale fisheries. In this study we applied the sustainable livelihood approach as an analytical tool to assess the potential of the mud crab Scylla serrata as a sustainable livelihood resource for the southwest Indian states such as Karnataka. As fishers worldwide face continuous pressure from industrial fishing fleets and decreased fish stocks and their productivity, we also identified what could be the potential barriers to small-scale mud crab farming for communities that are already are involved in mud crab fishing. Data were collected and analysed from a semi-structured questionnaire, two focus group discussions and key informant interviews conducted in Uttara Kannada district, Karnataka. The results indicated that though mud crab is perceived as a good source of income in this area, at present it is not recognised as a steady source of income due to the unpredictable fishery catches. Respondents were aware of mud crab farming yet stated the lack of land and financial resources as the main barriers and only the minority expressed any interest in undertaking such activity. The sustainable livelihood approach proved to be a valuable research tool for identifying matters of concern for local communities regarding their source of livelihoods and barriers to small-scale aquaculture.","author":[{"dropping-particle":"","family":"Apine","given":"Elina","non-dropping-particle":"","parse-names":false,"suffix":""},{"dropping-particle":"","family":"Turner","given":"Lucy M.","non-dropping-particle":"","parse-names":false,"suffix":""},{"dropping-particle":"","family":"Rodwell","given":"Lynda D.","non-dropping-particle":"","parse-names":false,"suffix":""},{"dropping-particle":"","family":"Bhatta","given":"Ramachandra","non-dropping-particle":"","parse-names":false,"suffix":""}],"container-title":"Ocean and Coastal Management","id":"ITEM-3","issue":"December 2018","issued":{"date-parts":[["2019"]]},"page":"17-28","publisher":"Elsevier","title":"The application of the sustainable livelihood approach to small scale-fisheries: The case of mud crab Scylla serrata in South west India","type":"article-journal","volume":"170"},"uris":["http://www.mendeley.com/documents/?uuid=abfa9096-1d1f-497e-b245-94da7513a9f9"]}],"mendeley":{"formattedCitation":"[2], [25], [30]","plainTextFormattedCitation":"[2], [25], [30]","previouslyFormattedCitation":"[2], [25], [30]"},"properties":{"noteIndex":0},"schema":"https://github.com/citation-style-language/schema/raw/master/csl-citation.json"}</w:instrText>
      </w:r>
      <w:r w:rsidR="00F61767">
        <w:rPr>
          <w:sz w:val="24"/>
        </w:rPr>
        <w:fldChar w:fldCharType="separate"/>
      </w:r>
      <w:r w:rsidR="000150EF" w:rsidRPr="000150EF">
        <w:rPr>
          <w:noProof/>
          <w:sz w:val="24"/>
        </w:rPr>
        <w:t>[2], [25], [30]</w:t>
      </w:r>
      <w:r w:rsidR="00F61767">
        <w:rPr>
          <w:sz w:val="24"/>
        </w:rPr>
        <w:fldChar w:fldCharType="end"/>
      </w:r>
      <w:r w:rsidR="00D964C8">
        <w:rPr>
          <w:sz w:val="24"/>
        </w:rPr>
        <w:t xml:space="preserve"> offer</w:t>
      </w:r>
      <w:r w:rsidR="00F61767">
        <w:rPr>
          <w:sz w:val="24"/>
        </w:rPr>
        <w:t>s</w:t>
      </w:r>
      <w:r w:rsidR="00D964C8">
        <w:rPr>
          <w:sz w:val="24"/>
        </w:rPr>
        <w:t xml:space="preserve"> an analytical framework within which </w:t>
      </w:r>
      <w:r w:rsidR="00F61767">
        <w:rPr>
          <w:sz w:val="24"/>
        </w:rPr>
        <w:t>th</w:t>
      </w:r>
      <w:r w:rsidR="007202F3">
        <w:rPr>
          <w:sz w:val="24"/>
        </w:rPr>
        <w:t>e vulnerability of fishing livelihoods could be systematically assessed</w:t>
      </w:r>
      <w:r w:rsidR="00D964C8">
        <w:rPr>
          <w:sz w:val="24"/>
        </w:rPr>
        <w:t xml:space="preserve">. </w:t>
      </w:r>
      <w:r w:rsidR="00394B3D">
        <w:rPr>
          <w:sz w:val="24"/>
        </w:rPr>
        <w:t>T</w:t>
      </w:r>
      <w:r w:rsidR="00A13883">
        <w:rPr>
          <w:sz w:val="24"/>
        </w:rPr>
        <w:t xml:space="preserve">he </w:t>
      </w:r>
      <w:r w:rsidR="008F7DC0">
        <w:rPr>
          <w:sz w:val="24"/>
        </w:rPr>
        <w:t>SLA is a livelihood analysis which asks the question</w:t>
      </w:r>
      <w:r w:rsidR="00AF05E8">
        <w:rPr>
          <w:sz w:val="24"/>
        </w:rPr>
        <w:t>:</w:t>
      </w:r>
      <w:r w:rsidR="00A13883">
        <w:rPr>
          <w:sz w:val="24"/>
        </w:rPr>
        <w:t xml:space="preserve"> </w:t>
      </w:r>
      <w:r w:rsidR="006D22F8" w:rsidRPr="006D22F8">
        <w:rPr>
          <w:sz w:val="24"/>
        </w:rPr>
        <w:t xml:space="preserve">within a </w:t>
      </w:r>
      <w:r w:rsidR="00EC64D6">
        <w:rPr>
          <w:sz w:val="24"/>
        </w:rPr>
        <w:t>given</w:t>
      </w:r>
      <w:r w:rsidR="006D22F8" w:rsidRPr="006D22F8">
        <w:rPr>
          <w:sz w:val="24"/>
        </w:rPr>
        <w:t xml:space="preserve"> ecological</w:t>
      </w:r>
      <w:r w:rsidR="00EC64D6">
        <w:rPr>
          <w:sz w:val="24"/>
        </w:rPr>
        <w:t xml:space="preserve"> </w:t>
      </w:r>
      <w:r w:rsidR="006D22F8" w:rsidRPr="006D22F8">
        <w:rPr>
          <w:sz w:val="24"/>
        </w:rPr>
        <w:t xml:space="preserve">context, what combination of livelihood </w:t>
      </w:r>
      <w:r w:rsidR="00DE7DB8">
        <w:rPr>
          <w:sz w:val="24"/>
        </w:rPr>
        <w:t>assets</w:t>
      </w:r>
      <w:r w:rsidR="006D22F8" w:rsidRPr="006D22F8">
        <w:rPr>
          <w:sz w:val="24"/>
        </w:rPr>
        <w:t xml:space="preserve"> give people the ability to adopt what livelihood strategy combinations with what outcomes</w:t>
      </w:r>
      <w:r w:rsidR="00C71BFB">
        <w:rPr>
          <w:sz w:val="24"/>
        </w:rPr>
        <w:t>,</w:t>
      </w:r>
      <w:r w:rsidR="006D22F8" w:rsidRPr="006D22F8">
        <w:rPr>
          <w:sz w:val="24"/>
        </w:rPr>
        <w:t xml:space="preserve"> and which institutional processes mediate their ability to carry out such livelihood strategies? </w:t>
      </w:r>
      <w:r w:rsidR="006D22F8">
        <w:rPr>
          <w:sz w:val="24"/>
        </w:rPr>
        <w:fldChar w:fldCharType="begin" w:fldLock="1"/>
      </w:r>
      <w:r w:rsidR="00B924BC">
        <w:rPr>
          <w:sz w:val="24"/>
        </w:rPr>
        <w:instrText>ADDIN CSL_CITATION {"citationItems":[{"id":"ITEM-1","itemData":{"DOI":"10.1057/palgrave.development.1110037","ISBN":"1858642248","ISSN":"00278424","PMID":"60101040","abstract":"The concept of sustainable livelihoods is increasingly important in the development debate. This paper outlines a framework for analysing sustainable livelihoods, defined here in relation to five key indicators. The framework shows how, in different contexts, sustainable livelihoods are achieved through access to a range of livelihood resources (natural, economic, human and social capitals) which are combined in the pursuit of different livelihood strategies (agricultural intensification or extensification, livelihood diversification and migration). Central to the framework is the analysis of the range of formal and informal organisational and institutional factors that influence sustainable livelihood outcomes. In conclusion, the paper briefly considers some of the practical, methodological and operational implications of a sustainable livelihoods approach.","author":[{"dropping-particle":"","family":"Scoones","given":"Ian","non-dropping-particle":"","parse-names":false,"suffix":""}],"container-title":"IDS Working Paper","id":"ITEM-1","issue":"May","issued":{"date-parts":[["1998"]]},"page":"1-22","title":"Sustainable Rural Livelihoods: A Framework for Analysis, IDS Working Paper 72","type":"article-journal","volume":"72"},"uris":["http://www.mendeley.com/documents/?uuid=a55c58d0-69e5-4054-9924-2d502fcbd614"]}],"mendeley":{"formattedCitation":"[25]","plainTextFormattedCitation":"[25]","previouslyFormattedCitation":"[25]"},"properties":{"noteIndex":0},"schema":"https://github.com/citation-style-language/schema/raw/master/csl-citation.json"}</w:instrText>
      </w:r>
      <w:r w:rsidR="006D22F8">
        <w:rPr>
          <w:sz w:val="24"/>
        </w:rPr>
        <w:fldChar w:fldCharType="separate"/>
      </w:r>
      <w:r w:rsidR="000150EF" w:rsidRPr="000150EF">
        <w:rPr>
          <w:noProof/>
          <w:sz w:val="24"/>
        </w:rPr>
        <w:t>[25]</w:t>
      </w:r>
      <w:r w:rsidR="006D22F8">
        <w:rPr>
          <w:sz w:val="24"/>
        </w:rPr>
        <w:fldChar w:fldCharType="end"/>
      </w:r>
      <w:r w:rsidR="006D22F8" w:rsidRPr="006D22F8">
        <w:rPr>
          <w:sz w:val="24"/>
        </w:rPr>
        <w:t>.</w:t>
      </w:r>
      <w:r w:rsidR="00C74672">
        <w:rPr>
          <w:sz w:val="24"/>
        </w:rPr>
        <w:t xml:space="preserve"> </w:t>
      </w:r>
      <w:r w:rsidR="00C12F04">
        <w:rPr>
          <w:sz w:val="24"/>
        </w:rPr>
        <w:t xml:space="preserve">It </w:t>
      </w:r>
      <w:r w:rsidR="002D1599">
        <w:rPr>
          <w:sz w:val="24"/>
        </w:rPr>
        <w:t xml:space="preserve">recognises </w:t>
      </w:r>
      <w:r w:rsidR="00D315D5">
        <w:rPr>
          <w:sz w:val="24"/>
        </w:rPr>
        <w:t>th</w:t>
      </w:r>
      <w:r w:rsidR="00253991">
        <w:rPr>
          <w:sz w:val="24"/>
        </w:rPr>
        <w:t xml:space="preserve">at peoples’ ability to reduce their vulnerability </w:t>
      </w:r>
      <w:r w:rsidR="00B02091">
        <w:rPr>
          <w:sz w:val="24"/>
        </w:rPr>
        <w:t>to shocks</w:t>
      </w:r>
      <w:r w:rsidR="004A5627">
        <w:rPr>
          <w:sz w:val="24"/>
        </w:rPr>
        <w:t xml:space="preserve"> and stresses is </w:t>
      </w:r>
      <w:r w:rsidR="00253991">
        <w:rPr>
          <w:sz w:val="24"/>
        </w:rPr>
        <w:t xml:space="preserve">dependent on their </w:t>
      </w:r>
      <w:r w:rsidR="00325472">
        <w:rPr>
          <w:sz w:val="24"/>
        </w:rPr>
        <w:t>livelihood assets (</w:t>
      </w:r>
      <w:r w:rsidR="00F15915">
        <w:rPr>
          <w:sz w:val="24"/>
        </w:rPr>
        <w:t>financial, physical, social, human and natural</w:t>
      </w:r>
      <w:r w:rsidR="00325472">
        <w:rPr>
          <w:sz w:val="24"/>
        </w:rPr>
        <w:t>)</w:t>
      </w:r>
      <w:r w:rsidR="00B02091">
        <w:rPr>
          <w:sz w:val="24"/>
        </w:rPr>
        <w:t xml:space="preserve"> mediated by </w:t>
      </w:r>
      <w:r w:rsidR="0079530E">
        <w:rPr>
          <w:sz w:val="24"/>
        </w:rPr>
        <w:t xml:space="preserve">external factors like </w:t>
      </w:r>
      <w:r w:rsidR="00061497">
        <w:rPr>
          <w:sz w:val="24"/>
        </w:rPr>
        <w:t>policies, institutions and market forces.</w:t>
      </w:r>
      <w:r w:rsidR="00182F59">
        <w:rPr>
          <w:sz w:val="24"/>
        </w:rPr>
        <w:t xml:space="preserve"> </w:t>
      </w:r>
      <w:r w:rsidR="006D22F8" w:rsidRPr="006D22F8">
        <w:rPr>
          <w:sz w:val="24"/>
        </w:rPr>
        <w:t xml:space="preserve"> </w:t>
      </w:r>
      <w:r w:rsidR="00870DC7">
        <w:rPr>
          <w:sz w:val="24"/>
        </w:rPr>
        <w:t>Besides it</w:t>
      </w:r>
      <w:r w:rsidR="00182F59">
        <w:rPr>
          <w:sz w:val="24"/>
        </w:rPr>
        <w:t>s</w:t>
      </w:r>
      <w:r w:rsidR="00870DC7">
        <w:rPr>
          <w:sz w:val="24"/>
        </w:rPr>
        <w:t xml:space="preserve"> holistic analytical appeal, </w:t>
      </w:r>
      <w:r w:rsidR="005031A2">
        <w:rPr>
          <w:sz w:val="24"/>
        </w:rPr>
        <w:t xml:space="preserve">the </w:t>
      </w:r>
      <w:r w:rsidR="005E28AE">
        <w:rPr>
          <w:sz w:val="24"/>
        </w:rPr>
        <w:t>capital assets component of the</w:t>
      </w:r>
      <w:r w:rsidR="00182F59">
        <w:rPr>
          <w:sz w:val="24"/>
        </w:rPr>
        <w:t xml:space="preserve"> SLA offers a host of </w:t>
      </w:r>
      <w:r w:rsidR="00077C5B">
        <w:rPr>
          <w:sz w:val="24"/>
        </w:rPr>
        <w:t xml:space="preserve">indicators which </w:t>
      </w:r>
      <w:r w:rsidR="00D665FC">
        <w:rPr>
          <w:sz w:val="24"/>
        </w:rPr>
        <w:t>can</w:t>
      </w:r>
      <w:r w:rsidR="00077C5B">
        <w:rPr>
          <w:sz w:val="24"/>
        </w:rPr>
        <w:t xml:space="preserve"> be mathematically combined </w:t>
      </w:r>
      <w:r w:rsidR="00071B37">
        <w:rPr>
          <w:sz w:val="24"/>
        </w:rPr>
        <w:t xml:space="preserve">in an indicator-based </w:t>
      </w:r>
      <w:r w:rsidR="00135747">
        <w:rPr>
          <w:sz w:val="24"/>
        </w:rPr>
        <w:t xml:space="preserve">vulnerability assessment (IBVA) method </w:t>
      </w:r>
      <w:r w:rsidR="00077C5B">
        <w:rPr>
          <w:sz w:val="24"/>
        </w:rPr>
        <w:t>to quantif</w:t>
      </w:r>
      <w:r w:rsidR="00447DE2">
        <w:rPr>
          <w:sz w:val="24"/>
        </w:rPr>
        <w:t>y</w:t>
      </w:r>
      <w:r w:rsidR="00676F91">
        <w:rPr>
          <w:sz w:val="24"/>
        </w:rPr>
        <w:t xml:space="preserve"> the vulnerability of</w:t>
      </w:r>
      <w:r w:rsidR="00154D1B">
        <w:rPr>
          <w:sz w:val="24"/>
        </w:rPr>
        <w:t xml:space="preserve"> resource-dependent households.</w:t>
      </w:r>
      <w:r w:rsidR="00135747">
        <w:rPr>
          <w:sz w:val="24"/>
        </w:rPr>
        <w:t xml:space="preserve"> </w:t>
      </w:r>
      <w:r w:rsidR="00154D1B">
        <w:rPr>
          <w:sz w:val="24"/>
        </w:rPr>
        <w:t xml:space="preserve"> </w:t>
      </w:r>
      <w:r w:rsidR="00D665FC">
        <w:rPr>
          <w:sz w:val="24"/>
        </w:rPr>
        <w:t>An</w:t>
      </w:r>
      <w:r w:rsidR="00314422" w:rsidRPr="00314422">
        <w:rPr>
          <w:sz w:val="24"/>
        </w:rPr>
        <w:t xml:space="preserve"> IBVA is a method that characterises the </w:t>
      </w:r>
      <w:r w:rsidR="008A388B">
        <w:rPr>
          <w:sz w:val="24"/>
        </w:rPr>
        <w:t>factors</w:t>
      </w:r>
      <w:r w:rsidR="00314422" w:rsidRPr="00314422">
        <w:rPr>
          <w:sz w:val="24"/>
        </w:rPr>
        <w:t xml:space="preserve"> that shape vulnerability </w:t>
      </w:r>
      <w:r w:rsidR="003B182E">
        <w:rPr>
          <w:sz w:val="24"/>
        </w:rPr>
        <w:t xml:space="preserve">to climate change </w:t>
      </w:r>
      <w:r w:rsidR="00314422" w:rsidRPr="00314422">
        <w:rPr>
          <w:sz w:val="24"/>
        </w:rPr>
        <w:t>in a particular area and aggregate</w:t>
      </w:r>
      <w:r w:rsidR="003B182E">
        <w:rPr>
          <w:sz w:val="24"/>
        </w:rPr>
        <w:t>s them into a</w:t>
      </w:r>
      <w:r w:rsidR="00314422" w:rsidRPr="00314422">
        <w:rPr>
          <w:sz w:val="24"/>
        </w:rPr>
        <w:t xml:space="preserve"> vulnerability index </w:t>
      </w:r>
      <w:r w:rsidR="009F785E">
        <w:rPr>
          <w:sz w:val="24"/>
        </w:rPr>
        <w:fldChar w:fldCharType="begin" w:fldLock="1"/>
      </w:r>
      <w:r w:rsidR="00B924BC">
        <w:rPr>
          <w:sz w:val="24"/>
        </w:rPr>
        <w:instrText>ADDIN CSL_CITATION {"citationItems":[{"id":"ITEM-1","itemData":{"DOI":"10.1111/j.1467-2979.2008.00310.x","ISSN":"1467-2960","abstract":"Abstract Anthropogenic global warming has significantly influenced physical and biological processes at global and regional scales. The observed and anticipated changes in global climate present significant opportunities and challenges for societies and economies. We compare the vulnerability of 132 national economies to potential climate change impacts on their capture fisheries using an indicator-based approach. Countries in Central and Western Africa (e.g. Malawi, Guinea, Senegal, and Uganda), Peru and Colombia in north-western South America, and four tropical Asian countries (Bangladesh, Cambodia, Pakistan, and Yemen) were identified as most vulnerable. This vulnerability was due to the combined effect of predicted warming, the relative importance of fisheries to national economies and diets, and limited societal capacity to adapt to potential impacts and opportunities. Many vulnerable countries were also among the world?s least developed countries whose inhabitants are among the world?s poorest and twice as reliant on fish, which provides 27% of dietary protein compared to 13% in less vulnerable countries. These countries also produce 20% of the world?s fish exports and are in greatest need of adaptation planning to maintain or enhance the contribution that fisheries can make to poverty reduction. Although the precise impacts and direction of climate-driven change for particular fish stocks and fisheries are uncertain, our analysis suggests they are likely to lead to either increased economic hardship or missed opportunities for development in countries that depend upon fisheries but lack the capacity to adapt.","author":[{"dropping-particle":"","family":"Allison","given":"Edward H","non-dropping-particle":"","parse-names":false,"suffix":""},{"dropping-particle":"","family":"Perry","given":"Allison L","non-dropping-particle":"","parse-names":false,"suffix":""},{"dropping-particle":"","family":"Badjeck","given":"Marie-Caroline","non-dropping-particle":"","parse-names":false,"suffix":""},{"dropping-particle":"","family":"Neil Adger","given":"W","non-dropping-particle":"","parse-names":false,"suffix":""},{"dropping-particle":"","family":"Brown","given":"Katrina","non-dropping-particle":"","parse-names":false,"suffix":""},{"dropping-particle":"","family":"Conway","given":"Declan","non-dropping-particle":"","parse-names":false,"suffix":""},{"dropping-particle":"","family":"Halls","given":"Ashley S","non-dropping-particle":"","parse-names":false,"suffix":""},{"dropping-particle":"","family":"Pilling","given":"Graham M","non-dropping-particle":"","parse-names":false,"suffix":""},{"dropping-particle":"","family":"Reynolds","given":"John D","non-dropping-particle":"","parse-names":false,"suffix":""},{"dropping-particle":"","family":"Andrew","given":"Neil L","non-dropping-particle":"","parse-names":false,"suffix":""},{"dropping-particle":"","family":"Dulvy","given":"Nicholas K","non-dropping-particle":"","parse-names":false,"suffix":""}],"container-title":"Fish and Fisheries","id":"ITEM-1","issue":"2","issued":{"date-parts":[["2009","6","1"]]},"note":"doi: 10.1111/j.1467-2979.2008.00310.x","page":"173-196","publisher":"John Wiley &amp; Sons, Ltd (10.1111)","title":"Vulnerability of national economies to the impacts of climate change on fisheries","type":"article-journal","volume":"10"},"uris":["http://www.mendeley.com/documents/?uuid=123fa285-824c-46ca-9cd9-6adcdee22d3c"]},{"id":"ITEM-2","itemData":{"DOI":"10.1016/j.ocecoaman.2015.11.022","ISSN":"09645691","abstract":"Increasing human pressures on coastlines and associated threats posed by sea-level rise have stimulated development of a range of different concepts and methodological approaches to assess coastal vulnerability. The first section of this paper summarizes the concepts associated with vulnerability, natural hazards and climate change. The most widely adopted analytical approaches to vulnerability assessment are described, including spatial scales, the need for hybrid approaches comprising both biophysical and social dimensions of vulnerability, and the gradual incorporation of resilience aspects into such methodologies. In particular, the development and application of vulnerability indices is examined, based on a review of more than 50 studies that applied such indices across a range of hazards. The analytical procedures, proposed typologies, and most commonly selected variables are discussed. This overview demonstrates the breadth of vulnerability studies. This leads inevitably to lack of standardization of concepts and assumptions, which results in limited comparability between outputs for coasts from different areas. However, the widespread demand for vulnerability assessment as a component of decision-making in integrated management of the coast justifies pursuing indicator-based vulnerability assessments. In some cases these will explicitly adopt a consistent methodology that enables comparison between sites, whereas alternatively, metrics may be developed that are designed around particular system components and the site-specific functions for which they are valued.","author":[{"dropping-particle":"","family":"Nguyen","given":"Thang T.X.","non-dropping-particle":"","parse-names":false,"suffix":""},{"dropping-particle":"","family":"Bonetti","given":"Jarbas","non-dropping-particle":"","parse-names":false,"suffix":""},{"dropping-particle":"","family":"Rogers","given":"Kerrylee","non-dropping-particle":"","parse-names":false,"suffix":""},{"dropping-particle":"","family":"Woodroffe","given":"Colin D.","non-dropping-particle":"","parse-names":false,"suffix":""}],"container-title":"Ocean and Coastal Management","id":"ITEM-2","issued":{"date-parts":[["2016"]]},"page":"18-43","publisher":"Elsevier Ltd","title":"Indicator-based assessment of climate-change impacts on coasts: A review of concepts, methodological approaches and vulnerability indices","type":"article-journal","volume":"123"},"uris":["http://www.mendeley.com/documents/?uuid=61501e2d-d648-448a-bc62-b7fca4240d1c"]},{"id":"ITEM-3","itemData":{"DOI":"10.1007/s10113-013-0487-6","ISSN":"14363798","abstract":"Globally, fisheries support livelihoods of over half a billion people who are exposed to multiple climatic stresses and shocks that affect their capacity to subsist. Yet, only limited research exists on the vulnerability of fishery-based livelihood systems to climate change. We assess the vulnerability of fishery-based livelihoods to the impacts of climate variability and change in two coastal fishing communities in Bangladesh. We use a composite index approach to calculate livelihood vulnerability and qualitative methods to understand how exposure, sensitivity, and adaptive capacity measured by sub-indices produce vulnerability. Our results suggest that exposure to floods and cyclones, sensitivity (such as dependence on small-scale marine fisheries for livelihoods), and lack of adaptive capacity in terms of physical, natural, and financial capital and diverse livelihood strategies construe livelihood vulnerability in different ways depending on the context. The most exposed community is not necessarily the most sensitive or least able to adapt because livelihood vulnerability is a result of combined but unequal influences of bio-physical and socio-economic characteristics of communities and households. But within a fishing community, where households are similarly exposed, higher sensitivity and lower adaptive capacity combine to create higher vulnerability. Initiatives to reduce livelihood vulnerability should be correspondingly multifaceted. © 2013 The Author(s).","author":[{"dropping-particle":"","family":"Islam","given":"Md Monirul","non-dropping-particle":"","parse-names":false,"suffix":""},{"dropping-particle":"","family":"Sallu","given":"Susannah","non-dropping-particle":"","parse-names":false,"suffix":""},{"dropping-particle":"","family":"Hubacek","given":"Klaus","non-dropping-particle":"","parse-names":false,"suffix":""},{"dropping-particle":"","family":"Paavola","given":"Jouni","non-dropping-particle":"","parse-names":false,"suffix":""}],"container-title":"Regional Environmental Change","id":"ITEM-3","issue":"1","issued":{"date-parts":[["2014"]]},"page":"281-294","title":"Vulnerability of fishery-based livelihoods to the impacts of climate variability and change: Insights from coastal Bangladesh","type":"article-journal","volume":"14"},"uris":["http://www.mendeley.com/documents/?uuid=394b94ce-bbbe-48df-85a8-468bbddbda2b"]},{"id":"ITEM-4","itemData":{"DOI":"10.1016/j.ecolind.2017.02.040","ISSN":"1470160X","abstract":"Governing climate change in cities entails a good understanding of urban vulnerabilities. This research presents an Indicator-based Vulnerability Assessment for 571 European cities. Basing on panel data from Urban Audit database and a set of newly developed indicators, we assessed urban vulnerabilities for the following impact chains: (i) heatwaves on human health; (ii) drought on water planning, and; (iii) flooding (sub-divided into pluvial, fluvial and coastal) on the socio-economic tissue and the urban fabric. Results shed light on the key challenges that specific groups of European cities face in order to better deal with the expected impacts of climate change. This knowledge is a necessary step to advance in the understanding of urban risks to climate change and the development of effective EU policies for urban adaptation.","author":[{"dropping-particle":"","family":"Tapia","given":"Carlos","non-dropping-particle":"","parse-names":false,"suffix":""},{"dropping-particle":"","family":"Abajo","given":"Beñat","non-dropping-particle":"","parse-names":false,"suffix":""},{"dropping-particle":"","family":"Feliu","given":"Efren","non-dropping-particle":"","parse-names":false,"suffix":""},{"dropping-particle":"","family":"Mendizabal","given":"Maddalen","non-dropping-particle":"","parse-names":false,"suffix":""},{"dropping-particle":"","family":"Martinez","given":"José Antonio","non-dropping-particle":"","parse-names":false,"suffix":""},{"dropping-particle":"","family":"Fernández","given":"J. German","non-dropping-particle":"","parse-names":false,"suffix":""},{"dropping-particle":"","family":"Laburu","given":"Txomin","non-dropping-particle":"","parse-names":false,"suffix":""},{"dropping-particle":"","family":"Lejarazu","given":"Adelaida","non-dropping-particle":"","parse-names":false,"suffix":""}],"container-title":"Ecological Indicators","id":"ITEM-4","issued":{"date-parts":[["2017"]]},"page":"142-155","title":"Profiling urban vulnerabilities to climate change: An indicator-based vulnerability assessment for European cities","type":"article-journal","volume":"78"},"uris":["http://www.mendeley.com/documents/?uuid=d9193ae9-5c27-4a24-95ca-3890d99ae78a"]}],"mendeley":{"formattedCitation":"[9], [14], [31], [32]","plainTextFormattedCitation":"[9], [14], [31], [32]","previouslyFormattedCitation":"[9], [14], [31], [32]"},"properties":{"noteIndex":0},"schema":"https://github.com/citation-style-language/schema/raw/master/csl-citation.json"}</w:instrText>
      </w:r>
      <w:r w:rsidR="009F785E">
        <w:rPr>
          <w:sz w:val="24"/>
        </w:rPr>
        <w:fldChar w:fldCharType="separate"/>
      </w:r>
      <w:r w:rsidR="000150EF" w:rsidRPr="000150EF">
        <w:rPr>
          <w:noProof/>
          <w:sz w:val="24"/>
        </w:rPr>
        <w:t>[9], [14], [31], [32]</w:t>
      </w:r>
      <w:r w:rsidR="009F785E">
        <w:rPr>
          <w:sz w:val="24"/>
        </w:rPr>
        <w:fldChar w:fldCharType="end"/>
      </w:r>
      <w:r w:rsidR="00314422" w:rsidRPr="00314422">
        <w:rPr>
          <w:sz w:val="24"/>
        </w:rPr>
        <w:t xml:space="preserve">. </w:t>
      </w:r>
      <w:r w:rsidR="009A0A21">
        <w:rPr>
          <w:sz w:val="24"/>
        </w:rPr>
        <w:t xml:space="preserve">In this study, the </w:t>
      </w:r>
      <w:r w:rsidR="004005CA">
        <w:rPr>
          <w:sz w:val="24"/>
        </w:rPr>
        <w:t xml:space="preserve">IBVA </w:t>
      </w:r>
      <w:r w:rsidR="00314422" w:rsidRPr="00314422">
        <w:rPr>
          <w:sz w:val="24"/>
        </w:rPr>
        <w:t xml:space="preserve">is </w:t>
      </w:r>
      <w:r w:rsidR="00237C8F">
        <w:rPr>
          <w:sz w:val="24"/>
        </w:rPr>
        <w:t>based</w:t>
      </w:r>
      <w:r w:rsidR="00314422" w:rsidRPr="00314422">
        <w:rPr>
          <w:sz w:val="24"/>
        </w:rPr>
        <w:t xml:space="preserve"> </w:t>
      </w:r>
      <w:r w:rsidR="004005CA">
        <w:rPr>
          <w:sz w:val="24"/>
        </w:rPr>
        <w:t>o</w:t>
      </w:r>
      <w:r w:rsidR="00314422" w:rsidRPr="00314422">
        <w:rPr>
          <w:sz w:val="24"/>
        </w:rPr>
        <w:t xml:space="preserve">n the Intergovernmental Panel on Climate Change’s (IPCC) vulnerability framework </w:t>
      </w:r>
      <w:r w:rsidR="00860583">
        <w:rPr>
          <w:sz w:val="24"/>
        </w:rPr>
        <w:fldChar w:fldCharType="begin" w:fldLock="1"/>
      </w:r>
      <w:r w:rsidR="00B924BC">
        <w:rPr>
          <w:sz w:val="24"/>
        </w:rPr>
        <w:instrText>ADDIN CSL_CITATION {"citationItems":[{"id":"ITEM-1","itemData":{"author":[{"dropping-particle":"","family":"Intergovernmental Panel on Climate Change","given":"","non-dropping-particle":"","parse-names":false,"suffix":""}],"id":"ITEM-1","issued":{"date-parts":[["2014"]]},"page":"1-18","title":"Summary for Policymakers; in Climate Change Impacts, Adaptation and Vulnerability (contribution of working group II to the Fourth Assessment Report of the Intergovernmental Panel on Climate Change),(ed) J.J. McCarthy, O.F. Canziani, N.A. Leary, D.J. Dokke","type":"article-journal"},"uris":["http://www.mendeley.com/documents/?uuid=0e1d3fe2-3c0b-4adc-b381-54c5e9830e1c"]}],"mendeley":{"formattedCitation":"[33]","plainTextFormattedCitation":"[33]","previouslyFormattedCitation":"[33]"},"properties":{"noteIndex":0},"schema":"https://github.com/citation-style-language/schema/raw/master/csl-citation.json"}</w:instrText>
      </w:r>
      <w:r w:rsidR="00860583">
        <w:rPr>
          <w:sz w:val="24"/>
        </w:rPr>
        <w:fldChar w:fldCharType="separate"/>
      </w:r>
      <w:r w:rsidR="000150EF" w:rsidRPr="000150EF">
        <w:rPr>
          <w:noProof/>
          <w:sz w:val="24"/>
        </w:rPr>
        <w:t>[33]</w:t>
      </w:r>
      <w:r w:rsidR="00860583">
        <w:rPr>
          <w:sz w:val="24"/>
        </w:rPr>
        <w:fldChar w:fldCharType="end"/>
      </w:r>
      <w:r w:rsidR="00860583">
        <w:rPr>
          <w:sz w:val="24"/>
        </w:rPr>
        <w:t>,</w:t>
      </w:r>
      <w:r w:rsidR="00314422" w:rsidRPr="00314422">
        <w:rPr>
          <w:sz w:val="24"/>
        </w:rPr>
        <w:t xml:space="preserve"> which defines </w:t>
      </w:r>
      <w:r w:rsidR="009F0225">
        <w:rPr>
          <w:sz w:val="24"/>
        </w:rPr>
        <w:t xml:space="preserve">climate change </w:t>
      </w:r>
      <w:r w:rsidR="00314422" w:rsidRPr="00314422">
        <w:rPr>
          <w:sz w:val="24"/>
        </w:rPr>
        <w:t>vulnerability as being a function of a system’s exposure</w:t>
      </w:r>
      <w:r w:rsidR="006978E5">
        <w:rPr>
          <w:sz w:val="24"/>
        </w:rPr>
        <w:t xml:space="preserve"> (E)</w:t>
      </w:r>
      <w:r w:rsidR="00314422" w:rsidRPr="00314422">
        <w:rPr>
          <w:sz w:val="24"/>
        </w:rPr>
        <w:t xml:space="preserve"> to climatic risks, its sensitivity (the degree to which it is or will be affected by the risk</w:t>
      </w:r>
      <w:r w:rsidR="006978E5">
        <w:rPr>
          <w:sz w:val="24"/>
        </w:rPr>
        <w:t>, (</w:t>
      </w:r>
      <w:r w:rsidR="008D2855">
        <w:rPr>
          <w:sz w:val="24"/>
        </w:rPr>
        <w:t>S</w:t>
      </w:r>
      <w:r w:rsidR="006978E5">
        <w:rPr>
          <w:sz w:val="24"/>
        </w:rPr>
        <w:t>)</w:t>
      </w:r>
      <w:r w:rsidR="00314422" w:rsidRPr="00314422">
        <w:rPr>
          <w:sz w:val="24"/>
        </w:rPr>
        <w:t>), and its capacity to adjust to those risks ex</w:t>
      </w:r>
      <w:r w:rsidR="005031A2">
        <w:rPr>
          <w:sz w:val="24"/>
        </w:rPr>
        <w:t>-</w:t>
      </w:r>
      <w:r w:rsidR="00314422" w:rsidRPr="00314422">
        <w:rPr>
          <w:sz w:val="24"/>
        </w:rPr>
        <w:t>ante or post hoc</w:t>
      </w:r>
      <w:r w:rsidR="008D2855">
        <w:rPr>
          <w:sz w:val="24"/>
        </w:rPr>
        <w:t xml:space="preserve"> (adaptive capacity, (AC))</w:t>
      </w:r>
      <w:r w:rsidR="00314422" w:rsidRPr="00314422">
        <w:rPr>
          <w:sz w:val="24"/>
        </w:rPr>
        <w:t>.</w:t>
      </w:r>
      <w:r w:rsidR="00BB0684">
        <w:rPr>
          <w:sz w:val="24"/>
        </w:rPr>
        <w:t xml:space="preserve"> Th</w:t>
      </w:r>
      <w:r w:rsidR="00AF05E8">
        <w:rPr>
          <w:sz w:val="24"/>
        </w:rPr>
        <w:t>is</w:t>
      </w:r>
      <w:r w:rsidR="00BB0684">
        <w:rPr>
          <w:sz w:val="24"/>
        </w:rPr>
        <w:t xml:space="preserve"> study thus integrate</w:t>
      </w:r>
      <w:r w:rsidR="001F6FC2">
        <w:rPr>
          <w:sz w:val="24"/>
        </w:rPr>
        <w:t>s</w:t>
      </w:r>
      <w:r w:rsidR="00BB0684">
        <w:rPr>
          <w:sz w:val="24"/>
        </w:rPr>
        <w:t xml:space="preserve"> the</w:t>
      </w:r>
      <w:r w:rsidR="00146350">
        <w:rPr>
          <w:sz w:val="24"/>
        </w:rPr>
        <w:t>ories</w:t>
      </w:r>
      <w:r w:rsidR="008F73E3">
        <w:rPr>
          <w:sz w:val="24"/>
        </w:rPr>
        <w:t xml:space="preserve"> of </w:t>
      </w:r>
      <w:r w:rsidR="00261783">
        <w:rPr>
          <w:sz w:val="24"/>
        </w:rPr>
        <w:t xml:space="preserve">climate change </w:t>
      </w:r>
      <w:r w:rsidR="008F73E3">
        <w:rPr>
          <w:sz w:val="24"/>
        </w:rPr>
        <w:t>vulnerability and</w:t>
      </w:r>
      <w:r w:rsidR="00146350">
        <w:rPr>
          <w:sz w:val="24"/>
        </w:rPr>
        <w:t xml:space="preserve"> the</w:t>
      </w:r>
      <w:r w:rsidR="00BB0684">
        <w:rPr>
          <w:sz w:val="24"/>
        </w:rPr>
        <w:t xml:space="preserve"> </w:t>
      </w:r>
      <w:r w:rsidR="00146350">
        <w:rPr>
          <w:sz w:val="24"/>
        </w:rPr>
        <w:t xml:space="preserve">sustainable </w:t>
      </w:r>
      <w:r w:rsidR="00BB0684">
        <w:rPr>
          <w:sz w:val="24"/>
        </w:rPr>
        <w:t xml:space="preserve">livelihood </w:t>
      </w:r>
      <w:r w:rsidR="00146350">
        <w:rPr>
          <w:sz w:val="24"/>
        </w:rPr>
        <w:t>approach</w:t>
      </w:r>
      <w:r w:rsidR="00AB2E7D">
        <w:rPr>
          <w:sz w:val="24"/>
        </w:rPr>
        <w:t xml:space="preserve"> (as detailed in Section 3.2.3)</w:t>
      </w:r>
      <w:r w:rsidR="008F73E3">
        <w:rPr>
          <w:sz w:val="24"/>
        </w:rPr>
        <w:t xml:space="preserve"> </w:t>
      </w:r>
      <w:r w:rsidR="00BB0684">
        <w:rPr>
          <w:sz w:val="24"/>
        </w:rPr>
        <w:t xml:space="preserve">to </w:t>
      </w:r>
      <w:r w:rsidR="00D50949">
        <w:rPr>
          <w:sz w:val="24"/>
        </w:rPr>
        <w:t>explore the</w:t>
      </w:r>
      <w:r w:rsidR="00A72CF6">
        <w:rPr>
          <w:sz w:val="24"/>
        </w:rPr>
        <w:t xml:space="preserve"> economic impact of climate change on fishing livelihoods and to understand who in such fishing communities is most vulner</w:t>
      </w:r>
      <w:r w:rsidR="00563946">
        <w:rPr>
          <w:sz w:val="24"/>
        </w:rPr>
        <w:t>able to th</w:t>
      </w:r>
      <w:r w:rsidR="00B62436">
        <w:rPr>
          <w:sz w:val="24"/>
        </w:rPr>
        <w:t>at</w:t>
      </w:r>
      <w:r w:rsidR="00563946">
        <w:rPr>
          <w:sz w:val="24"/>
        </w:rPr>
        <w:t xml:space="preserve"> impact.</w:t>
      </w:r>
    </w:p>
    <w:p w14:paraId="5F2AC625" w14:textId="77777777" w:rsidR="003C415B" w:rsidRDefault="003C415B" w:rsidP="00CE060E">
      <w:pPr>
        <w:spacing w:after="0"/>
        <w:rPr>
          <w:sz w:val="24"/>
        </w:rPr>
      </w:pPr>
    </w:p>
    <w:p w14:paraId="070061F8" w14:textId="77777777" w:rsidR="004257F3" w:rsidRPr="00FE2E79" w:rsidRDefault="00131F49" w:rsidP="00FE2E79">
      <w:pPr>
        <w:spacing w:after="0"/>
        <w:rPr>
          <w:b/>
          <w:sz w:val="24"/>
        </w:rPr>
      </w:pPr>
      <w:r w:rsidRPr="00FE2E79">
        <w:rPr>
          <w:b/>
          <w:sz w:val="24"/>
        </w:rPr>
        <w:t xml:space="preserve">3. MATERIALS AND METHODS </w:t>
      </w:r>
    </w:p>
    <w:p w14:paraId="629297B9" w14:textId="6F31BA4B" w:rsidR="000A1F94" w:rsidRPr="00FE2E79" w:rsidRDefault="00B67F20" w:rsidP="00664941">
      <w:pPr>
        <w:rPr>
          <w:b/>
          <w:sz w:val="24"/>
        </w:rPr>
      </w:pPr>
      <w:r w:rsidRPr="00FE2E79">
        <w:rPr>
          <w:b/>
          <w:sz w:val="24"/>
        </w:rPr>
        <w:t>3.1 Study area</w:t>
      </w:r>
    </w:p>
    <w:p w14:paraId="450483C0" w14:textId="55685127" w:rsidR="00A53A8E" w:rsidRDefault="00B67F20" w:rsidP="00CE060E">
      <w:pPr>
        <w:spacing w:after="0"/>
        <w:jc w:val="both"/>
        <w:rPr>
          <w:sz w:val="24"/>
        </w:rPr>
      </w:pPr>
      <w:r w:rsidRPr="00B67F20">
        <w:rPr>
          <w:sz w:val="24"/>
        </w:rPr>
        <w:t>The study was conducted in Winneba</w:t>
      </w:r>
      <w:r w:rsidR="00677896">
        <w:rPr>
          <w:sz w:val="24"/>
        </w:rPr>
        <w:t>, a coastal town in Ghana</w:t>
      </w:r>
      <w:r w:rsidR="00945A48">
        <w:rPr>
          <w:sz w:val="24"/>
        </w:rPr>
        <w:t>, W</w:t>
      </w:r>
      <w:r w:rsidR="00677896">
        <w:rPr>
          <w:sz w:val="24"/>
        </w:rPr>
        <w:t>est Africa</w:t>
      </w:r>
      <w:r w:rsidRPr="00B67F20">
        <w:rPr>
          <w:sz w:val="24"/>
        </w:rPr>
        <w:t xml:space="preserve"> from November 2018 to January 2019.</w:t>
      </w:r>
      <w:r>
        <w:rPr>
          <w:sz w:val="24"/>
        </w:rPr>
        <w:t xml:space="preserve"> </w:t>
      </w:r>
      <w:r w:rsidR="0057240B" w:rsidRPr="0057240B">
        <w:rPr>
          <w:sz w:val="24"/>
        </w:rPr>
        <w:t xml:space="preserve">The town lies 56 km </w:t>
      </w:r>
      <w:r w:rsidR="004F2367">
        <w:rPr>
          <w:sz w:val="24"/>
        </w:rPr>
        <w:t>w</w:t>
      </w:r>
      <w:r w:rsidR="0057240B" w:rsidRPr="0057240B">
        <w:rPr>
          <w:sz w:val="24"/>
        </w:rPr>
        <w:t xml:space="preserve">est of the capital city, </w:t>
      </w:r>
      <w:r w:rsidR="0057240B" w:rsidRPr="00D25D15">
        <w:rPr>
          <w:sz w:val="24"/>
        </w:rPr>
        <w:t xml:space="preserve">Accra (Figure </w:t>
      </w:r>
      <w:r w:rsidR="00E004F6" w:rsidRPr="00D25D15">
        <w:rPr>
          <w:sz w:val="24"/>
        </w:rPr>
        <w:t>1</w:t>
      </w:r>
      <w:r w:rsidR="0057240B" w:rsidRPr="00D25D15">
        <w:rPr>
          <w:sz w:val="24"/>
        </w:rPr>
        <w:t>),</w:t>
      </w:r>
      <w:r w:rsidR="0057240B" w:rsidRPr="0057240B">
        <w:rPr>
          <w:sz w:val="24"/>
        </w:rPr>
        <w:t xml:space="preserve"> and has a total population of about 60,331 </w:t>
      </w:r>
      <w:r w:rsidR="0057240B">
        <w:rPr>
          <w:sz w:val="24"/>
        </w:rPr>
        <w:fldChar w:fldCharType="begin" w:fldLock="1"/>
      </w:r>
      <w:r w:rsidR="00B924BC">
        <w:rPr>
          <w:sz w:val="24"/>
        </w:rPr>
        <w:instrText>ADDIN CSL_CITATION {"citationItems":[{"id":"ITEM-1","itemData":{"DOI":"10.1016/j.ocecoaman.2018.04.029","ISSN":"09645691","author":[{"dropping-particle":"","family":"Ankrah","given":"Johnson","non-dropping-particle":"","parse-names":false,"suffix":""}],"container-title":"Ocean and Coastal Management","id":"ITEM-1","issue":"May","issued":{"date-parts":[["2018"]]},"page":"141-146","publisher":"Elsevier","title":"Climate change impacts and coastal livelihoods; an analysis of fishers of coastal Winneba, Ghana","type":"article-journal","volume":"161"},"uris":["http://www.mendeley.com/documents/?uuid=c395da84-f133-41fa-9b60-37a72ac4d02a"]}],"mendeley":{"formattedCitation":"[23]","plainTextFormattedCitation":"[23]","previouslyFormattedCitation":"[23]"},"properties":{"noteIndex":0},"schema":"https://github.com/citation-style-language/schema/raw/master/csl-citation.json"}</w:instrText>
      </w:r>
      <w:r w:rsidR="0057240B">
        <w:rPr>
          <w:sz w:val="24"/>
        </w:rPr>
        <w:fldChar w:fldCharType="separate"/>
      </w:r>
      <w:r w:rsidR="000150EF" w:rsidRPr="000150EF">
        <w:rPr>
          <w:noProof/>
          <w:sz w:val="24"/>
        </w:rPr>
        <w:t>[23]</w:t>
      </w:r>
      <w:r w:rsidR="0057240B">
        <w:rPr>
          <w:sz w:val="24"/>
        </w:rPr>
        <w:fldChar w:fldCharType="end"/>
      </w:r>
      <w:r w:rsidR="0057240B" w:rsidRPr="0057240B">
        <w:rPr>
          <w:sz w:val="24"/>
        </w:rPr>
        <w:t>.</w:t>
      </w:r>
      <w:r w:rsidR="0057240B">
        <w:rPr>
          <w:sz w:val="24"/>
        </w:rPr>
        <w:t xml:space="preserve"> </w:t>
      </w:r>
      <w:r w:rsidR="000A297B" w:rsidRPr="000A297B">
        <w:rPr>
          <w:sz w:val="24"/>
        </w:rPr>
        <w:t xml:space="preserve">The area is within the dry equatorial climatic zone, and the vegetation is characterized by coastal shrubs and grassland </w:t>
      </w:r>
      <w:r w:rsidR="004E33CF">
        <w:rPr>
          <w:sz w:val="24"/>
        </w:rPr>
        <w:fldChar w:fldCharType="begin" w:fldLock="1"/>
      </w:r>
      <w:r w:rsidR="000150EF">
        <w:rPr>
          <w:sz w:val="24"/>
        </w:rPr>
        <w:instrText>ADDIN CSL_CITATION {"citationItems":[{"id":"ITEM-1","itemData":{"abstract":"programmes at all levels. To achieve this objective, GSS has over the years produced statistical data through censuses, sample surveys and administrative sources. The 2010 Population and Housing Census (PHC) is the fifth census to be undertaken in Ghana since independence in 1957. The immediate objective of the 2010 Census was to ensure the availability of demographic, housing and socio-economic bench-mark data at the national, regional, district and locality levels for planning.","author":[{"dropping-particle":"","family":"Ghana Statistical Service","given":"","non-dropping-particle":"","parse-names":false,"suffix":""}],"id":"ITEM-1","issued":{"date-parts":[["2014"]]},"number-of-pages":"409","publisher-place":"Accra, Ghana","title":"2010 POPULATION &amp; HOUSING CENSUS NATIONAL: NATIONAL ANALYTICAL REPORT","type":"report"},"uris":["http://www.mendeley.com/documents/?uuid=c17b3342-93eb-45de-8bab-59700f36a8c3"]}],"mendeley":{"formattedCitation":"[34]","plainTextFormattedCitation":"[34]","previouslyFormattedCitation":"[34]"},"properties":{"noteIndex":0},"schema":"https://github.com/citation-style-language/schema/raw/master/csl-citation.json"}</w:instrText>
      </w:r>
      <w:r w:rsidR="004E33CF">
        <w:rPr>
          <w:sz w:val="24"/>
        </w:rPr>
        <w:fldChar w:fldCharType="separate"/>
      </w:r>
      <w:r w:rsidR="00190437" w:rsidRPr="00190437">
        <w:rPr>
          <w:noProof/>
          <w:sz w:val="24"/>
        </w:rPr>
        <w:t>[34]</w:t>
      </w:r>
      <w:r w:rsidR="004E33CF">
        <w:rPr>
          <w:sz w:val="24"/>
        </w:rPr>
        <w:fldChar w:fldCharType="end"/>
      </w:r>
      <w:r w:rsidR="007500D3">
        <w:rPr>
          <w:sz w:val="24"/>
        </w:rPr>
        <w:t xml:space="preserve">. </w:t>
      </w:r>
      <w:r w:rsidR="007500D3" w:rsidRPr="007500D3">
        <w:rPr>
          <w:sz w:val="24"/>
        </w:rPr>
        <w:t xml:space="preserve">Within Winneba, </w:t>
      </w:r>
      <w:r w:rsidR="0022048A">
        <w:rPr>
          <w:sz w:val="24"/>
        </w:rPr>
        <w:t xml:space="preserve">the study </w:t>
      </w:r>
      <w:r w:rsidR="007500D3" w:rsidRPr="007500D3">
        <w:rPr>
          <w:sz w:val="24"/>
        </w:rPr>
        <w:t xml:space="preserve">focused specifically on </w:t>
      </w:r>
      <w:r w:rsidR="00CE060E">
        <w:rPr>
          <w:sz w:val="24"/>
        </w:rPr>
        <w:t>a</w:t>
      </w:r>
      <w:r w:rsidR="007500D3" w:rsidRPr="007500D3">
        <w:rPr>
          <w:sz w:val="24"/>
        </w:rPr>
        <w:t xml:space="preserve"> migrant fishing community, Akosua Village</w:t>
      </w:r>
      <w:r w:rsidR="00A71422">
        <w:rPr>
          <w:sz w:val="24"/>
        </w:rPr>
        <w:t xml:space="preserve"> (Table 1)</w:t>
      </w:r>
      <w:r w:rsidR="00286ABE">
        <w:rPr>
          <w:sz w:val="24"/>
        </w:rPr>
        <w:t>,</w:t>
      </w:r>
      <w:r w:rsidR="007500D3" w:rsidRPr="007500D3">
        <w:rPr>
          <w:sz w:val="24"/>
        </w:rPr>
        <w:t xml:space="preserve"> located </w:t>
      </w:r>
      <w:r w:rsidR="0019500E">
        <w:rPr>
          <w:sz w:val="24"/>
        </w:rPr>
        <w:t xml:space="preserve">on the shore between the </w:t>
      </w:r>
      <w:r w:rsidR="00D665FC">
        <w:rPr>
          <w:sz w:val="24"/>
        </w:rPr>
        <w:t>Gulf of Guinea</w:t>
      </w:r>
      <w:r w:rsidR="0019500E">
        <w:rPr>
          <w:sz w:val="24"/>
        </w:rPr>
        <w:t xml:space="preserve"> and the Muni lagoon which is </w:t>
      </w:r>
      <w:r w:rsidR="007500D3" w:rsidRPr="007500D3">
        <w:rPr>
          <w:sz w:val="24"/>
        </w:rPr>
        <w:t xml:space="preserve">designated </w:t>
      </w:r>
      <w:r w:rsidR="0019500E">
        <w:rPr>
          <w:sz w:val="24"/>
        </w:rPr>
        <w:t xml:space="preserve">as a </w:t>
      </w:r>
      <w:r w:rsidR="007500D3" w:rsidRPr="007500D3">
        <w:rPr>
          <w:sz w:val="24"/>
        </w:rPr>
        <w:t>Ramsar Site</w:t>
      </w:r>
      <w:r w:rsidR="00DB574A">
        <w:rPr>
          <w:sz w:val="24"/>
        </w:rPr>
        <w:t xml:space="preserve"> –</w:t>
      </w:r>
      <w:r w:rsidR="007500D3" w:rsidRPr="007500D3">
        <w:rPr>
          <w:sz w:val="24"/>
        </w:rPr>
        <w:t xml:space="preserve"> </w:t>
      </w:r>
      <w:r w:rsidR="00DB574A">
        <w:rPr>
          <w:sz w:val="24"/>
        </w:rPr>
        <w:t>the Muni-</w:t>
      </w:r>
      <w:proofErr w:type="spellStart"/>
      <w:r w:rsidR="00DB574A">
        <w:rPr>
          <w:sz w:val="24"/>
        </w:rPr>
        <w:t>Pomadze</w:t>
      </w:r>
      <w:proofErr w:type="spellEnd"/>
      <w:r w:rsidR="00DB574A">
        <w:rPr>
          <w:sz w:val="24"/>
        </w:rPr>
        <w:t xml:space="preserve"> </w:t>
      </w:r>
      <w:proofErr w:type="spellStart"/>
      <w:r w:rsidR="00DB574A">
        <w:rPr>
          <w:sz w:val="24"/>
        </w:rPr>
        <w:t>Ramsar</w:t>
      </w:r>
      <w:proofErr w:type="spellEnd"/>
      <w:r w:rsidR="00DB574A">
        <w:rPr>
          <w:sz w:val="24"/>
        </w:rPr>
        <w:t xml:space="preserve"> Site </w:t>
      </w:r>
      <w:r w:rsidR="007500D3" w:rsidRPr="007500D3">
        <w:rPr>
          <w:sz w:val="24"/>
        </w:rPr>
        <w:t>(MPRS).</w:t>
      </w:r>
      <w:r w:rsidR="0022048A" w:rsidRPr="0022048A">
        <w:t xml:space="preserve"> </w:t>
      </w:r>
      <w:r w:rsidR="0022048A" w:rsidRPr="0022048A">
        <w:rPr>
          <w:sz w:val="24"/>
        </w:rPr>
        <w:t xml:space="preserve">The </w:t>
      </w:r>
      <w:r w:rsidR="00DF20F4">
        <w:rPr>
          <w:sz w:val="24"/>
        </w:rPr>
        <w:t xml:space="preserve">Akosua </w:t>
      </w:r>
      <w:r w:rsidR="0022048A" w:rsidRPr="0022048A">
        <w:rPr>
          <w:sz w:val="24"/>
        </w:rPr>
        <w:t>community</w:t>
      </w:r>
      <w:r w:rsidR="00264B34">
        <w:rPr>
          <w:sz w:val="24"/>
        </w:rPr>
        <w:t xml:space="preserve"> migrated from the</w:t>
      </w:r>
      <w:r w:rsidR="00AF05E8">
        <w:rPr>
          <w:sz w:val="24"/>
        </w:rPr>
        <w:t xml:space="preserve"> Volta </w:t>
      </w:r>
      <w:r w:rsidR="009D1D8E">
        <w:rPr>
          <w:sz w:val="24"/>
        </w:rPr>
        <w:t>R</w:t>
      </w:r>
      <w:r w:rsidR="00AF05E8">
        <w:rPr>
          <w:sz w:val="24"/>
        </w:rPr>
        <w:t>egion on</w:t>
      </w:r>
      <w:r w:rsidR="00DF20F4">
        <w:rPr>
          <w:sz w:val="24"/>
        </w:rPr>
        <w:t xml:space="preserve"> the</w:t>
      </w:r>
      <w:r w:rsidR="00264B34">
        <w:rPr>
          <w:sz w:val="24"/>
        </w:rPr>
        <w:t xml:space="preserve"> </w:t>
      </w:r>
      <w:r w:rsidR="00D0763D">
        <w:rPr>
          <w:sz w:val="24"/>
        </w:rPr>
        <w:t>eastern coast of Ghana to</w:t>
      </w:r>
      <w:r w:rsidR="0022048A" w:rsidRPr="0022048A">
        <w:rPr>
          <w:sz w:val="24"/>
        </w:rPr>
        <w:t xml:space="preserve"> settle in the current location about a century ago </w:t>
      </w:r>
      <w:r w:rsidR="00E004F6">
        <w:rPr>
          <w:sz w:val="24"/>
        </w:rPr>
        <w:fldChar w:fldCharType="begin" w:fldLock="1"/>
      </w:r>
      <w:r w:rsidR="007C77C1">
        <w:rPr>
          <w:sz w:val="24"/>
        </w:rPr>
        <w:instrText>ADDIN CSL_CITATION {"citationItems":[{"id":"ITEM-1","itemData":{"DOI":"10.1007/s11852-015-0403-y","ISSN":"14000350","abstract":"Lagoon-wetland systems are common along low-lying coastlines. They provide rich species habitats, multiple ecosystem services and socio-economic activities. They are particularly susceptible to the impacts of sea level rise (SLR), especially in less developed countries (LDCs) where economic and development constraints limit adaptation. The Muni-Pomadze lagoon is one of five coastal Ramsar sites in Ghana and one of many along the country’s coastline. It is an intermittently closed lagoon with extreme seasonal hydrological and physico-chemical variation. Field observation, digital mapping and GIS analysis of the shoreline has enabled an understanding of coastal change and SLR at the lagoon. From 1972 to 2014 the high water mark has shifted landwards with an average retreat rate of 0.22 m/year. Evidence of erosion and sediment washover indicate loss of and a shift landward of the sand barrier separating the lagoon from the ocean. Creation of an inundation map for a one-meter rise of sea level reveals fragementation and breaching of the barrier and an increasingly permanent connection to the ocean. A more open lagoon system stabilises hydrological and physico-chemical conditions, leading to increases in biodiversity and aquatic productivity. The lagoon currently has no consideration of SLR in its management plan. The results of this analysis and the limited development of the Muni-Pomadze lagoon support a no intervention approach to coastal management that allows SLR to transform the closed lagoon to an open estuary. A similar approach at comparable coastal wetland systems in Ghana and in other LDCs could prove an effective management option. © 2015, Springer Science+Business Media Dordrecht.","author":[{"dropping-particle":"","family":"Davies-Vollum","given":"K. Siân","non-dropping-particle":"","parse-names":false,"suffix":""},{"dropping-particle":"","family":"West","given":"Matthew","non-dropping-particle":"","parse-names":false,"suffix":""}],"container-title":"Journal of Coastal Conservation","id":"ITEM-1","issue":"4","issued":{"date-parts":[["2015"]]},"page":"515-525","title":"Shoreline change and sea level rise at the Muni-Pomadze coastal wetland (Ramsar site), Ghana","type":"article-journal","volume":"19"},"uris":["http://www.mendeley.com/documents/?uuid=b19b4aec-c520-4510-ba0f-1050f1848f53"]}],"mendeley":{"formattedCitation":"[7]","plainTextFormattedCitation":"[7]","previouslyFormattedCitation":"[7]"},"properties":{"noteIndex":0},"schema":"https://github.com/citation-style-language/schema/raw/master/csl-citation.json"}</w:instrText>
      </w:r>
      <w:r w:rsidR="00E004F6">
        <w:rPr>
          <w:sz w:val="24"/>
        </w:rPr>
        <w:fldChar w:fldCharType="separate"/>
      </w:r>
      <w:r w:rsidR="009043E8" w:rsidRPr="009043E8">
        <w:rPr>
          <w:noProof/>
          <w:sz w:val="24"/>
        </w:rPr>
        <w:t>[7]</w:t>
      </w:r>
      <w:r w:rsidR="00E004F6">
        <w:rPr>
          <w:sz w:val="24"/>
        </w:rPr>
        <w:fldChar w:fldCharType="end"/>
      </w:r>
      <w:r w:rsidR="00E004F6">
        <w:rPr>
          <w:sz w:val="24"/>
        </w:rPr>
        <w:t>.</w:t>
      </w:r>
      <w:r w:rsidR="0022048A" w:rsidRPr="0022048A">
        <w:rPr>
          <w:sz w:val="24"/>
        </w:rPr>
        <w:t xml:space="preserve"> </w:t>
      </w:r>
      <w:r w:rsidR="0051054C" w:rsidRPr="0022048A">
        <w:rPr>
          <w:sz w:val="24"/>
        </w:rPr>
        <w:t xml:space="preserve">The </w:t>
      </w:r>
      <w:r w:rsidR="0051054C">
        <w:rPr>
          <w:sz w:val="24"/>
        </w:rPr>
        <w:t>economy of the community is based predominately on beach</w:t>
      </w:r>
      <w:r w:rsidR="002B385E">
        <w:rPr>
          <w:sz w:val="24"/>
        </w:rPr>
        <w:t xml:space="preserve"> </w:t>
      </w:r>
      <w:r w:rsidR="0051054C">
        <w:rPr>
          <w:sz w:val="24"/>
        </w:rPr>
        <w:t>sein</w:t>
      </w:r>
      <w:r w:rsidR="002B385E">
        <w:rPr>
          <w:sz w:val="24"/>
        </w:rPr>
        <w:t>in</w:t>
      </w:r>
      <w:r w:rsidR="0051054C">
        <w:rPr>
          <w:sz w:val="24"/>
        </w:rPr>
        <w:t>g by</w:t>
      </w:r>
      <w:r w:rsidR="0051054C" w:rsidRPr="0022048A">
        <w:rPr>
          <w:sz w:val="24"/>
        </w:rPr>
        <w:t xml:space="preserve"> men and fish mongering by women.</w:t>
      </w:r>
      <w:r w:rsidR="0051054C">
        <w:rPr>
          <w:sz w:val="24"/>
        </w:rPr>
        <w:t xml:space="preserve"> However, </w:t>
      </w:r>
      <w:r w:rsidR="00476D65">
        <w:rPr>
          <w:sz w:val="24"/>
        </w:rPr>
        <w:t>some</w:t>
      </w:r>
      <w:r w:rsidR="0051054C">
        <w:rPr>
          <w:sz w:val="24"/>
        </w:rPr>
        <w:t xml:space="preserve"> women engage in petty trading, and </w:t>
      </w:r>
      <w:r w:rsidR="00476D65">
        <w:rPr>
          <w:sz w:val="24"/>
        </w:rPr>
        <w:t>some</w:t>
      </w:r>
      <w:r w:rsidR="0051054C">
        <w:rPr>
          <w:sz w:val="24"/>
        </w:rPr>
        <w:t xml:space="preserve"> men engage in </w:t>
      </w:r>
      <w:r w:rsidR="00DB6DBE">
        <w:rPr>
          <w:sz w:val="24"/>
        </w:rPr>
        <w:t xml:space="preserve">artisanal and daily </w:t>
      </w:r>
      <w:r w:rsidR="0051054C">
        <w:rPr>
          <w:sz w:val="24"/>
        </w:rPr>
        <w:t xml:space="preserve">wage labour jobs </w:t>
      </w:r>
      <w:r w:rsidR="00476D65">
        <w:rPr>
          <w:sz w:val="24"/>
        </w:rPr>
        <w:t>within Winneba town.</w:t>
      </w:r>
      <w:r w:rsidR="0051054C">
        <w:rPr>
          <w:sz w:val="24"/>
        </w:rPr>
        <w:t xml:space="preserve"> Farming and livestock rearing are rarely practiced in this community due to the sandy and saline conditions of the land, which limits opportunities for alternative livelihood. Fishing crews are typically made up of the owner of the boat, outboard motor and net (</w:t>
      </w:r>
      <w:r w:rsidR="00DA3BFA">
        <w:rPr>
          <w:sz w:val="24"/>
        </w:rPr>
        <w:t xml:space="preserve">known as the </w:t>
      </w:r>
      <w:r w:rsidR="0051054C">
        <w:rPr>
          <w:sz w:val="24"/>
        </w:rPr>
        <w:t xml:space="preserve">net owner), </w:t>
      </w:r>
      <w:r w:rsidR="00DA3BFA">
        <w:rPr>
          <w:sz w:val="24"/>
        </w:rPr>
        <w:t xml:space="preserve">the net owner’s </w:t>
      </w:r>
      <w:r w:rsidR="0051054C">
        <w:rPr>
          <w:sz w:val="24"/>
        </w:rPr>
        <w:t xml:space="preserve">permanent employees (boat crew) and </w:t>
      </w:r>
      <w:r w:rsidR="00BF25C1">
        <w:rPr>
          <w:sz w:val="24"/>
        </w:rPr>
        <w:t>casual</w:t>
      </w:r>
      <w:r w:rsidR="0051054C">
        <w:rPr>
          <w:sz w:val="24"/>
        </w:rPr>
        <w:t xml:space="preserve"> </w:t>
      </w:r>
      <w:r w:rsidR="001A12FA">
        <w:rPr>
          <w:sz w:val="24"/>
        </w:rPr>
        <w:t>workers</w:t>
      </w:r>
      <w:r w:rsidR="0051054C">
        <w:rPr>
          <w:sz w:val="24"/>
        </w:rPr>
        <w:t xml:space="preserve">, and in some cases women, who </w:t>
      </w:r>
      <w:r w:rsidR="00995300">
        <w:rPr>
          <w:sz w:val="24"/>
        </w:rPr>
        <w:t>haul</w:t>
      </w:r>
      <w:r w:rsidR="0051054C">
        <w:rPr>
          <w:sz w:val="24"/>
        </w:rPr>
        <w:t xml:space="preserve"> the net to shore (net draggers). Th</w:t>
      </w:r>
      <w:r w:rsidR="007404E6">
        <w:rPr>
          <w:sz w:val="24"/>
        </w:rPr>
        <w:t xml:space="preserve">is </w:t>
      </w:r>
      <w:r w:rsidR="005F4090">
        <w:rPr>
          <w:sz w:val="24"/>
        </w:rPr>
        <w:t xml:space="preserve">crew </w:t>
      </w:r>
      <w:r w:rsidR="007404E6">
        <w:rPr>
          <w:sz w:val="24"/>
        </w:rPr>
        <w:t xml:space="preserve">hierarchy </w:t>
      </w:r>
      <w:r w:rsidR="007C352D">
        <w:rPr>
          <w:sz w:val="24"/>
        </w:rPr>
        <w:t>delineates</w:t>
      </w:r>
      <w:r w:rsidR="0051054C">
        <w:rPr>
          <w:sz w:val="24"/>
        </w:rPr>
        <w:t xml:space="preserve"> households’ economic class as </w:t>
      </w:r>
      <w:r w:rsidR="005652CD">
        <w:rPr>
          <w:sz w:val="24"/>
        </w:rPr>
        <w:t xml:space="preserve">profit is </w:t>
      </w:r>
      <w:r w:rsidR="00930A67">
        <w:rPr>
          <w:sz w:val="24"/>
        </w:rPr>
        <w:t xml:space="preserve">commonly </w:t>
      </w:r>
      <w:r w:rsidR="00D1273E">
        <w:rPr>
          <w:sz w:val="24"/>
        </w:rPr>
        <w:t xml:space="preserve">shared in the </w:t>
      </w:r>
      <w:r w:rsidR="0000359B">
        <w:rPr>
          <w:sz w:val="24"/>
        </w:rPr>
        <w:t xml:space="preserve">ratio 4:2:1 amongst </w:t>
      </w:r>
      <w:r w:rsidR="0051054C">
        <w:rPr>
          <w:sz w:val="24"/>
        </w:rPr>
        <w:t>the net owner</w:t>
      </w:r>
      <w:r w:rsidR="0000359B">
        <w:rPr>
          <w:sz w:val="24"/>
        </w:rPr>
        <w:t xml:space="preserve">, boat </w:t>
      </w:r>
      <w:r w:rsidR="0000359B">
        <w:rPr>
          <w:sz w:val="24"/>
        </w:rPr>
        <w:lastRenderedPageBreak/>
        <w:t xml:space="preserve">crew and </w:t>
      </w:r>
      <w:r w:rsidR="0051054C">
        <w:rPr>
          <w:sz w:val="24"/>
        </w:rPr>
        <w:t>net draggers</w:t>
      </w:r>
      <w:r w:rsidR="0000359B">
        <w:rPr>
          <w:sz w:val="24"/>
        </w:rPr>
        <w:t xml:space="preserve"> respectively</w:t>
      </w:r>
      <w:r w:rsidR="0051054C">
        <w:rPr>
          <w:sz w:val="24"/>
        </w:rPr>
        <w:t xml:space="preserve">. Crews range from about 12 – 35 depending on size of boat and net. The major fishing season starts from the end of the major </w:t>
      </w:r>
      <w:r w:rsidR="00F557F2">
        <w:rPr>
          <w:sz w:val="24"/>
        </w:rPr>
        <w:t>rainy</w:t>
      </w:r>
      <w:r w:rsidR="006C2D7D">
        <w:rPr>
          <w:sz w:val="24"/>
        </w:rPr>
        <w:t xml:space="preserve"> </w:t>
      </w:r>
      <w:r w:rsidR="0051054C">
        <w:rPr>
          <w:sz w:val="24"/>
        </w:rPr>
        <w:t>season (August) to its beginning the following year (April).</w:t>
      </w:r>
    </w:p>
    <w:p w14:paraId="593F28CD" w14:textId="77777777" w:rsidR="00417A66" w:rsidRDefault="00417A66" w:rsidP="00CE060E">
      <w:pPr>
        <w:spacing w:after="0"/>
        <w:jc w:val="both"/>
        <w:rPr>
          <w:sz w:val="24"/>
        </w:rPr>
      </w:pPr>
    </w:p>
    <w:p w14:paraId="670D2852" w14:textId="0F611EBE" w:rsidR="00D2580F" w:rsidRPr="00D2580F" w:rsidRDefault="00D2580F" w:rsidP="00A57933">
      <w:pPr>
        <w:pStyle w:val="Caption"/>
        <w:keepNext/>
        <w:spacing w:after="0"/>
        <w:rPr>
          <w:sz w:val="24"/>
        </w:rPr>
      </w:pPr>
      <w:r w:rsidRPr="00D2580F">
        <w:rPr>
          <w:sz w:val="24"/>
        </w:rPr>
        <w:t xml:space="preserve">Table </w:t>
      </w:r>
      <w:r w:rsidRPr="00D2580F">
        <w:rPr>
          <w:sz w:val="24"/>
        </w:rPr>
        <w:fldChar w:fldCharType="begin"/>
      </w:r>
      <w:r w:rsidRPr="00D2580F">
        <w:rPr>
          <w:sz w:val="24"/>
        </w:rPr>
        <w:instrText xml:space="preserve"> SEQ Table \* ARABIC </w:instrText>
      </w:r>
      <w:r w:rsidRPr="00D2580F">
        <w:rPr>
          <w:sz w:val="24"/>
        </w:rPr>
        <w:fldChar w:fldCharType="separate"/>
      </w:r>
      <w:r w:rsidR="001E46DE">
        <w:rPr>
          <w:noProof/>
          <w:sz w:val="24"/>
        </w:rPr>
        <w:t>1</w:t>
      </w:r>
      <w:r w:rsidRPr="00D2580F">
        <w:rPr>
          <w:sz w:val="24"/>
        </w:rPr>
        <w:fldChar w:fldCharType="end"/>
      </w:r>
      <w:r w:rsidRPr="00D2580F">
        <w:rPr>
          <w:sz w:val="24"/>
        </w:rPr>
        <w:t xml:space="preserve">: Key characteristics of </w:t>
      </w:r>
      <w:r w:rsidR="00A32C4C">
        <w:rPr>
          <w:sz w:val="24"/>
        </w:rPr>
        <w:t xml:space="preserve">the </w:t>
      </w:r>
      <w:r w:rsidRPr="00D2580F">
        <w:rPr>
          <w:sz w:val="24"/>
        </w:rPr>
        <w:t>study communit</w:t>
      </w:r>
      <w:r w:rsidR="00A32C4C">
        <w:rPr>
          <w:sz w:val="24"/>
        </w:rPr>
        <w:t>y</w:t>
      </w:r>
    </w:p>
    <w:tbl>
      <w:tblPr>
        <w:tblStyle w:val="ListTable2"/>
        <w:tblW w:w="6332" w:type="dxa"/>
        <w:tblLayout w:type="fixed"/>
        <w:tblLook w:val="04A0" w:firstRow="1" w:lastRow="0" w:firstColumn="1" w:lastColumn="0" w:noHBand="0" w:noVBand="1"/>
      </w:tblPr>
      <w:tblGrid>
        <w:gridCol w:w="3261"/>
        <w:gridCol w:w="2835"/>
        <w:gridCol w:w="230"/>
        <w:gridCol w:w="6"/>
      </w:tblGrid>
      <w:tr w:rsidR="00A53A8E" w:rsidRPr="00986A08" w14:paraId="511A4C03" w14:textId="77777777" w:rsidTr="00721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7ED0C88C" w14:textId="2CEAE4FF" w:rsidR="00A53A8E" w:rsidRPr="00986A08" w:rsidRDefault="00CE4BA4" w:rsidP="00721F30">
            <w:r>
              <w:t>Characteristic</w:t>
            </w:r>
          </w:p>
        </w:tc>
        <w:tc>
          <w:tcPr>
            <w:tcW w:w="2835" w:type="dxa"/>
            <w:shd w:val="clear" w:color="auto" w:fill="auto"/>
          </w:tcPr>
          <w:p w14:paraId="2AAA9F3E" w14:textId="4A5FCFCC" w:rsidR="00A53A8E" w:rsidRPr="00986A08" w:rsidRDefault="00AC425A" w:rsidP="00721F30">
            <w:pPr>
              <w:cnfStyle w:val="100000000000" w:firstRow="1" w:lastRow="0" w:firstColumn="0" w:lastColumn="0" w:oddVBand="0" w:evenVBand="0" w:oddHBand="0" w:evenHBand="0" w:firstRowFirstColumn="0" w:firstRowLastColumn="0" w:lastRowFirstColumn="0" w:lastRowLastColumn="0"/>
            </w:pPr>
            <w:r>
              <w:t>Description</w:t>
            </w:r>
          </w:p>
        </w:tc>
        <w:tc>
          <w:tcPr>
            <w:tcW w:w="236" w:type="dxa"/>
            <w:gridSpan w:val="2"/>
            <w:shd w:val="clear" w:color="auto" w:fill="auto"/>
          </w:tcPr>
          <w:p w14:paraId="6EABD514" w14:textId="77777777" w:rsidR="00A53A8E" w:rsidRPr="00986A08" w:rsidRDefault="00A53A8E" w:rsidP="00721F30">
            <w:pPr>
              <w:cnfStyle w:val="100000000000" w:firstRow="1" w:lastRow="0" w:firstColumn="0" w:lastColumn="0" w:oddVBand="0" w:evenVBand="0" w:oddHBand="0" w:evenHBand="0" w:firstRowFirstColumn="0" w:firstRowLastColumn="0" w:lastRowFirstColumn="0" w:lastRowLastColumn="0"/>
            </w:pPr>
          </w:p>
        </w:tc>
      </w:tr>
      <w:tr w:rsidR="00A53A8E" w:rsidRPr="00986A08" w14:paraId="3C3E1275" w14:textId="77777777" w:rsidTr="00721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auto"/>
          </w:tcPr>
          <w:p w14:paraId="14055E97" w14:textId="77777777" w:rsidR="00A53A8E" w:rsidRPr="00986A08" w:rsidRDefault="00A53A8E" w:rsidP="00721F30">
            <w:pPr>
              <w:rPr>
                <w:b w:val="0"/>
              </w:rPr>
            </w:pPr>
            <w:r w:rsidRPr="00986A08">
              <w:rPr>
                <w:b w:val="0"/>
              </w:rPr>
              <w:t>Population (2010 census)</w:t>
            </w:r>
          </w:p>
        </w:tc>
        <w:tc>
          <w:tcPr>
            <w:tcW w:w="2835" w:type="dxa"/>
            <w:tcBorders>
              <w:top w:val="nil"/>
              <w:bottom w:val="nil"/>
            </w:tcBorders>
            <w:shd w:val="clear" w:color="auto" w:fill="auto"/>
          </w:tcPr>
          <w:p w14:paraId="2D0A7D2E" w14:textId="77777777" w:rsidR="00A53A8E" w:rsidRPr="00986A08" w:rsidRDefault="00A53A8E" w:rsidP="00721F30">
            <w:pPr>
              <w:cnfStyle w:val="000000100000" w:firstRow="0" w:lastRow="0" w:firstColumn="0" w:lastColumn="0" w:oddVBand="0" w:evenVBand="0" w:oddHBand="1" w:evenHBand="0" w:firstRowFirstColumn="0" w:firstRowLastColumn="0" w:lastRowFirstColumn="0" w:lastRowLastColumn="0"/>
            </w:pPr>
            <w:r w:rsidRPr="00986A08">
              <w:t>568</w:t>
            </w:r>
          </w:p>
        </w:tc>
        <w:tc>
          <w:tcPr>
            <w:tcW w:w="236" w:type="dxa"/>
            <w:gridSpan w:val="2"/>
            <w:tcBorders>
              <w:top w:val="nil"/>
              <w:bottom w:val="nil"/>
            </w:tcBorders>
            <w:shd w:val="clear" w:color="auto" w:fill="auto"/>
          </w:tcPr>
          <w:p w14:paraId="06711BA4" w14:textId="77777777" w:rsidR="00A53A8E" w:rsidRPr="00986A08" w:rsidRDefault="00A53A8E" w:rsidP="00721F30">
            <w:pPr>
              <w:cnfStyle w:val="000000100000" w:firstRow="0" w:lastRow="0" w:firstColumn="0" w:lastColumn="0" w:oddVBand="0" w:evenVBand="0" w:oddHBand="1" w:evenHBand="0" w:firstRowFirstColumn="0" w:firstRowLastColumn="0" w:lastRowFirstColumn="0" w:lastRowLastColumn="0"/>
            </w:pPr>
          </w:p>
        </w:tc>
      </w:tr>
      <w:tr w:rsidR="00A53A8E" w:rsidRPr="00986A08" w14:paraId="247B906B" w14:textId="77777777" w:rsidTr="00721F30">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auto"/>
          </w:tcPr>
          <w:p w14:paraId="3456EEF7" w14:textId="77777777" w:rsidR="00A53A8E" w:rsidRPr="00986A08" w:rsidRDefault="00A53A8E" w:rsidP="00721F30">
            <w:pPr>
              <w:rPr>
                <w:b w:val="0"/>
              </w:rPr>
            </w:pPr>
            <w:r w:rsidRPr="00986A08">
              <w:rPr>
                <w:b w:val="0"/>
              </w:rPr>
              <w:t>Households</w:t>
            </w:r>
          </w:p>
        </w:tc>
        <w:tc>
          <w:tcPr>
            <w:tcW w:w="2835" w:type="dxa"/>
            <w:tcBorders>
              <w:top w:val="nil"/>
              <w:bottom w:val="nil"/>
            </w:tcBorders>
            <w:shd w:val="clear" w:color="auto" w:fill="auto"/>
          </w:tcPr>
          <w:p w14:paraId="061A591E" w14:textId="77777777" w:rsidR="00A53A8E" w:rsidRPr="00986A08" w:rsidRDefault="00A53A8E" w:rsidP="00721F30">
            <w:pPr>
              <w:cnfStyle w:val="000000000000" w:firstRow="0" w:lastRow="0" w:firstColumn="0" w:lastColumn="0" w:oddVBand="0" w:evenVBand="0" w:oddHBand="0" w:evenHBand="0" w:firstRowFirstColumn="0" w:firstRowLastColumn="0" w:lastRowFirstColumn="0" w:lastRowLastColumn="0"/>
            </w:pPr>
            <w:r w:rsidRPr="00986A08">
              <w:t>133</w:t>
            </w:r>
          </w:p>
        </w:tc>
        <w:tc>
          <w:tcPr>
            <w:tcW w:w="236" w:type="dxa"/>
            <w:gridSpan w:val="2"/>
            <w:tcBorders>
              <w:top w:val="nil"/>
              <w:bottom w:val="nil"/>
            </w:tcBorders>
            <w:shd w:val="clear" w:color="auto" w:fill="auto"/>
          </w:tcPr>
          <w:p w14:paraId="3BD99024" w14:textId="77777777" w:rsidR="00A53A8E" w:rsidRPr="00986A08" w:rsidRDefault="00A53A8E" w:rsidP="00721F30">
            <w:pPr>
              <w:cnfStyle w:val="000000000000" w:firstRow="0" w:lastRow="0" w:firstColumn="0" w:lastColumn="0" w:oddVBand="0" w:evenVBand="0" w:oddHBand="0" w:evenHBand="0" w:firstRowFirstColumn="0" w:firstRowLastColumn="0" w:lastRowFirstColumn="0" w:lastRowLastColumn="0"/>
            </w:pPr>
          </w:p>
        </w:tc>
      </w:tr>
      <w:tr w:rsidR="00A53A8E" w:rsidRPr="00986A08" w14:paraId="7F255CEE" w14:textId="77777777" w:rsidTr="00721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auto"/>
          </w:tcPr>
          <w:p w14:paraId="33601C75" w14:textId="77777777" w:rsidR="00A53A8E" w:rsidRPr="00986A08" w:rsidRDefault="00A53A8E" w:rsidP="00721F30">
            <w:pPr>
              <w:rPr>
                <w:b w:val="0"/>
              </w:rPr>
            </w:pPr>
            <w:r>
              <w:rPr>
                <w:b w:val="0"/>
              </w:rPr>
              <w:t>Ethnicity</w:t>
            </w:r>
          </w:p>
        </w:tc>
        <w:tc>
          <w:tcPr>
            <w:tcW w:w="2835" w:type="dxa"/>
            <w:tcBorders>
              <w:top w:val="nil"/>
              <w:bottom w:val="nil"/>
            </w:tcBorders>
            <w:shd w:val="clear" w:color="auto" w:fill="auto"/>
          </w:tcPr>
          <w:p w14:paraId="09308834" w14:textId="77777777" w:rsidR="00A53A8E" w:rsidRPr="00986A08" w:rsidRDefault="00A53A8E" w:rsidP="00721F30">
            <w:pPr>
              <w:cnfStyle w:val="000000100000" w:firstRow="0" w:lastRow="0" w:firstColumn="0" w:lastColumn="0" w:oddVBand="0" w:evenVBand="0" w:oddHBand="1" w:evenHBand="0" w:firstRowFirstColumn="0" w:firstRowLastColumn="0" w:lastRowFirstColumn="0" w:lastRowLastColumn="0"/>
            </w:pPr>
            <w:r>
              <w:t>Migrant (Ewe tribe)</w:t>
            </w:r>
          </w:p>
        </w:tc>
        <w:tc>
          <w:tcPr>
            <w:tcW w:w="236" w:type="dxa"/>
            <w:gridSpan w:val="2"/>
            <w:tcBorders>
              <w:top w:val="nil"/>
              <w:bottom w:val="nil"/>
            </w:tcBorders>
            <w:shd w:val="clear" w:color="auto" w:fill="auto"/>
          </w:tcPr>
          <w:p w14:paraId="25E5E23F" w14:textId="77777777" w:rsidR="00A53A8E" w:rsidRPr="00986A08" w:rsidRDefault="00A53A8E" w:rsidP="00721F30">
            <w:pPr>
              <w:cnfStyle w:val="000000100000" w:firstRow="0" w:lastRow="0" w:firstColumn="0" w:lastColumn="0" w:oddVBand="0" w:evenVBand="0" w:oddHBand="1" w:evenHBand="0" w:firstRowFirstColumn="0" w:firstRowLastColumn="0" w:lastRowFirstColumn="0" w:lastRowLastColumn="0"/>
            </w:pPr>
          </w:p>
        </w:tc>
      </w:tr>
      <w:tr w:rsidR="00A53A8E" w:rsidRPr="00986A08" w14:paraId="08D7B5F5" w14:textId="77777777" w:rsidTr="00721F30">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auto"/>
          </w:tcPr>
          <w:p w14:paraId="576B12B1" w14:textId="77777777" w:rsidR="00A53A8E" w:rsidRDefault="00A53A8E" w:rsidP="00721F30">
            <w:pPr>
              <w:rPr>
                <w:b w:val="0"/>
              </w:rPr>
            </w:pPr>
            <w:r>
              <w:rPr>
                <w:b w:val="0"/>
              </w:rPr>
              <w:t xml:space="preserve">Major occupation </w:t>
            </w:r>
          </w:p>
        </w:tc>
        <w:tc>
          <w:tcPr>
            <w:tcW w:w="2835" w:type="dxa"/>
            <w:tcBorders>
              <w:top w:val="nil"/>
              <w:bottom w:val="nil"/>
            </w:tcBorders>
            <w:shd w:val="clear" w:color="auto" w:fill="auto"/>
          </w:tcPr>
          <w:p w14:paraId="41B8F06F" w14:textId="77777777" w:rsidR="00A53A8E" w:rsidRDefault="00A53A8E" w:rsidP="00721F30">
            <w:pPr>
              <w:cnfStyle w:val="000000000000" w:firstRow="0" w:lastRow="0" w:firstColumn="0" w:lastColumn="0" w:oddVBand="0" w:evenVBand="0" w:oddHBand="0" w:evenHBand="0" w:firstRowFirstColumn="0" w:firstRowLastColumn="0" w:lastRowFirstColumn="0" w:lastRowLastColumn="0"/>
            </w:pPr>
            <w:r>
              <w:t>Beach sein</w:t>
            </w:r>
            <w:r w:rsidR="00A57933">
              <w:t>e fishing</w:t>
            </w:r>
          </w:p>
        </w:tc>
        <w:tc>
          <w:tcPr>
            <w:tcW w:w="236" w:type="dxa"/>
            <w:gridSpan w:val="2"/>
            <w:tcBorders>
              <w:top w:val="nil"/>
              <w:bottom w:val="nil"/>
            </w:tcBorders>
            <w:shd w:val="clear" w:color="auto" w:fill="auto"/>
          </w:tcPr>
          <w:p w14:paraId="6EECADE2" w14:textId="77777777" w:rsidR="00A53A8E" w:rsidRDefault="00A53A8E" w:rsidP="00721F30">
            <w:pPr>
              <w:cnfStyle w:val="000000000000" w:firstRow="0" w:lastRow="0" w:firstColumn="0" w:lastColumn="0" w:oddVBand="0" w:evenVBand="0" w:oddHBand="0" w:evenHBand="0" w:firstRowFirstColumn="0" w:firstRowLastColumn="0" w:lastRowFirstColumn="0" w:lastRowLastColumn="0"/>
            </w:pPr>
          </w:p>
        </w:tc>
      </w:tr>
      <w:tr w:rsidR="00A53A8E" w:rsidRPr="00986A08" w14:paraId="11C97CF5" w14:textId="77777777" w:rsidTr="00721F30">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6326" w:type="dxa"/>
            <w:gridSpan w:val="3"/>
            <w:tcBorders>
              <w:top w:val="nil"/>
              <w:bottom w:val="nil"/>
            </w:tcBorders>
            <w:shd w:val="clear" w:color="auto" w:fill="auto"/>
          </w:tcPr>
          <w:p w14:paraId="566C3F69" w14:textId="77777777" w:rsidR="00A53A8E" w:rsidRPr="00D12CB0" w:rsidRDefault="00A53A8E" w:rsidP="00721F30">
            <w:pPr>
              <w:rPr>
                <w:b w:val="0"/>
              </w:rPr>
            </w:pPr>
            <w:r w:rsidRPr="00D12CB0">
              <w:rPr>
                <w:b w:val="0"/>
              </w:rPr>
              <w:t>Annual rainfall (mm/year)</w:t>
            </w:r>
          </w:p>
        </w:tc>
      </w:tr>
      <w:tr w:rsidR="00A53A8E" w:rsidRPr="00986A08" w14:paraId="524FCEBB" w14:textId="77777777" w:rsidTr="00721F30">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auto"/>
          </w:tcPr>
          <w:p w14:paraId="79CB865C" w14:textId="77777777" w:rsidR="00A53A8E" w:rsidRPr="00143717" w:rsidRDefault="00A53A8E" w:rsidP="00721F30">
            <w:pPr>
              <w:ind w:left="609"/>
              <w:rPr>
                <w:b w:val="0"/>
                <w:i/>
              </w:rPr>
            </w:pPr>
            <w:r>
              <w:rPr>
                <w:b w:val="0"/>
                <w:i/>
              </w:rPr>
              <w:t>GSS</w:t>
            </w:r>
          </w:p>
        </w:tc>
        <w:tc>
          <w:tcPr>
            <w:tcW w:w="2835" w:type="dxa"/>
            <w:tcBorders>
              <w:top w:val="nil"/>
              <w:bottom w:val="nil"/>
            </w:tcBorders>
            <w:shd w:val="clear" w:color="auto" w:fill="auto"/>
          </w:tcPr>
          <w:p w14:paraId="0FEE82F1" w14:textId="77777777" w:rsidR="00A53A8E" w:rsidRPr="00986A08" w:rsidRDefault="00A53A8E" w:rsidP="00721F30">
            <w:pPr>
              <w:cnfStyle w:val="000000000000" w:firstRow="0" w:lastRow="0" w:firstColumn="0" w:lastColumn="0" w:oddVBand="0" w:evenVBand="0" w:oddHBand="0" w:evenHBand="0" w:firstRowFirstColumn="0" w:firstRowLastColumn="0" w:lastRowFirstColumn="0" w:lastRowLastColumn="0"/>
            </w:pPr>
            <w:r>
              <w:t>400 - 500</w:t>
            </w:r>
          </w:p>
        </w:tc>
        <w:tc>
          <w:tcPr>
            <w:tcW w:w="236" w:type="dxa"/>
            <w:gridSpan w:val="2"/>
            <w:tcBorders>
              <w:top w:val="nil"/>
              <w:bottom w:val="nil"/>
            </w:tcBorders>
            <w:shd w:val="clear" w:color="auto" w:fill="auto"/>
          </w:tcPr>
          <w:p w14:paraId="4C22136B" w14:textId="77777777" w:rsidR="00A53A8E" w:rsidRPr="00986A08" w:rsidRDefault="00A53A8E" w:rsidP="00721F30">
            <w:pPr>
              <w:cnfStyle w:val="000000000000" w:firstRow="0" w:lastRow="0" w:firstColumn="0" w:lastColumn="0" w:oddVBand="0" w:evenVBand="0" w:oddHBand="0" w:evenHBand="0" w:firstRowFirstColumn="0" w:firstRowLastColumn="0" w:lastRowFirstColumn="0" w:lastRowLastColumn="0"/>
            </w:pPr>
          </w:p>
        </w:tc>
      </w:tr>
      <w:tr w:rsidR="00A53A8E" w:rsidRPr="00986A08" w14:paraId="4B789402" w14:textId="77777777" w:rsidTr="00721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auto"/>
          </w:tcPr>
          <w:p w14:paraId="5ABAB41F" w14:textId="77777777" w:rsidR="00A53A8E" w:rsidRPr="00143717" w:rsidRDefault="00A53A8E" w:rsidP="00721F30">
            <w:pPr>
              <w:ind w:left="609"/>
              <w:rPr>
                <w:b w:val="0"/>
                <w:i/>
              </w:rPr>
            </w:pPr>
            <w:r>
              <w:rPr>
                <w:b w:val="0"/>
                <w:i/>
              </w:rPr>
              <w:t>Climate-data</w:t>
            </w:r>
          </w:p>
        </w:tc>
        <w:tc>
          <w:tcPr>
            <w:tcW w:w="2835" w:type="dxa"/>
            <w:tcBorders>
              <w:top w:val="nil"/>
              <w:bottom w:val="nil"/>
            </w:tcBorders>
            <w:shd w:val="clear" w:color="auto" w:fill="auto"/>
          </w:tcPr>
          <w:p w14:paraId="479D0172" w14:textId="77777777" w:rsidR="00A53A8E" w:rsidRDefault="00A53A8E" w:rsidP="00721F30">
            <w:pPr>
              <w:cnfStyle w:val="000000100000" w:firstRow="0" w:lastRow="0" w:firstColumn="0" w:lastColumn="0" w:oddVBand="0" w:evenVBand="0" w:oddHBand="1" w:evenHBand="0" w:firstRowFirstColumn="0" w:firstRowLastColumn="0" w:lastRowFirstColumn="0" w:lastRowLastColumn="0"/>
            </w:pPr>
            <w:r w:rsidRPr="00986A08">
              <w:t xml:space="preserve">1046.0 (1982 – 2012) </w:t>
            </w:r>
          </w:p>
        </w:tc>
        <w:tc>
          <w:tcPr>
            <w:tcW w:w="236" w:type="dxa"/>
            <w:gridSpan w:val="2"/>
            <w:tcBorders>
              <w:top w:val="nil"/>
              <w:bottom w:val="nil"/>
            </w:tcBorders>
            <w:shd w:val="clear" w:color="auto" w:fill="auto"/>
          </w:tcPr>
          <w:p w14:paraId="6D4D59BD" w14:textId="77777777" w:rsidR="00A53A8E" w:rsidRPr="00986A08" w:rsidRDefault="00A53A8E" w:rsidP="00721F30">
            <w:pPr>
              <w:cnfStyle w:val="000000100000" w:firstRow="0" w:lastRow="0" w:firstColumn="0" w:lastColumn="0" w:oddVBand="0" w:evenVBand="0" w:oddHBand="1" w:evenHBand="0" w:firstRowFirstColumn="0" w:firstRowLastColumn="0" w:lastRowFirstColumn="0" w:lastRowLastColumn="0"/>
            </w:pPr>
          </w:p>
        </w:tc>
      </w:tr>
      <w:tr w:rsidR="00A53A8E" w:rsidRPr="00986A08" w14:paraId="159EB47D" w14:textId="77777777" w:rsidTr="00721F30">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auto"/>
          </w:tcPr>
          <w:p w14:paraId="6BD2DD60" w14:textId="77777777" w:rsidR="00A53A8E" w:rsidRPr="00986A08" w:rsidRDefault="00A53A8E" w:rsidP="00721F30">
            <w:pPr>
              <w:ind w:left="609"/>
              <w:rPr>
                <w:b w:val="0"/>
                <w:i/>
              </w:rPr>
            </w:pPr>
            <w:proofErr w:type="spellStart"/>
            <w:r w:rsidRPr="00986A08">
              <w:rPr>
                <w:b w:val="0"/>
                <w:i/>
              </w:rPr>
              <w:t>GMet</w:t>
            </w:r>
            <w:proofErr w:type="spellEnd"/>
          </w:p>
        </w:tc>
        <w:tc>
          <w:tcPr>
            <w:tcW w:w="2835" w:type="dxa"/>
            <w:tcBorders>
              <w:top w:val="nil"/>
              <w:bottom w:val="nil"/>
            </w:tcBorders>
            <w:shd w:val="clear" w:color="auto" w:fill="auto"/>
          </w:tcPr>
          <w:p w14:paraId="1383A51D" w14:textId="77777777" w:rsidR="00A53A8E" w:rsidRPr="00986A08" w:rsidRDefault="00A53A8E" w:rsidP="00721F30">
            <w:pPr>
              <w:cnfStyle w:val="000000000000" w:firstRow="0" w:lastRow="0" w:firstColumn="0" w:lastColumn="0" w:oddVBand="0" w:evenVBand="0" w:oddHBand="0" w:evenHBand="0" w:firstRowFirstColumn="0" w:firstRowLastColumn="0" w:lastRowFirstColumn="0" w:lastRowLastColumn="0"/>
            </w:pPr>
            <w:r w:rsidRPr="00986A08">
              <w:t>834.3 (1989 – 2018)</w:t>
            </w:r>
          </w:p>
        </w:tc>
        <w:tc>
          <w:tcPr>
            <w:tcW w:w="236" w:type="dxa"/>
            <w:gridSpan w:val="2"/>
            <w:tcBorders>
              <w:top w:val="nil"/>
              <w:bottom w:val="nil"/>
            </w:tcBorders>
            <w:shd w:val="clear" w:color="auto" w:fill="auto"/>
          </w:tcPr>
          <w:p w14:paraId="3C61F91D" w14:textId="77777777" w:rsidR="00A53A8E" w:rsidRPr="00986A08" w:rsidRDefault="00A53A8E" w:rsidP="00721F30">
            <w:pPr>
              <w:cnfStyle w:val="000000000000" w:firstRow="0" w:lastRow="0" w:firstColumn="0" w:lastColumn="0" w:oddVBand="0" w:evenVBand="0" w:oddHBand="0" w:evenHBand="0" w:firstRowFirstColumn="0" w:firstRowLastColumn="0" w:lastRowFirstColumn="0" w:lastRowLastColumn="0"/>
            </w:pPr>
          </w:p>
        </w:tc>
      </w:tr>
      <w:tr w:rsidR="00A53A8E" w:rsidRPr="00986A08" w14:paraId="5BEC1E6B" w14:textId="77777777" w:rsidTr="00721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auto"/>
          </w:tcPr>
          <w:p w14:paraId="054F2583" w14:textId="77777777" w:rsidR="00A53A8E" w:rsidRPr="00986A08" w:rsidRDefault="00A53A8E" w:rsidP="00721F30">
            <w:pPr>
              <w:rPr>
                <w:b w:val="0"/>
              </w:rPr>
            </w:pPr>
            <w:r w:rsidRPr="00986A08">
              <w:rPr>
                <w:b w:val="0"/>
              </w:rPr>
              <w:t>Major f</w:t>
            </w:r>
            <w:r>
              <w:rPr>
                <w:b w:val="0"/>
              </w:rPr>
              <w:t>ishing</w:t>
            </w:r>
            <w:r w:rsidRPr="00986A08">
              <w:rPr>
                <w:b w:val="0"/>
              </w:rPr>
              <w:t xml:space="preserve"> season</w:t>
            </w:r>
          </w:p>
        </w:tc>
        <w:tc>
          <w:tcPr>
            <w:tcW w:w="2835" w:type="dxa"/>
            <w:tcBorders>
              <w:top w:val="nil"/>
              <w:bottom w:val="nil"/>
            </w:tcBorders>
            <w:shd w:val="clear" w:color="auto" w:fill="auto"/>
          </w:tcPr>
          <w:p w14:paraId="485EBBA6" w14:textId="77777777" w:rsidR="00A53A8E" w:rsidRPr="00986A08" w:rsidRDefault="00A53A8E" w:rsidP="00721F30">
            <w:pPr>
              <w:cnfStyle w:val="000000100000" w:firstRow="0" w:lastRow="0" w:firstColumn="0" w:lastColumn="0" w:oddVBand="0" w:evenVBand="0" w:oddHBand="1" w:evenHBand="0" w:firstRowFirstColumn="0" w:firstRowLastColumn="0" w:lastRowFirstColumn="0" w:lastRowLastColumn="0"/>
            </w:pPr>
            <w:r w:rsidRPr="00986A08">
              <w:t>August – April (9 months)</w:t>
            </w:r>
          </w:p>
        </w:tc>
        <w:tc>
          <w:tcPr>
            <w:tcW w:w="236" w:type="dxa"/>
            <w:gridSpan w:val="2"/>
            <w:tcBorders>
              <w:top w:val="nil"/>
              <w:bottom w:val="nil"/>
            </w:tcBorders>
            <w:shd w:val="clear" w:color="auto" w:fill="auto"/>
          </w:tcPr>
          <w:p w14:paraId="7551BDD2" w14:textId="77777777" w:rsidR="00A53A8E" w:rsidRPr="00986A08" w:rsidRDefault="00A53A8E" w:rsidP="00721F30">
            <w:pPr>
              <w:cnfStyle w:val="000000100000" w:firstRow="0" w:lastRow="0" w:firstColumn="0" w:lastColumn="0" w:oddVBand="0" w:evenVBand="0" w:oddHBand="1" w:evenHBand="0" w:firstRowFirstColumn="0" w:firstRowLastColumn="0" w:lastRowFirstColumn="0" w:lastRowLastColumn="0"/>
            </w:pPr>
          </w:p>
        </w:tc>
      </w:tr>
      <w:tr w:rsidR="00A53A8E" w:rsidRPr="00986A08" w14:paraId="632B7AD7" w14:textId="77777777" w:rsidTr="00721F30">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auto"/>
          </w:tcPr>
          <w:p w14:paraId="0C57D5E7" w14:textId="77777777" w:rsidR="00A53A8E" w:rsidRPr="00986A08" w:rsidRDefault="00A53A8E" w:rsidP="00721F30">
            <w:pPr>
              <w:rPr>
                <w:b w:val="0"/>
              </w:rPr>
            </w:pPr>
            <w:r w:rsidRPr="00986A08">
              <w:rPr>
                <w:b w:val="0"/>
              </w:rPr>
              <w:t>Minor f</w:t>
            </w:r>
            <w:r>
              <w:rPr>
                <w:b w:val="0"/>
              </w:rPr>
              <w:t>ishing</w:t>
            </w:r>
            <w:r w:rsidRPr="00986A08">
              <w:rPr>
                <w:b w:val="0"/>
              </w:rPr>
              <w:t xml:space="preserve"> season</w:t>
            </w:r>
          </w:p>
        </w:tc>
        <w:tc>
          <w:tcPr>
            <w:tcW w:w="2835" w:type="dxa"/>
            <w:tcBorders>
              <w:top w:val="nil"/>
              <w:bottom w:val="nil"/>
            </w:tcBorders>
            <w:shd w:val="clear" w:color="auto" w:fill="auto"/>
          </w:tcPr>
          <w:p w14:paraId="20B5A908" w14:textId="77777777" w:rsidR="00A53A8E" w:rsidRPr="00986A08" w:rsidRDefault="00A53A8E" w:rsidP="00721F30">
            <w:pPr>
              <w:cnfStyle w:val="000000000000" w:firstRow="0" w:lastRow="0" w:firstColumn="0" w:lastColumn="0" w:oddVBand="0" w:evenVBand="0" w:oddHBand="0" w:evenHBand="0" w:firstRowFirstColumn="0" w:firstRowLastColumn="0" w:lastRowFirstColumn="0" w:lastRowLastColumn="0"/>
            </w:pPr>
            <w:r w:rsidRPr="00986A08">
              <w:t>May – July (3 months)</w:t>
            </w:r>
          </w:p>
        </w:tc>
        <w:tc>
          <w:tcPr>
            <w:tcW w:w="236" w:type="dxa"/>
            <w:gridSpan w:val="2"/>
            <w:tcBorders>
              <w:top w:val="nil"/>
              <w:bottom w:val="nil"/>
            </w:tcBorders>
            <w:shd w:val="clear" w:color="auto" w:fill="auto"/>
          </w:tcPr>
          <w:p w14:paraId="74224E87" w14:textId="77777777" w:rsidR="00A53A8E" w:rsidRPr="00986A08" w:rsidRDefault="00A53A8E" w:rsidP="00721F30">
            <w:pPr>
              <w:cnfStyle w:val="000000000000" w:firstRow="0" w:lastRow="0" w:firstColumn="0" w:lastColumn="0" w:oddVBand="0" w:evenVBand="0" w:oddHBand="0" w:evenHBand="0" w:firstRowFirstColumn="0" w:firstRowLastColumn="0" w:lastRowFirstColumn="0" w:lastRowLastColumn="0"/>
            </w:pPr>
          </w:p>
        </w:tc>
      </w:tr>
      <w:tr w:rsidR="00A53A8E" w:rsidRPr="00986A08" w14:paraId="3A64DF7F" w14:textId="77777777" w:rsidTr="00721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auto"/>
          </w:tcPr>
          <w:p w14:paraId="53BD8B4D" w14:textId="77777777" w:rsidR="00A53A8E" w:rsidRPr="00986A08" w:rsidRDefault="00A53A8E" w:rsidP="00721F30">
            <w:pPr>
              <w:rPr>
                <w:b w:val="0"/>
              </w:rPr>
            </w:pPr>
            <w:r w:rsidRPr="00986A08">
              <w:rPr>
                <w:b w:val="0"/>
              </w:rPr>
              <w:t xml:space="preserve">Distance to </w:t>
            </w:r>
            <w:r w:rsidRPr="001975EC">
              <w:rPr>
                <w:b w:val="0"/>
              </w:rPr>
              <w:t>market</w:t>
            </w:r>
          </w:p>
        </w:tc>
        <w:tc>
          <w:tcPr>
            <w:tcW w:w="2835" w:type="dxa"/>
            <w:tcBorders>
              <w:top w:val="nil"/>
              <w:bottom w:val="nil"/>
            </w:tcBorders>
            <w:shd w:val="clear" w:color="auto" w:fill="auto"/>
          </w:tcPr>
          <w:p w14:paraId="2995F938" w14:textId="77777777" w:rsidR="00A53A8E" w:rsidRPr="00986A08" w:rsidRDefault="00A53A8E" w:rsidP="00721F30">
            <w:pPr>
              <w:cnfStyle w:val="000000100000" w:firstRow="0" w:lastRow="0" w:firstColumn="0" w:lastColumn="0" w:oddVBand="0" w:evenVBand="0" w:oddHBand="1" w:evenHBand="0" w:firstRowFirstColumn="0" w:firstRowLastColumn="0" w:lastRowFirstColumn="0" w:lastRowLastColumn="0"/>
            </w:pPr>
            <w:r w:rsidRPr="001975EC">
              <w:t>2.4</w:t>
            </w:r>
            <w:r>
              <w:t xml:space="preserve"> </w:t>
            </w:r>
            <w:r w:rsidRPr="001975EC">
              <w:t>km</w:t>
            </w:r>
          </w:p>
        </w:tc>
        <w:tc>
          <w:tcPr>
            <w:tcW w:w="236" w:type="dxa"/>
            <w:gridSpan w:val="2"/>
            <w:tcBorders>
              <w:top w:val="nil"/>
              <w:bottom w:val="nil"/>
            </w:tcBorders>
            <w:shd w:val="clear" w:color="auto" w:fill="auto"/>
          </w:tcPr>
          <w:p w14:paraId="79869090" w14:textId="77777777" w:rsidR="00A53A8E" w:rsidRPr="00986A08" w:rsidRDefault="00A53A8E" w:rsidP="00721F30">
            <w:pPr>
              <w:cnfStyle w:val="000000100000" w:firstRow="0" w:lastRow="0" w:firstColumn="0" w:lastColumn="0" w:oddVBand="0" w:evenVBand="0" w:oddHBand="1" w:evenHBand="0" w:firstRowFirstColumn="0" w:firstRowLastColumn="0" w:lastRowFirstColumn="0" w:lastRowLastColumn="0"/>
            </w:pPr>
          </w:p>
        </w:tc>
      </w:tr>
      <w:tr w:rsidR="00A53A8E" w:rsidRPr="00986A08" w14:paraId="5B0B9CBD" w14:textId="77777777" w:rsidTr="00721F30">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auto"/>
          </w:tcPr>
          <w:p w14:paraId="4ADED64A" w14:textId="77777777" w:rsidR="00A53A8E" w:rsidRPr="00986A08" w:rsidRDefault="00A53A8E" w:rsidP="00721F30">
            <w:pPr>
              <w:rPr>
                <w:b w:val="0"/>
              </w:rPr>
            </w:pPr>
            <w:r>
              <w:rPr>
                <w:b w:val="0"/>
              </w:rPr>
              <w:t>Distance to Hospital</w:t>
            </w:r>
          </w:p>
        </w:tc>
        <w:tc>
          <w:tcPr>
            <w:tcW w:w="2835" w:type="dxa"/>
            <w:tcBorders>
              <w:top w:val="nil"/>
              <w:bottom w:val="nil"/>
            </w:tcBorders>
            <w:shd w:val="clear" w:color="auto" w:fill="auto"/>
          </w:tcPr>
          <w:p w14:paraId="61CFB5D7" w14:textId="77777777" w:rsidR="00A53A8E" w:rsidRPr="001975EC" w:rsidRDefault="00A53A8E" w:rsidP="00721F30">
            <w:pPr>
              <w:cnfStyle w:val="000000000000" w:firstRow="0" w:lastRow="0" w:firstColumn="0" w:lastColumn="0" w:oddVBand="0" w:evenVBand="0" w:oddHBand="0" w:evenHBand="0" w:firstRowFirstColumn="0" w:firstRowLastColumn="0" w:lastRowFirstColumn="0" w:lastRowLastColumn="0"/>
            </w:pPr>
            <w:r>
              <w:t>2.3 km</w:t>
            </w:r>
          </w:p>
        </w:tc>
        <w:tc>
          <w:tcPr>
            <w:tcW w:w="236" w:type="dxa"/>
            <w:gridSpan w:val="2"/>
            <w:tcBorders>
              <w:top w:val="nil"/>
              <w:bottom w:val="nil"/>
            </w:tcBorders>
            <w:shd w:val="clear" w:color="auto" w:fill="auto"/>
          </w:tcPr>
          <w:p w14:paraId="787FD497" w14:textId="77777777" w:rsidR="00A53A8E" w:rsidRPr="001975EC" w:rsidRDefault="00A53A8E" w:rsidP="00721F30">
            <w:pPr>
              <w:cnfStyle w:val="000000000000" w:firstRow="0" w:lastRow="0" w:firstColumn="0" w:lastColumn="0" w:oddVBand="0" w:evenVBand="0" w:oddHBand="0" w:evenHBand="0" w:firstRowFirstColumn="0" w:firstRowLastColumn="0" w:lastRowFirstColumn="0" w:lastRowLastColumn="0"/>
            </w:pPr>
          </w:p>
        </w:tc>
      </w:tr>
      <w:tr w:rsidR="00A53A8E" w:rsidRPr="00986A08" w14:paraId="55E1B6FC" w14:textId="77777777" w:rsidTr="00721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auto"/>
          </w:tcPr>
          <w:p w14:paraId="6788F079" w14:textId="77777777" w:rsidR="00A53A8E" w:rsidRPr="00986A08" w:rsidRDefault="00A53A8E" w:rsidP="00721F30">
            <w:pPr>
              <w:rPr>
                <w:b w:val="0"/>
              </w:rPr>
            </w:pPr>
            <w:r w:rsidRPr="00986A08">
              <w:rPr>
                <w:b w:val="0"/>
              </w:rPr>
              <w:t xml:space="preserve">Electricity </w:t>
            </w:r>
          </w:p>
        </w:tc>
        <w:tc>
          <w:tcPr>
            <w:tcW w:w="2835" w:type="dxa"/>
            <w:tcBorders>
              <w:top w:val="nil"/>
              <w:bottom w:val="nil"/>
            </w:tcBorders>
            <w:shd w:val="clear" w:color="auto" w:fill="auto"/>
          </w:tcPr>
          <w:p w14:paraId="0B7E4ECB" w14:textId="77777777" w:rsidR="00A53A8E" w:rsidRPr="00986A08" w:rsidRDefault="00A53A8E" w:rsidP="00721F30">
            <w:pPr>
              <w:cnfStyle w:val="000000100000" w:firstRow="0" w:lastRow="0" w:firstColumn="0" w:lastColumn="0" w:oddVBand="0" w:evenVBand="0" w:oddHBand="1" w:evenHBand="0" w:firstRowFirstColumn="0" w:firstRowLastColumn="0" w:lastRowFirstColumn="0" w:lastRowLastColumn="0"/>
            </w:pPr>
            <w:r w:rsidRPr="00986A08">
              <w:t>Yes</w:t>
            </w:r>
            <w:r>
              <w:t xml:space="preserve"> (partially)</w:t>
            </w:r>
          </w:p>
        </w:tc>
        <w:tc>
          <w:tcPr>
            <w:tcW w:w="236" w:type="dxa"/>
            <w:gridSpan w:val="2"/>
            <w:tcBorders>
              <w:top w:val="nil"/>
              <w:bottom w:val="nil"/>
            </w:tcBorders>
            <w:shd w:val="clear" w:color="auto" w:fill="auto"/>
          </w:tcPr>
          <w:p w14:paraId="07A16664" w14:textId="77777777" w:rsidR="00A53A8E" w:rsidRPr="00986A08" w:rsidRDefault="00A53A8E" w:rsidP="00721F30">
            <w:pPr>
              <w:cnfStyle w:val="000000100000" w:firstRow="0" w:lastRow="0" w:firstColumn="0" w:lastColumn="0" w:oddVBand="0" w:evenVBand="0" w:oddHBand="1" w:evenHBand="0" w:firstRowFirstColumn="0" w:firstRowLastColumn="0" w:lastRowFirstColumn="0" w:lastRowLastColumn="0"/>
            </w:pPr>
          </w:p>
        </w:tc>
      </w:tr>
      <w:tr w:rsidR="00A53A8E" w:rsidRPr="00986A08" w14:paraId="2691974D" w14:textId="77777777" w:rsidTr="00721F30">
        <w:tc>
          <w:tcPr>
            <w:cnfStyle w:val="001000000000" w:firstRow="0" w:lastRow="0" w:firstColumn="1" w:lastColumn="0" w:oddVBand="0" w:evenVBand="0" w:oddHBand="0" w:evenHBand="0" w:firstRowFirstColumn="0" w:firstRowLastColumn="0" w:lastRowFirstColumn="0" w:lastRowLastColumn="0"/>
            <w:tcW w:w="3261" w:type="dxa"/>
            <w:tcBorders>
              <w:top w:val="nil"/>
            </w:tcBorders>
            <w:shd w:val="clear" w:color="auto" w:fill="auto"/>
          </w:tcPr>
          <w:p w14:paraId="4F35C547" w14:textId="77777777" w:rsidR="00A53A8E" w:rsidRPr="00986A08" w:rsidRDefault="00A53A8E" w:rsidP="00721F30">
            <w:pPr>
              <w:rPr>
                <w:b w:val="0"/>
              </w:rPr>
            </w:pPr>
            <w:r w:rsidRPr="00986A08">
              <w:rPr>
                <w:b w:val="0"/>
              </w:rPr>
              <w:t>Market</w:t>
            </w:r>
          </w:p>
        </w:tc>
        <w:tc>
          <w:tcPr>
            <w:tcW w:w="2835" w:type="dxa"/>
            <w:tcBorders>
              <w:top w:val="nil"/>
            </w:tcBorders>
            <w:shd w:val="clear" w:color="auto" w:fill="auto"/>
          </w:tcPr>
          <w:p w14:paraId="5CDE0590" w14:textId="77777777" w:rsidR="00A53A8E" w:rsidRPr="00986A08" w:rsidRDefault="00A53A8E" w:rsidP="00721F30">
            <w:pPr>
              <w:cnfStyle w:val="000000000000" w:firstRow="0" w:lastRow="0" w:firstColumn="0" w:lastColumn="0" w:oddVBand="0" w:evenVBand="0" w:oddHBand="0" w:evenHBand="0" w:firstRowFirstColumn="0" w:firstRowLastColumn="0" w:lastRowFirstColumn="0" w:lastRowLastColumn="0"/>
            </w:pPr>
            <w:r w:rsidRPr="00986A08">
              <w:t>No</w:t>
            </w:r>
          </w:p>
        </w:tc>
        <w:tc>
          <w:tcPr>
            <w:tcW w:w="236" w:type="dxa"/>
            <w:gridSpan w:val="2"/>
            <w:tcBorders>
              <w:top w:val="nil"/>
            </w:tcBorders>
            <w:shd w:val="clear" w:color="auto" w:fill="auto"/>
          </w:tcPr>
          <w:p w14:paraId="4C885E2C" w14:textId="77777777" w:rsidR="00A53A8E" w:rsidRPr="00986A08" w:rsidRDefault="00A53A8E" w:rsidP="00721F30">
            <w:pPr>
              <w:cnfStyle w:val="000000000000" w:firstRow="0" w:lastRow="0" w:firstColumn="0" w:lastColumn="0" w:oddVBand="0" w:evenVBand="0" w:oddHBand="0" w:evenHBand="0" w:firstRowFirstColumn="0" w:firstRowLastColumn="0" w:lastRowFirstColumn="0" w:lastRowLastColumn="0"/>
            </w:pPr>
          </w:p>
        </w:tc>
      </w:tr>
    </w:tbl>
    <w:p w14:paraId="3A662C3B" w14:textId="182AF2CF" w:rsidR="00A53A8E" w:rsidRDefault="00820AAF" w:rsidP="00A53A8E">
      <w:pPr>
        <w:jc w:val="both"/>
        <w:rPr>
          <w:sz w:val="18"/>
        </w:rPr>
      </w:pPr>
      <w:r>
        <w:rPr>
          <w:sz w:val="18"/>
        </w:rPr>
        <w:t xml:space="preserve">Sources: </w:t>
      </w:r>
      <w:r w:rsidR="00A53A8E" w:rsidRPr="0060334B">
        <w:rPr>
          <w:sz w:val="18"/>
        </w:rPr>
        <w:t xml:space="preserve">Population data </w:t>
      </w:r>
      <w:r w:rsidR="005031A2">
        <w:rPr>
          <w:sz w:val="18"/>
        </w:rPr>
        <w:t xml:space="preserve">were </w:t>
      </w:r>
      <w:r w:rsidR="00A53A8E" w:rsidRPr="0060334B">
        <w:rPr>
          <w:sz w:val="18"/>
        </w:rPr>
        <w:t xml:space="preserve">obtained from </w:t>
      </w:r>
      <w:r w:rsidR="005031A2">
        <w:rPr>
          <w:sz w:val="18"/>
        </w:rPr>
        <w:t xml:space="preserve">Ghana’s </w:t>
      </w:r>
      <w:r w:rsidR="00A53A8E" w:rsidRPr="0060334B">
        <w:rPr>
          <w:sz w:val="18"/>
        </w:rPr>
        <w:t>2010 population and housing census</w:t>
      </w:r>
      <w:r w:rsidR="005031A2">
        <w:rPr>
          <w:sz w:val="18"/>
        </w:rPr>
        <w:t xml:space="preserve"> report</w:t>
      </w:r>
      <w:r w:rsidR="00A53A8E" w:rsidRPr="0060334B">
        <w:rPr>
          <w:sz w:val="18"/>
        </w:rPr>
        <w:t xml:space="preserve"> (GSS, 2014).</w:t>
      </w:r>
      <w:r w:rsidR="00A53A8E">
        <w:rPr>
          <w:sz w:val="18"/>
        </w:rPr>
        <w:t xml:space="preserve"> Climate-data refers to </w:t>
      </w:r>
      <w:hyperlink r:id="rId8" w:history="1">
        <w:r w:rsidR="00A53A8E" w:rsidRPr="0043455A">
          <w:rPr>
            <w:rStyle w:val="Hyperlink"/>
            <w:sz w:val="18"/>
          </w:rPr>
          <w:t>www.climate-data.org</w:t>
        </w:r>
      </w:hyperlink>
      <w:r w:rsidR="00A53A8E">
        <w:rPr>
          <w:sz w:val="18"/>
        </w:rPr>
        <w:t xml:space="preserve">. </w:t>
      </w:r>
      <w:r w:rsidR="00A53A8E" w:rsidRPr="0060334B">
        <w:rPr>
          <w:sz w:val="18"/>
        </w:rPr>
        <w:t>Distance</w:t>
      </w:r>
      <w:r w:rsidR="005031A2">
        <w:rPr>
          <w:sz w:val="18"/>
        </w:rPr>
        <w:t>s</w:t>
      </w:r>
      <w:r w:rsidR="00A53A8E" w:rsidRPr="0060334B">
        <w:rPr>
          <w:sz w:val="18"/>
        </w:rPr>
        <w:t xml:space="preserve"> </w:t>
      </w:r>
      <w:r w:rsidR="005031A2">
        <w:rPr>
          <w:sz w:val="18"/>
        </w:rPr>
        <w:t>are</w:t>
      </w:r>
      <w:r w:rsidR="00A53A8E">
        <w:rPr>
          <w:sz w:val="18"/>
        </w:rPr>
        <w:t xml:space="preserve"> </w:t>
      </w:r>
      <w:r w:rsidR="00A53A8E" w:rsidRPr="0060334B">
        <w:rPr>
          <w:sz w:val="18"/>
        </w:rPr>
        <w:t>straight line</w:t>
      </w:r>
      <w:r w:rsidR="005031A2">
        <w:rPr>
          <w:sz w:val="18"/>
        </w:rPr>
        <w:t>s</w:t>
      </w:r>
      <w:r w:rsidR="00A53A8E" w:rsidRPr="0060334B">
        <w:rPr>
          <w:sz w:val="18"/>
        </w:rPr>
        <w:t xml:space="preserve"> from the </w:t>
      </w:r>
      <w:r w:rsidR="00A53A8E">
        <w:rPr>
          <w:sz w:val="18"/>
        </w:rPr>
        <w:t xml:space="preserve">centre of each </w:t>
      </w:r>
      <w:r w:rsidR="005031A2">
        <w:rPr>
          <w:sz w:val="18"/>
        </w:rPr>
        <w:t>community</w:t>
      </w:r>
      <w:r w:rsidR="00A53A8E" w:rsidRPr="0060334B">
        <w:rPr>
          <w:sz w:val="18"/>
        </w:rPr>
        <w:t>.</w:t>
      </w:r>
      <w:r w:rsidR="00A53A8E">
        <w:rPr>
          <w:sz w:val="18"/>
        </w:rPr>
        <w:t xml:space="preserve"> </w:t>
      </w:r>
    </w:p>
    <w:p w14:paraId="7CBBA34E" w14:textId="42B1BD0D" w:rsidR="00B67F20" w:rsidRDefault="00F01E25" w:rsidP="00CE060E">
      <w:pPr>
        <w:spacing w:after="0"/>
        <w:jc w:val="both"/>
        <w:rPr>
          <w:sz w:val="24"/>
        </w:rPr>
      </w:pPr>
      <w:r>
        <w:rPr>
          <w:sz w:val="24"/>
        </w:rPr>
        <w:t xml:space="preserve">Infrequent </w:t>
      </w:r>
      <w:r w:rsidR="006770CB">
        <w:rPr>
          <w:sz w:val="24"/>
        </w:rPr>
        <w:t xml:space="preserve">fishing activities </w:t>
      </w:r>
      <w:r w:rsidR="00A01F98">
        <w:rPr>
          <w:sz w:val="24"/>
        </w:rPr>
        <w:t xml:space="preserve">take place between </w:t>
      </w:r>
      <w:r w:rsidR="00571E4B">
        <w:rPr>
          <w:sz w:val="24"/>
        </w:rPr>
        <w:t xml:space="preserve">May </w:t>
      </w:r>
      <w:r w:rsidR="00A01F98">
        <w:rPr>
          <w:sz w:val="24"/>
        </w:rPr>
        <w:t>and</w:t>
      </w:r>
      <w:r w:rsidR="00571E4B">
        <w:rPr>
          <w:sz w:val="24"/>
        </w:rPr>
        <w:t xml:space="preserve"> </w:t>
      </w:r>
      <w:r w:rsidR="00A82373">
        <w:rPr>
          <w:sz w:val="24"/>
        </w:rPr>
        <w:t>J</w:t>
      </w:r>
      <w:r w:rsidR="0079319C">
        <w:rPr>
          <w:sz w:val="24"/>
        </w:rPr>
        <w:t>uly</w:t>
      </w:r>
      <w:r w:rsidR="00A01F98">
        <w:rPr>
          <w:sz w:val="24"/>
        </w:rPr>
        <w:t xml:space="preserve">, the peak of the </w:t>
      </w:r>
      <w:r w:rsidR="006016E1">
        <w:rPr>
          <w:sz w:val="24"/>
        </w:rPr>
        <w:t>m</w:t>
      </w:r>
      <w:r w:rsidR="00A22260">
        <w:rPr>
          <w:sz w:val="24"/>
        </w:rPr>
        <w:t xml:space="preserve">ajor </w:t>
      </w:r>
      <w:r w:rsidR="00CF657E">
        <w:rPr>
          <w:sz w:val="24"/>
        </w:rPr>
        <w:t xml:space="preserve">rainy </w:t>
      </w:r>
      <w:r w:rsidR="00A22260">
        <w:rPr>
          <w:sz w:val="24"/>
        </w:rPr>
        <w:t>seasons</w:t>
      </w:r>
      <w:r w:rsidR="006016E1">
        <w:rPr>
          <w:sz w:val="24"/>
        </w:rPr>
        <w:t>.</w:t>
      </w:r>
      <w:r w:rsidR="00A22260">
        <w:rPr>
          <w:sz w:val="24"/>
        </w:rPr>
        <w:t xml:space="preserve"> </w:t>
      </w:r>
      <w:r w:rsidR="00325C34">
        <w:rPr>
          <w:sz w:val="24"/>
        </w:rPr>
        <w:t>During</w:t>
      </w:r>
      <w:r w:rsidR="00312D1B">
        <w:rPr>
          <w:sz w:val="24"/>
        </w:rPr>
        <w:t xml:space="preserve"> </w:t>
      </w:r>
      <w:r w:rsidR="00325C34">
        <w:rPr>
          <w:sz w:val="24"/>
        </w:rPr>
        <w:t>focus group discussions</w:t>
      </w:r>
      <w:r w:rsidR="00F5731E">
        <w:rPr>
          <w:sz w:val="24"/>
        </w:rPr>
        <w:t>,</w:t>
      </w:r>
      <w:r w:rsidR="00325C34">
        <w:rPr>
          <w:sz w:val="24"/>
        </w:rPr>
        <w:t xml:space="preserve"> </w:t>
      </w:r>
      <w:r w:rsidR="00A22260">
        <w:rPr>
          <w:sz w:val="24"/>
        </w:rPr>
        <w:t xml:space="preserve">the community </w:t>
      </w:r>
      <w:r w:rsidR="00325C34">
        <w:rPr>
          <w:sz w:val="24"/>
        </w:rPr>
        <w:t>suggest</w:t>
      </w:r>
      <w:r w:rsidR="00F5731E">
        <w:rPr>
          <w:sz w:val="24"/>
        </w:rPr>
        <w:t>ed</w:t>
      </w:r>
      <w:r w:rsidR="00325C34">
        <w:rPr>
          <w:sz w:val="24"/>
        </w:rPr>
        <w:t xml:space="preserve"> </w:t>
      </w:r>
      <w:r w:rsidR="004E69CC">
        <w:rPr>
          <w:sz w:val="24"/>
        </w:rPr>
        <w:t>among other things</w:t>
      </w:r>
      <w:r w:rsidR="00A34226">
        <w:rPr>
          <w:sz w:val="24"/>
        </w:rPr>
        <w:t xml:space="preserve"> that</w:t>
      </w:r>
      <w:r w:rsidR="004E69CC">
        <w:rPr>
          <w:sz w:val="24"/>
        </w:rPr>
        <w:t>,</w:t>
      </w:r>
      <w:r w:rsidR="00CD43A8">
        <w:rPr>
          <w:sz w:val="24"/>
        </w:rPr>
        <w:t xml:space="preserve"> low</w:t>
      </w:r>
      <w:r w:rsidR="00892F3A">
        <w:rPr>
          <w:sz w:val="24"/>
        </w:rPr>
        <w:t xml:space="preserve"> and erratic </w:t>
      </w:r>
      <w:r w:rsidR="00CD43A8">
        <w:rPr>
          <w:sz w:val="24"/>
        </w:rPr>
        <w:t>rainfall</w:t>
      </w:r>
      <w:r w:rsidR="002C4FAE">
        <w:rPr>
          <w:sz w:val="24"/>
        </w:rPr>
        <w:t xml:space="preserve">s </w:t>
      </w:r>
      <w:r w:rsidR="00A11D3B">
        <w:rPr>
          <w:sz w:val="24"/>
        </w:rPr>
        <w:t>in</w:t>
      </w:r>
      <w:r w:rsidR="002C4FAE">
        <w:rPr>
          <w:sz w:val="24"/>
        </w:rPr>
        <w:t xml:space="preserve"> the major </w:t>
      </w:r>
      <w:r w:rsidR="00824EE3">
        <w:rPr>
          <w:sz w:val="24"/>
        </w:rPr>
        <w:t>rain</w:t>
      </w:r>
      <w:r w:rsidR="00F5731E">
        <w:rPr>
          <w:sz w:val="24"/>
        </w:rPr>
        <w:t>y</w:t>
      </w:r>
      <w:r w:rsidR="002C4FAE">
        <w:rPr>
          <w:sz w:val="24"/>
        </w:rPr>
        <w:t xml:space="preserve"> season</w:t>
      </w:r>
      <w:r w:rsidR="00A11D3B">
        <w:rPr>
          <w:sz w:val="24"/>
        </w:rPr>
        <w:t>s</w:t>
      </w:r>
      <w:r w:rsidR="002C4FAE">
        <w:rPr>
          <w:sz w:val="24"/>
        </w:rPr>
        <w:t xml:space="preserve"> </w:t>
      </w:r>
      <w:r w:rsidR="00A22260">
        <w:rPr>
          <w:sz w:val="24"/>
        </w:rPr>
        <w:t xml:space="preserve">subsequently </w:t>
      </w:r>
      <w:r w:rsidR="002C4FAE">
        <w:rPr>
          <w:sz w:val="24"/>
        </w:rPr>
        <w:t>result in low fish catches</w:t>
      </w:r>
      <w:r w:rsidR="00824EE3">
        <w:rPr>
          <w:sz w:val="24"/>
        </w:rPr>
        <w:t xml:space="preserve"> </w:t>
      </w:r>
      <w:r w:rsidR="009A42A9">
        <w:rPr>
          <w:sz w:val="24"/>
        </w:rPr>
        <w:t>in the major fishing season</w:t>
      </w:r>
      <w:r w:rsidR="007359D8" w:rsidRPr="0062489E">
        <w:rPr>
          <w:sz w:val="24"/>
        </w:rPr>
        <w:t>.</w:t>
      </w:r>
      <w:r w:rsidR="006016E1">
        <w:rPr>
          <w:sz w:val="24"/>
        </w:rPr>
        <w:t xml:space="preserve"> </w:t>
      </w:r>
      <w:r w:rsidR="00B44D2A">
        <w:rPr>
          <w:sz w:val="24"/>
        </w:rPr>
        <w:t>T</w:t>
      </w:r>
      <w:r w:rsidR="006016E1">
        <w:rPr>
          <w:sz w:val="24"/>
        </w:rPr>
        <w:t>h</w:t>
      </w:r>
      <w:r w:rsidR="00784878">
        <w:rPr>
          <w:sz w:val="24"/>
        </w:rPr>
        <w:t>us</w:t>
      </w:r>
      <w:r w:rsidR="006016E1">
        <w:rPr>
          <w:sz w:val="24"/>
        </w:rPr>
        <w:t>, ma</w:t>
      </w:r>
      <w:r w:rsidR="004D1883">
        <w:rPr>
          <w:sz w:val="24"/>
        </w:rPr>
        <w:t xml:space="preserve">jor fishing seasons are considered </w:t>
      </w:r>
      <w:r w:rsidR="0000733A">
        <w:rPr>
          <w:sz w:val="24"/>
        </w:rPr>
        <w:t>‘</w:t>
      </w:r>
      <w:r w:rsidR="004D1883">
        <w:rPr>
          <w:sz w:val="24"/>
        </w:rPr>
        <w:t>good season</w:t>
      </w:r>
      <w:r w:rsidR="0000733A">
        <w:rPr>
          <w:sz w:val="24"/>
        </w:rPr>
        <w:t>’</w:t>
      </w:r>
      <w:r w:rsidR="004D1883">
        <w:rPr>
          <w:sz w:val="24"/>
        </w:rPr>
        <w:t xml:space="preserve"> when catches are big and incomes are high, and </w:t>
      </w:r>
      <w:r w:rsidR="00AA3AAA">
        <w:rPr>
          <w:sz w:val="24"/>
        </w:rPr>
        <w:t>‘</w:t>
      </w:r>
      <w:r w:rsidR="004D1883">
        <w:rPr>
          <w:sz w:val="24"/>
        </w:rPr>
        <w:t>bad season</w:t>
      </w:r>
      <w:r w:rsidR="00AA3AAA">
        <w:rPr>
          <w:sz w:val="24"/>
        </w:rPr>
        <w:t>’</w:t>
      </w:r>
      <w:r w:rsidR="004D1883">
        <w:rPr>
          <w:sz w:val="24"/>
        </w:rPr>
        <w:t xml:space="preserve"> when catches are </w:t>
      </w:r>
      <w:r w:rsidR="001B5643">
        <w:rPr>
          <w:sz w:val="24"/>
        </w:rPr>
        <w:t>meagre,</w:t>
      </w:r>
      <w:r w:rsidR="00D41813">
        <w:rPr>
          <w:sz w:val="24"/>
        </w:rPr>
        <w:t xml:space="preserve"> and incomes are low.</w:t>
      </w:r>
      <w:r w:rsidR="00AA3AAA">
        <w:rPr>
          <w:sz w:val="24"/>
        </w:rPr>
        <w:t xml:space="preserve"> The </w:t>
      </w:r>
      <w:r w:rsidR="004766F2">
        <w:rPr>
          <w:sz w:val="24"/>
        </w:rPr>
        <w:t xml:space="preserve">community’s </w:t>
      </w:r>
      <w:r w:rsidR="00AA3AAA">
        <w:rPr>
          <w:sz w:val="24"/>
        </w:rPr>
        <w:t xml:space="preserve">designation of a </w:t>
      </w:r>
      <w:r w:rsidR="005120F0">
        <w:rPr>
          <w:sz w:val="24"/>
        </w:rPr>
        <w:t xml:space="preserve">fishing </w:t>
      </w:r>
      <w:r w:rsidR="00AA3AAA">
        <w:rPr>
          <w:sz w:val="24"/>
        </w:rPr>
        <w:t xml:space="preserve">season as </w:t>
      </w:r>
      <w:r w:rsidR="00076E59">
        <w:rPr>
          <w:sz w:val="24"/>
        </w:rPr>
        <w:t>‘</w:t>
      </w:r>
      <w:r w:rsidR="00AA3AAA">
        <w:rPr>
          <w:sz w:val="24"/>
        </w:rPr>
        <w:t>good</w:t>
      </w:r>
      <w:r w:rsidR="00076E59">
        <w:rPr>
          <w:sz w:val="24"/>
        </w:rPr>
        <w:t>’</w:t>
      </w:r>
      <w:r w:rsidR="00AA3AAA">
        <w:rPr>
          <w:sz w:val="24"/>
        </w:rPr>
        <w:t xml:space="preserve"> or </w:t>
      </w:r>
      <w:r w:rsidR="00076E59">
        <w:rPr>
          <w:sz w:val="24"/>
        </w:rPr>
        <w:t>‘</w:t>
      </w:r>
      <w:r w:rsidR="00AA3AAA">
        <w:rPr>
          <w:sz w:val="24"/>
        </w:rPr>
        <w:t>bad</w:t>
      </w:r>
      <w:r w:rsidR="00076E59">
        <w:rPr>
          <w:sz w:val="24"/>
        </w:rPr>
        <w:t>’</w:t>
      </w:r>
      <w:r w:rsidR="00AA3AAA">
        <w:rPr>
          <w:sz w:val="24"/>
        </w:rPr>
        <w:t xml:space="preserve"> is purely sub</w:t>
      </w:r>
      <w:r w:rsidR="00BF4C82">
        <w:rPr>
          <w:sz w:val="24"/>
        </w:rPr>
        <w:t>jective</w:t>
      </w:r>
      <w:r w:rsidR="008B2E48">
        <w:rPr>
          <w:sz w:val="24"/>
        </w:rPr>
        <w:t xml:space="preserve">. </w:t>
      </w:r>
      <w:r w:rsidR="00ED5370">
        <w:rPr>
          <w:sz w:val="24"/>
        </w:rPr>
        <w:t xml:space="preserve">Notwithstanding, </w:t>
      </w:r>
      <w:r w:rsidR="00825372">
        <w:rPr>
          <w:sz w:val="24"/>
        </w:rPr>
        <w:t xml:space="preserve">it </w:t>
      </w:r>
      <w:r w:rsidR="00835AB8">
        <w:rPr>
          <w:sz w:val="24"/>
        </w:rPr>
        <w:t xml:space="preserve">is important </w:t>
      </w:r>
      <w:r w:rsidR="004766F2">
        <w:rPr>
          <w:sz w:val="24"/>
        </w:rPr>
        <w:t>because</w:t>
      </w:r>
      <w:r w:rsidR="00CB735E">
        <w:rPr>
          <w:sz w:val="24"/>
        </w:rPr>
        <w:t xml:space="preserve"> it reflects the community’s perception of their wellbeing </w:t>
      </w:r>
      <w:r w:rsidR="00992973">
        <w:rPr>
          <w:sz w:val="24"/>
        </w:rPr>
        <w:t>in any year. The</w:t>
      </w:r>
      <w:r w:rsidR="00E33C10">
        <w:rPr>
          <w:sz w:val="24"/>
        </w:rPr>
        <w:t xml:space="preserve"> results and discussion </w:t>
      </w:r>
      <w:r w:rsidR="00062D6A">
        <w:rPr>
          <w:sz w:val="24"/>
        </w:rPr>
        <w:t xml:space="preserve">sections </w:t>
      </w:r>
      <w:r w:rsidR="00E33C10">
        <w:rPr>
          <w:sz w:val="24"/>
        </w:rPr>
        <w:t xml:space="preserve">are </w:t>
      </w:r>
      <w:r w:rsidR="00992973">
        <w:rPr>
          <w:sz w:val="24"/>
        </w:rPr>
        <w:t xml:space="preserve">therefore </w:t>
      </w:r>
      <w:r w:rsidR="00E33C10">
        <w:rPr>
          <w:sz w:val="24"/>
        </w:rPr>
        <w:t>nuanced around this community-based seasonal classification.</w:t>
      </w:r>
      <w:r w:rsidR="00884B9B">
        <w:rPr>
          <w:sz w:val="24"/>
        </w:rPr>
        <w:t xml:space="preserve"> </w:t>
      </w:r>
      <w:bookmarkStart w:id="1" w:name="_Hlk43129639"/>
      <w:r w:rsidR="0033624C">
        <w:rPr>
          <w:sz w:val="24"/>
        </w:rPr>
        <w:t>The community consider</w:t>
      </w:r>
      <w:r w:rsidR="002F7F95">
        <w:rPr>
          <w:sz w:val="24"/>
        </w:rPr>
        <w:t>s</w:t>
      </w:r>
      <w:r w:rsidR="0033624C">
        <w:rPr>
          <w:sz w:val="24"/>
        </w:rPr>
        <w:t xml:space="preserve"> </w:t>
      </w:r>
      <w:r w:rsidR="00B97B3B">
        <w:rPr>
          <w:sz w:val="24"/>
        </w:rPr>
        <w:t xml:space="preserve">rainy and </w:t>
      </w:r>
      <w:r w:rsidR="00F929F9">
        <w:rPr>
          <w:sz w:val="24"/>
        </w:rPr>
        <w:t xml:space="preserve">stormy </w:t>
      </w:r>
      <w:r w:rsidR="00B97B3B">
        <w:rPr>
          <w:sz w:val="24"/>
        </w:rPr>
        <w:t xml:space="preserve">days </w:t>
      </w:r>
      <w:r w:rsidR="0033624C">
        <w:rPr>
          <w:sz w:val="24"/>
        </w:rPr>
        <w:t>as hindrances to their livelihood as</w:t>
      </w:r>
      <w:r w:rsidR="002F7F95">
        <w:rPr>
          <w:sz w:val="24"/>
        </w:rPr>
        <w:t xml:space="preserve"> </w:t>
      </w:r>
      <w:r w:rsidR="0033624C">
        <w:rPr>
          <w:sz w:val="24"/>
        </w:rPr>
        <w:t>fishing on such day</w:t>
      </w:r>
      <w:r w:rsidR="005031A2">
        <w:rPr>
          <w:sz w:val="24"/>
        </w:rPr>
        <w:t>s</w:t>
      </w:r>
      <w:r w:rsidR="0033624C">
        <w:rPr>
          <w:sz w:val="24"/>
        </w:rPr>
        <w:t xml:space="preserve"> </w:t>
      </w:r>
      <w:r w:rsidR="005031A2">
        <w:rPr>
          <w:sz w:val="24"/>
        </w:rPr>
        <w:t xml:space="preserve">is </w:t>
      </w:r>
      <w:r w:rsidR="0033624C">
        <w:rPr>
          <w:sz w:val="24"/>
        </w:rPr>
        <w:t>danger</w:t>
      </w:r>
      <w:r w:rsidR="002F7F95">
        <w:rPr>
          <w:sz w:val="24"/>
        </w:rPr>
        <w:t xml:space="preserve">ous. Moreover, the major fish processing method used </w:t>
      </w:r>
      <w:r w:rsidR="00955275">
        <w:rPr>
          <w:sz w:val="24"/>
        </w:rPr>
        <w:t>i</w:t>
      </w:r>
      <w:r w:rsidR="002F7F95">
        <w:rPr>
          <w:sz w:val="24"/>
        </w:rPr>
        <w:t>n the community is drying</w:t>
      </w:r>
      <w:r w:rsidR="00955275">
        <w:rPr>
          <w:sz w:val="24"/>
        </w:rPr>
        <w:t xml:space="preserve"> in the open fields</w:t>
      </w:r>
      <w:r w:rsidR="00723BF4">
        <w:rPr>
          <w:sz w:val="24"/>
        </w:rPr>
        <w:t>. Un</w:t>
      </w:r>
      <w:r w:rsidR="00E8279B">
        <w:rPr>
          <w:sz w:val="24"/>
        </w:rPr>
        <w:t xml:space="preserve">expected </w:t>
      </w:r>
      <w:r w:rsidR="00723BF4">
        <w:rPr>
          <w:sz w:val="24"/>
        </w:rPr>
        <w:t>rainfall</w:t>
      </w:r>
      <w:r w:rsidR="005031A2">
        <w:rPr>
          <w:sz w:val="24"/>
        </w:rPr>
        <w:t>, therefore,</w:t>
      </w:r>
      <w:r w:rsidR="00E8279B">
        <w:rPr>
          <w:sz w:val="24"/>
        </w:rPr>
        <w:t xml:space="preserve"> results in huge losses</w:t>
      </w:r>
      <w:r w:rsidR="00E72904">
        <w:rPr>
          <w:sz w:val="24"/>
        </w:rPr>
        <w:t xml:space="preserve"> as the </w:t>
      </w:r>
      <w:r w:rsidR="00237CC6">
        <w:rPr>
          <w:sz w:val="24"/>
        </w:rPr>
        <w:t xml:space="preserve">half-dried </w:t>
      </w:r>
      <w:r w:rsidR="00E72904">
        <w:rPr>
          <w:sz w:val="24"/>
        </w:rPr>
        <w:t xml:space="preserve">fishes </w:t>
      </w:r>
      <w:r w:rsidR="00D24ADB">
        <w:rPr>
          <w:sz w:val="24"/>
        </w:rPr>
        <w:t xml:space="preserve">deteriorate and </w:t>
      </w:r>
      <w:r w:rsidR="00E72904">
        <w:rPr>
          <w:sz w:val="24"/>
        </w:rPr>
        <w:t>cannot be re-dried</w:t>
      </w:r>
      <w:r w:rsidR="00E8279B">
        <w:rPr>
          <w:sz w:val="24"/>
        </w:rPr>
        <w:t>.</w:t>
      </w:r>
      <w:bookmarkEnd w:id="1"/>
    </w:p>
    <w:p w14:paraId="4574D94D" w14:textId="77777777" w:rsidR="001B5643" w:rsidRDefault="001B5643" w:rsidP="00CE060E">
      <w:pPr>
        <w:spacing w:after="0"/>
        <w:jc w:val="both"/>
        <w:rPr>
          <w:sz w:val="24"/>
        </w:rPr>
      </w:pPr>
    </w:p>
    <w:p w14:paraId="2EC14374" w14:textId="77777777" w:rsidR="00712D5A" w:rsidRDefault="007544A9" w:rsidP="009E2774">
      <w:pPr>
        <w:spacing w:after="0"/>
        <w:jc w:val="both"/>
        <w:rPr>
          <w:b/>
          <w:sz w:val="24"/>
        </w:rPr>
      </w:pPr>
      <w:r w:rsidRPr="009E2774">
        <w:rPr>
          <w:b/>
          <w:sz w:val="24"/>
        </w:rPr>
        <w:t>3.2 Research Design</w:t>
      </w:r>
    </w:p>
    <w:p w14:paraId="3926D6E9" w14:textId="77777777" w:rsidR="007544A9" w:rsidRPr="009E2774" w:rsidRDefault="00FE2E79" w:rsidP="009E2774">
      <w:pPr>
        <w:spacing w:after="0"/>
        <w:jc w:val="both"/>
        <w:rPr>
          <w:b/>
          <w:sz w:val="24"/>
        </w:rPr>
      </w:pPr>
      <w:r w:rsidRPr="009E2774">
        <w:rPr>
          <w:b/>
          <w:sz w:val="24"/>
        </w:rPr>
        <w:t xml:space="preserve">3.2.1 Climatic data </w:t>
      </w:r>
    </w:p>
    <w:p w14:paraId="446D2A7E" w14:textId="41E50410" w:rsidR="00FE2E79" w:rsidRDefault="0014193D" w:rsidP="00E004F6">
      <w:pPr>
        <w:jc w:val="both"/>
        <w:rPr>
          <w:sz w:val="24"/>
        </w:rPr>
      </w:pPr>
      <w:r w:rsidRPr="009E2774">
        <w:rPr>
          <w:sz w:val="24"/>
        </w:rPr>
        <w:t>T</w:t>
      </w:r>
      <w:r>
        <w:rPr>
          <w:sz w:val="24"/>
        </w:rPr>
        <w:t xml:space="preserve">o </w:t>
      </w:r>
      <w:r w:rsidR="00512E6F">
        <w:rPr>
          <w:sz w:val="24"/>
        </w:rPr>
        <w:t>establish</w:t>
      </w:r>
      <w:r>
        <w:rPr>
          <w:sz w:val="24"/>
        </w:rPr>
        <w:t xml:space="preserve"> </w:t>
      </w:r>
      <w:r w:rsidRPr="009E2774">
        <w:rPr>
          <w:sz w:val="24"/>
        </w:rPr>
        <w:t>local evidence of on-going climate change and/or variability</w:t>
      </w:r>
      <w:r>
        <w:rPr>
          <w:sz w:val="24"/>
        </w:rPr>
        <w:t xml:space="preserve">, </w:t>
      </w:r>
      <w:r w:rsidR="00FA62E6">
        <w:rPr>
          <w:sz w:val="24"/>
        </w:rPr>
        <w:t xml:space="preserve">three decades </w:t>
      </w:r>
      <w:r w:rsidR="00FA62E6" w:rsidRPr="009E2774">
        <w:rPr>
          <w:sz w:val="24"/>
        </w:rPr>
        <w:t>(198</w:t>
      </w:r>
      <w:r w:rsidR="00FA62E6">
        <w:rPr>
          <w:sz w:val="24"/>
        </w:rPr>
        <w:t>9</w:t>
      </w:r>
      <w:r w:rsidR="00FA62E6" w:rsidRPr="009E2774">
        <w:rPr>
          <w:sz w:val="24"/>
        </w:rPr>
        <w:t xml:space="preserve"> – 2018) </w:t>
      </w:r>
      <w:r w:rsidR="00FA62E6">
        <w:rPr>
          <w:sz w:val="24"/>
        </w:rPr>
        <w:t xml:space="preserve">of </w:t>
      </w:r>
      <w:r w:rsidR="00134E73">
        <w:rPr>
          <w:sz w:val="24"/>
        </w:rPr>
        <w:t xml:space="preserve">available </w:t>
      </w:r>
      <w:r w:rsidR="00F342F9">
        <w:rPr>
          <w:sz w:val="24"/>
        </w:rPr>
        <w:t xml:space="preserve">daily </w:t>
      </w:r>
      <w:r w:rsidR="009E2774" w:rsidRPr="009E2774">
        <w:rPr>
          <w:sz w:val="24"/>
        </w:rPr>
        <w:t>temperature</w:t>
      </w:r>
      <w:r w:rsidR="00F342F9">
        <w:rPr>
          <w:sz w:val="24"/>
        </w:rPr>
        <w:t xml:space="preserve"> and</w:t>
      </w:r>
      <w:r w:rsidR="009E2774" w:rsidRPr="009E2774">
        <w:rPr>
          <w:sz w:val="24"/>
        </w:rPr>
        <w:t xml:space="preserve"> rainfall</w:t>
      </w:r>
      <w:r w:rsidR="00F342F9">
        <w:rPr>
          <w:sz w:val="24"/>
        </w:rPr>
        <w:t xml:space="preserve"> </w:t>
      </w:r>
      <w:r w:rsidR="00AA0773">
        <w:rPr>
          <w:sz w:val="24"/>
        </w:rPr>
        <w:t>records</w:t>
      </w:r>
      <w:r w:rsidR="00512E6F">
        <w:rPr>
          <w:sz w:val="24"/>
        </w:rPr>
        <w:t xml:space="preserve"> </w:t>
      </w:r>
      <w:r w:rsidR="009E2774" w:rsidRPr="009E2774">
        <w:rPr>
          <w:sz w:val="24"/>
        </w:rPr>
        <w:t xml:space="preserve">for </w:t>
      </w:r>
      <w:r w:rsidR="00F342F9">
        <w:rPr>
          <w:sz w:val="24"/>
        </w:rPr>
        <w:t>the study area</w:t>
      </w:r>
      <w:r w:rsidR="009E2774" w:rsidRPr="009E2774">
        <w:rPr>
          <w:sz w:val="24"/>
        </w:rPr>
        <w:t xml:space="preserve"> </w:t>
      </w:r>
      <w:r w:rsidR="005031A2" w:rsidRPr="009E2774">
        <w:rPr>
          <w:sz w:val="24"/>
        </w:rPr>
        <w:t>w</w:t>
      </w:r>
      <w:r w:rsidR="005031A2">
        <w:rPr>
          <w:sz w:val="24"/>
        </w:rPr>
        <w:t>ere</w:t>
      </w:r>
      <w:r w:rsidR="005031A2" w:rsidRPr="009E2774">
        <w:rPr>
          <w:sz w:val="24"/>
        </w:rPr>
        <w:t xml:space="preserve"> </w:t>
      </w:r>
      <w:r w:rsidR="009E2774" w:rsidRPr="009E2774">
        <w:rPr>
          <w:sz w:val="24"/>
        </w:rPr>
        <w:t xml:space="preserve">obtained from the Ghana Meteorological </w:t>
      </w:r>
      <w:r w:rsidR="005031A2">
        <w:rPr>
          <w:sz w:val="24"/>
        </w:rPr>
        <w:t>A</w:t>
      </w:r>
      <w:r w:rsidR="005031A2" w:rsidRPr="009E2774">
        <w:rPr>
          <w:sz w:val="24"/>
        </w:rPr>
        <w:t>gency</w:t>
      </w:r>
      <w:r w:rsidR="005031A2">
        <w:rPr>
          <w:sz w:val="24"/>
        </w:rPr>
        <w:t xml:space="preserve"> </w:t>
      </w:r>
      <w:r w:rsidR="007D0573">
        <w:rPr>
          <w:sz w:val="24"/>
        </w:rPr>
        <w:t>(</w:t>
      </w:r>
      <w:proofErr w:type="spellStart"/>
      <w:r w:rsidR="007D0573">
        <w:rPr>
          <w:sz w:val="24"/>
        </w:rPr>
        <w:t>GMet</w:t>
      </w:r>
      <w:proofErr w:type="spellEnd"/>
      <w:r w:rsidR="007D0573">
        <w:rPr>
          <w:sz w:val="24"/>
        </w:rPr>
        <w:t>)</w:t>
      </w:r>
      <w:r w:rsidR="009E2774" w:rsidRPr="009E2774">
        <w:rPr>
          <w:sz w:val="24"/>
        </w:rPr>
        <w:t xml:space="preserve">. A </w:t>
      </w:r>
      <w:r w:rsidR="005031A2" w:rsidRPr="009E2774">
        <w:rPr>
          <w:sz w:val="24"/>
        </w:rPr>
        <w:t>time</w:t>
      </w:r>
      <w:r w:rsidR="005031A2">
        <w:rPr>
          <w:sz w:val="24"/>
        </w:rPr>
        <w:t>-</w:t>
      </w:r>
      <w:r w:rsidR="009E2774" w:rsidRPr="009E2774">
        <w:rPr>
          <w:sz w:val="24"/>
        </w:rPr>
        <w:t xml:space="preserve">series analysis </w:t>
      </w:r>
      <w:r w:rsidR="00512E6F">
        <w:rPr>
          <w:sz w:val="24"/>
        </w:rPr>
        <w:t>was</w:t>
      </w:r>
      <w:r w:rsidR="009E2774" w:rsidRPr="009E2774">
        <w:rPr>
          <w:sz w:val="24"/>
        </w:rPr>
        <w:t xml:space="preserve"> performed on the data to identify changes in </w:t>
      </w:r>
      <w:r w:rsidR="007D0573">
        <w:rPr>
          <w:sz w:val="24"/>
        </w:rPr>
        <w:t>minimum and maximum</w:t>
      </w:r>
      <w:r w:rsidR="00B44090">
        <w:rPr>
          <w:sz w:val="24"/>
        </w:rPr>
        <w:t xml:space="preserve"> daily</w:t>
      </w:r>
      <w:r w:rsidR="009E2774" w:rsidRPr="009E2774">
        <w:rPr>
          <w:sz w:val="24"/>
        </w:rPr>
        <w:t xml:space="preserve"> temperature</w:t>
      </w:r>
      <w:r w:rsidR="00B44090">
        <w:rPr>
          <w:sz w:val="24"/>
        </w:rPr>
        <w:t xml:space="preserve"> </w:t>
      </w:r>
      <w:r w:rsidR="009E2774" w:rsidRPr="009E2774">
        <w:rPr>
          <w:sz w:val="24"/>
        </w:rPr>
        <w:t>patterns.</w:t>
      </w:r>
      <w:r w:rsidR="006F6BC1">
        <w:rPr>
          <w:sz w:val="24"/>
        </w:rPr>
        <w:t xml:space="preserve"> </w:t>
      </w:r>
      <w:r w:rsidR="00FF1996">
        <w:rPr>
          <w:sz w:val="24"/>
        </w:rPr>
        <w:t xml:space="preserve">Rainfall </w:t>
      </w:r>
      <w:r w:rsidR="005F6557">
        <w:rPr>
          <w:sz w:val="24"/>
        </w:rPr>
        <w:t xml:space="preserve">is </w:t>
      </w:r>
      <w:r w:rsidR="00FF1996">
        <w:rPr>
          <w:sz w:val="24"/>
        </w:rPr>
        <w:t xml:space="preserve">analysed </w:t>
      </w:r>
      <w:r w:rsidR="0037617A">
        <w:rPr>
          <w:sz w:val="24"/>
        </w:rPr>
        <w:t>by comparing the three decades.</w:t>
      </w:r>
    </w:p>
    <w:p w14:paraId="156F30CA" w14:textId="59C6A9B3" w:rsidR="00F50E55" w:rsidRDefault="00F50E55" w:rsidP="00F50E55">
      <w:pPr>
        <w:spacing w:after="0"/>
        <w:jc w:val="both"/>
        <w:rPr>
          <w:b/>
          <w:sz w:val="24"/>
        </w:rPr>
      </w:pPr>
      <w:r w:rsidRPr="00947A5E">
        <w:rPr>
          <w:b/>
          <w:sz w:val="24"/>
        </w:rPr>
        <w:t xml:space="preserve">3.2.2 Household survey </w:t>
      </w:r>
    </w:p>
    <w:p w14:paraId="15AFD446" w14:textId="29F198D7" w:rsidR="00F50E55" w:rsidRDefault="007B3DB8" w:rsidP="00BD5C15">
      <w:pPr>
        <w:spacing w:after="0"/>
        <w:jc w:val="both"/>
        <w:rPr>
          <w:sz w:val="24"/>
        </w:rPr>
      </w:pPr>
      <w:r>
        <w:rPr>
          <w:sz w:val="24"/>
        </w:rPr>
        <w:lastRenderedPageBreak/>
        <w:t>Forty-five percent of all</w:t>
      </w:r>
      <w:r w:rsidR="008967A6">
        <w:rPr>
          <w:sz w:val="24"/>
        </w:rPr>
        <w:t xml:space="preserve"> village</w:t>
      </w:r>
      <w:r w:rsidR="00F50E55" w:rsidRPr="00947A5E">
        <w:rPr>
          <w:sz w:val="24"/>
        </w:rPr>
        <w:t xml:space="preserve"> </w:t>
      </w:r>
      <w:r w:rsidR="00922F12">
        <w:rPr>
          <w:sz w:val="24"/>
        </w:rPr>
        <w:t>household</w:t>
      </w:r>
      <w:r w:rsidR="008967A6">
        <w:rPr>
          <w:sz w:val="24"/>
        </w:rPr>
        <w:t>s were sampled.</w:t>
      </w:r>
      <w:r w:rsidR="00922F12">
        <w:rPr>
          <w:sz w:val="24"/>
        </w:rPr>
        <w:t xml:space="preserve"> </w:t>
      </w:r>
      <w:bookmarkStart w:id="2" w:name="_Hlk43113881"/>
      <w:r w:rsidR="00F50E55" w:rsidRPr="00947A5E">
        <w:rPr>
          <w:sz w:val="24"/>
        </w:rPr>
        <w:t>Households were selected using a stratified</w:t>
      </w:r>
      <w:r w:rsidR="000A6C6F">
        <w:rPr>
          <w:sz w:val="24"/>
        </w:rPr>
        <w:t xml:space="preserve"> and mixed convenien</w:t>
      </w:r>
      <w:r w:rsidR="00336BE6">
        <w:rPr>
          <w:sz w:val="24"/>
        </w:rPr>
        <w:t>ce</w:t>
      </w:r>
      <w:r w:rsidR="000A6C6F">
        <w:rPr>
          <w:sz w:val="24"/>
        </w:rPr>
        <w:t>-</w:t>
      </w:r>
      <w:r w:rsidR="00F50E55" w:rsidRPr="00947A5E">
        <w:rPr>
          <w:sz w:val="24"/>
        </w:rPr>
        <w:t>snowball sampling method</w:t>
      </w:r>
      <w:r w:rsidR="00FC52F5">
        <w:rPr>
          <w:sz w:val="24"/>
        </w:rPr>
        <w:t xml:space="preserve"> </w:t>
      </w:r>
      <w:r w:rsidR="00FC52F5">
        <w:rPr>
          <w:sz w:val="24"/>
        </w:rPr>
        <w:fldChar w:fldCharType="begin" w:fldLock="1"/>
      </w:r>
      <w:r w:rsidR="00FC52F5">
        <w:rPr>
          <w:sz w:val="24"/>
        </w:rPr>
        <w:instrText>ADDIN CSL_CITATION {"citationItems":[{"id":"ITEM-1","itemData":{"ISBN":"9780192529497","abstract":"Now in its fifth edition, this textbook continues to provide students with explanation and demonstration of the main approaches and techniques in social research methods. It shows students how to assess the contexts within which different research methods may be used, and how they should be implemented.","author":[{"dropping-particle":"","family":"Bryman","given":"Alan","non-dropping-particle":"","parse-names":false,"suffix":""}],"edition":"Fifth edition.","id":"ITEM-1","issued":{"date-parts":[["2015"]]},"note":"Accession Number: udc.1125392; Other Notes: Previous edition: 2012.; Includes bibliographical references and index.; Specialized.; Publication Type: Book, eBook; Physical Description: 1 online resource (824 pages) : illustrations (colour); Language: English","publisher":"Oxford University Press","title":"Social research methods.","type":"book"},"uris":["http://www.mendeley.com/documents/?uuid=e2462cd3-5608-4574-bf3d-e2e84a934b43"]}],"mendeley":{"formattedCitation":"[35]","plainTextFormattedCitation":"[35]"},"properties":{"noteIndex":0},"schema":"https://github.com/citation-style-language/schema/raw/master/csl-citation.json"}</w:instrText>
      </w:r>
      <w:r w:rsidR="00FC52F5">
        <w:rPr>
          <w:sz w:val="24"/>
        </w:rPr>
        <w:fldChar w:fldCharType="separate"/>
      </w:r>
      <w:r w:rsidR="00FC52F5" w:rsidRPr="00FC52F5">
        <w:rPr>
          <w:noProof/>
          <w:sz w:val="24"/>
        </w:rPr>
        <w:t>[35]</w:t>
      </w:r>
      <w:r w:rsidR="00FC52F5">
        <w:rPr>
          <w:sz w:val="24"/>
        </w:rPr>
        <w:fldChar w:fldCharType="end"/>
      </w:r>
      <w:r w:rsidR="00F50E55" w:rsidRPr="00947A5E">
        <w:rPr>
          <w:sz w:val="24"/>
        </w:rPr>
        <w:t>. The strata strategy was based on three local administrative divisions in the community</w:t>
      </w:r>
      <w:r w:rsidR="00F50E55">
        <w:rPr>
          <w:sz w:val="24"/>
        </w:rPr>
        <w:t xml:space="preserve"> </w:t>
      </w:r>
      <w:r w:rsidR="00F50E55" w:rsidRPr="00822848">
        <w:rPr>
          <w:sz w:val="24"/>
        </w:rPr>
        <w:t>(Figure 1).</w:t>
      </w:r>
      <w:r w:rsidR="000A6C6F">
        <w:rPr>
          <w:sz w:val="24"/>
        </w:rPr>
        <w:t xml:space="preserve"> Beginning from the first household which</w:t>
      </w:r>
      <w:r w:rsidR="002D1A4B">
        <w:rPr>
          <w:sz w:val="24"/>
        </w:rPr>
        <w:t xml:space="preserve"> was nominated by the community leader,</w:t>
      </w:r>
      <w:r w:rsidR="000E4461">
        <w:rPr>
          <w:sz w:val="24"/>
        </w:rPr>
        <w:t xml:space="preserve"> household</w:t>
      </w:r>
      <w:r w:rsidR="004A3625">
        <w:rPr>
          <w:sz w:val="24"/>
        </w:rPr>
        <w:t>-heads</w:t>
      </w:r>
      <w:r w:rsidR="000E4461">
        <w:rPr>
          <w:sz w:val="24"/>
        </w:rPr>
        <w:t xml:space="preserve"> </w:t>
      </w:r>
      <w:r w:rsidR="007B3AFF">
        <w:rPr>
          <w:sz w:val="24"/>
        </w:rPr>
        <w:t xml:space="preserve">suggested </w:t>
      </w:r>
      <w:r w:rsidR="000E4461">
        <w:rPr>
          <w:sz w:val="24"/>
        </w:rPr>
        <w:t xml:space="preserve">other households that </w:t>
      </w:r>
      <w:r w:rsidR="00AA4A73">
        <w:rPr>
          <w:sz w:val="24"/>
        </w:rPr>
        <w:t>would be willing to participate</w:t>
      </w:r>
      <w:r w:rsidR="004A3625">
        <w:rPr>
          <w:sz w:val="24"/>
        </w:rPr>
        <w:t xml:space="preserve">. </w:t>
      </w:r>
      <w:bookmarkStart w:id="3" w:name="_Hlk44932027"/>
      <w:r w:rsidR="00FC7C1B">
        <w:rPr>
          <w:sz w:val="24"/>
        </w:rPr>
        <w:t>A</w:t>
      </w:r>
      <w:r w:rsidR="00BA5EF6">
        <w:rPr>
          <w:sz w:val="24"/>
        </w:rPr>
        <w:t>bout a dozen</w:t>
      </w:r>
      <w:r w:rsidR="00FC7C1B">
        <w:rPr>
          <w:sz w:val="24"/>
        </w:rPr>
        <w:t xml:space="preserve"> </w:t>
      </w:r>
      <w:r w:rsidR="004A3625">
        <w:rPr>
          <w:sz w:val="24"/>
        </w:rPr>
        <w:t>households were</w:t>
      </w:r>
      <w:r w:rsidR="008065E0">
        <w:rPr>
          <w:sz w:val="24"/>
        </w:rPr>
        <w:t xml:space="preserve"> </w:t>
      </w:r>
      <w:r w:rsidR="00BA5EF6">
        <w:rPr>
          <w:sz w:val="24"/>
        </w:rPr>
        <w:t xml:space="preserve">conveniently </w:t>
      </w:r>
      <w:r w:rsidR="00CF0B6C">
        <w:rPr>
          <w:sz w:val="24"/>
        </w:rPr>
        <w:t xml:space="preserve">sampled </w:t>
      </w:r>
      <w:r w:rsidR="008065E0">
        <w:rPr>
          <w:sz w:val="24"/>
        </w:rPr>
        <w:t xml:space="preserve">because </w:t>
      </w:r>
      <w:r w:rsidR="00FC7C1B">
        <w:rPr>
          <w:sz w:val="24"/>
        </w:rPr>
        <w:t>the</w:t>
      </w:r>
      <w:r w:rsidR="00CF0B6C">
        <w:rPr>
          <w:sz w:val="24"/>
        </w:rPr>
        <w:t>ir</w:t>
      </w:r>
      <w:r w:rsidR="00FC7C1B">
        <w:rPr>
          <w:sz w:val="24"/>
        </w:rPr>
        <w:t xml:space="preserve"> head</w:t>
      </w:r>
      <w:r w:rsidR="00BA5EF6">
        <w:rPr>
          <w:sz w:val="24"/>
        </w:rPr>
        <w:t>s</w:t>
      </w:r>
      <w:r w:rsidR="00FC7C1B">
        <w:rPr>
          <w:sz w:val="24"/>
        </w:rPr>
        <w:t xml:space="preserve"> expressed interest in participating in the survey.</w:t>
      </w:r>
    </w:p>
    <w:bookmarkEnd w:id="2"/>
    <w:bookmarkEnd w:id="3"/>
    <w:p w14:paraId="2B03F18D" w14:textId="72AE3DEE" w:rsidR="0006099C" w:rsidRDefault="009339E8" w:rsidP="0006099C">
      <w:pPr>
        <w:keepNext/>
        <w:spacing w:after="0" w:line="276" w:lineRule="auto"/>
        <w:jc w:val="center"/>
      </w:pPr>
      <w:r>
        <w:rPr>
          <w:noProof/>
          <w:lang w:eastAsia="en-GB"/>
        </w:rPr>
        <w:drawing>
          <wp:inline distT="0" distB="0" distL="0" distR="0" wp14:anchorId="4A0FD74F" wp14:editId="103F1B28">
            <wp:extent cx="5049672" cy="33617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52855" cy="3363904"/>
                    </a:xfrm>
                    <a:prstGeom prst="rect">
                      <a:avLst/>
                    </a:prstGeom>
                    <a:noFill/>
                    <a:ln>
                      <a:noFill/>
                    </a:ln>
                  </pic:spPr>
                </pic:pic>
              </a:graphicData>
            </a:graphic>
          </wp:inline>
        </w:drawing>
      </w:r>
    </w:p>
    <w:p w14:paraId="51567687" w14:textId="0449451F" w:rsidR="007544A9" w:rsidRPr="00007D3E" w:rsidRDefault="0006099C" w:rsidP="0006099C">
      <w:pPr>
        <w:pStyle w:val="Caption"/>
        <w:rPr>
          <w:b/>
          <w:i w:val="0"/>
          <w:sz w:val="36"/>
        </w:rPr>
      </w:pPr>
      <w:r w:rsidRPr="00007D3E">
        <w:rPr>
          <w:sz w:val="24"/>
        </w:rPr>
        <w:t xml:space="preserve">Figure </w:t>
      </w:r>
      <w:r w:rsidRPr="00007D3E">
        <w:rPr>
          <w:sz w:val="24"/>
        </w:rPr>
        <w:fldChar w:fldCharType="begin"/>
      </w:r>
      <w:r w:rsidRPr="00007D3E">
        <w:rPr>
          <w:sz w:val="24"/>
        </w:rPr>
        <w:instrText xml:space="preserve"> SEQ Figure \* ARABIC </w:instrText>
      </w:r>
      <w:r w:rsidRPr="00007D3E">
        <w:rPr>
          <w:sz w:val="24"/>
        </w:rPr>
        <w:fldChar w:fldCharType="separate"/>
      </w:r>
      <w:r w:rsidR="001E46DE">
        <w:rPr>
          <w:noProof/>
          <w:sz w:val="24"/>
        </w:rPr>
        <w:t>1</w:t>
      </w:r>
      <w:r w:rsidRPr="00007D3E">
        <w:rPr>
          <w:sz w:val="24"/>
        </w:rPr>
        <w:fldChar w:fldCharType="end"/>
      </w:r>
      <w:r w:rsidRPr="00007D3E">
        <w:rPr>
          <w:sz w:val="24"/>
        </w:rPr>
        <w:t xml:space="preserve">: </w:t>
      </w:r>
      <w:r w:rsidR="00A07B91">
        <w:rPr>
          <w:sz w:val="24"/>
        </w:rPr>
        <w:t>Location of</w:t>
      </w:r>
      <w:r w:rsidR="000B6F84">
        <w:rPr>
          <w:sz w:val="24"/>
        </w:rPr>
        <w:t xml:space="preserve"> </w:t>
      </w:r>
      <w:r w:rsidR="005031A2">
        <w:rPr>
          <w:sz w:val="24"/>
        </w:rPr>
        <w:t xml:space="preserve">the </w:t>
      </w:r>
      <w:r w:rsidR="000B6F84">
        <w:rPr>
          <w:sz w:val="24"/>
        </w:rPr>
        <w:t xml:space="preserve">study area </w:t>
      </w:r>
      <w:r w:rsidR="00A07B91">
        <w:rPr>
          <w:sz w:val="24"/>
        </w:rPr>
        <w:t>(</w:t>
      </w:r>
      <w:r w:rsidR="008567EB">
        <w:rPr>
          <w:sz w:val="24"/>
        </w:rPr>
        <w:t>Akosua village (</w:t>
      </w:r>
      <w:r w:rsidR="00A07B91">
        <w:rPr>
          <w:sz w:val="24"/>
        </w:rPr>
        <w:t>AV</w:t>
      </w:r>
      <w:r w:rsidR="008567EB">
        <w:rPr>
          <w:sz w:val="24"/>
        </w:rPr>
        <w:t>)</w:t>
      </w:r>
      <w:r w:rsidR="00A07B91">
        <w:rPr>
          <w:sz w:val="24"/>
        </w:rPr>
        <w:t>1, 2 &amp; 3 are local administrative divisions</w:t>
      </w:r>
      <w:r w:rsidR="008567EB">
        <w:rPr>
          <w:sz w:val="24"/>
        </w:rPr>
        <w:t xml:space="preserve"> within the community</w:t>
      </w:r>
      <w:r w:rsidR="00A07B91">
        <w:rPr>
          <w:sz w:val="24"/>
        </w:rPr>
        <w:t>)</w:t>
      </w:r>
    </w:p>
    <w:p w14:paraId="1CCC6706" w14:textId="71FBC07B" w:rsidR="00947A5E" w:rsidRDefault="00947A5E" w:rsidP="004621BA">
      <w:pPr>
        <w:spacing w:before="240"/>
        <w:jc w:val="both"/>
        <w:rPr>
          <w:sz w:val="24"/>
        </w:rPr>
      </w:pPr>
      <w:r w:rsidRPr="00947A5E">
        <w:rPr>
          <w:sz w:val="24"/>
        </w:rPr>
        <w:t>A household can be defined in several ways, and the definition adopted determines the boundaries of the unit of analysis. In this study</w:t>
      </w:r>
      <w:r w:rsidR="005031A2">
        <w:rPr>
          <w:sz w:val="24"/>
        </w:rPr>
        <w:t>,</w:t>
      </w:r>
      <w:r w:rsidRPr="00947A5E">
        <w:rPr>
          <w:sz w:val="24"/>
        </w:rPr>
        <w:t xml:space="preserve"> a household is defined as the total number of people </w:t>
      </w:r>
      <w:r w:rsidR="007B75F8">
        <w:rPr>
          <w:sz w:val="24"/>
        </w:rPr>
        <w:t>for which</w:t>
      </w:r>
      <w:r w:rsidR="007B75F8" w:rsidRPr="00947A5E">
        <w:rPr>
          <w:sz w:val="24"/>
        </w:rPr>
        <w:t xml:space="preserve"> </w:t>
      </w:r>
      <w:r w:rsidRPr="00947A5E">
        <w:rPr>
          <w:sz w:val="24"/>
        </w:rPr>
        <w:t xml:space="preserve">the household head surveyed is responsible </w:t>
      </w:r>
      <w:r w:rsidR="007B75F8">
        <w:rPr>
          <w:sz w:val="24"/>
        </w:rPr>
        <w:t>in terms of</w:t>
      </w:r>
      <w:r w:rsidRPr="00947A5E">
        <w:rPr>
          <w:sz w:val="24"/>
        </w:rPr>
        <w:t xml:space="preserve"> daily subsistence </w:t>
      </w:r>
      <w:r w:rsidR="00D21574">
        <w:rPr>
          <w:sz w:val="24"/>
        </w:rPr>
        <w:fldChar w:fldCharType="begin" w:fldLock="1"/>
      </w:r>
      <w:r w:rsidR="000150EF">
        <w:rPr>
          <w:sz w:val="24"/>
        </w:rPr>
        <w:instrText>ADDIN CSL_CITATION {"citationItems":[{"id":"ITEM-1","itemData":{"abstract":"programmes at all levels. To achieve this objective, GSS has over the years produced statistical data through censuses, sample surveys and administrative sources. The 2010 Population and Housing Census (PHC) is the fifth census to be undertaken in Ghana since independence in 1957. The immediate objective of the 2010 Census was to ensure the availability of demographic, housing and socio-economic bench-mark data at the national, regional, district and locality levels for planning.","author":[{"dropping-particle":"","family":"Ghana Statistical Service","given":"","non-dropping-particle":"","parse-names":false,"suffix":""}],"id":"ITEM-1","issued":{"date-parts":[["2014"]]},"number-of-pages":"409","publisher-place":"Accra, Ghana","title":"2010 POPULATION &amp; HOUSING CENSUS NATIONAL: NATIONAL ANALYTICAL REPORT","type":"report"},"uris":["http://www.mendeley.com/documents/?uuid=c17b3342-93eb-45de-8bab-59700f36a8c3"]}],"mendeley":{"formattedCitation":"[34]","plainTextFormattedCitation":"[34]","previouslyFormattedCitation":"[34]"},"properties":{"noteIndex":0},"schema":"https://github.com/citation-style-language/schema/raw/master/csl-citation.json"}</w:instrText>
      </w:r>
      <w:r w:rsidR="00D21574">
        <w:rPr>
          <w:sz w:val="24"/>
        </w:rPr>
        <w:fldChar w:fldCharType="separate"/>
      </w:r>
      <w:r w:rsidR="00190437" w:rsidRPr="00190437">
        <w:rPr>
          <w:noProof/>
          <w:sz w:val="24"/>
        </w:rPr>
        <w:t>[34]</w:t>
      </w:r>
      <w:r w:rsidR="00D21574">
        <w:rPr>
          <w:sz w:val="24"/>
        </w:rPr>
        <w:fldChar w:fldCharType="end"/>
      </w:r>
      <w:r w:rsidR="00D21574">
        <w:rPr>
          <w:sz w:val="24"/>
        </w:rPr>
        <w:t xml:space="preserve">. </w:t>
      </w:r>
      <w:r w:rsidRPr="00947A5E">
        <w:rPr>
          <w:sz w:val="24"/>
        </w:rPr>
        <w:t xml:space="preserve"> In each surveyed household, the household head </w:t>
      </w:r>
      <w:r w:rsidR="00AF05E8">
        <w:rPr>
          <w:sz w:val="24"/>
        </w:rPr>
        <w:t>(</w:t>
      </w:r>
      <w:r w:rsidR="00AF05E8" w:rsidRPr="00947A5E">
        <w:rPr>
          <w:sz w:val="24"/>
        </w:rPr>
        <w:t>or their next of kin when they were not available</w:t>
      </w:r>
      <w:r w:rsidR="00AF05E8">
        <w:rPr>
          <w:sz w:val="24"/>
        </w:rPr>
        <w:t xml:space="preserve">) </w:t>
      </w:r>
      <w:r w:rsidRPr="00947A5E">
        <w:rPr>
          <w:sz w:val="24"/>
        </w:rPr>
        <w:t xml:space="preserve">responded to the </w:t>
      </w:r>
      <w:r w:rsidR="0085645C">
        <w:rPr>
          <w:sz w:val="24"/>
        </w:rPr>
        <w:t>questionnaire</w:t>
      </w:r>
      <w:r w:rsidRPr="00947A5E">
        <w:rPr>
          <w:sz w:val="24"/>
        </w:rPr>
        <w:t xml:space="preserve">. The </w:t>
      </w:r>
      <w:r w:rsidR="0085645C">
        <w:rPr>
          <w:sz w:val="24"/>
        </w:rPr>
        <w:t>questionnaire</w:t>
      </w:r>
      <w:r w:rsidRPr="00947A5E">
        <w:rPr>
          <w:sz w:val="24"/>
        </w:rPr>
        <w:t xml:space="preserve"> included questions about household characteristics, livelihood and income, energy needs, health, socio</w:t>
      </w:r>
      <w:r w:rsidR="005031A2">
        <w:rPr>
          <w:sz w:val="24"/>
        </w:rPr>
        <w:t>-</w:t>
      </w:r>
      <w:r w:rsidRPr="00947A5E">
        <w:rPr>
          <w:sz w:val="24"/>
        </w:rPr>
        <w:t>cultural relations, social integration, perceptions of climate risks and impacts, adaptation strategies and household capital assets.</w:t>
      </w:r>
      <w:r w:rsidR="00AE6EC4">
        <w:rPr>
          <w:sz w:val="24"/>
        </w:rPr>
        <w:t xml:space="preserve"> </w:t>
      </w:r>
      <w:r w:rsidR="00AE6EC4" w:rsidRPr="00AE6EC4">
        <w:rPr>
          <w:sz w:val="24"/>
        </w:rPr>
        <w:t xml:space="preserve">Data collected </w:t>
      </w:r>
      <w:r w:rsidR="00AF05E8">
        <w:rPr>
          <w:sz w:val="24"/>
        </w:rPr>
        <w:t>were</w:t>
      </w:r>
      <w:r w:rsidR="00AF05E8" w:rsidRPr="00AE6EC4">
        <w:rPr>
          <w:sz w:val="24"/>
        </w:rPr>
        <w:t xml:space="preserve"> </w:t>
      </w:r>
      <w:r w:rsidR="00AE6EC4" w:rsidRPr="00AE6EC4">
        <w:rPr>
          <w:sz w:val="24"/>
        </w:rPr>
        <w:t xml:space="preserve">used </w:t>
      </w:r>
      <w:r w:rsidR="00AF05E8">
        <w:rPr>
          <w:sz w:val="24"/>
        </w:rPr>
        <w:t>to estimate</w:t>
      </w:r>
      <w:r w:rsidR="00AE6EC4" w:rsidRPr="00AE6EC4">
        <w:rPr>
          <w:sz w:val="24"/>
        </w:rPr>
        <w:t xml:space="preserve"> a vulnerability index for each household using the Statistical Package for Social Sciences (SPSS v25).</w:t>
      </w:r>
      <w:r w:rsidR="007053EC">
        <w:rPr>
          <w:sz w:val="24"/>
        </w:rPr>
        <w:t xml:space="preserve"> </w:t>
      </w:r>
    </w:p>
    <w:p w14:paraId="6899148A" w14:textId="77777777" w:rsidR="001C0880" w:rsidRDefault="00213387" w:rsidP="00160FB1">
      <w:pPr>
        <w:spacing w:before="240" w:after="0"/>
        <w:jc w:val="both"/>
        <w:rPr>
          <w:b/>
          <w:sz w:val="24"/>
        </w:rPr>
      </w:pPr>
      <w:r w:rsidRPr="00497C24">
        <w:rPr>
          <w:b/>
          <w:sz w:val="24"/>
        </w:rPr>
        <w:t>3.2.3</w:t>
      </w:r>
      <w:r w:rsidR="00051207" w:rsidRPr="00497C24">
        <w:rPr>
          <w:b/>
          <w:sz w:val="24"/>
        </w:rPr>
        <w:t xml:space="preserve"> </w:t>
      </w:r>
      <w:r w:rsidR="00FE4017" w:rsidRPr="00497C24">
        <w:rPr>
          <w:b/>
          <w:sz w:val="24"/>
        </w:rPr>
        <w:t>Estimating</w:t>
      </w:r>
      <w:r w:rsidR="00443424">
        <w:rPr>
          <w:b/>
          <w:sz w:val="24"/>
        </w:rPr>
        <w:t xml:space="preserve"> household</w:t>
      </w:r>
      <w:r w:rsidR="00FE4017" w:rsidRPr="00497C24">
        <w:rPr>
          <w:b/>
          <w:sz w:val="24"/>
        </w:rPr>
        <w:t xml:space="preserve"> </w:t>
      </w:r>
      <w:r w:rsidR="00497C24" w:rsidRPr="00497C24">
        <w:rPr>
          <w:b/>
          <w:sz w:val="24"/>
        </w:rPr>
        <w:t>vulnerability index</w:t>
      </w:r>
    </w:p>
    <w:p w14:paraId="53B5D749" w14:textId="5B5EDA7D" w:rsidR="00497C24" w:rsidRPr="00F832A9" w:rsidRDefault="00BD0142" w:rsidP="004621BA">
      <w:pPr>
        <w:spacing w:before="240"/>
        <w:jc w:val="both"/>
        <w:rPr>
          <w:sz w:val="24"/>
        </w:rPr>
      </w:pPr>
      <w:r>
        <w:rPr>
          <w:sz w:val="24"/>
        </w:rPr>
        <w:t>According to the I</w:t>
      </w:r>
      <w:r w:rsidR="00456886">
        <w:rPr>
          <w:sz w:val="24"/>
        </w:rPr>
        <w:t>PCC</w:t>
      </w:r>
      <w:r>
        <w:rPr>
          <w:sz w:val="24"/>
        </w:rPr>
        <w:t xml:space="preserve"> [31]</w:t>
      </w:r>
      <w:r w:rsidR="005031A2">
        <w:rPr>
          <w:sz w:val="24"/>
        </w:rPr>
        <w:t>,</w:t>
      </w:r>
      <w:r w:rsidR="00456886">
        <w:rPr>
          <w:sz w:val="24"/>
        </w:rPr>
        <w:t xml:space="preserve"> climate change</w:t>
      </w:r>
      <w:r w:rsidR="002E15E5">
        <w:rPr>
          <w:sz w:val="24"/>
        </w:rPr>
        <w:t xml:space="preserve"> </w:t>
      </w:r>
      <w:r>
        <w:rPr>
          <w:sz w:val="24"/>
        </w:rPr>
        <w:t xml:space="preserve">vulnerability is </w:t>
      </w:r>
      <w:r w:rsidR="00121447">
        <w:rPr>
          <w:sz w:val="24"/>
        </w:rPr>
        <w:t>dependent on</w:t>
      </w:r>
      <w:r w:rsidR="002E15E5">
        <w:rPr>
          <w:sz w:val="24"/>
        </w:rPr>
        <w:t xml:space="preserve"> an entity’s exposure (E), sensitivity (S) and adaptive capacity (AC)</w:t>
      </w:r>
      <w:r>
        <w:rPr>
          <w:sz w:val="24"/>
        </w:rPr>
        <w:t xml:space="preserve">. </w:t>
      </w:r>
      <w:bookmarkStart w:id="4" w:name="_Hlk43115054"/>
      <w:r>
        <w:rPr>
          <w:sz w:val="24"/>
        </w:rPr>
        <w:t>Given that</w:t>
      </w:r>
      <w:r w:rsidR="007E3043">
        <w:rPr>
          <w:sz w:val="24"/>
        </w:rPr>
        <w:t xml:space="preserve"> the</w:t>
      </w:r>
      <w:r w:rsidR="001D530A">
        <w:rPr>
          <w:sz w:val="24"/>
        </w:rPr>
        <w:t xml:space="preserve"> potential impact</w:t>
      </w:r>
      <w:r w:rsidR="00186F93">
        <w:rPr>
          <w:sz w:val="24"/>
        </w:rPr>
        <w:t xml:space="preserve"> from climate change hazards</w:t>
      </w:r>
      <w:r w:rsidR="007E3043">
        <w:rPr>
          <w:sz w:val="24"/>
        </w:rPr>
        <w:t>,</w:t>
      </w:r>
      <w:r w:rsidR="00186F93">
        <w:rPr>
          <w:sz w:val="24"/>
        </w:rPr>
        <w:t xml:space="preserve"> which is a function of an entity’s </w:t>
      </w:r>
      <w:r w:rsidR="00602EC5">
        <w:rPr>
          <w:sz w:val="24"/>
        </w:rPr>
        <w:t>E</w:t>
      </w:r>
      <w:r w:rsidR="00186F93">
        <w:rPr>
          <w:sz w:val="24"/>
        </w:rPr>
        <w:t xml:space="preserve"> and </w:t>
      </w:r>
      <w:r w:rsidR="00602EC5">
        <w:rPr>
          <w:sz w:val="24"/>
        </w:rPr>
        <w:t>S</w:t>
      </w:r>
      <w:r w:rsidR="00AF05E8">
        <w:rPr>
          <w:sz w:val="24"/>
        </w:rPr>
        <w:t>,</w:t>
      </w:r>
      <w:r w:rsidR="00186F93">
        <w:rPr>
          <w:sz w:val="24"/>
        </w:rPr>
        <w:t xml:space="preserve"> may be </w:t>
      </w:r>
      <w:r w:rsidR="00311EFF">
        <w:rPr>
          <w:sz w:val="24"/>
        </w:rPr>
        <w:t xml:space="preserve">offset totally or partially by </w:t>
      </w:r>
      <w:r w:rsidR="00602EC5">
        <w:rPr>
          <w:sz w:val="24"/>
        </w:rPr>
        <w:t>its</w:t>
      </w:r>
      <w:r w:rsidR="00311EFF">
        <w:rPr>
          <w:sz w:val="24"/>
        </w:rPr>
        <w:t xml:space="preserve"> </w:t>
      </w:r>
      <w:r w:rsidR="00437D9F">
        <w:rPr>
          <w:sz w:val="24"/>
        </w:rPr>
        <w:t>AC</w:t>
      </w:r>
      <w:r w:rsidR="00394803">
        <w:rPr>
          <w:sz w:val="24"/>
        </w:rPr>
        <w:t xml:space="preserve"> </w:t>
      </w:r>
      <w:r w:rsidR="00394803">
        <w:rPr>
          <w:sz w:val="24"/>
        </w:rPr>
        <w:fldChar w:fldCharType="begin" w:fldLock="1"/>
      </w:r>
      <w:r w:rsidR="00B924BC">
        <w:rPr>
          <w:sz w:val="24"/>
        </w:rPr>
        <w:instrText>ADDIN CSL_CITATION {"citationItems":[{"id":"ITEM-1","itemData":{"DOI":"10.1111/j.1467-2979.2008.00310.x","ISSN":"1467-2960","abstract":"Abstract Anthropogenic global warming has significantly influenced physical and biological processes at global and regional scales. The observed and anticipated changes in global climate present significant opportunities and challenges for societies and economies. We compare the vulnerability of 132 national economies to potential climate change impacts on their capture fisheries using an indicator-based approach. Countries in Central and Western Africa (e.g. Malawi, Guinea, Senegal, and Uganda), Peru and Colombia in north-western South America, and four tropical Asian countries (Bangladesh, Cambodia, Pakistan, and Yemen) were identified as most vulnerable. This vulnerability was due to the combined effect of predicted warming, the relative importance of fisheries to national economies and diets, and limited societal capacity to adapt to potential impacts and opportunities. Many vulnerable countries were also among the world?s least developed countries whose inhabitants are among the world?s poorest and twice as reliant on fish, which provides 27% of dietary protein compared to 13% in less vulnerable countries. These countries also produce 20% of the world?s fish exports and are in greatest need of adaptation planning to maintain or enhance the contribution that fisheries can make to poverty reduction. Although the precise impacts and direction of climate-driven change for particular fish stocks and fisheries are uncertain, our analysis suggests they are likely to lead to either increased economic hardship or missed opportunities for development in countries that depend upon fisheries but lack the capacity to adapt.","author":[{"dropping-particle":"","family":"Allison","given":"Edward H","non-dropping-particle":"","parse-names":false,"suffix":""},{"dropping-particle":"","family":"Perry","given":"Allison L","non-dropping-particle":"","parse-names":false,"suffix":""},{"dropping-particle":"","family":"Badjeck","given":"Marie-Caroline","non-dropping-particle":"","parse-names":false,"suffix":""},{"dropping-particle":"","family":"Neil Adger","given":"W","non-dropping-particle":"","parse-names":false,"suffix":""},{"dropping-particle":"","family":"Brown","given":"Katrina","non-dropping-particle":"","parse-names":false,"suffix":""},{"dropping-particle":"","family":"Conway","given":"Declan","non-dropping-particle":"","parse-names":false,"suffix":""},{"dropping-particle":"","family":"Halls","given":"Ashley S","non-dropping-particle":"","parse-names":false,"suffix":""},{"dropping-particle":"","family":"Pilling","given":"Graham M","non-dropping-particle":"","parse-names":false,"suffix":""},{"dropping-particle":"","family":"Reynolds","given":"John D","non-dropping-particle":"","parse-names":false,"suffix":""},{"dropping-particle":"","family":"Andrew","given":"Neil L","non-dropping-particle":"","parse-names":false,"suffix":""},{"dropping-particle":"","family":"Dulvy","given":"Nicholas K","non-dropping-particle":"","parse-names":false,"suffix":""}],"container-title":"Fish and Fisheries","id":"ITEM-1","issue":"2","issued":{"date-parts":[["2009","6","1"]]},"note":"doi: 10.1111/j.1467-2979.2008.00310.x","page":"173-196","publisher":"John Wiley &amp; Sons, Ltd (10.1111)","title":"Vulnerability of national economies to the impacts of climate change on fisheries","type":"article-journal","volume":"10"},"uris":["http://www.mendeley.com/documents/?uuid=123fa285-824c-46ca-9cd9-6adcdee22d3c"]},{"id":"ITEM-2","itemData":{"DOI":"10.1016/j.ocecoaman.2015.11.022","ISSN":"09645691","abstract":"Increasing human pressures on coastlines and associated threats posed by sea-level rise have stimulated development of a range of different concepts and methodological approaches to assess coastal vulnerability. The first section of this paper summarizes the concepts associated with vulnerability, natural hazards and climate change. The most widely adopted analytical approaches to vulnerability assessment are described, including spatial scales, the need for hybrid approaches comprising both biophysical and social dimensions of vulnerability, and the gradual incorporation of resilience aspects into such methodologies. In particular, the development and application of vulnerability indices is examined, based on a review of more than 50 studies that applied such indices across a range of hazards. The analytical procedures, proposed typologies, and most commonly selected variables are discussed. This overview demonstrates the breadth of vulnerability studies. This leads inevitably to lack of standardization of concepts and assumptions, which results in limited comparability between outputs for coasts from different areas. However, the widespread demand for vulnerability assessment as a component of decision-making in integrated management of the coast justifies pursuing indicator-based vulnerability assessments. In some cases these will explicitly adopt a consistent methodology that enables comparison between sites, whereas alternatively, metrics may be developed that are designed around particular system components and the site-specific functions for which they are valued.","author":[{"dropping-particle":"","family":"Nguyen","given":"Thang T.X.","non-dropping-particle":"","parse-names":false,"suffix":""},{"dropping-particle":"","family":"Bonetti","given":"Jarbas","non-dropping-particle":"","parse-names":false,"suffix":""},{"dropping-particle":"","family":"Rogers","given":"Kerrylee","non-dropping-particle":"","parse-names":false,"suffix":""},{"dropping-particle":"","family":"Woodroffe","given":"Colin D.","non-dropping-particle":"","parse-names":false,"suffix":""}],"container-title":"Ocean and Coastal Management","id":"ITEM-2","issued":{"date-parts":[["2016"]]},"page":"18-43","publisher":"Elsevier Ltd","title":"Indicator-based assessment of climate-change impacts on coasts: A review of concepts, methodological approaches and vulnerability indices","type":"article-journal","volume":"123"},"uris":["http://www.mendeley.com/documents/?uuid=61501e2d-d648-448a-bc62-b7fca4240d1c"]}],"mendeley":{"formattedCitation":"[14], [31]","plainTextFormattedCitation":"[14], [31]","previouslyFormattedCitation":"[14], [31]"},"properties":{"noteIndex":0},"schema":"https://github.com/citation-style-language/schema/raw/master/csl-citation.json"}</w:instrText>
      </w:r>
      <w:r w:rsidR="00394803">
        <w:rPr>
          <w:sz w:val="24"/>
        </w:rPr>
        <w:fldChar w:fldCharType="separate"/>
      </w:r>
      <w:r w:rsidR="000150EF" w:rsidRPr="000150EF">
        <w:rPr>
          <w:noProof/>
          <w:sz w:val="24"/>
        </w:rPr>
        <w:t>[14], [31]</w:t>
      </w:r>
      <w:r w:rsidR="00394803">
        <w:rPr>
          <w:sz w:val="24"/>
        </w:rPr>
        <w:fldChar w:fldCharType="end"/>
      </w:r>
      <w:r w:rsidR="00737A0E">
        <w:rPr>
          <w:sz w:val="24"/>
        </w:rPr>
        <w:t>,</w:t>
      </w:r>
      <w:r w:rsidR="0044706E">
        <w:rPr>
          <w:sz w:val="24"/>
        </w:rPr>
        <w:t xml:space="preserve"> </w:t>
      </w:r>
      <w:r w:rsidR="00B10DD4">
        <w:rPr>
          <w:sz w:val="24"/>
        </w:rPr>
        <w:t xml:space="preserve">AC is inverted </w:t>
      </w:r>
      <w:r w:rsidR="007E2BB7">
        <w:rPr>
          <w:sz w:val="24"/>
        </w:rPr>
        <w:t xml:space="preserve">by subtracting a household’s AC from the maximum possible normalised </w:t>
      </w:r>
      <w:r w:rsidR="0017598A">
        <w:rPr>
          <w:sz w:val="24"/>
        </w:rPr>
        <w:t>AC, i.e. 10 (</w:t>
      </w:r>
      <w:r w:rsidR="00861362">
        <w:rPr>
          <w:sz w:val="24"/>
        </w:rPr>
        <w:t xml:space="preserve">see </w:t>
      </w:r>
      <w:r w:rsidR="00EE15B6">
        <w:rPr>
          <w:sz w:val="24"/>
        </w:rPr>
        <w:t>Eq.</w:t>
      </w:r>
      <w:r w:rsidR="00861362">
        <w:rPr>
          <w:sz w:val="24"/>
        </w:rPr>
        <w:t xml:space="preserve"> 3</w:t>
      </w:r>
      <w:r w:rsidR="0017598A">
        <w:rPr>
          <w:sz w:val="24"/>
        </w:rPr>
        <w:t>).</w:t>
      </w:r>
      <w:r w:rsidR="00CA6023">
        <w:rPr>
          <w:sz w:val="24"/>
        </w:rPr>
        <w:t xml:space="preserve"> </w:t>
      </w:r>
      <w:r w:rsidR="00045D7B">
        <w:rPr>
          <w:sz w:val="24"/>
        </w:rPr>
        <w:t>However, a</w:t>
      </w:r>
      <w:r w:rsidR="001904BB">
        <w:rPr>
          <w:sz w:val="24"/>
        </w:rPr>
        <w:t xml:space="preserve">n important </w:t>
      </w:r>
      <w:r w:rsidR="00DB2F61">
        <w:rPr>
          <w:sz w:val="24"/>
        </w:rPr>
        <w:t>question</w:t>
      </w:r>
      <w:r w:rsidR="005B28AD">
        <w:rPr>
          <w:sz w:val="24"/>
        </w:rPr>
        <w:t xml:space="preserve"> </w:t>
      </w:r>
      <w:r w:rsidR="00045D7B">
        <w:rPr>
          <w:sz w:val="24"/>
        </w:rPr>
        <w:t>a</w:t>
      </w:r>
      <w:r w:rsidR="005B28AD">
        <w:rPr>
          <w:sz w:val="24"/>
        </w:rPr>
        <w:t>rises</w:t>
      </w:r>
      <w:r w:rsidR="003718C8">
        <w:rPr>
          <w:sz w:val="24"/>
        </w:rPr>
        <w:t>.</w:t>
      </w:r>
      <w:r w:rsidR="00DB2F61">
        <w:rPr>
          <w:sz w:val="24"/>
        </w:rPr>
        <w:t xml:space="preserve"> </w:t>
      </w:r>
      <w:bookmarkEnd w:id="4"/>
      <w:r w:rsidR="003718C8">
        <w:rPr>
          <w:sz w:val="24"/>
        </w:rPr>
        <w:t xml:space="preserve">That </w:t>
      </w:r>
      <w:r w:rsidR="001904BB">
        <w:rPr>
          <w:sz w:val="24"/>
        </w:rPr>
        <w:t>i</w:t>
      </w:r>
      <w:r w:rsidR="00170EAD">
        <w:rPr>
          <w:sz w:val="24"/>
        </w:rPr>
        <w:t>s whether the</w:t>
      </w:r>
      <w:r w:rsidR="003718C8">
        <w:rPr>
          <w:sz w:val="24"/>
        </w:rPr>
        <w:t xml:space="preserve"> model components</w:t>
      </w:r>
      <w:r w:rsidR="00170EAD">
        <w:rPr>
          <w:sz w:val="24"/>
        </w:rPr>
        <w:t xml:space="preserve"> should be aggregated </w:t>
      </w:r>
      <w:r w:rsidR="00BE5BD8">
        <w:rPr>
          <w:sz w:val="24"/>
        </w:rPr>
        <w:t>by addition</w:t>
      </w:r>
      <w:r w:rsidR="002B509B">
        <w:rPr>
          <w:sz w:val="24"/>
        </w:rPr>
        <w:t xml:space="preserve"> (Eq. 1)</w:t>
      </w:r>
      <w:r w:rsidR="00BE5BD8">
        <w:rPr>
          <w:sz w:val="24"/>
        </w:rPr>
        <w:t xml:space="preserve"> or by mul</w:t>
      </w:r>
      <w:r w:rsidR="00534036">
        <w:rPr>
          <w:sz w:val="24"/>
        </w:rPr>
        <w:t>tiplication</w:t>
      </w:r>
      <w:r w:rsidR="002B509B">
        <w:rPr>
          <w:sz w:val="24"/>
        </w:rPr>
        <w:t xml:space="preserve"> (Eq. 2)</w:t>
      </w:r>
      <w:r w:rsidR="00534036">
        <w:rPr>
          <w:sz w:val="24"/>
        </w:rPr>
        <w:t xml:space="preserve">. Additive aggregation means that the final index is equally dependent on all three model </w:t>
      </w:r>
      <w:r w:rsidR="0012346E">
        <w:rPr>
          <w:sz w:val="24"/>
        </w:rPr>
        <w:lastRenderedPageBreak/>
        <w:t>components</w:t>
      </w:r>
      <w:r w:rsidR="00534036">
        <w:rPr>
          <w:sz w:val="24"/>
        </w:rPr>
        <w:t xml:space="preserve">. </w:t>
      </w:r>
      <w:r w:rsidR="0087413A">
        <w:rPr>
          <w:sz w:val="24"/>
        </w:rPr>
        <w:t>This</w:t>
      </w:r>
      <w:r w:rsidR="0012346E">
        <w:rPr>
          <w:sz w:val="24"/>
        </w:rPr>
        <w:t xml:space="preserve"> raises the problem of compensability, where a high score on one component may compensate for a low score on another</w:t>
      </w:r>
      <w:r w:rsidR="005100AB">
        <w:rPr>
          <w:sz w:val="24"/>
        </w:rPr>
        <w:t xml:space="preserve"> </w:t>
      </w:r>
      <w:r w:rsidR="005100AB">
        <w:rPr>
          <w:sz w:val="24"/>
        </w:rPr>
        <w:fldChar w:fldCharType="begin" w:fldLock="1"/>
      </w:r>
      <w:r w:rsidR="00643F1B">
        <w:rPr>
          <w:sz w:val="24"/>
        </w:rPr>
        <w:instrText>ADDIN CSL_CITATION {"citationItems":[{"id":"ITEM-1","itemData":{"DOI":"10.1111/j.1467-2979.2008.00310.x","ISSN":"1467-2960","abstract":"Abstract Anthropogenic global warming has significantly influenced physical and biological processes at global and regional scales. The observed and anticipated changes in global climate present significant opportunities and challenges for societies and economies. We compare the vulnerability of 132 national economies to potential climate change impacts on their capture fisheries using an indicator-based approach. Countries in Central and Western Africa (e.g. Malawi, Guinea, Senegal, and Uganda), Peru and Colombia in north-western South America, and four tropical Asian countries (Bangladesh, Cambodia, Pakistan, and Yemen) were identified as most vulnerable. This vulnerability was due to the combined effect of predicted warming, the relative importance of fisheries to national economies and diets, and limited societal capacity to adapt to potential impacts and opportunities. Many vulnerable countries were also among the world?s least developed countries whose inhabitants are among the world?s poorest and twice as reliant on fish, which provides 27% of dietary protein compared to 13% in less vulnerable countries. These countries also produce 20% of the world?s fish exports and are in greatest need of adaptation planning to maintain or enhance the contribution that fisheries can make to poverty reduction. Although the precise impacts and direction of climate-driven change for particular fish stocks and fisheries are uncertain, our analysis suggests they are likely to lead to either increased economic hardship or missed opportunities for development in countries that depend upon fisheries but lack the capacity to adapt.","author":[{"dropping-particle":"","family":"Allison","given":"Edward H","non-dropping-particle":"","parse-names":false,"suffix":""},{"dropping-particle":"","family":"Perry","given":"Allison L","non-dropping-particle":"","parse-names":false,"suffix":""},{"dropping-particle":"","family":"Badjeck","given":"Marie-Caroline","non-dropping-particle":"","parse-names":false,"suffix":""},{"dropping-particle":"","family":"Neil Adger","given":"W","non-dropping-particle":"","parse-names":false,"suffix":""},{"dropping-particle":"","family":"Brown","given":"Katrina","non-dropping-particle":"","parse-names":false,"suffix":""},{"dropping-particle":"","family":"Conway","given":"Declan","non-dropping-particle":"","parse-names":false,"suffix":""},{"dropping-particle":"","family":"Halls","given":"Ashley S","non-dropping-particle":"","parse-names":false,"suffix":""},{"dropping-particle":"","family":"Pilling","given":"Graham M","non-dropping-particle":"","parse-names":false,"suffix":""},{"dropping-particle":"","family":"Reynolds","given":"John D","non-dropping-particle":"","parse-names":false,"suffix":""},{"dropping-particle":"","family":"Andrew","given":"Neil L","non-dropping-particle":"","parse-names":false,"suffix":""},{"dropping-particle":"","family":"Dulvy","given":"Nicholas K","non-dropping-particle":"","parse-names":false,"suffix":""}],"container-title":"Fish and Fisheries","id":"ITEM-1","issue":"2","issued":{"date-parts":[["2009","6","1"]]},"note":"doi: 10.1111/j.1467-2979.2008.00310.x","page":"173-196","publisher":"John Wiley &amp; Sons, Ltd (10.1111)","title":"Vulnerability of national economies to the impacts of climate change on fisheries","type":"article-journal","volume":"10"},"uris":["http://www.mendeley.com/documents/?uuid=123fa285-824c-46ca-9cd9-6adcdee22d3c"]}],"mendeley":{"formattedCitation":"[14]","plainTextFormattedCitation":"[14]","previouslyFormattedCitation":"[14]"},"properties":{"noteIndex":0},"schema":"https://github.com/citation-style-language/schema/raw/master/csl-citation.json"}</w:instrText>
      </w:r>
      <w:r w:rsidR="005100AB">
        <w:rPr>
          <w:sz w:val="24"/>
        </w:rPr>
        <w:fldChar w:fldCharType="separate"/>
      </w:r>
      <w:r w:rsidR="0076085D" w:rsidRPr="0076085D">
        <w:rPr>
          <w:noProof/>
          <w:sz w:val="24"/>
        </w:rPr>
        <w:t>[14]</w:t>
      </w:r>
      <w:r w:rsidR="005100AB">
        <w:rPr>
          <w:sz w:val="24"/>
        </w:rPr>
        <w:fldChar w:fldCharType="end"/>
      </w:r>
      <w:r w:rsidR="0012346E">
        <w:rPr>
          <w:sz w:val="24"/>
        </w:rPr>
        <w:t>.</w:t>
      </w:r>
      <w:r w:rsidR="00D11E3A">
        <w:rPr>
          <w:sz w:val="24"/>
        </w:rPr>
        <w:t xml:space="preserve"> </w:t>
      </w:r>
      <w:r w:rsidR="00193908">
        <w:rPr>
          <w:sz w:val="24"/>
        </w:rPr>
        <w:t>M</w:t>
      </w:r>
      <w:r w:rsidR="00D11E3A">
        <w:rPr>
          <w:sz w:val="24"/>
        </w:rPr>
        <w:t xml:space="preserve">ultiplicative aggregation </w:t>
      </w:r>
      <w:r w:rsidR="004F51E7">
        <w:rPr>
          <w:sz w:val="24"/>
        </w:rPr>
        <w:t>lessen</w:t>
      </w:r>
      <w:r w:rsidR="00193908">
        <w:rPr>
          <w:sz w:val="24"/>
        </w:rPr>
        <w:t>s</w:t>
      </w:r>
      <w:r w:rsidR="004F51E7">
        <w:rPr>
          <w:sz w:val="24"/>
        </w:rPr>
        <w:t xml:space="preserve"> this problem </w:t>
      </w:r>
      <w:r w:rsidR="00B928D2">
        <w:rPr>
          <w:sz w:val="24"/>
        </w:rPr>
        <w:fldChar w:fldCharType="begin" w:fldLock="1"/>
      </w:r>
      <w:r w:rsidR="00FC52F5">
        <w:rPr>
          <w:sz w:val="24"/>
        </w:rPr>
        <w:instrText>ADDIN CSL_CITATION {"citationItems":[{"id":"ITEM-1","itemData":{"ISSN":"0921-8009","abstract":"This paper presents a framework for constructing multi-attributed indices to measure welfare derived by a region's citizenry from environmental resources. The framework provides a procedure for integrated regional accounting. The process of index construction is based on stakeholder consultation combined with multi-attribute utility theory (MAUT). It is illustrated by developing a water service index for the Great Barrier Reef (GBR) region in Queensland, Australia. This involved a survey of 901 visitors and residents. The index shows how scientific information can be merged with societal preferences for competing water services to attain an overall measure of performance. Results report regional welfare resulting from alternative policy scenarios and the impact of individual indicators on whole-of-system performance. Regional welfare was found to be strongly influenced by instream heavy metal concentrations, coral cover and sediment exports. The process for index construction developed here could be applied for a multitude of environmental issues. It can provide a single unifying measure of performance when an environmental resource delivers numerous services measured in multiple monetary and non-monetary units.","author":[{"dropping-particle":"","family":"Hajkowicz","given":"Stefan","non-dropping-particle":"","parse-names":false,"suffix":""}],"container-title":"Ecological Economics","id":"ITEM-1","issue":"1","issued":{"date-parts":[["2006","1","1"]]},"note":"Accession Number: S0921800905001643; Author: Hajkowicz, Stefan (</w:instrText>
      </w:r>
      <w:r w:rsidR="00FC52F5">
        <w:rPr>
          <w:rFonts w:ascii="Tahoma" w:hAnsi="Tahoma" w:cs="Tahoma"/>
          <w:sz w:val="24"/>
        </w:rPr>
        <w:instrText>⁎</w:instrText>
      </w:r>
      <w:r w:rsidR="00FC52F5">
        <w:rPr>
          <w:sz w:val="24"/>
        </w:rPr>
        <w:instrText>); Affiliation: CSIRO Sustainable Ecosystems, 306 Carmody Rd, St Lucia QLD 4067, Australia; Keyword: Index construction; Keyword: Multi-attribute utility theory; Keyword: Water resource management; Number of Pages: 18; Language: English;","page":"122-139","publisher":"Elsevier B.V.","title":"Multi-attributed environmental index construction","type":"article-journal","volume":"57"},"uris":["http://www.mendeley.com/documents/?uuid=d33c22f4-e5e2-43e4-8d93-b283301a5e79"]}],"mendeley":{"formattedCitation":"[36]","plainTextFormattedCitation":"[36]","previouslyFormattedCitation":"[35]"},"properties":{"noteIndex":0},"schema":"https://github.com/citation-style-language/schema/raw/master/csl-citation.json"}</w:instrText>
      </w:r>
      <w:r w:rsidR="00B928D2">
        <w:rPr>
          <w:sz w:val="24"/>
        </w:rPr>
        <w:fldChar w:fldCharType="separate"/>
      </w:r>
      <w:r w:rsidR="00FC52F5" w:rsidRPr="00FC52F5">
        <w:rPr>
          <w:noProof/>
          <w:sz w:val="24"/>
        </w:rPr>
        <w:t>[36]</w:t>
      </w:r>
      <w:r w:rsidR="00B928D2">
        <w:rPr>
          <w:sz w:val="24"/>
        </w:rPr>
        <w:fldChar w:fldCharType="end"/>
      </w:r>
      <w:r w:rsidR="00966AA8">
        <w:rPr>
          <w:sz w:val="24"/>
        </w:rPr>
        <w:t xml:space="preserve"> and is therefore preferred in this study</w:t>
      </w:r>
      <w:r w:rsidR="005100AB">
        <w:rPr>
          <w:sz w:val="24"/>
        </w:rPr>
        <w:t>.</w:t>
      </w:r>
      <w:r w:rsidR="00BE0332">
        <w:rPr>
          <w:sz w:val="24"/>
        </w:rPr>
        <w:t xml:space="preserve"> </w:t>
      </w:r>
    </w:p>
    <w:p w14:paraId="0210ED9B" w14:textId="77777777" w:rsidR="00164B72" w:rsidRDefault="00164B72" w:rsidP="00164B72">
      <w:pPr>
        <w:spacing w:after="0" w:line="276" w:lineRule="auto"/>
        <w:ind w:firstLine="720"/>
        <w:rPr>
          <w:rFonts w:cstheme="minorHAnsi"/>
          <w:sz w:val="24"/>
        </w:rPr>
      </w:pPr>
      <w:r w:rsidRPr="000400EB">
        <w:rPr>
          <w:rFonts w:cstheme="minorHAnsi"/>
          <w:sz w:val="24"/>
        </w:rPr>
        <w:t xml:space="preserve">Equation </w:t>
      </w:r>
      <w:r w:rsidR="002B509B">
        <w:rPr>
          <w:rFonts w:cstheme="minorHAnsi"/>
          <w:sz w:val="24"/>
        </w:rPr>
        <w:t>1</w:t>
      </w:r>
      <w:r w:rsidRPr="000400EB">
        <w:rPr>
          <w:rFonts w:cstheme="minorHAnsi"/>
          <w:sz w:val="24"/>
        </w:rPr>
        <w:t>:</w:t>
      </w:r>
      <m:oMath>
        <m:r>
          <w:rPr>
            <w:rFonts w:ascii="Cambria Math" w:hAnsi="Cambria Math"/>
          </w:rPr>
          <m:t xml:space="preserve"> Vulnerability (V)=(E+S+(10-AC)</m:t>
        </m:r>
      </m:oMath>
      <w:r w:rsidRPr="000400EB">
        <w:rPr>
          <w:rFonts w:eastAsiaTheme="minorEastAsia"/>
        </w:rPr>
        <w:t>)/3</w:t>
      </w:r>
    </w:p>
    <w:p w14:paraId="5E77FDDE" w14:textId="77777777" w:rsidR="002B509B" w:rsidRDefault="002B509B" w:rsidP="00AA6C41">
      <w:pPr>
        <w:spacing w:after="0" w:line="240" w:lineRule="auto"/>
        <w:ind w:firstLine="720"/>
        <w:rPr>
          <w:rFonts w:cstheme="minorHAnsi"/>
          <w:sz w:val="24"/>
        </w:rPr>
      </w:pPr>
      <w:r w:rsidRPr="000400EB">
        <w:rPr>
          <w:rFonts w:cstheme="minorHAnsi"/>
          <w:sz w:val="24"/>
        </w:rPr>
        <w:t xml:space="preserve">Equation </w:t>
      </w:r>
      <w:r>
        <w:rPr>
          <w:rFonts w:cstheme="minorHAnsi"/>
          <w:sz w:val="24"/>
        </w:rPr>
        <w:t>2</w:t>
      </w:r>
      <w:r w:rsidRPr="000400EB">
        <w:rPr>
          <w:rFonts w:cstheme="minorHAnsi"/>
          <w:sz w:val="24"/>
        </w:rPr>
        <w:t>:</w:t>
      </w:r>
      <m:oMath>
        <m:r>
          <w:rPr>
            <w:rFonts w:ascii="Cambria Math" w:hAnsi="Cambria Math"/>
          </w:rPr>
          <m:t xml:space="preserve"> Vulnerability (V)=(E × S×(10-AC)</m:t>
        </m:r>
      </m:oMath>
      <w:r w:rsidRPr="000400EB">
        <w:rPr>
          <w:rFonts w:eastAsiaTheme="minorEastAsia"/>
        </w:rPr>
        <w:t>)</w:t>
      </w:r>
    </w:p>
    <w:p w14:paraId="03D43BDE" w14:textId="77777777" w:rsidR="00391D5B" w:rsidRDefault="00391D5B" w:rsidP="00AA6C41">
      <w:pPr>
        <w:spacing w:after="0" w:line="240" w:lineRule="auto"/>
        <w:jc w:val="both"/>
        <w:rPr>
          <w:sz w:val="24"/>
        </w:rPr>
      </w:pPr>
    </w:p>
    <w:p w14:paraId="595023B4" w14:textId="0FD3312D" w:rsidR="008A57B6" w:rsidRDefault="00637208" w:rsidP="00AA6C41">
      <w:pPr>
        <w:spacing w:after="0" w:line="240" w:lineRule="auto"/>
        <w:jc w:val="both"/>
        <w:rPr>
          <w:sz w:val="24"/>
        </w:rPr>
      </w:pPr>
      <w:r w:rsidRPr="00913D22">
        <w:rPr>
          <w:sz w:val="24"/>
        </w:rPr>
        <w:t xml:space="preserve">As there are no objective </w:t>
      </w:r>
      <w:r w:rsidR="00475E1F">
        <w:rPr>
          <w:sz w:val="24"/>
        </w:rPr>
        <w:t>indicators</w:t>
      </w:r>
      <w:r w:rsidRPr="00913D22">
        <w:rPr>
          <w:sz w:val="24"/>
        </w:rPr>
        <w:t xml:space="preserve"> for exposure, </w:t>
      </w:r>
      <w:r w:rsidR="00913D22" w:rsidRPr="00913D22">
        <w:rPr>
          <w:sz w:val="24"/>
        </w:rPr>
        <w:t>sensitivity and adaptive capacity</w:t>
      </w:r>
      <w:r w:rsidR="008D1412">
        <w:rPr>
          <w:sz w:val="24"/>
        </w:rPr>
        <w:t>,</w:t>
      </w:r>
      <w:r w:rsidR="00913D22" w:rsidRPr="00913D22">
        <w:rPr>
          <w:sz w:val="24"/>
        </w:rPr>
        <w:t xml:space="preserve"> indicators that best describe their definition</w:t>
      </w:r>
      <w:r w:rsidR="00AF05E8">
        <w:rPr>
          <w:sz w:val="24"/>
        </w:rPr>
        <w:t>,</w:t>
      </w:r>
      <w:r w:rsidR="006C4EE7">
        <w:rPr>
          <w:sz w:val="24"/>
        </w:rPr>
        <w:t xml:space="preserve"> and consistent with </w:t>
      </w:r>
      <w:r w:rsidR="002849F4">
        <w:rPr>
          <w:sz w:val="24"/>
        </w:rPr>
        <w:t>previous studies</w:t>
      </w:r>
      <w:r w:rsidR="00791F88">
        <w:rPr>
          <w:sz w:val="24"/>
        </w:rPr>
        <w:t xml:space="preserve"> </w:t>
      </w:r>
      <w:r w:rsidR="00475E1F">
        <w:rPr>
          <w:sz w:val="24"/>
        </w:rPr>
        <w:t>were chosen</w:t>
      </w:r>
      <w:r w:rsidR="00764533">
        <w:rPr>
          <w:sz w:val="24"/>
        </w:rPr>
        <w:t xml:space="preserve"> (Table 3)</w:t>
      </w:r>
      <w:r w:rsidR="00475E1F">
        <w:rPr>
          <w:sz w:val="24"/>
        </w:rPr>
        <w:t xml:space="preserve">. </w:t>
      </w:r>
    </w:p>
    <w:p w14:paraId="727695B1" w14:textId="77777777" w:rsidR="00AA6C41" w:rsidRDefault="00AA6C41" w:rsidP="00AA6C41">
      <w:pPr>
        <w:spacing w:after="0" w:line="240" w:lineRule="auto"/>
        <w:jc w:val="both"/>
        <w:rPr>
          <w:sz w:val="24"/>
        </w:rPr>
      </w:pPr>
    </w:p>
    <w:p w14:paraId="211BD61F" w14:textId="4354799E" w:rsidR="0012767E" w:rsidRDefault="008D1CCF" w:rsidP="00190577">
      <w:pPr>
        <w:jc w:val="both"/>
        <w:rPr>
          <w:sz w:val="24"/>
        </w:rPr>
      </w:pPr>
      <w:r>
        <w:rPr>
          <w:sz w:val="24"/>
        </w:rPr>
        <w:t xml:space="preserve">Exposure </w:t>
      </w:r>
      <w:r w:rsidR="00CC4E32">
        <w:rPr>
          <w:sz w:val="24"/>
        </w:rPr>
        <w:t>refers to the presence of people “in places and settings that could be adversely affected</w:t>
      </w:r>
      <w:r w:rsidR="004A2B46">
        <w:rPr>
          <w:sz w:val="24"/>
        </w:rPr>
        <w:t xml:space="preserve">” </w:t>
      </w:r>
      <w:r w:rsidR="004A2B46">
        <w:rPr>
          <w:sz w:val="24"/>
        </w:rPr>
        <w:fldChar w:fldCharType="begin" w:fldLock="1"/>
      </w:r>
      <w:r w:rsidR="00FC52F5">
        <w:rPr>
          <w:sz w:val="24"/>
        </w:rPr>
        <w:instrText>ADDIN CSL_CITATION {"citationItems":[{"id":"ITEM-1","itemData":{"author":[{"dropping-particle":"","family":"IPCC","given":"2014","non-dropping-particle":"","parse-names":false,"suffix":""}],"id":"ITEM-1","issued":{"date-parts":[["2014"]]},"number-of-pages":"1170-130","publisher":"IPCC","publisher-place":"Geneva, Switzerland","title":"Annex II: Glossary [Mach, K.J., S. Planton and C. von Stechow (eds.)]. In: Climate Change 2014: Synthesis Report. Contribution of Working Groups I, II and III to the Fifth Assessment Report of the Intergovernmental Panel on Climate Change [Cor","type":"report"},"uris":["http://www.mendeley.com/documents/?uuid=59ebf8d6-0e9b-48ac-816b-2ba6d7694e49"]}],"mendeley":{"formattedCitation":"[37]","plainTextFormattedCitation":"[37]","previouslyFormattedCitation":"[36]"},"properties":{"noteIndex":0},"schema":"https://github.com/citation-style-language/schema/raw/master/csl-citation.json"}</w:instrText>
      </w:r>
      <w:r w:rsidR="004A2B46">
        <w:rPr>
          <w:sz w:val="24"/>
        </w:rPr>
        <w:fldChar w:fldCharType="separate"/>
      </w:r>
      <w:r w:rsidR="00FC52F5" w:rsidRPr="00FC52F5">
        <w:rPr>
          <w:noProof/>
          <w:sz w:val="24"/>
        </w:rPr>
        <w:t>[37]</w:t>
      </w:r>
      <w:r w:rsidR="004A2B46">
        <w:rPr>
          <w:sz w:val="24"/>
        </w:rPr>
        <w:fldChar w:fldCharType="end"/>
      </w:r>
      <w:r w:rsidR="004A2B46">
        <w:rPr>
          <w:sz w:val="24"/>
        </w:rPr>
        <w:t xml:space="preserve">. </w:t>
      </w:r>
      <w:r w:rsidR="00B671D6">
        <w:rPr>
          <w:sz w:val="24"/>
        </w:rPr>
        <w:t>According to a</w:t>
      </w:r>
      <w:r w:rsidR="00EB14F1">
        <w:rPr>
          <w:sz w:val="24"/>
        </w:rPr>
        <w:t>n interview with the local</w:t>
      </w:r>
      <w:r w:rsidR="00785DAC">
        <w:rPr>
          <w:sz w:val="24"/>
        </w:rPr>
        <w:t xml:space="preserve"> National Disaster Management Organisation</w:t>
      </w:r>
      <w:r w:rsidR="00D064E4">
        <w:rPr>
          <w:sz w:val="24"/>
        </w:rPr>
        <w:t xml:space="preserve"> (NADMO)</w:t>
      </w:r>
      <w:r w:rsidR="005031A2">
        <w:rPr>
          <w:sz w:val="24"/>
        </w:rPr>
        <w:t>,</w:t>
      </w:r>
      <w:r w:rsidR="00785DAC">
        <w:rPr>
          <w:sz w:val="24"/>
        </w:rPr>
        <w:t xml:space="preserve"> </w:t>
      </w:r>
      <w:r w:rsidR="00BA6C9F">
        <w:rPr>
          <w:sz w:val="24"/>
        </w:rPr>
        <w:t>there have been undocumented incidence</w:t>
      </w:r>
      <w:r w:rsidR="00806422">
        <w:rPr>
          <w:sz w:val="24"/>
        </w:rPr>
        <w:t xml:space="preserve">s </w:t>
      </w:r>
      <w:r w:rsidR="00743198">
        <w:rPr>
          <w:sz w:val="24"/>
        </w:rPr>
        <w:t xml:space="preserve">of </w:t>
      </w:r>
      <w:r w:rsidR="003A2431">
        <w:rPr>
          <w:sz w:val="24"/>
        </w:rPr>
        <w:t>f</w:t>
      </w:r>
      <w:r w:rsidR="00F03360">
        <w:rPr>
          <w:sz w:val="24"/>
        </w:rPr>
        <w:t>looding</w:t>
      </w:r>
      <w:r w:rsidR="003A2431">
        <w:rPr>
          <w:sz w:val="24"/>
        </w:rPr>
        <w:t xml:space="preserve"> in the community</w:t>
      </w:r>
      <w:r w:rsidR="00F03360">
        <w:rPr>
          <w:sz w:val="24"/>
        </w:rPr>
        <w:t xml:space="preserve"> </w:t>
      </w:r>
      <w:r w:rsidR="00D33D34">
        <w:rPr>
          <w:sz w:val="24"/>
        </w:rPr>
        <w:t xml:space="preserve">due to </w:t>
      </w:r>
      <w:r w:rsidR="00BA6C9F">
        <w:rPr>
          <w:sz w:val="24"/>
        </w:rPr>
        <w:t xml:space="preserve">the </w:t>
      </w:r>
      <w:r w:rsidR="00AF05E8">
        <w:rPr>
          <w:sz w:val="24"/>
        </w:rPr>
        <w:t>M</w:t>
      </w:r>
      <w:r w:rsidR="00BA6C9F">
        <w:rPr>
          <w:sz w:val="24"/>
        </w:rPr>
        <w:t>uni lagoon</w:t>
      </w:r>
      <w:r w:rsidR="00743198">
        <w:rPr>
          <w:sz w:val="24"/>
        </w:rPr>
        <w:t xml:space="preserve"> (Figure 1)</w:t>
      </w:r>
      <w:r w:rsidR="00BA6C9F">
        <w:rPr>
          <w:sz w:val="24"/>
        </w:rPr>
        <w:t xml:space="preserve"> overflowing it</w:t>
      </w:r>
      <w:r w:rsidR="00743198">
        <w:rPr>
          <w:sz w:val="24"/>
        </w:rPr>
        <w:t>s</w:t>
      </w:r>
      <w:r w:rsidR="00BA6C9F">
        <w:rPr>
          <w:sz w:val="24"/>
        </w:rPr>
        <w:t xml:space="preserve"> banks</w:t>
      </w:r>
      <w:r w:rsidR="00937C00">
        <w:rPr>
          <w:sz w:val="24"/>
        </w:rPr>
        <w:t xml:space="preserve"> </w:t>
      </w:r>
      <w:r w:rsidR="00BA6C9F">
        <w:rPr>
          <w:sz w:val="24"/>
        </w:rPr>
        <w:t>from heavy rains</w:t>
      </w:r>
      <w:r w:rsidR="00F646BD">
        <w:rPr>
          <w:sz w:val="24"/>
        </w:rPr>
        <w:t xml:space="preserve">. </w:t>
      </w:r>
      <w:r w:rsidR="00937C00">
        <w:rPr>
          <w:sz w:val="24"/>
        </w:rPr>
        <w:t xml:space="preserve">Although records </w:t>
      </w:r>
      <w:r w:rsidR="00AF05E8">
        <w:rPr>
          <w:sz w:val="24"/>
        </w:rPr>
        <w:t xml:space="preserve">of </w:t>
      </w:r>
      <w:r w:rsidR="003E3E60">
        <w:rPr>
          <w:sz w:val="24"/>
        </w:rPr>
        <w:t xml:space="preserve">past </w:t>
      </w:r>
      <w:r w:rsidR="00937C00">
        <w:rPr>
          <w:sz w:val="24"/>
        </w:rPr>
        <w:t xml:space="preserve">storms in the </w:t>
      </w:r>
      <w:r w:rsidR="003E3E60">
        <w:rPr>
          <w:sz w:val="24"/>
        </w:rPr>
        <w:t xml:space="preserve">community are only anecdotal, </w:t>
      </w:r>
      <w:r w:rsidR="003A2431">
        <w:rPr>
          <w:sz w:val="24"/>
        </w:rPr>
        <w:t>the community</w:t>
      </w:r>
      <w:r w:rsidR="003E3E60">
        <w:rPr>
          <w:sz w:val="24"/>
        </w:rPr>
        <w:t xml:space="preserve"> is loca</w:t>
      </w:r>
      <w:r w:rsidR="00DD75D3">
        <w:rPr>
          <w:sz w:val="24"/>
        </w:rPr>
        <w:t>ted about 4.2 km from a</w:t>
      </w:r>
      <w:r w:rsidR="00203210">
        <w:rPr>
          <w:sz w:val="24"/>
        </w:rPr>
        <w:t>nother</w:t>
      </w:r>
      <w:r w:rsidR="00DD75D3">
        <w:rPr>
          <w:sz w:val="24"/>
        </w:rPr>
        <w:t xml:space="preserve"> fishing community on the same shoreline</w:t>
      </w:r>
      <w:r w:rsidR="003E3E60">
        <w:rPr>
          <w:sz w:val="24"/>
        </w:rPr>
        <w:t xml:space="preserve"> </w:t>
      </w:r>
      <w:r w:rsidR="00DD75D3">
        <w:rPr>
          <w:sz w:val="24"/>
        </w:rPr>
        <w:t xml:space="preserve">that </w:t>
      </w:r>
      <w:r w:rsidR="00B8003D">
        <w:rPr>
          <w:sz w:val="24"/>
        </w:rPr>
        <w:t>experiences</w:t>
      </w:r>
      <w:r w:rsidR="0093420F">
        <w:rPr>
          <w:sz w:val="24"/>
        </w:rPr>
        <w:t xml:space="preserve"> stormy events</w:t>
      </w:r>
      <w:r w:rsidR="00B8003D">
        <w:rPr>
          <w:sz w:val="24"/>
        </w:rPr>
        <w:t xml:space="preserve"> more frequently</w:t>
      </w:r>
      <w:r w:rsidR="00CF78FD">
        <w:rPr>
          <w:sz w:val="24"/>
        </w:rPr>
        <w:t xml:space="preserve"> </w:t>
      </w:r>
      <w:r w:rsidR="00141831">
        <w:rPr>
          <w:sz w:val="24"/>
        </w:rPr>
        <w:fldChar w:fldCharType="begin" w:fldLock="1"/>
      </w:r>
      <w:r w:rsidR="00FC52F5">
        <w:rPr>
          <w:sz w:val="24"/>
        </w:rPr>
        <w:instrText>ADDIN CSL_CITATION {"citationItems":[{"id":"ITEM-1","itemData":{"author":[{"dropping-particle":"","family":"NADMO","given":"","non-dropping-particle":"","parse-names":false,"suffix":""}],"id":"ITEM-1","issued":{"date-parts":[["2016"]]},"number-of-pages":"22","publisher-place":"Winneba, Central Region, Ghana","title":"Report on tidal waves at Winneba beach: September 2016","type":"report"},"uris":["http://www.mendeley.com/documents/?uuid=8bcb1515-7479-4d3a-a701-c4557be71ce9"]}],"mendeley":{"formattedCitation":"[38]","plainTextFormattedCitation":"[38]","previouslyFormattedCitation":"[37]"},"properties":{"noteIndex":0},"schema":"https://github.com/citation-style-language/schema/raw/master/csl-citation.json"}</w:instrText>
      </w:r>
      <w:r w:rsidR="00141831">
        <w:rPr>
          <w:sz w:val="24"/>
        </w:rPr>
        <w:fldChar w:fldCharType="separate"/>
      </w:r>
      <w:r w:rsidR="00FC52F5" w:rsidRPr="00FC52F5">
        <w:rPr>
          <w:noProof/>
          <w:sz w:val="24"/>
        </w:rPr>
        <w:t>[38]</w:t>
      </w:r>
      <w:r w:rsidR="00141831">
        <w:rPr>
          <w:sz w:val="24"/>
        </w:rPr>
        <w:fldChar w:fldCharType="end"/>
      </w:r>
      <w:r w:rsidR="0093420F">
        <w:rPr>
          <w:sz w:val="24"/>
        </w:rPr>
        <w:t xml:space="preserve">. </w:t>
      </w:r>
      <w:r w:rsidR="00203210">
        <w:rPr>
          <w:sz w:val="24"/>
        </w:rPr>
        <w:t>I</w:t>
      </w:r>
      <w:r w:rsidR="0093420F">
        <w:rPr>
          <w:sz w:val="24"/>
        </w:rPr>
        <w:t>n September 2016</w:t>
      </w:r>
      <w:r w:rsidR="00203210">
        <w:rPr>
          <w:sz w:val="24"/>
        </w:rPr>
        <w:t>, the NADMO reported</w:t>
      </w:r>
      <w:r w:rsidR="0093420F">
        <w:rPr>
          <w:sz w:val="24"/>
        </w:rPr>
        <w:t xml:space="preserve"> that a storm event </w:t>
      </w:r>
      <w:r w:rsidR="00203210">
        <w:rPr>
          <w:sz w:val="24"/>
        </w:rPr>
        <w:t xml:space="preserve">caused </w:t>
      </w:r>
      <w:r w:rsidR="00734908">
        <w:rPr>
          <w:sz w:val="24"/>
        </w:rPr>
        <w:t>damage</w:t>
      </w:r>
      <w:r w:rsidR="00725D4A">
        <w:rPr>
          <w:sz w:val="24"/>
        </w:rPr>
        <w:t>s estimated at</w:t>
      </w:r>
      <w:r w:rsidR="00734908">
        <w:rPr>
          <w:sz w:val="24"/>
        </w:rPr>
        <w:t xml:space="preserve"> </w:t>
      </w:r>
      <w:r w:rsidR="00602940">
        <w:rPr>
          <w:sz w:val="24"/>
        </w:rPr>
        <w:t xml:space="preserve">US$ </w:t>
      </w:r>
      <w:r w:rsidR="00602940" w:rsidRPr="00602940">
        <w:rPr>
          <w:sz w:val="24"/>
        </w:rPr>
        <w:t>41,330</w:t>
      </w:r>
      <w:r w:rsidR="007B4EA0">
        <w:rPr>
          <w:sz w:val="24"/>
        </w:rPr>
        <w:t xml:space="preserve"> </w:t>
      </w:r>
      <w:r w:rsidR="00BF4D36">
        <w:rPr>
          <w:sz w:val="24"/>
        </w:rPr>
        <w:fldChar w:fldCharType="begin" w:fldLock="1"/>
      </w:r>
      <w:r w:rsidR="00FC52F5">
        <w:rPr>
          <w:sz w:val="24"/>
        </w:rPr>
        <w:instrText>ADDIN CSL_CITATION {"citationItems":[{"id":"ITEM-1","itemData":{"author":[{"dropping-particle":"","family":"NADMO","given":"","non-dropping-particle":"","parse-names":false,"suffix":""}],"id":"ITEM-1","issued":{"date-parts":[["2016"]]},"number-of-pages":"22","publisher-place":"Winneba, Central Region, Ghana","title":"Report on tidal waves at Winneba beach: September 2016","type":"report"},"uris":["http://www.mendeley.com/documents/?uuid=8bcb1515-7479-4d3a-a701-c4557be71ce9"]}],"mendeley":{"formattedCitation":"[38]","plainTextFormattedCitation":"[38]","previouslyFormattedCitation":"[37]"},"properties":{"noteIndex":0},"schema":"https://github.com/citation-style-language/schema/raw/master/csl-citation.json"}</w:instrText>
      </w:r>
      <w:r w:rsidR="00BF4D36">
        <w:rPr>
          <w:sz w:val="24"/>
        </w:rPr>
        <w:fldChar w:fldCharType="separate"/>
      </w:r>
      <w:r w:rsidR="00FC52F5" w:rsidRPr="00FC52F5">
        <w:rPr>
          <w:noProof/>
          <w:sz w:val="24"/>
        </w:rPr>
        <w:t>[38]</w:t>
      </w:r>
      <w:r w:rsidR="00BF4D36">
        <w:rPr>
          <w:sz w:val="24"/>
        </w:rPr>
        <w:fldChar w:fldCharType="end"/>
      </w:r>
      <w:r w:rsidR="00602940">
        <w:rPr>
          <w:sz w:val="24"/>
        </w:rPr>
        <w:t xml:space="preserve">. </w:t>
      </w:r>
      <w:r w:rsidR="008C7F17">
        <w:rPr>
          <w:sz w:val="24"/>
        </w:rPr>
        <w:t>The distance between the two communities was</w:t>
      </w:r>
      <w:r w:rsidR="00A72A4A">
        <w:rPr>
          <w:sz w:val="24"/>
        </w:rPr>
        <w:t xml:space="preserve"> therefore</w:t>
      </w:r>
      <w:r w:rsidR="008C7F17">
        <w:rPr>
          <w:sz w:val="24"/>
        </w:rPr>
        <w:t xml:space="preserve"> </w:t>
      </w:r>
      <w:r w:rsidR="00753D16">
        <w:rPr>
          <w:sz w:val="24"/>
        </w:rPr>
        <w:t xml:space="preserve">taken as an indicator </w:t>
      </w:r>
      <w:r w:rsidR="0090744D">
        <w:rPr>
          <w:sz w:val="24"/>
        </w:rPr>
        <w:t xml:space="preserve">of </w:t>
      </w:r>
      <w:r w:rsidR="00F2063C">
        <w:rPr>
          <w:sz w:val="24"/>
        </w:rPr>
        <w:t xml:space="preserve">the </w:t>
      </w:r>
      <w:r w:rsidR="00525FC0">
        <w:rPr>
          <w:sz w:val="24"/>
        </w:rPr>
        <w:t>exposure of the study community to storms</w:t>
      </w:r>
      <w:r w:rsidR="00496E43">
        <w:rPr>
          <w:sz w:val="24"/>
        </w:rPr>
        <w:t xml:space="preserve"> (Table 2)</w:t>
      </w:r>
      <w:r w:rsidR="008C7F17">
        <w:rPr>
          <w:sz w:val="24"/>
        </w:rPr>
        <w:t>.</w:t>
      </w:r>
      <w:r w:rsidR="00DA4401">
        <w:rPr>
          <w:sz w:val="24"/>
        </w:rPr>
        <w:t xml:space="preserve"> </w:t>
      </w:r>
      <w:r w:rsidR="00FA0CD5">
        <w:rPr>
          <w:sz w:val="24"/>
        </w:rPr>
        <w:t>Estimated sea level rise for the Ghanaian shoreline</w:t>
      </w:r>
      <w:r w:rsidR="00AE414E">
        <w:rPr>
          <w:sz w:val="24"/>
        </w:rPr>
        <w:t xml:space="preserve"> was also considered as an exposure indicator</w:t>
      </w:r>
      <w:r w:rsidR="000C4E2A">
        <w:rPr>
          <w:sz w:val="24"/>
        </w:rPr>
        <w:t xml:space="preserve"> </w:t>
      </w:r>
      <w:r w:rsidR="000C4E2A">
        <w:rPr>
          <w:sz w:val="24"/>
        </w:rPr>
        <w:fldChar w:fldCharType="begin" w:fldLock="1"/>
      </w:r>
      <w:r w:rsidR="00FC52F5">
        <w:rPr>
          <w:sz w:val="24"/>
        </w:rPr>
        <w:instrText>ADDIN CSL_CITATION {"citationItems":[{"id":"ITEM-1","itemData":{"DOI":"10.1007/s11852-012-0227-y","ISSN":"1874-7841","abstract":"Recent sea-level rise has mostly been attributed to global warming and this process is expected to continue for centuries. The extent of the impact of sea level rise on tourism in Ghana is unknown though there are predictions that some prominent tourism facilities are at risk. This paper assessed the potential impact of enhanced sea level rise (ESLR) for different IPCC scenarios on tourism facilities along the coast of Accra. Shorelines for 1974 and 2005 were extracted from orthophotos and topographic maps, and vulnerability for tourism facilities estimated. Mean sea level measurements indicated an average rise of 3.3 mm/year, while the shoreline eroded by as much as 0.86 m/year. Predictions for Ghana showed 10 cm, 23.4 cm and 36.4 cm sea level rise for 2020, 2060 and 2100 respectively with 1990 as base year. Modelled predictions for the years 2020, 2060 and 2100 based on A2 (enhanced regional economic growth) and B2 (more environmentally focused) IPCC scenarios indicated that 13 tourism facilities are at risk to sea level rise. Out of the total number of tourism facilities at risk, 31 % cannot physically withstand the event of sea level rise hazard. In terms of socio-economic vulnerability, accommodation facilities are the most susceptible. Salinization and sanitation problems along the coast will adversely affect tourism.","author":[{"dropping-particle":"","family":"Sagoe-Addy","given":"Kate","non-dropping-particle":"","parse-names":false,"suffix":""},{"dropping-particle":"","family":"Appeaning Addo","given":"Kwasi","non-dropping-particle":"","parse-names":false,"suffix":""}],"container-title":"Journal of Coastal Conservation","id":"ITEM-1","issue":"1","issued":{"date-parts":[["2013"]]},"page":"155-166","title":"Effect of predicted sea level rise on tourism facilities along Ghana’s Accra coast","type":"article-journal","volume":"17"},"uris":["http://www.mendeley.com/documents/?uuid=5c9bf81f-515c-4d77-9035-841be79548b9"]}],"mendeley":{"formattedCitation":"[39]","plainTextFormattedCitation":"[39]","previouslyFormattedCitation":"[38]"},"properties":{"noteIndex":0},"schema":"https://github.com/citation-style-language/schema/raw/master/csl-citation.json"}</w:instrText>
      </w:r>
      <w:r w:rsidR="000C4E2A">
        <w:rPr>
          <w:sz w:val="24"/>
        </w:rPr>
        <w:fldChar w:fldCharType="separate"/>
      </w:r>
      <w:r w:rsidR="00FC52F5" w:rsidRPr="00FC52F5">
        <w:rPr>
          <w:noProof/>
          <w:sz w:val="24"/>
        </w:rPr>
        <w:t>[39]</w:t>
      </w:r>
      <w:r w:rsidR="000C4E2A">
        <w:rPr>
          <w:sz w:val="24"/>
        </w:rPr>
        <w:fldChar w:fldCharType="end"/>
      </w:r>
      <w:r w:rsidR="00AE414E">
        <w:rPr>
          <w:sz w:val="24"/>
        </w:rPr>
        <w:t xml:space="preserve">. Finally, the statistical variation in daily </w:t>
      </w:r>
      <w:r w:rsidR="00CD06DF">
        <w:rPr>
          <w:sz w:val="24"/>
        </w:rPr>
        <w:t xml:space="preserve">minimum and maximum </w:t>
      </w:r>
      <w:r w:rsidR="00AE414E">
        <w:rPr>
          <w:sz w:val="24"/>
        </w:rPr>
        <w:t>temperature and rainfall records f</w:t>
      </w:r>
      <w:r w:rsidR="000C4E2A">
        <w:rPr>
          <w:sz w:val="24"/>
        </w:rPr>
        <w:t>rom 1988 to 2018</w:t>
      </w:r>
      <w:r w:rsidR="000208F8">
        <w:rPr>
          <w:sz w:val="24"/>
        </w:rPr>
        <w:t xml:space="preserve"> was computed as </w:t>
      </w:r>
      <w:r w:rsidR="00EB06A4">
        <w:rPr>
          <w:sz w:val="24"/>
        </w:rPr>
        <w:t>uncertainties in key atmospheric elements</w:t>
      </w:r>
      <w:r w:rsidR="00EB06A4" w:rsidRPr="00F52848">
        <w:rPr>
          <w:sz w:val="24"/>
        </w:rPr>
        <w:t>.</w:t>
      </w:r>
      <w:r w:rsidR="00007D3E">
        <w:rPr>
          <w:sz w:val="24"/>
        </w:rPr>
        <w:t xml:space="preserve"> </w:t>
      </w:r>
      <w:r w:rsidR="0072069B">
        <w:rPr>
          <w:sz w:val="24"/>
        </w:rPr>
        <w:t>E</w:t>
      </w:r>
      <w:r w:rsidR="00007D3E">
        <w:rPr>
          <w:sz w:val="24"/>
        </w:rPr>
        <w:t>xposure</w:t>
      </w:r>
      <w:r w:rsidR="0072069B">
        <w:rPr>
          <w:sz w:val="24"/>
        </w:rPr>
        <w:t xml:space="preserve"> indicators (Table </w:t>
      </w:r>
      <w:r w:rsidR="00AF05E8">
        <w:rPr>
          <w:sz w:val="24"/>
        </w:rPr>
        <w:t>2</w:t>
      </w:r>
      <w:r w:rsidR="0072069B">
        <w:rPr>
          <w:sz w:val="24"/>
        </w:rPr>
        <w:t>)</w:t>
      </w:r>
      <w:r w:rsidR="00007D3E">
        <w:rPr>
          <w:sz w:val="24"/>
        </w:rPr>
        <w:t xml:space="preserve"> were additively </w:t>
      </w:r>
      <w:r w:rsidR="0072069B">
        <w:rPr>
          <w:sz w:val="24"/>
        </w:rPr>
        <w:t>aggregated</w:t>
      </w:r>
      <w:r w:rsidR="00007D3E">
        <w:rPr>
          <w:sz w:val="24"/>
        </w:rPr>
        <w:t xml:space="preserve"> assuming </w:t>
      </w:r>
      <w:r w:rsidR="000770F9">
        <w:rPr>
          <w:sz w:val="24"/>
        </w:rPr>
        <w:t xml:space="preserve">an </w:t>
      </w:r>
      <w:r w:rsidR="00814334">
        <w:rPr>
          <w:sz w:val="24"/>
        </w:rPr>
        <w:t>equal measuring scale and units.</w:t>
      </w:r>
      <w:r w:rsidR="00B50AD0">
        <w:rPr>
          <w:sz w:val="24"/>
        </w:rPr>
        <w:t xml:space="preserve"> </w:t>
      </w:r>
      <w:bookmarkStart w:id="5" w:name="_Hlk43115859"/>
      <w:r w:rsidR="00B50AD0">
        <w:rPr>
          <w:sz w:val="24"/>
        </w:rPr>
        <w:t xml:space="preserve">Though the estimated E is considered constant for all households, it is included </w:t>
      </w:r>
      <w:r w:rsidR="0061162B">
        <w:rPr>
          <w:sz w:val="24"/>
        </w:rPr>
        <w:t xml:space="preserve">in the equation in keeping with </w:t>
      </w:r>
      <w:r w:rsidR="00B508B5">
        <w:rPr>
          <w:sz w:val="24"/>
        </w:rPr>
        <w:t xml:space="preserve">the adopted IPCC </w:t>
      </w:r>
      <w:r w:rsidR="003B2D59">
        <w:rPr>
          <w:sz w:val="24"/>
        </w:rPr>
        <w:t>vulnerability definition [31].</w:t>
      </w:r>
    </w:p>
    <w:bookmarkEnd w:id="5"/>
    <w:p w14:paraId="6A7A0419" w14:textId="7A5B53C0" w:rsidR="00135592" w:rsidRPr="003D3024" w:rsidRDefault="00135592" w:rsidP="00135592">
      <w:pPr>
        <w:pStyle w:val="Caption"/>
        <w:keepNext/>
        <w:spacing w:after="0"/>
        <w:rPr>
          <w:sz w:val="24"/>
        </w:rPr>
      </w:pPr>
      <w:r w:rsidRPr="003D3024">
        <w:rPr>
          <w:sz w:val="24"/>
        </w:rPr>
        <w:t xml:space="preserve">Table </w:t>
      </w:r>
      <w:r w:rsidRPr="003D3024">
        <w:rPr>
          <w:sz w:val="24"/>
        </w:rPr>
        <w:fldChar w:fldCharType="begin"/>
      </w:r>
      <w:r w:rsidRPr="003D3024">
        <w:rPr>
          <w:sz w:val="24"/>
        </w:rPr>
        <w:instrText xml:space="preserve"> SEQ Table \* ARABIC </w:instrText>
      </w:r>
      <w:r w:rsidRPr="003D3024">
        <w:rPr>
          <w:sz w:val="24"/>
        </w:rPr>
        <w:fldChar w:fldCharType="separate"/>
      </w:r>
      <w:r w:rsidR="001E46DE">
        <w:rPr>
          <w:noProof/>
          <w:sz w:val="24"/>
        </w:rPr>
        <w:t>2</w:t>
      </w:r>
      <w:r w:rsidRPr="003D3024">
        <w:rPr>
          <w:sz w:val="24"/>
        </w:rPr>
        <w:fldChar w:fldCharType="end"/>
      </w:r>
      <w:r w:rsidRPr="003D3024">
        <w:rPr>
          <w:sz w:val="24"/>
        </w:rPr>
        <w:t xml:space="preserve">: </w:t>
      </w:r>
      <w:r>
        <w:rPr>
          <w:sz w:val="24"/>
        </w:rPr>
        <w:t>I</w:t>
      </w:r>
      <w:r w:rsidRPr="003D3024">
        <w:rPr>
          <w:sz w:val="24"/>
        </w:rPr>
        <w:t>ndicators of Akosua village’s exposure to climate change impacts</w:t>
      </w:r>
    </w:p>
    <w:tbl>
      <w:tblPr>
        <w:tblStyle w:val="ListTable6Colorful1"/>
        <w:tblW w:w="8222" w:type="dxa"/>
        <w:tblLayout w:type="fixed"/>
        <w:tblLook w:val="04A0" w:firstRow="1" w:lastRow="0" w:firstColumn="1" w:lastColumn="0" w:noHBand="0" w:noVBand="1"/>
      </w:tblPr>
      <w:tblGrid>
        <w:gridCol w:w="5103"/>
        <w:gridCol w:w="851"/>
        <w:gridCol w:w="816"/>
        <w:gridCol w:w="1452"/>
      </w:tblGrid>
      <w:tr w:rsidR="00135592" w:rsidRPr="00D50CA0" w14:paraId="4B37DFD2" w14:textId="77777777" w:rsidTr="00B4522A">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5103" w:type="dxa"/>
            <w:shd w:val="clear" w:color="auto" w:fill="auto"/>
          </w:tcPr>
          <w:p w14:paraId="65FC10AA" w14:textId="77777777" w:rsidR="00135592" w:rsidRPr="00D50CA0" w:rsidRDefault="00135592" w:rsidP="00B4522A">
            <w:pPr>
              <w:rPr>
                <w:rFonts w:cstheme="minorHAnsi"/>
                <w:b w:val="0"/>
                <w:sz w:val="24"/>
              </w:rPr>
            </w:pPr>
            <w:r w:rsidRPr="00D50CA0">
              <w:rPr>
                <w:rFonts w:cstheme="minorHAnsi"/>
                <w:b w:val="0"/>
                <w:sz w:val="24"/>
              </w:rPr>
              <w:t>Exposure</w:t>
            </w:r>
          </w:p>
        </w:tc>
        <w:tc>
          <w:tcPr>
            <w:tcW w:w="851" w:type="dxa"/>
            <w:shd w:val="clear" w:color="auto" w:fill="auto"/>
          </w:tcPr>
          <w:p w14:paraId="121844F1" w14:textId="77777777" w:rsidR="00135592" w:rsidRPr="00D50CA0" w:rsidRDefault="00135592" w:rsidP="00B4522A">
            <w:pPr>
              <w:jc w:val="center"/>
              <w:cnfStyle w:val="100000000000" w:firstRow="1" w:lastRow="0" w:firstColumn="0" w:lastColumn="0" w:oddVBand="0" w:evenVBand="0" w:oddHBand="0" w:evenHBand="0" w:firstRowFirstColumn="0" w:firstRowLastColumn="0" w:lastRowFirstColumn="0" w:lastRowLastColumn="0"/>
              <w:rPr>
                <w:rFonts w:cstheme="minorHAnsi"/>
                <w:b w:val="0"/>
                <w:sz w:val="24"/>
              </w:rPr>
            </w:pPr>
            <w:r w:rsidRPr="00D50CA0">
              <w:rPr>
                <w:rFonts w:cstheme="minorHAnsi"/>
                <w:b w:val="0"/>
                <w:sz w:val="24"/>
              </w:rPr>
              <w:t>Value</w:t>
            </w:r>
          </w:p>
        </w:tc>
        <w:tc>
          <w:tcPr>
            <w:tcW w:w="816" w:type="dxa"/>
            <w:shd w:val="clear" w:color="auto" w:fill="auto"/>
          </w:tcPr>
          <w:p w14:paraId="48199CB4" w14:textId="77777777" w:rsidR="00135592" w:rsidRPr="00D50CA0" w:rsidRDefault="00135592" w:rsidP="00B4522A">
            <w:pPr>
              <w:jc w:val="center"/>
              <w:cnfStyle w:val="100000000000" w:firstRow="1" w:lastRow="0" w:firstColumn="0" w:lastColumn="0" w:oddVBand="0" w:evenVBand="0" w:oddHBand="0" w:evenHBand="0" w:firstRowFirstColumn="0" w:firstRowLastColumn="0" w:lastRowFirstColumn="0" w:lastRowLastColumn="0"/>
              <w:rPr>
                <w:rFonts w:cstheme="minorHAnsi"/>
                <w:b w:val="0"/>
                <w:sz w:val="24"/>
              </w:rPr>
            </w:pPr>
            <w:r w:rsidRPr="00D50CA0">
              <w:rPr>
                <w:rFonts w:cstheme="minorHAnsi"/>
                <w:b w:val="0"/>
                <w:sz w:val="24"/>
              </w:rPr>
              <w:t>SD</w:t>
            </w:r>
          </w:p>
        </w:tc>
        <w:tc>
          <w:tcPr>
            <w:tcW w:w="1452" w:type="dxa"/>
            <w:shd w:val="clear" w:color="auto" w:fill="auto"/>
          </w:tcPr>
          <w:p w14:paraId="199D865A" w14:textId="77777777" w:rsidR="00135592" w:rsidRPr="00D50CA0" w:rsidRDefault="00135592" w:rsidP="00B4522A">
            <w:pPr>
              <w:jc w:val="center"/>
              <w:cnfStyle w:val="100000000000" w:firstRow="1" w:lastRow="0" w:firstColumn="0" w:lastColumn="0" w:oddVBand="0" w:evenVBand="0" w:oddHBand="0" w:evenHBand="0" w:firstRowFirstColumn="0" w:firstRowLastColumn="0" w:lastRowFirstColumn="0" w:lastRowLastColumn="0"/>
              <w:rPr>
                <w:rFonts w:cstheme="minorHAnsi"/>
                <w:b w:val="0"/>
                <w:sz w:val="24"/>
              </w:rPr>
            </w:pPr>
            <w:r w:rsidRPr="00D50CA0">
              <w:rPr>
                <w:rFonts w:cstheme="minorHAnsi"/>
                <w:b w:val="0"/>
                <w:sz w:val="24"/>
              </w:rPr>
              <w:t>Data source</w:t>
            </w:r>
          </w:p>
        </w:tc>
      </w:tr>
      <w:tr w:rsidR="00135592" w:rsidRPr="000400EB" w14:paraId="6DEEB3AE" w14:textId="77777777" w:rsidTr="00B4522A">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5103" w:type="dxa"/>
            <w:shd w:val="clear" w:color="auto" w:fill="auto"/>
          </w:tcPr>
          <w:p w14:paraId="39924CD0" w14:textId="77777777" w:rsidR="00135592" w:rsidRPr="007247E4" w:rsidRDefault="00135592" w:rsidP="00B4522A">
            <w:pPr>
              <w:rPr>
                <w:rFonts w:cstheme="minorHAnsi"/>
                <w:b w:val="0"/>
                <w:sz w:val="24"/>
              </w:rPr>
            </w:pPr>
            <w:r w:rsidRPr="007247E4">
              <w:rPr>
                <w:rFonts w:cstheme="minorHAnsi"/>
                <w:b w:val="0"/>
                <w:sz w:val="24"/>
              </w:rPr>
              <w:t>Distance of community from storm hotspot (km)</w:t>
            </w:r>
          </w:p>
        </w:tc>
        <w:tc>
          <w:tcPr>
            <w:tcW w:w="851" w:type="dxa"/>
            <w:shd w:val="clear" w:color="auto" w:fill="auto"/>
          </w:tcPr>
          <w:p w14:paraId="3C999304" w14:textId="77777777" w:rsidR="00135592" w:rsidRPr="000400EB" w:rsidRDefault="00135592" w:rsidP="00B4522A">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r w:rsidRPr="000400EB">
              <w:rPr>
                <w:rFonts w:cstheme="minorHAnsi"/>
                <w:sz w:val="24"/>
              </w:rPr>
              <w:t>4.3</w:t>
            </w:r>
          </w:p>
        </w:tc>
        <w:tc>
          <w:tcPr>
            <w:tcW w:w="816" w:type="dxa"/>
            <w:shd w:val="clear" w:color="auto" w:fill="auto"/>
          </w:tcPr>
          <w:p w14:paraId="6AA9D6EB" w14:textId="77777777" w:rsidR="00135592" w:rsidRPr="000400EB" w:rsidRDefault="00135592" w:rsidP="00B4522A">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r w:rsidRPr="000400EB">
              <w:rPr>
                <w:rFonts w:cstheme="minorHAnsi"/>
                <w:sz w:val="24"/>
              </w:rPr>
              <w:t>NA</w:t>
            </w:r>
          </w:p>
        </w:tc>
        <w:tc>
          <w:tcPr>
            <w:tcW w:w="1452" w:type="dxa"/>
            <w:shd w:val="clear" w:color="auto" w:fill="auto"/>
          </w:tcPr>
          <w:p w14:paraId="10A6E6BE" w14:textId="5863E1F5" w:rsidR="00135592" w:rsidRPr="000400EB" w:rsidRDefault="00135592" w:rsidP="00B4522A">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fldChar w:fldCharType="begin" w:fldLock="1"/>
            </w:r>
            <w:r w:rsidR="00FC52F5">
              <w:rPr>
                <w:rFonts w:cstheme="minorHAnsi"/>
                <w:sz w:val="24"/>
              </w:rPr>
              <w:instrText>ADDIN CSL_CITATION {"citationItems":[{"id":"ITEM-1","itemData":{"author":[{"dropping-particle":"","family":"NADMO","given":"","non-dropping-particle":"","parse-names":false,"suffix":""}],"id":"ITEM-1","issued":{"date-parts":[["2016"]]},"number-of-pages":"22","publisher-place":"Winneba, Central Region, Ghana","title":"Report on tidal waves at Winneba beach: September 2016","type":"report"},"uris":["http://www.mendeley.com/documents/?uuid=8bcb1515-7479-4d3a-a701-c4557be71ce9"]}],"mendeley":{"formattedCitation":"[38]","plainTextFormattedCitation":"[38]","previouslyFormattedCitation":"[37]"},"properties":{"noteIndex":0},"schema":"https://github.com/citation-style-language/schema/raw/master/csl-citation.json"}</w:instrText>
            </w:r>
            <w:r>
              <w:rPr>
                <w:rFonts w:cstheme="minorHAnsi"/>
                <w:sz w:val="24"/>
              </w:rPr>
              <w:fldChar w:fldCharType="separate"/>
            </w:r>
            <w:r w:rsidR="00FC52F5" w:rsidRPr="00FC52F5">
              <w:rPr>
                <w:rFonts w:cstheme="minorHAnsi"/>
                <w:noProof/>
                <w:sz w:val="24"/>
              </w:rPr>
              <w:t>[38]</w:t>
            </w:r>
            <w:r>
              <w:rPr>
                <w:rFonts w:cstheme="minorHAnsi"/>
                <w:sz w:val="24"/>
              </w:rPr>
              <w:fldChar w:fldCharType="end"/>
            </w:r>
          </w:p>
        </w:tc>
      </w:tr>
      <w:tr w:rsidR="00135592" w:rsidRPr="000400EB" w14:paraId="6C8D8F1C" w14:textId="77777777" w:rsidTr="00B4522A">
        <w:trPr>
          <w:trHeight w:val="256"/>
        </w:trPr>
        <w:tc>
          <w:tcPr>
            <w:cnfStyle w:val="001000000000" w:firstRow="0" w:lastRow="0" w:firstColumn="1" w:lastColumn="0" w:oddVBand="0" w:evenVBand="0" w:oddHBand="0" w:evenHBand="0" w:firstRowFirstColumn="0" w:firstRowLastColumn="0" w:lastRowFirstColumn="0" w:lastRowLastColumn="0"/>
            <w:tcW w:w="5103" w:type="dxa"/>
            <w:shd w:val="clear" w:color="auto" w:fill="auto"/>
          </w:tcPr>
          <w:p w14:paraId="796FFDF0" w14:textId="28222170" w:rsidR="00135592" w:rsidRPr="007247E4" w:rsidRDefault="00135592" w:rsidP="00B4522A">
            <w:pPr>
              <w:rPr>
                <w:rFonts w:cstheme="minorHAnsi"/>
                <w:b w:val="0"/>
                <w:sz w:val="24"/>
              </w:rPr>
            </w:pPr>
            <w:r w:rsidRPr="007247E4">
              <w:rPr>
                <w:rFonts w:cstheme="minorHAnsi"/>
                <w:b w:val="0"/>
                <w:sz w:val="24"/>
              </w:rPr>
              <w:t>Estimated sea level rise by 2060 (cm)</w:t>
            </w:r>
          </w:p>
        </w:tc>
        <w:tc>
          <w:tcPr>
            <w:tcW w:w="851" w:type="dxa"/>
            <w:shd w:val="clear" w:color="auto" w:fill="auto"/>
          </w:tcPr>
          <w:p w14:paraId="586DD766" w14:textId="77777777" w:rsidR="00135592" w:rsidRPr="000400EB" w:rsidRDefault="00135592" w:rsidP="00B4522A">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sidRPr="000400EB">
              <w:rPr>
                <w:rFonts w:cstheme="minorHAnsi"/>
                <w:sz w:val="24"/>
              </w:rPr>
              <w:t>23.4</w:t>
            </w:r>
          </w:p>
        </w:tc>
        <w:tc>
          <w:tcPr>
            <w:tcW w:w="816" w:type="dxa"/>
            <w:shd w:val="clear" w:color="auto" w:fill="auto"/>
          </w:tcPr>
          <w:p w14:paraId="08ED3D99" w14:textId="77777777" w:rsidR="00135592" w:rsidRPr="000400EB" w:rsidRDefault="00135592" w:rsidP="00B4522A">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sidRPr="000400EB">
              <w:rPr>
                <w:rFonts w:cstheme="minorHAnsi"/>
                <w:sz w:val="24"/>
              </w:rPr>
              <w:t>NA</w:t>
            </w:r>
          </w:p>
        </w:tc>
        <w:tc>
          <w:tcPr>
            <w:tcW w:w="1452" w:type="dxa"/>
            <w:shd w:val="clear" w:color="auto" w:fill="auto"/>
          </w:tcPr>
          <w:p w14:paraId="1060CC62" w14:textId="20705B2A" w:rsidR="00135592" w:rsidRPr="000400EB" w:rsidRDefault="00135592" w:rsidP="00B4522A">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fldChar w:fldCharType="begin" w:fldLock="1"/>
            </w:r>
            <w:r w:rsidR="00FC52F5">
              <w:rPr>
                <w:rFonts w:cstheme="minorHAnsi"/>
                <w:sz w:val="24"/>
              </w:rPr>
              <w:instrText>ADDIN CSL_CITATION {"citationItems":[{"id":"ITEM-1","itemData":{"DOI":"10.1007/s11852-012-0227-y","ISSN":"1874-7841","abstract":"Recent sea-level rise has mostly been attributed to global warming and this process is expected to continue for centuries. The extent of the impact of sea level rise on tourism in Ghana is unknown though there are predictions that some prominent tourism facilities are at risk. This paper assessed the potential impact of enhanced sea level rise (ESLR) for different IPCC scenarios on tourism facilities along the coast of Accra. Shorelines for 1974 and 2005 were extracted from orthophotos and topographic maps, and vulnerability for tourism facilities estimated. Mean sea level measurements indicated an average rise of 3.3 mm/year, while the shoreline eroded by as much as 0.86 m/year. Predictions for Ghana showed 10 cm, 23.4 cm and 36.4 cm sea level rise for 2020, 2060 and 2100 respectively with 1990 as base year. Modelled predictions for the years 2020, 2060 and 2100 based on A2 (enhanced regional economic growth) and B2 (more environmentally focused) IPCC scenarios indicated that 13 tourism facilities are at risk to sea level rise. Out of the total number of tourism facilities at risk, 31 % cannot physically withstand the event of sea level rise hazard. In terms of socio-economic vulnerability, accommodation facilities are the most susceptible. Salinization and sanitation problems along the coast will adversely affect tourism.","author":[{"dropping-particle":"","family":"Sagoe-Addy","given":"Kate","non-dropping-particle":"","parse-names":false,"suffix":""},{"dropping-particle":"","family":"Appeaning Addo","given":"Kwasi","non-dropping-particle":"","parse-names":false,"suffix":""}],"container-title":"Journal of Coastal Conservation","id":"ITEM-1","issue":"1","issued":{"date-parts":[["2013"]]},"page":"155-166","title":"Effect of predicted sea level rise on tourism facilities along Ghana’s Accra coast","type":"article-journal","volume":"17"},"uris":["http://www.mendeley.com/documents/?uuid=5c9bf81f-515c-4d77-9035-841be79548b9"]},{"id":"ITEM-2","itemData":{"DOI":"10.1007/s11852-015-0403-y","ISSN":"14000350","abstract":"Lagoon-wetland systems are common along low-lying coastlines. They provide rich species habitats, multiple ecosystem services and socio-economic activities. They are particularly susceptible to the impacts of sea level rise (SLR), especially in less developed countries (LDCs) where economic and development constraints limit adaptation. The Muni-Pomadze lagoon is one of five coastal Ramsar sites in Ghana and one of many along the country’s coastline. It is an intermittently closed lagoon with extreme seasonal hydrological and physico-chemical variation. Field observation, digital mapping and GIS analysis of the shoreline has enabled an understanding of coastal change and SLR at the lagoon. From 1972 to 2014 the high water mark has shifted landwards with an average retreat rate of 0.22 m/year. Evidence of erosion and sediment washover indicate loss of and a shift landward of the sand barrier separating the lagoon from the ocean. Creation of an inundation map for a one-meter rise of sea level reveals fragementation and breaching of the barrier and an increasingly permanent connection to the ocean. A more open lagoon system stabilises hydrological and physico-chemical conditions, leading to increases in biodiversity and aquatic productivity. The lagoon currently has no consideration of SLR in its management plan. The results of this analysis and the limited development of the Muni-Pomadze lagoon support a no intervention approach to coastal management that allows SLR to transform the closed lagoon to an open estuary. A similar approach at comparable coastal wetland systems in Ghana and in other LDCs could prove an effective management option. © 2015, Springer Science+Business Media Dordrecht.","author":[{"dropping-particle":"","family":"Davies-Vollum","given":"K. Siân","non-dropping-particle":"","parse-names":false,"suffix":""},{"dropping-particle":"","family":"West","given":"Matthew","non-dropping-particle":"","parse-names":false,"suffix":""}],"container-title":"Journal of Coastal Conservation","id":"ITEM-2","issue":"4","issued":{"date-parts":[["2015"]]},"page":"515-525","title":"Shoreline change and sea level rise at the Muni-Pomadze coastal wetland (Ramsar site), Ghana","type":"article-journal","volume":"19"},"uris":["http://www.mendeley.com/documents/?uuid=b19b4aec-c520-4510-ba0f-1050f1848f53"]}],"mendeley":{"formattedCitation":"[7], [39]","plainTextFormattedCitation":"[7], [39]","previouslyFormattedCitation":"[7], [38]"},"properties":{"noteIndex":0},"schema":"https://github.com/citation-style-language/schema/raw/master/csl-citation.json"}</w:instrText>
            </w:r>
            <w:r>
              <w:rPr>
                <w:rFonts w:cstheme="minorHAnsi"/>
                <w:sz w:val="24"/>
              </w:rPr>
              <w:fldChar w:fldCharType="separate"/>
            </w:r>
            <w:r w:rsidR="00FC52F5" w:rsidRPr="00FC52F5">
              <w:rPr>
                <w:rFonts w:cstheme="minorHAnsi"/>
                <w:noProof/>
                <w:sz w:val="24"/>
              </w:rPr>
              <w:t>[7], [39]</w:t>
            </w:r>
            <w:r>
              <w:rPr>
                <w:rFonts w:cstheme="minorHAnsi"/>
                <w:sz w:val="24"/>
              </w:rPr>
              <w:fldChar w:fldCharType="end"/>
            </w:r>
            <w:r w:rsidRPr="000400EB">
              <w:rPr>
                <w:rFonts w:cstheme="minorHAnsi"/>
                <w:sz w:val="24"/>
              </w:rPr>
              <w:t xml:space="preserve"> </w:t>
            </w:r>
          </w:p>
        </w:tc>
      </w:tr>
      <w:tr w:rsidR="00135592" w:rsidRPr="000400EB" w14:paraId="3EC13893" w14:textId="77777777" w:rsidTr="00B4522A">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5103" w:type="dxa"/>
            <w:shd w:val="clear" w:color="auto" w:fill="auto"/>
          </w:tcPr>
          <w:p w14:paraId="0DB81844" w14:textId="77777777" w:rsidR="00135592" w:rsidRPr="007247E4" w:rsidRDefault="00135592" w:rsidP="00B4522A">
            <w:pPr>
              <w:rPr>
                <w:rFonts w:cstheme="minorHAnsi"/>
                <w:b w:val="0"/>
                <w:sz w:val="24"/>
              </w:rPr>
            </w:pPr>
            <w:r w:rsidRPr="007247E4">
              <w:rPr>
                <w:rFonts w:cstheme="minorHAnsi"/>
                <w:b w:val="0"/>
                <w:sz w:val="24"/>
              </w:rPr>
              <w:t>Variation in max temperature (</w:t>
            </w:r>
            <w:proofErr w:type="spellStart"/>
            <w:r w:rsidRPr="007247E4">
              <w:rPr>
                <w:rFonts w:cstheme="minorHAnsi"/>
                <w:b w:val="0"/>
                <w:sz w:val="24"/>
                <w:vertAlign w:val="superscript"/>
              </w:rPr>
              <w:t>o</w:t>
            </w:r>
            <w:r w:rsidRPr="007247E4">
              <w:rPr>
                <w:rFonts w:cstheme="minorHAnsi"/>
                <w:b w:val="0"/>
                <w:sz w:val="24"/>
              </w:rPr>
              <w:t>C</w:t>
            </w:r>
            <w:proofErr w:type="spellEnd"/>
            <w:r w:rsidRPr="007247E4">
              <w:rPr>
                <w:rFonts w:cstheme="minorHAnsi"/>
                <w:b w:val="0"/>
                <w:sz w:val="24"/>
              </w:rPr>
              <w:t xml:space="preserve">) </w:t>
            </w:r>
          </w:p>
        </w:tc>
        <w:tc>
          <w:tcPr>
            <w:tcW w:w="851" w:type="dxa"/>
            <w:shd w:val="clear" w:color="auto" w:fill="auto"/>
          </w:tcPr>
          <w:p w14:paraId="6A879C2D" w14:textId="77777777" w:rsidR="00135592" w:rsidRPr="000400EB" w:rsidRDefault="00135592" w:rsidP="00B4522A">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r w:rsidRPr="000400EB">
              <w:rPr>
                <w:rFonts w:cstheme="minorHAnsi"/>
                <w:sz w:val="24"/>
              </w:rPr>
              <w:t>0.86</w:t>
            </w:r>
          </w:p>
        </w:tc>
        <w:tc>
          <w:tcPr>
            <w:tcW w:w="816" w:type="dxa"/>
            <w:shd w:val="clear" w:color="auto" w:fill="auto"/>
          </w:tcPr>
          <w:p w14:paraId="6F7F6261" w14:textId="77777777" w:rsidR="00135592" w:rsidRPr="000400EB" w:rsidRDefault="00135592" w:rsidP="00B4522A">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r w:rsidRPr="000400EB">
              <w:rPr>
                <w:rFonts w:cstheme="minorHAnsi"/>
                <w:sz w:val="24"/>
              </w:rPr>
              <w:t>0.26</w:t>
            </w:r>
          </w:p>
        </w:tc>
        <w:tc>
          <w:tcPr>
            <w:tcW w:w="1452" w:type="dxa"/>
            <w:shd w:val="clear" w:color="auto" w:fill="auto"/>
          </w:tcPr>
          <w:p w14:paraId="04EE22FF" w14:textId="77777777" w:rsidR="00135592" w:rsidRPr="000400EB" w:rsidRDefault="00135592" w:rsidP="00B4522A">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proofErr w:type="spellStart"/>
            <w:r w:rsidRPr="000400EB">
              <w:rPr>
                <w:rFonts w:cstheme="minorHAnsi"/>
                <w:sz w:val="24"/>
              </w:rPr>
              <w:t>GMet</w:t>
            </w:r>
            <w:proofErr w:type="spellEnd"/>
          </w:p>
        </w:tc>
      </w:tr>
      <w:tr w:rsidR="00135592" w:rsidRPr="000400EB" w14:paraId="7F7F1042" w14:textId="77777777" w:rsidTr="00B4522A">
        <w:trPr>
          <w:trHeight w:val="256"/>
        </w:trPr>
        <w:tc>
          <w:tcPr>
            <w:cnfStyle w:val="001000000000" w:firstRow="0" w:lastRow="0" w:firstColumn="1" w:lastColumn="0" w:oddVBand="0" w:evenVBand="0" w:oddHBand="0" w:evenHBand="0" w:firstRowFirstColumn="0" w:firstRowLastColumn="0" w:lastRowFirstColumn="0" w:lastRowLastColumn="0"/>
            <w:tcW w:w="5103" w:type="dxa"/>
            <w:shd w:val="clear" w:color="auto" w:fill="auto"/>
          </w:tcPr>
          <w:p w14:paraId="15A43220" w14:textId="77777777" w:rsidR="00135592" w:rsidRPr="007247E4" w:rsidRDefault="00135592" w:rsidP="00B4522A">
            <w:pPr>
              <w:rPr>
                <w:rFonts w:cstheme="minorHAnsi"/>
                <w:b w:val="0"/>
                <w:sz w:val="24"/>
              </w:rPr>
            </w:pPr>
            <w:r w:rsidRPr="007247E4">
              <w:rPr>
                <w:rFonts w:cstheme="minorHAnsi"/>
                <w:b w:val="0"/>
                <w:sz w:val="24"/>
              </w:rPr>
              <w:t>Variation in min temperature (</w:t>
            </w:r>
            <w:proofErr w:type="spellStart"/>
            <w:r w:rsidRPr="007247E4">
              <w:rPr>
                <w:rFonts w:cstheme="minorHAnsi"/>
                <w:b w:val="0"/>
                <w:sz w:val="24"/>
                <w:vertAlign w:val="superscript"/>
              </w:rPr>
              <w:t>o</w:t>
            </w:r>
            <w:r w:rsidRPr="007247E4">
              <w:rPr>
                <w:rFonts w:cstheme="minorHAnsi"/>
                <w:b w:val="0"/>
                <w:sz w:val="24"/>
              </w:rPr>
              <w:t>C</w:t>
            </w:r>
            <w:proofErr w:type="spellEnd"/>
            <w:r w:rsidRPr="007247E4">
              <w:rPr>
                <w:rFonts w:cstheme="minorHAnsi"/>
                <w:b w:val="0"/>
                <w:sz w:val="24"/>
              </w:rPr>
              <w:t xml:space="preserve">) </w:t>
            </w:r>
          </w:p>
        </w:tc>
        <w:tc>
          <w:tcPr>
            <w:tcW w:w="851" w:type="dxa"/>
            <w:shd w:val="clear" w:color="auto" w:fill="auto"/>
          </w:tcPr>
          <w:p w14:paraId="5723BD7B" w14:textId="77777777" w:rsidR="00135592" w:rsidRPr="000400EB" w:rsidRDefault="00135592" w:rsidP="00B4522A">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sidRPr="000400EB">
              <w:rPr>
                <w:rFonts w:cstheme="minorHAnsi"/>
                <w:sz w:val="24"/>
              </w:rPr>
              <w:t>0.91</w:t>
            </w:r>
          </w:p>
        </w:tc>
        <w:tc>
          <w:tcPr>
            <w:tcW w:w="816" w:type="dxa"/>
            <w:shd w:val="clear" w:color="auto" w:fill="auto"/>
          </w:tcPr>
          <w:p w14:paraId="1128F8F2" w14:textId="77777777" w:rsidR="00135592" w:rsidRPr="000400EB" w:rsidRDefault="00135592" w:rsidP="00B4522A">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sidRPr="000400EB">
              <w:rPr>
                <w:rFonts w:cstheme="minorHAnsi"/>
                <w:sz w:val="24"/>
              </w:rPr>
              <w:t>0.37</w:t>
            </w:r>
          </w:p>
        </w:tc>
        <w:tc>
          <w:tcPr>
            <w:tcW w:w="1452" w:type="dxa"/>
            <w:shd w:val="clear" w:color="auto" w:fill="auto"/>
          </w:tcPr>
          <w:p w14:paraId="6BE3068C" w14:textId="77777777" w:rsidR="00135592" w:rsidRPr="000400EB" w:rsidRDefault="00135592" w:rsidP="00B4522A">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proofErr w:type="spellStart"/>
            <w:r w:rsidRPr="000400EB">
              <w:rPr>
                <w:rFonts w:cstheme="minorHAnsi"/>
                <w:sz w:val="24"/>
              </w:rPr>
              <w:t>GMet</w:t>
            </w:r>
            <w:proofErr w:type="spellEnd"/>
          </w:p>
        </w:tc>
      </w:tr>
      <w:tr w:rsidR="00135592" w:rsidRPr="000400EB" w14:paraId="283086FE" w14:textId="77777777" w:rsidTr="00B4522A">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103" w:type="dxa"/>
            <w:shd w:val="clear" w:color="auto" w:fill="auto"/>
          </w:tcPr>
          <w:p w14:paraId="489FA74A" w14:textId="77777777" w:rsidR="00135592" w:rsidRPr="007247E4" w:rsidRDefault="00135592" w:rsidP="00B4522A">
            <w:pPr>
              <w:rPr>
                <w:rFonts w:cstheme="minorHAnsi"/>
                <w:b w:val="0"/>
                <w:sz w:val="24"/>
              </w:rPr>
            </w:pPr>
            <w:r w:rsidRPr="007247E4">
              <w:rPr>
                <w:rFonts w:cstheme="minorHAnsi"/>
                <w:b w:val="0"/>
                <w:sz w:val="24"/>
              </w:rPr>
              <w:t xml:space="preserve">Variation in rainfall (mm/year) </w:t>
            </w:r>
          </w:p>
        </w:tc>
        <w:tc>
          <w:tcPr>
            <w:tcW w:w="851" w:type="dxa"/>
            <w:shd w:val="clear" w:color="auto" w:fill="auto"/>
          </w:tcPr>
          <w:p w14:paraId="2FE1B0B4" w14:textId="77777777" w:rsidR="00135592" w:rsidRPr="000400EB" w:rsidRDefault="00135592" w:rsidP="00B4522A">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r w:rsidRPr="000400EB">
              <w:rPr>
                <w:rFonts w:cstheme="minorHAnsi"/>
                <w:sz w:val="24"/>
              </w:rPr>
              <w:t>6.60</w:t>
            </w:r>
          </w:p>
        </w:tc>
        <w:tc>
          <w:tcPr>
            <w:tcW w:w="816" w:type="dxa"/>
            <w:shd w:val="clear" w:color="auto" w:fill="auto"/>
          </w:tcPr>
          <w:p w14:paraId="0044B5AC" w14:textId="77777777" w:rsidR="00135592" w:rsidRPr="000400EB" w:rsidRDefault="00135592" w:rsidP="00B4522A">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r w:rsidRPr="000400EB">
              <w:rPr>
                <w:rFonts w:cstheme="minorHAnsi"/>
                <w:sz w:val="24"/>
              </w:rPr>
              <w:t>6.84</w:t>
            </w:r>
          </w:p>
        </w:tc>
        <w:tc>
          <w:tcPr>
            <w:tcW w:w="1452" w:type="dxa"/>
            <w:shd w:val="clear" w:color="auto" w:fill="auto"/>
          </w:tcPr>
          <w:p w14:paraId="66FA3783" w14:textId="77777777" w:rsidR="00135592" w:rsidRPr="000400EB" w:rsidRDefault="00135592" w:rsidP="00B4522A">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proofErr w:type="spellStart"/>
            <w:r w:rsidRPr="000400EB">
              <w:rPr>
                <w:rFonts w:cstheme="minorHAnsi"/>
                <w:sz w:val="24"/>
              </w:rPr>
              <w:t>GMet</w:t>
            </w:r>
            <w:proofErr w:type="spellEnd"/>
          </w:p>
        </w:tc>
      </w:tr>
    </w:tbl>
    <w:p w14:paraId="68B77D70" w14:textId="77777777" w:rsidR="00135592" w:rsidRPr="008573F4" w:rsidRDefault="00135592" w:rsidP="00135592">
      <w:pPr>
        <w:jc w:val="both"/>
        <w:rPr>
          <w:rFonts w:cstheme="minorHAnsi"/>
          <w:sz w:val="18"/>
        </w:rPr>
      </w:pPr>
      <w:proofErr w:type="spellStart"/>
      <w:r w:rsidRPr="008573F4">
        <w:rPr>
          <w:rFonts w:cstheme="minorHAnsi"/>
          <w:sz w:val="18"/>
        </w:rPr>
        <w:t>GMet</w:t>
      </w:r>
      <w:proofErr w:type="spellEnd"/>
      <w:r w:rsidRPr="008573F4">
        <w:rPr>
          <w:rFonts w:cstheme="minorHAnsi"/>
          <w:sz w:val="18"/>
        </w:rPr>
        <w:t xml:space="preserve"> (Ghana Meteorological Agency); NADMO (National Disaster Management Organisation).</w:t>
      </w:r>
      <w:r>
        <w:rPr>
          <w:rFonts w:cstheme="minorHAnsi"/>
          <w:sz w:val="18"/>
        </w:rPr>
        <w:t xml:space="preserve"> Storm hotspot is another fishing community which is about 4.3 km from Akosua village which is hit more frequently by storms. Variation in temperature and rainfall was estimated from 1988 – 2018 data records obtained from </w:t>
      </w:r>
      <w:proofErr w:type="spellStart"/>
      <w:r>
        <w:rPr>
          <w:rFonts w:cstheme="minorHAnsi"/>
          <w:sz w:val="18"/>
        </w:rPr>
        <w:t>GMet</w:t>
      </w:r>
      <w:proofErr w:type="spellEnd"/>
      <w:r>
        <w:rPr>
          <w:rFonts w:cstheme="minorHAnsi"/>
          <w:sz w:val="18"/>
        </w:rPr>
        <w:t>.</w:t>
      </w:r>
    </w:p>
    <w:p w14:paraId="3DC60190" w14:textId="706A5527" w:rsidR="002204C9" w:rsidRDefault="00630C01" w:rsidP="002204C9">
      <w:pPr>
        <w:spacing w:after="0"/>
        <w:jc w:val="both"/>
        <w:rPr>
          <w:sz w:val="24"/>
        </w:rPr>
      </w:pPr>
      <w:r>
        <w:rPr>
          <w:sz w:val="24"/>
        </w:rPr>
        <w:t xml:space="preserve">Sensitivity </w:t>
      </w:r>
      <w:r w:rsidR="000953E2">
        <w:rPr>
          <w:sz w:val="24"/>
        </w:rPr>
        <w:t xml:space="preserve">is commonly defined as the degree to which a system </w:t>
      </w:r>
      <w:r w:rsidR="0047702B">
        <w:rPr>
          <w:sz w:val="24"/>
        </w:rPr>
        <w:t xml:space="preserve">is or will be affected by shocks and stresses </w:t>
      </w:r>
      <w:r w:rsidR="002C39AF">
        <w:rPr>
          <w:sz w:val="24"/>
        </w:rPr>
        <w:fldChar w:fldCharType="begin" w:fldLock="1"/>
      </w:r>
      <w:r w:rsidR="00FC52F5">
        <w:rPr>
          <w:sz w:val="24"/>
        </w:rPr>
        <w:instrText>ADDIN CSL_CITATION {"citationItems":[{"id":"ITEM-1","itemData":{"DOI":"10.1016/j.gloenvcha.2006.02.004","ISSN":"09593780","abstract":"This article uses a systemic perspective to identify and analyze the conceptual relations among vulnerability, resilience, and adaptive capacity within socio-ecological systems (SES). Since different intellectual traditions use the terms in different, sometimes incompatible, ways, they emerge as strongly related but unclear in the precise nature of their relationships. A set of diagnostic questions is proposed regarding the specification of the terms to develop a shared conceptual framework for the natural and social dimensions of global change. Also, development of a general theory of change in SESs is suggested as an important agenda item for research on global change. © 2006 Elsevier Ltd. All rights reserved.","author":[{"dropping-particle":"","family":"Gallopín","given":"Gilberto C.","non-dropping-particle":"","parse-names":false,"suffix":""}],"container-title":"Global Environmental Change","id":"ITEM-1","issue":"3","issued":{"date-parts":[["2006"]]},"page":"293-303","title":"Linkages between vulnerability, resilience, and adaptive capacity","type":"article-journal","volume":"16"},"uris":["http://www.mendeley.com/documents/?uuid=1f74fa8a-18db-4265-806c-01e5ea9e4681"]}],"mendeley":{"formattedCitation":"[40]","plainTextFormattedCitation":"[40]","previouslyFormattedCitation":"[39]"},"properties":{"noteIndex":0},"schema":"https://github.com/citation-style-language/schema/raw/master/csl-citation.json"}</w:instrText>
      </w:r>
      <w:r w:rsidR="002C39AF">
        <w:rPr>
          <w:sz w:val="24"/>
        </w:rPr>
        <w:fldChar w:fldCharType="separate"/>
      </w:r>
      <w:r w:rsidR="00FC52F5" w:rsidRPr="00FC52F5">
        <w:rPr>
          <w:noProof/>
          <w:sz w:val="24"/>
        </w:rPr>
        <w:t>[40]</w:t>
      </w:r>
      <w:r w:rsidR="002C39AF">
        <w:rPr>
          <w:sz w:val="24"/>
        </w:rPr>
        <w:fldChar w:fldCharType="end"/>
      </w:r>
      <w:r w:rsidR="009639EC">
        <w:rPr>
          <w:sz w:val="24"/>
        </w:rPr>
        <w:t>. In</w:t>
      </w:r>
      <w:r w:rsidR="000741EB">
        <w:rPr>
          <w:sz w:val="24"/>
        </w:rPr>
        <w:t xml:space="preserve"> the context of this study</w:t>
      </w:r>
      <w:r w:rsidR="00AF05E8">
        <w:rPr>
          <w:sz w:val="24"/>
        </w:rPr>
        <w:t>,</w:t>
      </w:r>
      <w:r w:rsidR="000741EB">
        <w:rPr>
          <w:sz w:val="24"/>
        </w:rPr>
        <w:t xml:space="preserve"> which </w:t>
      </w:r>
      <w:r w:rsidR="008A30AB">
        <w:rPr>
          <w:sz w:val="24"/>
        </w:rPr>
        <w:t>focuses on</w:t>
      </w:r>
      <w:r w:rsidR="009639EC">
        <w:rPr>
          <w:sz w:val="24"/>
        </w:rPr>
        <w:t xml:space="preserve"> a resource-dependent </w:t>
      </w:r>
      <w:r w:rsidR="00CD4FD7">
        <w:rPr>
          <w:sz w:val="24"/>
        </w:rPr>
        <w:t>fishing community, sensitivity</w:t>
      </w:r>
      <w:r w:rsidR="008A30AB">
        <w:rPr>
          <w:sz w:val="24"/>
        </w:rPr>
        <w:t xml:space="preserve"> was</w:t>
      </w:r>
      <w:r w:rsidR="00CD4FD7">
        <w:rPr>
          <w:sz w:val="24"/>
        </w:rPr>
        <w:t xml:space="preserve"> thought of to</w:t>
      </w:r>
      <w:r w:rsidR="000741EB">
        <w:rPr>
          <w:sz w:val="24"/>
        </w:rPr>
        <w:t xml:space="preserve"> be</w:t>
      </w:r>
      <w:r w:rsidR="00CD4FD7">
        <w:rPr>
          <w:sz w:val="24"/>
        </w:rPr>
        <w:t xml:space="preserve"> </w:t>
      </w:r>
      <w:r w:rsidR="00C25B58">
        <w:rPr>
          <w:sz w:val="24"/>
        </w:rPr>
        <w:t>characteri</w:t>
      </w:r>
      <w:r w:rsidR="005031A2">
        <w:rPr>
          <w:sz w:val="24"/>
        </w:rPr>
        <w:t>s</w:t>
      </w:r>
      <w:r w:rsidR="00C25B58">
        <w:rPr>
          <w:sz w:val="24"/>
        </w:rPr>
        <w:t>ed</w:t>
      </w:r>
      <w:r w:rsidR="008A30AB">
        <w:rPr>
          <w:sz w:val="24"/>
        </w:rPr>
        <w:t xml:space="preserve"> by</w:t>
      </w:r>
      <w:r w:rsidR="001D5A40">
        <w:rPr>
          <w:sz w:val="24"/>
        </w:rPr>
        <w:t xml:space="preserve"> </w:t>
      </w:r>
      <w:r w:rsidR="000741EB">
        <w:rPr>
          <w:sz w:val="24"/>
        </w:rPr>
        <w:t>level of resource dependency</w:t>
      </w:r>
      <w:r w:rsidR="00B4522A">
        <w:rPr>
          <w:sz w:val="24"/>
        </w:rPr>
        <w:t>,</w:t>
      </w:r>
      <w:r w:rsidR="00C25B58">
        <w:rPr>
          <w:sz w:val="24"/>
        </w:rPr>
        <w:t xml:space="preserve"> indicated by household</w:t>
      </w:r>
      <w:r w:rsidR="001D5A40">
        <w:rPr>
          <w:sz w:val="24"/>
        </w:rPr>
        <w:t>s’</w:t>
      </w:r>
      <w:r w:rsidR="00C25B58">
        <w:rPr>
          <w:sz w:val="24"/>
        </w:rPr>
        <w:t xml:space="preserve"> percentage </w:t>
      </w:r>
      <w:r w:rsidR="00BF6C1F">
        <w:rPr>
          <w:sz w:val="24"/>
        </w:rPr>
        <w:t xml:space="preserve">monthly </w:t>
      </w:r>
      <w:r w:rsidR="00C25B58">
        <w:rPr>
          <w:sz w:val="24"/>
        </w:rPr>
        <w:t xml:space="preserve">income from </w:t>
      </w:r>
      <w:r w:rsidR="00BF6C1F">
        <w:rPr>
          <w:sz w:val="24"/>
        </w:rPr>
        <w:t>fishing</w:t>
      </w:r>
      <w:r w:rsidR="001D7DFC">
        <w:rPr>
          <w:sz w:val="24"/>
        </w:rPr>
        <w:t>,</w:t>
      </w:r>
      <w:r w:rsidR="00BD56BA">
        <w:rPr>
          <w:sz w:val="24"/>
        </w:rPr>
        <w:t xml:space="preserve"> </w:t>
      </w:r>
      <w:r w:rsidR="001D7DFC">
        <w:rPr>
          <w:sz w:val="24"/>
        </w:rPr>
        <w:t>q</w:t>
      </w:r>
      <w:r w:rsidR="005E3693">
        <w:rPr>
          <w:sz w:val="24"/>
        </w:rPr>
        <w:t>uality of housing</w:t>
      </w:r>
      <w:r w:rsidR="001D7DFC">
        <w:rPr>
          <w:sz w:val="24"/>
        </w:rPr>
        <w:t xml:space="preserve"> and</w:t>
      </w:r>
      <w:r w:rsidR="006209D7">
        <w:rPr>
          <w:sz w:val="24"/>
        </w:rPr>
        <w:t xml:space="preserve"> </w:t>
      </w:r>
      <w:r w:rsidR="00511CB1">
        <w:rPr>
          <w:sz w:val="24"/>
        </w:rPr>
        <w:t>number of dependents (Table3)</w:t>
      </w:r>
      <w:r w:rsidR="004945EC">
        <w:rPr>
          <w:sz w:val="24"/>
        </w:rPr>
        <w:t xml:space="preserve">. </w:t>
      </w:r>
      <w:r w:rsidR="0010242C">
        <w:rPr>
          <w:sz w:val="24"/>
        </w:rPr>
        <w:t xml:space="preserve">Table </w:t>
      </w:r>
      <w:r w:rsidR="00AF05E8">
        <w:rPr>
          <w:sz w:val="24"/>
        </w:rPr>
        <w:t>3</w:t>
      </w:r>
      <w:r w:rsidR="0010242C">
        <w:rPr>
          <w:sz w:val="24"/>
        </w:rPr>
        <w:t xml:space="preserve"> </w:t>
      </w:r>
      <w:r w:rsidR="00CE6319">
        <w:rPr>
          <w:sz w:val="24"/>
        </w:rPr>
        <w:t xml:space="preserve">also </w:t>
      </w:r>
      <w:r w:rsidR="000444DC">
        <w:rPr>
          <w:sz w:val="24"/>
        </w:rPr>
        <w:t>details</w:t>
      </w:r>
      <w:r w:rsidR="0010242C">
        <w:rPr>
          <w:sz w:val="24"/>
        </w:rPr>
        <w:t xml:space="preserve"> the indicat</w:t>
      </w:r>
      <w:r w:rsidR="00BB6A04">
        <w:rPr>
          <w:sz w:val="24"/>
        </w:rPr>
        <w:t>ors</w:t>
      </w:r>
      <w:r w:rsidR="005703E0">
        <w:rPr>
          <w:sz w:val="24"/>
        </w:rPr>
        <w:t xml:space="preserve"> </w:t>
      </w:r>
      <w:r w:rsidR="00BB6A04">
        <w:rPr>
          <w:sz w:val="24"/>
        </w:rPr>
        <w:t>used to estimate adaptive capacity</w:t>
      </w:r>
      <w:r w:rsidR="00E32735">
        <w:rPr>
          <w:sz w:val="24"/>
        </w:rPr>
        <w:t>.</w:t>
      </w:r>
      <w:r w:rsidR="00E60152">
        <w:rPr>
          <w:sz w:val="24"/>
        </w:rPr>
        <w:t xml:space="preserve"> </w:t>
      </w:r>
      <w:r w:rsidR="003E74F1">
        <w:rPr>
          <w:sz w:val="24"/>
        </w:rPr>
        <w:t xml:space="preserve"> </w:t>
      </w:r>
      <w:r w:rsidR="0085634F">
        <w:rPr>
          <w:sz w:val="24"/>
        </w:rPr>
        <w:t xml:space="preserve">Using equation </w:t>
      </w:r>
      <w:r w:rsidR="001D0760">
        <w:rPr>
          <w:sz w:val="24"/>
        </w:rPr>
        <w:t>2</w:t>
      </w:r>
      <w:r w:rsidR="0085634F">
        <w:rPr>
          <w:sz w:val="24"/>
        </w:rPr>
        <w:t xml:space="preserve">, a vulnerability index was estimated for each household based on the E, S and AC indicators listed in Tables </w:t>
      </w:r>
      <w:r w:rsidR="002204C9">
        <w:rPr>
          <w:sz w:val="24"/>
        </w:rPr>
        <w:t>2</w:t>
      </w:r>
      <w:r w:rsidR="0085634F">
        <w:rPr>
          <w:sz w:val="24"/>
        </w:rPr>
        <w:t xml:space="preserve"> and </w:t>
      </w:r>
      <w:r w:rsidR="002204C9">
        <w:rPr>
          <w:sz w:val="24"/>
        </w:rPr>
        <w:t>3</w:t>
      </w:r>
      <w:r w:rsidR="0085634F">
        <w:rPr>
          <w:sz w:val="24"/>
        </w:rPr>
        <w:t xml:space="preserve">. Before inclusion in the </w:t>
      </w:r>
      <w:r w:rsidR="0085634F">
        <w:rPr>
          <w:sz w:val="24"/>
        </w:rPr>
        <w:lastRenderedPageBreak/>
        <w:t>vulnerability index model, all the indicators were normalised between 1 and 10 using equation 3</w:t>
      </w:r>
      <w:r w:rsidR="002204C9">
        <w:rPr>
          <w:sz w:val="24"/>
        </w:rPr>
        <w:t>:</w:t>
      </w:r>
    </w:p>
    <w:p w14:paraId="31F4E27E" w14:textId="040BEC00" w:rsidR="002204C9" w:rsidRDefault="002204C9" w:rsidP="002204C9">
      <w:pPr>
        <w:spacing w:after="0"/>
        <w:ind w:firstLine="720"/>
        <w:jc w:val="both"/>
        <w:rPr>
          <w:sz w:val="24"/>
        </w:rPr>
      </w:pPr>
      <w:r w:rsidRPr="000400EB">
        <w:rPr>
          <w:rFonts w:cstheme="minorHAnsi"/>
          <w:sz w:val="24"/>
          <w:szCs w:val="24"/>
        </w:rPr>
        <w:t xml:space="preserve">Equation </w:t>
      </w:r>
      <w:r>
        <w:rPr>
          <w:rFonts w:cstheme="minorHAnsi"/>
          <w:sz w:val="24"/>
          <w:szCs w:val="24"/>
        </w:rPr>
        <w:t>3</w:t>
      </w:r>
      <w:r w:rsidRPr="000400EB">
        <w:rPr>
          <w:rFonts w:cstheme="minorHAnsi"/>
          <w:sz w:val="24"/>
          <w:szCs w:val="24"/>
        </w:rPr>
        <w:t>:</w:t>
      </w:r>
      <m:oMath>
        <m:r>
          <w:rPr>
            <w:rFonts w:ascii="Cambria Math" w:hAnsi="Cambria Math" w:cstheme="minorHAnsi"/>
            <w:sz w:val="24"/>
            <w:szCs w:val="24"/>
          </w:rPr>
          <m:t xml:space="preserve">  Norm (Ii)=1+</m:t>
        </m:r>
        <m:r>
          <m:rPr>
            <m:sty m:val="p"/>
          </m:rPr>
          <w:rPr>
            <w:rFonts w:ascii="Cambria Math" w:hAnsi="Cambria Math" w:cstheme="minorHAnsi"/>
            <w:sz w:val="24"/>
            <w:szCs w:val="24"/>
          </w:rPr>
          <m:t>((</m:t>
        </m:r>
        <m:r>
          <w:rPr>
            <w:rFonts w:ascii="Cambria Math" w:hAnsi="Cambria Math" w:cstheme="minorHAnsi"/>
            <w:sz w:val="24"/>
            <w:szCs w:val="24"/>
          </w:rPr>
          <m:t>Ii-I</m:t>
        </m:r>
        <m:d>
          <m:dPr>
            <m:ctrlPr>
              <w:rPr>
                <w:rFonts w:ascii="Cambria Math" w:hAnsi="Cambria Math" w:cstheme="minorHAnsi"/>
                <w:i/>
                <w:sz w:val="24"/>
                <w:szCs w:val="24"/>
              </w:rPr>
            </m:ctrlPr>
          </m:dPr>
          <m:e>
            <m:r>
              <w:rPr>
                <w:rFonts w:ascii="Cambria Math" w:hAnsi="Cambria Math" w:cstheme="minorHAnsi"/>
                <w:sz w:val="24"/>
                <w:szCs w:val="24"/>
              </w:rPr>
              <m:t>min</m:t>
            </m:r>
          </m:e>
        </m:d>
        <m:r>
          <w:rPr>
            <w:rFonts w:ascii="Cambria Math" w:hAnsi="Cambria Math" w:cstheme="minorHAnsi"/>
            <w:sz w:val="24"/>
            <w:szCs w:val="24"/>
          </w:rPr>
          <m:t>)×(10-1)</m:t>
        </m:r>
        <m:r>
          <m:rPr>
            <m:sty m:val="p"/>
          </m:rPr>
          <w:rPr>
            <w:rFonts w:ascii="Cambria Math" w:hAnsi="Cambria Math" w:cstheme="minorHAnsi"/>
            <w:sz w:val="24"/>
            <w:szCs w:val="24"/>
          </w:rPr>
          <m:t>)/(</m:t>
        </m:r>
        <m:r>
          <w:rPr>
            <w:rFonts w:ascii="Cambria Math" w:hAnsi="Cambria Math" w:cstheme="minorHAnsi"/>
            <w:sz w:val="24"/>
            <w:szCs w:val="24"/>
          </w:rPr>
          <m:t>I</m:t>
        </m:r>
        <m:r>
          <m:rPr>
            <m:sty m:val="p"/>
          </m:rPr>
          <w:rPr>
            <w:rFonts w:ascii="Cambria Math" w:hAnsi="Cambria Math" w:cstheme="minorHAnsi"/>
            <w:sz w:val="24"/>
            <w:szCs w:val="24"/>
          </w:rPr>
          <m:t>(</m:t>
        </m:r>
        <m:r>
          <w:rPr>
            <w:rFonts w:ascii="Cambria Math" w:hAnsi="Cambria Math" w:cstheme="minorHAnsi"/>
            <w:sz w:val="24"/>
            <w:szCs w:val="24"/>
          </w:rPr>
          <m:t>max</m:t>
        </m:r>
        <m:r>
          <m:rPr>
            <m:sty m:val="p"/>
          </m:rPr>
          <w:rPr>
            <w:rFonts w:ascii="Cambria Math" w:hAnsi="Cambria Math" w:cstheme="minorHAnsi"/>
            <w:sz w:val="24"/>
            <w:szCs w:val="24"/>
          </w:rPr>
          <m:t>)</m:t>
        </m:r>
        <m:r>
          <w:rPr>
            <w:rFonts w:ascii="Cambria Math" w:hAnsi="Cambria Math" w:cstheme="minorHAnsi"/>
            <w:sz w:val="24"/>
            <w:szCs w:val="24"/>
          </w:rPr>
          <m:t>-I(min)</m:t>
        </m:r>
        <m:r>
          <m:rPr>
            <m:sty m:val="p"/>
          </m:rPr>
          <w:rPr>
            <w:rFonts w:ascii="Cambria Math" w:hAnsi="Cambria Math" w:cstheme="minorHAnsi"/>
            <w:sz w:val="24"/>
            <w:szCs w:val="24"/>
          </w:rPr>
          <m:t>)</m:t>
        </m:r>
      </m:oMath>
    </w:p>
    <w:p w14:paraId="66368207" w14:textId="54272BC5" w:rsidR="00851249" w:rsidRPr="00DF6FBA" w:rsidRDefault="00E31C0D" w:rsidP="00851249">
      <w:pPr>
        <w:spacing w:before="240"/>
        <w:jc w:val="both"/>
        <w:rPr>
          <w:sz w:val="24"/>
        </w:rPr>
      </w:pPr>
      <w:r>
        <w:rPr>
          <w:sz w:val="24"/>
        </w:rPr>
        <w:t>W</w:t>
      </w:r>
      <w:r w:rsidR="0085634F">
        <w:rPr>
          <w:sz w:val="24"/>
        </w:rPr>
        <w:t xml:space="preserve">here </w:t>
      </w:r>
      <w:r w:rsidR="0085634F">
        <w:rPr>
          <w:i/>
          <w:sz w:val="24"/>
        </w:rPr>
        <w:t>Norm</w:t>
      </w:r>
      <w:r w:rsidR="0085634F" w:rsidRPr="00785D5A">
        <w:rPr>
          <w:i/>
          <w:sz w:val="24"/>
        </w:rPr>
        <w:t xml:space="preserve"> (</w:t>
      </w:r>
      <w:r w:rsidR="0085634F">
        <w:rPr>
          <w:i/>
          <w:sz w:val="24"/>
        </w:rPr>
        <w:t>Ii</w:t>
      </w:r>
      <w:r w:rsidR="0085634F" w:rsidRPr="00785D5A">
        <w:rPr>
          <w:i/>
          <w:sz w:val="24"/>
        </w:rPr>
        <w:t>)</w:t>
      </w:r>
      <w:r w:rsidR="0085634F" w:rsidRPr="00DF6FBA">
        <w:rPr>
          <w:sz w:val="24"/>
        </w:rPr>
        <w:t xml:space="preserve"> is the normalised value of an indicator of a household</w:t>
      </w:r>
      <w:r w:rsidR="0085634F">
        <w:rPr>
          <w:sz w:val="24"/>
        </w:rPr>
        <w:t xml:space="preserve">, </w:t>
      </w:r>
      <w:proofErr w:type="gramStart"/>
      <w:r w:rsidR="0085634F" w:rsidRPr="00BC2B9E">
        <w:rPr>
          <w:i/>
          <w:sz w:val="24"/>
        </w:rPr>
        <w:t>I</w:t>
      </w:r>
      <w:r w:rsidR="0085634F">
        <w:rPr>
          <w:i/>
          <w:sz w:val="24"/>
        </w:rPr>
        <w:t>i</w:t>
      </w:r>
      <w:proofErr w:type="gramEnd"/>
      <w:r w:rsidR="0085634F">
        <w:rPr>
          <w:sz w:val="24"/>
        </w:rPr>
        <w:t xml:space="preserve"> </w:t>
      </w:r>
      <w:r w:rsidR="0085634F" w:rsidRPr="00DF6FBA">
        <w:rPr>
          <w:sz w:val="24"/>
        </w:rPr>
        <w:t>is the actual value of th</w:t>
      </w:r>
      <w:r w:rsidR="0085634F">
        <w:rPr>
          <w:sz w:val="24"/>
        </w:rPr>
        <w:t>at i</w:t>
      </w:r>
      <w:r w:rsidR="0085634F" w:rsidRPr="00DF6FBA">
        <w:rPr>
          <w:sz w:val="24"/>
        </w:rPr>
        <w:t>ndicator</w:t>
      </w:r>
      <w:r w:rsidR="0085634F">
        <w:rPr>
          <w:sz w:val="24"/>
        </w:rPr>
        <w:t xml:space="preserve"> and </w:t>
      </w:r>
      <w:r w:rsidR="0085634F" w:rsidRPr="00FC0802">
        <w:rPr>
          <w:i/>
          <w:sz w:val="24"/>
        </w:rPr>
        <w:t>I(min)</w:t>
      </w:r>
      <w:r w:rsidR="0085634F">
        <w:rPr>
          <w:i/>
          <w:sz w:val="24"/>
        </w:rPr>
        <w:t xml:space="preserve"> </w:t>
      </w:r>
      <w:r w:rsidR="0085634F">
        <w:rPr>
          <w:sz w:val="24"/>
        </w:rPr>
        <w:t>and</w:t>
      </w:r>
      <w:r w:rsidR="0085634F">
        <w:rPr>
          <w:i/>
          <w:sz w:val="24"/>
        </w:rPr>
        <w:t xml:space="preserve"> I(max)</w:t>
      </w:r>
      <w:r w:rsidR="0085634F" w:rsidRPr="00DF6FBA">
        <w:rPr>
          <w:sz w:val="24"/>
        </w:rPr>
        <w:t xml:space="preserve"> </w:t>
      </w:r>
      <w:r w:rsidR="0085634F">
        <w:rPr>
          <w:sz w:val="24"/>
        </w:rPr>
        <w:t>are the</w:t>
      </w:r>
      <w:r w:rsidR="0085634F" w:rsidRPr="00DF6FBA">
        <w:rPr>
          <w:sz w:val="24"/>
        </w:rPr>
        <w:t xml:space="preserve"> minimum </w:t>
      </w:r>
      <w:r w:rsidR="0085634F">
        <w:rPr>
          <w:sz w:val="24"/>
        </w:rPr>
        <w:t xml:space="preserve">and maximum </w:t>
      </w:r>
      <w:r w:rsidR="0085634F" w:rsidRPr="00DF6FBA">
        <w:rPr>
          <w:sz w:val="24"/>
        </w:rPr>
        <w:t>value</w:t>
      </w:r>
      <w:r w:rsidR="0085634F">
        <w:rPr>
          <w:sz w:val="24"/>
        </w:rPr>
        <w:t>s</w:t>
      </w:r>
      <w:r w:rsidR="0085634F" w:rsidRPr="00DF6FBA">
        <w:rPr>
          <w:sz w:val="24"/>
        </w:rPr>
        <w:t xml:space="preserve"> of the same indicator</w:t>
      </w:r>
      <w:r w:rsidR="0085634F">
        <w:rPr>
          <w:sz w:val="24"/>
        </w:rPr>
        <w:t xml:space="preserve"> respectively.</w:t>
      </w:r>
    </w:p>
    <w:p w14:paraId="4A522367" w14:textId="61565764" w:rsidR="002E5821" w:rsidRPr="002E5821" w:rsidRDefault="002E5821" w:rsidP="004655D7">
      <w:pPr>
        <w:pStyle w:val="Caption"/>
        <w:keepNext/>
        <w:spacing w:after="0"/>
        <w:rPr>
          <w:sz w:val="24"/>
        </w:rPr>
      </w:pPr>
      <w:r w:rsidRPr="002E5821">
        <w:rPr>
          <w:sz w:val="24"/>
        </w:rPr>
        <w:t xml:space="preserve">Table </w:t>
      </w:r>
      <w:r w:rsidRPr="002E5821">
        <w:rPr>
          <w:sz w:val="24"/>
        </w:rPr>
        <w:fldChar w:fldCharType="begin"/>
      </w:r>
      <w:r w:rsidRPr="002E5821">
        <w:rPr>
          <w:sz w:val="24"/>
        </w:rPr>
        <w:instrText xml:space="preserve"> SEQ Table \* ARABIC </w:instrText>
      </w:r>
      <w:r w:rsidRPr="002E5821">
        <w:rPr>
          <w:sz w:val="24"/>
        </w:rPr>
        <w:fldChar w:fldCharType="separate"/>
      </w:r>
      <w:r w:rsidR="001E46DE">
        <w:rPr>
          <w:noProof/>
          <w:sz w:val="24"/>
        </w:rPr>
        <w:t>3</w:t>
      </w:r>
      <w:r w:rsidRPr="002E5821">
        <w:rPr>
          <w:sz w:val="24"/>
        </w:rPr>
        <w:fldChar w:fldCharType="end"/>
      </w:r>
      <w:r w:rsidRPr="002E5821">
        <w:rPr>
          <w:sz w:val="24"/>
        </w:rPr>
        <w:t>: Sub-indicators of Akosua village’s sensitivity and adaptive capacity to climate change impacts</w:t>
      </w:r>
    </w:p>
    <w:tbl>
      <w:tblPr>
        <w:tblStyle w:val="ListTable6Colorful1"/>
        <w:tblW w:w="10240" w:type="dxa"/>
        <w:tblInd w:w="-567" w:type="dxa"/>
        <w:tblLook w:val="04A0" w:firstRow="1" w:lastRow="0" w:firstColumn="1" w:lastColumn="0" w:noHBand="0" w:noVBand="1"/>
      </w:tblPr>
      <w:tblGrid>
        <w:gridCol w:w="2694"/>
        <w:gridCol w:w="5987"/>
        <w:gridCol w:w="1559"/>
      </w:tblGrid>
      <w:tr w:rsidR="003D53C3" w:rsidRPr="00D50CA0" w14:paraId="5A87F97A" w14:textId="77777777" w:rsidTr="00A1460E">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694" w:type="dxa"/>
            <w:shd w:val="clear" w:color="auto" w:fill="D9D9D9" w:themeFill="background1" w:themeFillShade="D9"/>
          </w:tcPr>
          <w:p w14:paraId="4C250AD2" w14:textId="20D6CFC2" w:rsidR="008A5564" w:rsidRPr="00D50CA0" w:rsidRDefault="00D50CA0" w:rsidP="00E7736D">
            <w:pPr>
              <w:rPr>
                <w:rFonts w:cstheme="minorHAnsi"/>
                <w:b w:val="0"/>
                <w:sz w:val="24"/>
                <w:szCs w:val="24"/>
              </w:rPr>
            </w:pPr>
            <w:r w:rsidRPr="00D50CA0">
              <w:rPr>
                <w:rFonts w:cstheme="minorHAnsi"/>
                <w:b w:val="0"/>
                <w:sz w:val="24"/>
                <w:szCs w:val="24"/>
              </w:rPr>
              <w:t>Indicator</w:t>
            </w:r>
          </w:p>
        </w:tc>
        <w:tc>
          <w:tcPr>
            <w:tcW w:w="5987" w:type="dxa"/>
            <w:shd w:val="clear" w:color="auto" w:fill="D9D9D9" w:themeFill="background1" w:themeFillShade="D9"/>
          </w:tcPr>
          <w:p w14:paraId="441D036A" w14:textId="7DEC30BD" w:rsidR="008A5564" w:rsidRPr="00D50CA0" w:rsidRDefault="00D50CA0" w:rsidP="00E7736D">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D50CA0">
              <w:rPr>
                <w:rFonts w:cstheme="minorHAnsi"/>
                <w:b w:val="0"/>
                <w:sz w:val="24"/>
                <w:szCs w:val="24"/>
              </w:rPr>
              <w:t>Explanation</w:t>
            </w:r>
          </w:p>
        </w:tc>
        <w:tc>
          <w:tcPr>
            <w:tcW w:w="1559" w:type="dxa"/>
            <w:shd w:val="clear" w:color="auto" w:fill="D9D9D9" w:themeFill="background1" w:themeFillShade="D9"/>
          </w:tcPr>
          <w:p w14:paraId="2818CD48" w14:textId="2977E772" w:rsidR="008A5564" w:rsidRPr="00D50CA0" w:rsidRDefault="00D50CA0" w:rsidP="00E7736D">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D50CA0">
              <w:rPr>
                <w:rFonts w:cstheme="minorHAnsi"/>
                <w:b w:val="0"/>
                <w:sz w:val="24"/>
                <w:szCs w:val="24"/>
              </w:rPr>
              <w:t>Reference</w:t>
            </w:r>
          </w:p>
        </w:tc>
      </w:tr>
      <w:tr w:rsidR="003D53C3" w:rsidRPr="00F85008" w14:paraId="0EAFCEFB" w14:textId="77777777" w:rsidTr="00A14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000000" w:themeColor="text1"/>
              <w:bottom w:val="nil"/>
            </w:tcBorders>
            <w:shd w:val="clear" w:color="auto" w:fill="auto"/>
          </w:tcPr>
          <w:p w14:paraId="2D7AB19C" w14:textId="77777777" w:rsidR="003B7116" w:rsidRPr="00F85008" w:rsidRDefault="003B7116" w:rsidP="00E7736D">
            <w:pPr>
              <w:rPr>
                <w:rFonts w:cstheme="minorHAnsi"/>
                <w:sz w:val="24"/>
                <w:szCs w:val="24"/>
              </w:rPr>
            </w:pPr>
            <w:r w:rsidRPr="00F85008">
              <w:rPr>
                <w:rFonts w:cstheme="minorHAnsi"/>
                <w:sz w:val="24"/>
                <w:szCs w:val="24"/>
              </w:rPr>
              <w:t>Sen</w:t>
            </w:r>
            <w:r w:rsidR="00AC7B90" w:rsidRPr="00F85008">
              <w:rPr>
                <w:rFonts w:cstheme="minorHAnsi"/>
                <w:sz w:val="24"/>
                <w:szCs w:val="24"/>
              </w:rPr>
              <w:t>sitivity</w:t>
            </w:r>
          </w:p>
        </w:tc>
        <w:tc>
          <w:tcPr>
            <w:tcW w:w="5987" w:type="dxa"/>
            <w:tcBorders>
              <w:top w:val="single" w:sz="4" w:space="0" w:color="000000" w:themeColor="text1"/>
              <w:bottom w:val="nil"/>
            </w:tcBorders>
            <w:shd w:val="clear" w:color="auto" w:fill="auto"/>
          </w:tcPr>
          <w:p w14:paraId="56FC83EA" w14:textId="77777777" w:rsidR="003B7116" w:rsidRPr="00F85008" w:rsidRDefault="003B7116" w:rsidP="00E7736D">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559" w:type="dxa"/>
            <w:tcBorders>
              <w:top w:val="single" w:sz="4" w:space="0" w:color="000000" w:themeColor="text1"/>
              <w:bottom w:val="nil"/>
            </w:tcBorders>
            <w:shd w:val="clear" w:color="auto" w:fill="auto"/>
          </w:tcPr>
          <w:p w14:paraId="305D8478" w14:textId="77777777" w:rsidR="003B7116" w:rsidRPr="00F85008" w:rsidRDefault="003B7116" w:rsidP="00E7736D">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3D53C3" w:rsidRPr="00F85008" w14:paraId="0D413703" w14:textId="77777777" w:rsidTr="00A1460E">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shd w:val="clear" w:color="auto" w:fill="auto"/>
          </w:tcPr>
          <w:p w14:paraId="140E0B96" w14:textId="77777777" w:rsidR="008A5564" w:rsidRPr="00F85008" w:rsidRDefault="008A5564" w:rsidP="008163F5">
            <w:pPr>
              <w:ind w:left="609" w:hanging="283"/>
              <w:rPr>
                <w:rFonts w:cstheme="minorHAnsi"/>
                <w:b w:val="0"/>
                <w:sz w:val="24"/>
                <w:szCs w:val="24"/>
              </w:rPr>
            </w:pPr>
            <w:r w:rsidRPr="00F85008">
              <w:rPr>
                <w:rFonts w:cstheme="minorHAnsi"/>
                <w:b w:val="0"/>
                <w:sz w:val="24"/>
                <w:szCs w:val="24"/>
              </w:rPr>
              <w:t>Percentage income from fishing</w:t>
            </w:r>
          </w:p>
        </w:tc>
        <w:tc>
          <w:tcPr>
            <w:tcW w:w="5987" w:type="dxa"/>
            <w:tcBorders>
              <w:top w:val="nil"/>
              <w:bottom w:val="nil"/>
            </w:tcBorders>
            <w:shd w:val="clear" w:color="auto" w:fill="auto"/>
          </w:tcPr>
          <w:p w14:paraId="79DF434B" w14:textId="77777777" w:rsidR="008A5564" w:rsidRPr="00F85008" w:rsidRDefault="008A5564" w:rsidP="00E7736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85008">
              <w:rPr>
                <w:rFonts w:cstheme="minorHAnsi"/>
                <w:sz w:val="24"/>
                <w:szCs w:val="24"/>
              </w:rPr>
              <w:t>The percentage of respondent’s total monthly income from fishing either in the sea or lagoon</w:t>
            </w:r>
          </w:p>
        </w:tc>
        <w:tc>
          <w:tcPr>
            <w:tcW w:w="1559" w:type="dxa"/>
            <w:tcBorders>
              <w:top w:val="nil"/>
              <w:bottom w:val="nil"/>
            </w:tcBorders>
            <w:shd w:val="clear" w:color="auto" w:fill="auto"/>
          </w:tcPr>
          <w:p w14:paraId="0525913B" w14:textId="217B3DBF" w:rsidR="008A5564" w:rsidRPr="00F85008" w:rsidRDefault="003A0731" w:rsidP="00E7736D">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85008">
              <w:rPr>
                <w:rFonts w:cstheme="minorHAnsi"/>
                <w:sz w:val="24"/>
                <w:szCs w:val="24"/>
              </w:rPr>
              <w:fldChar w:fldCharType="begin" w:fldLock="1"/>
            </w:r>
            <w:r w:rsidRPr="00F85008">
              <w:rPr>
                <w:rFonts w:cstheme="minorHAnsi"/>
                <w:sz w:val="24"/>
                <w:szCs w:val="24"/>
              </w:rPr>
              <w:instrText>ADDIN CSL_CITATION {"citationItems":[{"id":"ITEM-1","itemData":{"DOI":"10.1007/s10113-013-0487-6","ISSN":"14363798","abstract":"Globally, fisheries support livelihoods of over half a billion people who are exposed to multiple climatic stresses and shocks that affect their capacity to subsist. Yet, only limited research exists on the vulnerability of fishery-based livelihood systems to climate change. We assess the vulnerability of fishery-based livelihoods to the impacts of climate variability and change in two coastal fishing communities in Bangladesh. We use a composite index approach to calculate livelihood vulnerability and qualitative methods to understand how exposure, sensitivity, and adaptive capacity measured by sub-indices produce vulnerability. Our results suggest that exposure to floods and cyclones, sensitivity (such as dependence on small-scale marine fisheries for livelihoods), and lack of adaptive capacity in terms of physical, natural, and financial capital and diverse livelihood strategies construe livelihood vulnerability in different ways depending on the context. The most exposed community is not necessarily the most sensitive or least able to adapt because livelihood vulnerability is a result of combined but unequal influences of bio-physical and socio-economic characteristics of communities and households. But within a fishing community, where households are similarly exposed, higher sensitivity and lower adaptive capacity combine to create higher vulnerability. Initiatives to reduce livelihood vulnerability should be correspondingly multifaceted. © 2013 The Author(s).","author":[{"dropping-particle":"","family":"Islam","given":"Md Monirul","non-dropping-particle":"","parse-names":false,"suffix":""},{"dropping-particle":"","family":"Sallu","given":"Susannah","non-dropping-particle":"","parse-names":false,"suffix":""},{"dropping-particle":"","family":"Hubacek","given":"Klaus","non-dropping-particle":"","parse-names":false,"suffix":""},{"dropping-particle":"","family":"Paavola","given":"Jouni","non-dropping-particle":"","parse-names":false,"suffix":""}],"container-title":"Regional Environmental Change","id":"ITEM-1","issue":"1","issued":{"date-parts":[["2014"]]},"page":"281-294","title":"Vulnerability of fishery-based livelihoods to the impacts of climate variability and change: Insights from coastal Bangladesh","type":"article-journal","volume":"14"},"uris":["http://www.mendeley.com/documents/?uuid=394b94ce-bbbe-48df-85a8-468bbddbda2b"]}],"mendeley":{"formattedCitation":"[9]","plainTextFormattedCitation":"[9]","previouslyFormattedCitation":"[9]"},"properties":{"noteIndex":0},"schema":"https://github.com/citation-style-language/schema/raw/master/csl-citation.json"}</w:instrText>
            </w:r>
            <w:r w:rsidRPr="00F85008">
              <w:rPr>
                <w:rFonts w:cstheme="minorHAnsi"/>
                <w:sz w:val="24"/>
                <w:szCs w:val="24"/>
              </w:rPr>
              <w:fldChar w:fldCharType="separate"/>
            </w:r>
            <w:r w:rsidRPr="00F85008">
              <w:rPr>
                <w:rFonts w:cstheme="minorHAnsi"/>
                <w:noProof/>
                <w:sz w:val="24"/>
                <w:szCs w:val="24"/>
              </w:rPr>
              <w:t>[9]</w:t>
            </w:r>
            <w:r w:rsidRPr="00F85008">
              <w:rPr>
                <w:rFonts w:cstheme="minorHAnsi"/>
                <w:sz w:val="24"/>
                <w:szCs w:val="24"/>
              </w:rPr>
              <w:fldChar w:fldCharType="end"/>
            </w:r>
          </w:p>
        </w:tc>
      </w:tr>
      <w:tr w:rsidR="003D53C3" w:rsidRPr="00F85008" w14:paraId="2A279A7F" w14:textId="77777777" w:rsidTr="00A14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shd w:val="clear" w:color="auto" w:fill="auto"/>
          </w:tcPr>
          <w:p w14:paraId="19E838DF" w14:textId="77777777" w:rsidR="008A5564" w:rsidRPr="00F85008" w:rsidRDefault="008A5564" w:rsidP="008163F5">
            <w:pPr>
              <w:ind w:left="326"/>
              <w:rPr>
                <w:rFonts w:cstheme="minorHAnsi"/>
                <w:b w:val="0"/>
                <w:sz w:val="24"/>
                <w:szCs w:val="24"/>
              </w:rPr>
            </w:pPr>
            <w:r w:rsidRPr="00F85008">
              <w:rPr>
                <w:rFonts w:cstheme="minorHAnsi"/>
                <w:b w:val="0"/>
                <w:sz w:val="24"/>
                <w:szCs w:val="24"/>
              </w:rPr>
              <w:t>Quality of house</w:t>
            </w:r>
            <w:r w:rsidR="00DD7514" w:rsidRPr="00F85008">
              <w:rPr>
                <w:rFonts w:cstheme="minorHAnsi"/>
                <w:b w:val="0"/>
                <w:sz w:val="24"/>
                <w:szCs w:val="24"/>
              </w:rPr>
              <w:t xml:space="preserve"> </w:t>
            </w:r>
            <w:r w:rsidR="001029C5" w:rsidRPr="00F85008">
              <w:rPr>
                <w:rFonts w:cstheme="minorHAnsi"/>
                <w:b w:val="0"/>
                <w:sz w:val="24"/>
                <w:szCs w:val="24"/>
                <w:vertAlign w:val="superscript"/>
              </w:rPr>
              <w:t>a</w:t>
            </w:r>
          </w:p>
        </w:tc>
        <w:tc>
          <w:tcPr>
            <w:tcW w:w="5987" w:type="dxa"/>
            <w:tcBorders>
              <w:top w:val="nil"/>
              <w:bottom w:val="nil"/>
            </w:tcBorders>
            <w:shd w:val="clear" w:color="auto" w:fill="auto"/>
          </w:tcPr>
          <w:p w14:paraId="7CDA8120" w14:textId="77777777" w:rsidR="008A5564" w:rsidRPr="00F85008" w:rsidRDefault="008A5564" w:rsidP="00E7736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85008">
              <w:rPr>
                <w:rFonts w:cstheme="minorHAnsi"/>
                <w:sz w:val="24"/>
                <w:szCs w:val="24"/>
              </w:rPr>
              <w:t>Characteristics of housing the respondent lives in</w:t>
            </w:r>
          </w:p>
        </w:tc>
        <w:tc>
          <w:tcPr>
            <w:tcW w:w="1559" w:type="dxa"/>
            <w:tcBorders>
              <w:top w:val="nil"/>
              <w:bottom w:val="nil"/>
            </w:tcBorders>
            <w:shd w:val="clear" w:color="auto" w:fill="auto"/>
          </w:tcPr>
          <w:p w14:paraId="659898B7" w14:textId="77777777" w:rsidR="008A5564" w:rsidRPr="00F85008" w:rsidRDefault="000D7FE8" w:rsidP="00E7736D">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85008">
              <w:rPr>
                <w:rFonts w:cstheme="minorHAnsi"/>
                <w:sz w:val="24"/>
                <w:szCs w:val="24"/>
              </w:rPr>
              <w:fldChar w:fldCharType="begin" w:fldLock="1"/>
            </w:r>
            <w:r w:rsidR="00107B5C" w:rsidRPr="00F85008">
              <w:rPr>
                <w:rFonts w:cstheme="minorHAnsi"/>
                <w:sz w:val="24"/>
                <w:szCs w:val="24"/>
              </w:rPr>
              <w:instrText>ADDIN CSL_CITATION {"citationItems":[{"id":"ITEM-1","itemData":{"DOI":"10.1007/s10113-013-0487-6","ISSN":"14363798","abstract":"Globally, fisheries support livelihoods of over half a billion people who are exposed to multiple climatic stresses and shocks that affect their capacity to subsist. Yet, only limited research exists on the vulnerability of fishery-based livelihood systems to climate change. We assess the vulnerability of fishery-based livelihoods to the impacts of climate variability and change in two coastal fishing communities in Bangladesh. We use a composite index approach to calculate livelihood vulnerability and qualitative methods to understand how exposure, sensitivity, and adaptive capacity measured by sub-indices produce vulnerability. Our results suggest that exposure to floods and cyclones, sensitivity (such as dependence on small-scale marine fisheries for livelihoods), and lack of adaptive capacity in terms of physical, natural, and financial capital and diverse livelihood strategies construe livelihood vulnerability in different ways depending on the context. The most exposed community is not necessarily the most sensitive or least able to adapt because livelihood vulnerability is a result of combined but unequal influences of bio-physical and socio-economic characteristics of communities and households. But within a fishing community, where households are similarly exposed, higher sensitivity and lower adaptive capacity combine to create higher vulnerability. Initiatives to reduce livelihood vulnerability should be correspondingly multifaceted. © 2013 The Author(s).","author":[{"dropping-particle":"","family":"Islam","given":"Md Monirul","non-dropping-particle":"","parse-names":false,"suffix":""},{"dropping-particle":"","family":"Sallu","given":"Susannah","non-dropping-particle":"","parse-names":false,"suffix":""},{"dropping-particle":"","family":"Hubacek","given":"Klaus","non-dropping-particle":"","parse-names":false,"suffix":""},{"dropping-particle":"","family":"Paavola","given":"Jouni","non-dropping-particle":"","parse-names":false,"suffix":""}],"container-title":"Regional Environmental Change","id":"ITEM-1","issue":"1","issued":{"date-parts":[["2014"]]},"page":"281-294","title":"Vulnerability of fishery-based livelihoods to the impacts of climate variability and change: Insights from coastal Bangladesh","type":"article-journal","volume":"14"},"uris":["http://www.mendeley.com/documents/?uuid=394b94ce-bbbe-48df-85a8-468bbddbda2b"]}],"mendeley":{"formattedCitation":"[9]","plainTextFormattedCitation":"[9]","previouslyFormattedCitation":"[9]"},"properties":{"noteIndex":0},"schema":"https://github.com/citation-style-language/schema/raw/master/csl-citation.json"}</w:instrText>
            </w:r>
            <w:r w:rsidRPr="00F85008">
              <w:rPr>
                <w:rFonts w:cstheme="minorHAnsi"/>
                <w:sz w:val="24"/>
                <w:szCs w:val="24"/>
              </w:rPr>
              <w:fldChar w:fldCharType="separate"/>
            </w:r>
            <w:r w:rsidRPr="00F85008">
              <w:rPr>
                <w:rFonts w:cstheme="minorHAnsi"/>
                <w:noProof/>
                <w:sz w:val="24"/>
                <w:szCs w:val="24"/>
              </w:rPr>
              <w:t>[9]</w:t>
            </w:r>
            <w:r w:rsidRPr="00F85008">
              <w:rPr>
                <w:rFonts w:cstheme="minorHAnsi"/>
                <w:sz w:val="24"/>
                <w:szCs w:val="24"/>
              </w:rPr>
              <w:fldChar w:fldCharType="end"/>
            </w:r>
          </w:p>
        </w:tc>
      </w:tr>
      <w:tr w:rsidR="003D53C3" w:rsidRPr="00F85008" w14:paraId="4DE1C063" w14:textId="77777777" w:rsidTr="00A1460E">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shd w:val="clear" w:color="auto" w:fill="auto"/>
          </w:tcPr>
          <w:p w14:paraId="4C5EB0D5" w14:textId="77777777" w:rsidR="008A5564" w:rsidRPr="00F85008" w:rsidRDefault="008A5564" w:rsidP="008163F5">
            <w:pPr>
              <w:ind w:left="326"/>
              <w:rPr>
                <w:rFonts w:cstheme="minorHAnsi"/>
                <w:b w:val="0"/>
                <w:sz w:val="24"/>
                <w:szCs w:val="24"/>
              </w:rPr>
            </w:pPr>
            <w:r w:rsidRPr="00F85008">
              <w:rPr>
                <w:rFonts w:cstheme="minorHAnsi"/>
                <w:b w:val="0"/>
                <w:sz w:val="24"/>
                <w:szCs w:val="24"/>
              </w:rPr>
              <w:t>Children</w:t>
            </w:r>
          </w:p>
        </w:tc>
        <w:tc>
          <w:tcPr>
            <w:tcW w:w="5987" w:type="dxa"/>
            <w:tcBorders>
              <w:top w:val="nil"/>
              <w:bottom w:val="nil"/>
            </w:tcBorders>
            <w:shd w:val="clear" w:color="auto" w:fill="auto"/>
          </w:tcPr>
          <w:p w14:paraId="67B2CC25" w14:textId="77777777" w:rsidR="008A5564" w:rsidRPr="00F85008" w:rsidRDefault="008A5564" w:rsidP="00E7736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85008">
              <w:rPr>
                <w:rFonts w:cstheme="minorHAnsi"/>
                <w:sz w:val="24"/>
                <w:szCs w:val="24"/>
              </w:rPr>
              <w:t>Number of children aged 0 – 18 in house</w:t>
            </w:r>
            <w:r w:rsidR="00F97E43" w:rsidRPr="00F85008">
              <w:rPr>
                <w:rFonts w:cstheme="minorHAnsi"/>
                <w:sz w:val="24"/>
                <w:szCs w:val="24"/>
              </w:rPr>
              <w:t>hold</w:t>
            </w:r>
          </w:p>
        </w:tc>
        <w:tc>
          <w:tcPr>
            <w:tcW w:w="1559" w:type="dxa"/>
            <w:tcBorders>
              <w:top w:val="nil"/>
              <w:bottom w:val="nil"/>
            </w:tcBorders>
            <w:shd w:val="clear" w:color="auto" w:fill="auto"/>
          </w:tcPr>
          <w:p w14:paraId="514E8F71" w14:textId="77777777" w:rsidR="008A5564" w:rsidRPr="00F85008" w:rsidRDefault="008A5564" w:rsidP="00E7736D">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D53C3" w:rsidRPr="00F85008" w14:paraId="6469E9FA" w14:textId="77777777" w:rsidTr="00A14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il"/>
            </w:tcBorders>
            <w:shd w:val="clear" w:color="auto" w:fill="auto"/>
          </w:tcPr>
          <w:p w14:paraId="689E63BD" w14:textId="77777777" w:rsidR="005226BD" w:rsidRPr="00F85008" w:rsidRDefault="00335C8A" w:rsidP="00E7736D">
            <w:pPr>
              <w:rPr>
                <w:rFonts w:cstheme="minorHAnsi"/>
                <w:sz w:val="24"/>
                <w:szCs w:val="24"/>
              </w:rPr>
            </w:pPr>
            <w:r w:rsidRPr="00F85008">
              <w:rPr>
                <w:rFonts w:cstheme="minorHAnsi"/>
                <w:sz w:val="24"/>
                <w:szCs w:val="24"/>
              </w:rPr>
              <w:t>Adaptive capacity</w:t>
            </w:r>
          </w:p>
        </w:tc>
        <w:tc>
          <w:tcPr>
            <w:tcW w:w="5987" w:type="dxa"/>
            <w:tcBorders>
              <w:top w:val="nil"/>
            </w:tcBorders>
            <w:shd w:val="clear" w:color="auto" w:fill="auto"/>
          </w:tcPr>
          <w:p w14:paraId="1F653855" w14:textId="77777777" w:rsidR="005226BD" w:rsidRPr="00F85008" w:rsidRDefault="005226BD" w:rsidP="00E7736D">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559" w:type="dxa"/>
            <w:tcBorders>
              <w:top w:val="nil"/>
            </w:tcBorders>
            <w:shd w:val="clear" w:color="auto" w:fill="auto"/>
          </w:tcPr>
          <w:p w14:paraId="092ED339" w14:textId="77777777" w:rsidR="005226BD" w:rsidRPr="00F85008" w:rsidRDefault="005226BD" w:rsidP="00E7736D">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3D53C3" w:rsidRPr="00F85008" w14:paraId="66365F9A" w14:textId="77777777" w:rsidTr="00A1460E">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4E420578" w14:textId="77777777" w:rsidR="008A5564" w:rsidRPr="00F85008" w:rsidRDefault="008A5564" w:rsidP="00E7736D">
            <w:pPr>
              <w:rPr>
                <w:rFonts w:cstheme="minorHAnsi"/>
                <w:b w:val="0"/>
                <w:sz w:val="24"/>
                <w:szCs w:val="24"/>
              </w:rPr>
            </w:pPr>
            <w:r w:rsidRPr="00F85008">
              <w:rPr>
                <w:rFonts w:cstheme="minorHAnsi"/>
                <w:b w:val="0"/>
                <w:sz w:val="24"/>
                <w:szCs w:val="24"/>
              </w:rPr>
              <w:t>Social capital</w:t>
            </w:r>
            <w:r w:rsidR="00FE6FA7" w:rsidRPr="00F85008">
              <w:rPr>
                <w:rFonts w:cstheme="minorHAnsi"/>
                <w:b w:val="0"/>
                <w:sz w:val="24"/>
                <w:szCs w:val="24"/>
              </w:rPr>
              <w:t xml:space="preserve"> </w:t>
            </w:r>
            <w:r w:rsidR="001029C5" w:rsidRPr="00F85008">
              <w:rPr>
                <w:rFonts w:cstheme="minorHAnsi"/>
                <w:b w:val="0"/>
                <w:sz w:val="24"/>
                <w:szCs w:val="24"/>
                <w:vertAlign w:val="superscript"/>
              </w:rPr>
              <w:t>b</w:t>
            </w:r>
          </w:p>
        </w:tc>
        <w:tc>
          <w:tcPr>
            <w:tcW w:w="5987" w:type="dxa"/>
            <w:shd w:val="clear" w:color="auto" w:fill="auto"/>
          </w:tcPr>
          <w:p w14:paraId="55D8AAC7" w14:textId="77777777" w:rsidR="008E668F" w:rsidRPr="00F85008" w:rsidRDefault="008A5564" w:rsidP="00E7736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85008">
              <w:rPr>
                <w:rFonts w:cstheme="minorHAnsi"/>
                <w:sz w:val="24"/>
                <w:szCs w:val="24"/>
              </w:rPr>
              <w:t>Aggregate index of the indicators of social capital</w:t>
            </w:r>
            <w:r w:rsidR="000B056F" w:rsidRPr="00F85008">
              <w:rPr>
                <w:rFonts w:cstheme="minorHAnsi"/>
                <w:sz w:val="24"/>
                <w:szCs w:val="24"/>
              </w:rPr>
              <w:t xml:space="preserve"> </w:t>
            </w:r>
          </w:p>
          <w:p w14:paraId="741C7A7E" w14:textId="77777777" w:rsidR="008A5564" w:rsidRPr="00F85008" w:rsidRDefault="000B056F" w:rsidP="00E7736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85008">
              <w:rPr>
                <w:rFonts w:cstheme="minorHAnsi"/>
                <w:sz w:val="24"/>
                <w:szCs w:val="24"/>
              </w:rPr>
              <w:t>(</w:t>
            </w:r>
            <w:r w:rsidR="008E668F" w:rsidRPr="00F85008">
              <w:rPr>
                <w:rFonts w:cstheme="minorHAnsi"/>
                <w:i/>
                <w:sz w:val="24"/>
                <w:szCs w:val="24"/>
              </w:rPr>
              <w:t>T</w:t>
            </w:r>
            <w:r w:rsidR="008A5564" w:rsidRPr="00F85008">
              <w:rPr>
                <w:rFonts w:cstheme="minorHAnsi"/>
                <w:i/>
                <w:sz w:val="24"/>
                <w:szCs w:val="24"/>
              </w:rPr>
              <w:t>rust, networks</w:t>
            </w:r>
            <w:r w:rsidR="00BA3387" w:rsidRPr="00F85008">
              <w:rPr>
                <w:rFonts w:cstheme="minorHAnsi"/>
                <w:i/>
                <w:sz w:val="24"/>
                <w:szCs w:val="24"/>
              </w:rPr>
              <w:t xml:space="preserve">, </w:t>
            </w:r>
            <w:r w:rsidR="008A5564" w:rsidRPr="00F85008">
              <w:rPr>
                <w:rFonts w:cstheme="minorHAnsi"/>
                <w:i/>
                <w:sz w:val="24"/>
                <w:szCs w:val="24"/>
              </w:rPr>
              <w:t>reciprocity</w:t>
            </w:r>
            <w:r w:rsidR="00BA3387" w:rsidRPr="00F85008">
              <w:rPr>
                <w:rFonts w:cstheme="minorHAnsi"/>
                <w:i/>
                <w:sz w:val="24"/>
                <w:szCs w:val="24"/>
              </w:rPr>
              <w:t xml:space="preserve"> and social integration</w:t>
            </w:r>
            <w:r w:rsidRPr="00F85008">
              <w:rPr>
                <w:rFonts w:cstheme="minorHAnsi"/>
                <w:sz w:val="24"/>
                <w:szCs w:val="24"/>
              </w:rPr>
              <w:t>)</w:t>
            </w:r>
            <w:r w:rsidR="008A5564" w:rsidRPr="00F85008">
              <w:rPr>
                <w:rFonts w:cstheme="minorHAnsi"/>
                <w:sz w:val="24"/>
                <w:szCs w:val="24"/>
              </w:rPr>
              <w:t xml:space="preserve"> </w:t>
            </w:r>
          </w:p>
        </w:tc>
        <w:tc>
          <w:tcPr>
            <w:tcW w:w="1559" w:type="dxa"/>
            <w:shd w:val="clear" w:color="auto" w:fill="auto"/>
          </w:tcPr>
          <w:p w14:paraId="03942AB0" w14:textId="75C3845F" w:rsidR="008A5564" w:rsidRPr="00F85008" w:rsidRDefault="00107B5C" w:rsidP="00E7736D">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85008">
              <w:rPr>
                <w:rFonts w:cstheme="minorHAnsi"/>
                <w:sz w:val="24"/>
                <w:szCs w:val="24"/>
              </w:rPr>
              <w:fldChar w:fldCharType="begin" w:fldLock="1"/>
            </w:r>
            <w:r w:rsidR="00FC52F5">
              <w:rPr>
                <w:rFonts w:cstheme="minorHAnsi"/>
                <w:sz w:val="24"/>
                <w:szCs w:val="24"/>
              </w:rPr>
              <w:instrText>ADDIN CSL_CITATION {"citationItems":[{"id":"ITEM-1","itemData":{"DOI":"10.1016/S0305-750X(98)00136-3","ISSN":"0305750X","abstract":"A framework for analyzing social vulnerability is outlined, an aspect largely underemphasized in assessments of the impacts of climate change and climate extremes. Vulnerability is defined in this paper as the exposure of individuals or collective groups to livelihood stress as a result of the impacts of such environmental change. It is constituted by individual and collective aspects which can be disaggregated, but are linked through the political economy of markets and institutions. Research in coastal northern Vietnam shows that baseline social vulnerability is enhanced by some institutional and economic factors associated with Vietnam's economic transition from central planning, namely the breakdown of collective action on protection from extreme events and an increasingly skewed income. Offsetting these trends are other institutional changes associated with the dynamic nature of the economic restructuring and evolution of the market transition in Vietnam, which decrease vulnerability.","author":[{"dropping-particle":"","family":"Neil Adger","given":"W.","non-dropping-particle":"","parse-names":false,"suffix":""}],"container-title":"World Development","id":"ITEM-1","issue":"2","issued":{"date-parts":[["1999"]]},"page":"249-269","title":"Social vulnerability to climate change and extremes in coastal Vietnam","type":"article-journal","volume":"27"},"uris":["http://www.mendeley.com/documents/?uuid=1d2e39a0-9b6e-4cbb-aa84-519a0ff0bf10"]},{"id":"ITEM-2","itemData":{"DOI":"10.5751/ES-07203-200137","ISSN":"17083087","abstract":"© 2015 by the author (s). Although previous studies have examined adaptive capacity using a range of self-assessment procedures, no objective self-report approaches have been used to identify the dimensions of adaptive capacity and their relative importance. We examine the content, structure, and relative importance of dimensions of adaptive capacity as perceived by rural landholders in an agricultural landscape in South-Eastern Australia. Our findings indicate that the most important dimensions influencing perceived landholder adaptive capacity are related to their management style, particularly their change orientation. Other important dimensions are individual financial capacity, labor availability, and the capacity of communities and local networks to support landholders’ management practices. Trust and confidence in government with respect to native vegetation management was not found to be a significant dimensi on of perceived adaptive capacity. The scale items presented, particularly those with high factor loadings, provide a solid foundation for assessment of adaptive capacity in other study areas, as well as exploration of relationships between the individual dimensions of adaptive capacity and dependent variables such as perceived resilience. Further work is needed to refine the scale items and compare the findings from this case study with those from other contexts and population samples.","author":[{"dropping-particle":"","family":"Lockwood","given":"Michael","non-dropping-particle":"","parse-names":false,"suffix":""},{"dropping-particle":"","family":"Raymond","given":"Christopher M.","non-dropping-particle":"","parse-names":false,"suffix":""},{"dropping-particle":"","family":"Oczkowski","given":"Eddie","non-dropping-particle":"","parse-names":false,"suffix":""},{"dropping-particle":"","family":"Morrison","given":"Mark","non-dropping-particle":"","parse-names":false,"suffix":""}],"container-title":"Ecology and Society","id":"ITEM-2","issue":"1","issued":{"date-parts":[["2015"]]},"title":"Measuring the dimensions of adaptive capacity: A psychometric approach","type":"article-journal","volume":"20"},"uris":["http://www.mendeley.com/documents/?uuid=519340a9-bdb2-4916-bd4d-c939c66e69c9"]}],"mendeley":{"formattedCitation":"[18], [41]","plainTextFormattedCitation":"[18], [41]","previouslyFormattedCitation":"[18], [40]"},"properties":{"noteIndex":0},"schema":"https://github.com/citation-style-language/schema/raw/master/csl-citation.json"}</w:instrText>
            </w:r>
            <w:r w:rsidRPr="00F85008">
              <w:rPr>
                <w:rFonts w:cstheme="minorHAnsi"/>
                <w:sz w:val="24"/>
                <w:szCs w:val="24"/>
              </w:rPr>
              <w:fldChar w:fldCharType="separate"/>
            </w:r>
            <w:r w:rsidR="00FC52F5" w:rsidRPr="00FC52F5">
              <w:rPr>
                <w:rFonts w:cstheme="minorHAnsi"/>
                <w:noProof/>
                <w:sz w:val="24"/>
                <w:szCs w:val="24"/>
              </w:rPr>
              <w:t>[18], [41]</w:t>
            </w:r>
            <w:r w:rsidRPr="00F85008">
              <w:rPr>
                <w:rFonts w:cstheme="minorHAnsi"/>
                <w:sz w:val="24"/>
                <w:szCs w:val="24"/>
              </w:rPr>
              <w:fldChar w:fldCharType="end"/>
            </w:r>
          </w:p>
        </w:tc>
      </w:tr>
      <w:tr w:rsidR="003D53C3" w:rsidRPr="00F85008" w14:paraId="52C26B6A" w14:textId="77777777" w:rsidTr="00A14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4EFE8397" w14:textId="77777777" w:rsidR="008A5564" w:rsidRPr="00F85008" w:rsidRDefault="008A5564" w:rsidP="00E7736D">
            <w:pPr>
              <w:rPr>
                <w:rFonts w:cstheme="minorHAnsi"/>
                <w:b w:val="0"/>
                <w:sz w:val="24"/>
                <w:szCs w:val="24"/>
              </w:rPr>
            </w:pPr>
            <w:r w:rsidRPr="00F85008">
              <w:rPr>
                <w:rFonts w:cstheme="minorHAnsi"/>
                <w:b w:val="0"/>
                <w:sz w:val="24"/>
                <w:szCs w:val="24"/>
              </w:rPr>
              <w:t>Financial capital</w:t>
            </w:r>
            <w:r w:rsidR="00F94DB4" w:rsidRPr="00F85008">
              <w:rPr>
                <w:rFonts w:cstheme="minorHAnsi"/>
                <w:b w:val="0"/>
                <w:sz w:val="24"/>
                <w:szCs w:val="24"/>
              </w:rPr>
              <w:t xml:space="preserve"> </w:t>
            </w:r>
            <w:r w:rsidR="001029C5" w:rsidRPr="00F85008">
              <w:rPr>
                <w:rFonts w:cstheme="minorHAnsi"/>
                <w:b w:val="0"/>
                <w:sz w:val="24"/>
                <w:szCs w:val="24"/>
                <w:vertAlign w:val="superscript"/>
              </w:rPr>
              <w:t>c</w:t>
            </w:r>
          </w:p>
        </w:tc>
        <w:tc>
          <w:tcPr>
            <w:tcW w:w="5987" w:type="dxa"/>
            <w:shd w:val="clear" w:color="auto" w:fill="auto"/>
          </w:tcPr>
          <w:p w14:paraId="150B203C" w14:textId="77777777" w:rsidR="00F94DB4" w:rsidRPr="00F85008" w:rsidRDefault="008A5564" w:rsidP="00E7736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85008">
              <w:rPr>
                <w:rFonts w:cstheme="minorHAnsi"/>
                <w:sz w:val="24"/>
                <w:szCs w:val="24"/>
              </w:rPr>
              <w:t>Aggregate index of the indicators of financial capital</w:t>
            </w:r>
            <w:r w:rsidR="00CB499F" w:rsidRPr="00F85008">
              <w:rPr>
                <w:rFonts w:cstheme="minorHAnsi"/>
                <w:sz w:val="24"/>
                <w:szCs w:val="24"/>
              </w:rPr>
              <w:t xml:space="preserve"> </w:t>
            </w:r>
          </w:p>
          <w:p w14:paraId="66E0523F" w14:textId="77777777" w:rsidR="008A5564" w:rsidRPr="00F85008" w:rsidRDefault="00CB499F" w:rsidP="00E7736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85008">
              <w:rPr>
                <w:rFonts w:cstheme="minorHAnsi"/>
                <w:sz w:val="24"/>
                <w:szCs w:val="24"/>
              </w:rPr>
              <w:t>(</w:t>
            </w:r>
            <w:r w:rsidR="008E668F" w:rsidRPr="00F85008">
              <w:rPr>
                <w:rFonts w:cstheme="minorHAnsi"/>
                <w:i/>
                <w:sz w:val="24"/>
                <w:szCs w:val="24"/>
              </w:rPr>
              <w:t>S</w:t>
            </w:r>
            <w:r w:rsidR="008A5564" w:rsidRPr="00F85008">
              <w:rPr>
                <w:rFonts w:cstheme="minorHAnsi"/>
                <w:i/>
                <w:sz w:val="24"/>
                <w:szCs w:val="24"/>
              </w:rPr>
              <w:t>avings, remittances and investment</w:t>
            </w:r>
            <w:r w:rsidRPr="00F85008">
              <w:rPr>
                <w:rFonts w:cstheme="minorHAnsi"/>
                <w:sz w:val="24"/>
                <w:szCs w:val="24"/>
              </w:rPr>
              <w:t>)</w:t>
            </w:r>
          </w:p>
        </w:tc>
        <w:tc>
          <w:tcPr>
            <w:tcW w:w="1559" w:type="dxa"/>
            <w:shd w:val="clear" w:color="auto" w:fill="auto"/>
          </w:tcPr>
          <w:p w14:paraId="46C01A6C" w14:textId="7A07684E" w:rsidR="008A5564" w:rsidRPr="00F85008" w:rsidRDefault="0006489C" w:rsidP="00E7736D">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85008">
              <w:rPr>
                <w:rFonts w:cstheme="minorHAnsi"/>
                <w:sz w:val="24"/>
                <w:szCs w:val="24"/>
              </w:rPr>
              <w:fldChar w:fldCharType="begin" w:fldLock="1"/>
            </w:r>
            <w:r w:rsidR="00B924BC">
              <w:rPr>
                <w:rFonts w:cstheme="minorHAnsi"/>
                <w:sz w:val="24"/>
                <w:szCs w:val="24"/>
              </w:rPr>
              <w:instrText>ADDIN CSL_CITATION {"citationItems":[{"id":"ITEM-1","itemData":{"DOI":"10.1057/palgrave.development.1110037","ISBN":"1858642248","ISSN":"00278424","PMID":"60101040","abstract":"The concept of sustainable livelihoods is increasingly important in the development debate. This paper outlines a framework for analysing sustainable livelihoods, defined here in relation to five key indicators. The framework shows how, in different contexts, sustainable livelihoods are achieved through access to a range of livelihood resources (natural, economic, human and social capitals) which are combined in the pursuit of different livelihood strategies (agricultural intensification or extensification, livelihood diversification and migration). Central to the framework is the analysis of the range of formal and informal organisational and institutional factors that influence sustainable livelihood outcomes. In conclusion, the paper briefly considers some of the practical, methodological and operational implications of a sustainable livelihoods approach.","author":[{"dropping-particle":"","family":"Scoones","given":"Ian","non-dropping-particle":"","parse-names":false,"suffix":""}],"container-title":"IDS Working Paper","id":"ITEM-1","issue":"May","issued":{"date-parts":[["1998"]]},"page":"1-22","title":"Sustainable Rural Livelihoods: A Framework for Analysis, IDS Working Paper 72","type":"article-journal","volume":"72"},"uris":["http://www.mendeley.com/documents/?uuid=a55c58d0-69e5-4054-9924-2d502fcbd614"]},{"id":"ITEM-2","itemData":{"DOI":"10.1016/S0305-750X(98)00136-3","ISSN":"0305750X","abstract":"A framework for analyzing social vulnerability is outlined, an aspect largely underemphasized in assessments of the impacts of climate change and climate extremes. Vulnerability is defined in this paper as the exposure of individuals or collective groups to livelihood stress as a result of the impacts of such environmental change. It is constituted by individual and collective aspects which can be disaggregated, but are linked through the political economy of markets and institutions. Research in coastal northern Vietnam shows that baseline social vulnerability is enhanced by some institutional and economic factors associated with Vietnam's economic transition from central planning, namely the breakdown of collective action on protection from extreme events and an increasingly skewed income. Offsetting these trends are other institutional changes associated with the dynamic nature of the economic restructuring and evolution of the market transition in Vietnam, which decrease vulnerability.","author":[{"dropping-particle":"","family":"Neil Adger","given":"W.","non-dropping-particle":"","parse-names":false,"suffix":""}],"container-title":"World Development","id":"ITEM-2","issue":"2","issued":{"date-parts":[["1999"]]},"page":"249-269","title":"Social vulnerability to climate change and extremes in coastal Vietnam","type":"article-journal","volume":"27"},"uris":["http://www.mendeley.com/documents/?uuid=1d2e39a0-9b6e-4cbb-aa84-519a0ff0bf10"]},{"id":"ITEM-3","itemData":{"DOI":"10.1007/s10668-012-9418-9","ISSN":"1387585X","abstract":"This paper builds on national- and regional-level vulnerability assessments by developing and applying a livelihood vulnerability index at the community and household scales to explore the nature of climate vulnerability. It provides innovative methodological steps in relation to livelihood assessment to identify the vulnerability of households and communities to drought. This will help to improve drought vulnerability assessments in Ghana and more widely as it shows extra information can be obtained from local-level vulnerability assessment that may be lacking in national- and regional-level analysis. The research employs quantitative and qualitative data collected through participatory methods, key informant interviews and a questionnaire survey with 270 households across 6 communities in two regions in Ghana. Results show that within the same agroecological zone, households and communities experience different degrees of climate vulnerability. These differences can be largely explained by socioeconomic characteristics such as wealth and gender, as well as access to capital assets. Results identify vulnerable households within resilient communities as well as more resilient households within vulnerable communities. These outliers are studied in detail. It is found that outlier households in vulnerable communities have an array of alternative livelihood options and tend to be socially well connected, enabling them to take advantage of opportunities associated with environmental and economic changes. To sustain and enhance the livelihoods of vulnerable households and communities, policymakers need to identify and facilitate appropriate interventions that foster asset building, improve institutional capacity as well as build social capital. © 2012 Springer Science+Business Media Dordrecht.","author":[{"dropping-particle":"","family":"Antwi-Agyei","given":"Philip","non-dropping-particle":"","parse-names":false,"suffix":""},{"dropping-particle":"","family":"Dougill","given":"Andrew J.","non-dropping-particle":"","parse-names":false,"suffix":""},{"dropping-particle":"","family":"Fraser","given":"Evan D.G.","non-dropping-particle":"","parse-names":false,"suffix":""},{"dropping-particle":"","family":"Stringer","given":"Lindsay C.","non-dropping-particle":"","parse-names":false,"suffix":""}],"container-title":"Environment, Development and Sustainability","id":"ITEM-3","issue":"4","issued":{"date-parts":[["2013"]]},"page":"903-926","title":"Characterising the nature of household vulnerability to climate variability: Empirical evidence from two regions of Ghana","type":"article-journal","volume":"15"},"uris":["http://www.mendeley.com/documents/?uuid=43de67cb-04c8-449a-a6e9-e0be618cfa96"]}],"mendeley":{"formattedCitation":"[18], [21], [25]","plainTextFormattedCitation":"[18], [21], [25]","previouslyFormattedCitation":"[18], [21], [25]"},"properties":{"noteIndex":0},"schema":"https://github.com/citation-style-language/schema/raw/master/csl-citation.json"}</w:instrText>
            </w:r>
            <w:r w:rsidRPr="00F85008">
              <w:rPr>
                <w:rFonts w:cstheme="minorHAnsi"/>
                <w:sz w:val="24"/>
                <w:szCs w:val="24"/>
              </w:rPr>
              <w:fldChar w:fldCharType="separate"/>
            </w:r>
            <w:r w:rsidR="000150EF" w:rsidRPr="000150EF">
              <w:rPr>
                <w:rFonts w:cstheme="minorHAnsi"/>
                <w:noProof/>
                <w:sz w:val="24"/>
                <w:szCs w:val="24"/>
              </w:rPr>
              <w:t>[18], [21], [25]</w:t>
            </w:r>
            <w:r w:rsidRPr="00F85008">
              <w:rPr>
                <w:rFonts w:cstheme="minorHAnsi"/>
                <w:sz w:val="24"/>
                <w:szCs w:val="24"/>
              </w:rPr>
              <w:fldChar w:fldCharType="end"/>
            </w:r>
          </w:p>
        </w:tc>
      </w:tr>
      <w:tr w:rsidR="003D53C3" w:rsidRPr="00F85008" w14:paraId="3B2F9A17" w14:textId="77777777" w:rsidTr="00A1460E">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079F949B" w14:textId="77777777" w:rsidR="008A5564" w:rsidRPr="00F85008" w:rsidRDefault="008A5564" w:rsidP="00EA34F2">
            <w:pPr>
              <w:ind w:left="751" w:hanging="425"/>
              <w:rPr>
                <w:rFonts w:cstheme="minorHAnsi"/>
                <w:b w:val="0"/>
                <w:i/>
                <w:sz w:val="24"/>
                <w:szCs w:val="24"/>
              </w:rPr>
            </w:pPr>
            <w:r w:rsidRPr="00F85008">
              <w:rPr>
                <w:rFonts w:cstheme="minorHAnsi"/>
                <w:b w:val="0"/>
                <w:i/>
                <w:sz w:val="24"/>
                <w:szCs w:val="24"/>
              </w:rPr>
              <w:t>Monthly household income</w:t>
            </w:r>
          </w:p>
        </w:tc>
        <w:tc>
          <w:tcPr>
            <w:tcW w:w="5987" w:type="dxa"/>
            <w:shd w:val="clear" w:color="auto" w:fill="auto"/>
          </w:tcPr>
          <w:p w14:paraId="1014C2A5" w14:textId="77777777" w:rsidR="008A5564" w:rsidRPr="00F85008" w:rsidRDefault="008A5564" w:rsidP="00E7736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85008">
              <w:rPr>
                <w:rFonts w:cstheme="minorHAnsi"/>
                <w:sz w:val="24"/>
                <w:szCs w:val="24"/>
              </w:rPr>
              <w:t xml:space="preserve">Total household </w:t>
            </w:r>
            <w:r w:rsidR="008E668F" w:rsidRPr="00F85008">
              <w:rPr>
                <w:rFonts w:cstheme="minorHAnsi"/>
                <w:sz w:val="24"/>
                <w:szCs w:val="24"/>
              </w:rPr>
              <w:t>monthly income</w:t>
            </w:r>
            <w:r w:rsidRPr="00F85008">
              <w:rPr>
                <w:rFonts w:cstheme="minorHAnsi"/>
                <w:sz w:val="24"/>
                <w:szCs w:val="24"/>
              </w:rPr>
              <w:t xml:space="preserve"> </w:t>
            </w:r>
          </w:p>
        </w:tc>
        <w:tc>
          <w:tcPr>
            <w:tcW w:w="1559" w:type="dxa"/>
            <w:shd w:val="clear" w:color="auto" w:fill="auto"/>
          </w:tcPr>
          <w:p w14:paraId="077C0099" w14:textId="2896FEB6" w:rsidR="008A5564" w:rsidRPr="00F85008" w:rsidRDefault="007B3D1A" w:rsidP="00E7736D">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fldChar w:fldCharType="begin" w:fldLock="1"/>
            </w:r>
            <w:r w:rsidR="00FC52F5">
              <w:rPr>
                <w:rFonts w:cstheme="minorHAnsi"/>
                <w:sz w:val="24"/>
                <w:szCs w:val="24"/>
              </w:rPr>
              <w:instrText>ADDIN CSL_CITATION {"citationItems":[{"id":"ITEM-1","itemData":{"DOI":"10.1007/s10113-013-0487-6","ISSN":"14363798","abstract":"Globally, fisheries support livelihoods of over half a billion people who are exposed to multiple climatic stresses and shocks that affect their capacity to subsist. Yet, only limited research exists on the vulnerability of fishery-based livelihood systems to climate change. We assess the vulnerability of fishery-based livelihoods to the impacts of climate variability and change in two coastal fishing communities in Bangladesh. We use a composite index approach to calculate livelihood vulnerability and qualitative methods to understand how exposure, sensitivity, and adaptive capacity measured by sub-indices produce vulnerability. Our results suggest that exposure to floods and cyclones, sensitivity (such as dependence on small-scale marine fisheries for livelihoods), and lack of adaptive capacity in terms of physical, natural, and financial capital and diverse livelihood strategies construe livelihood vulnerability in different ways depending on the context. The most exposed community is not necessarily the most sensitive or least able to adapt because livelihood vulnerability is a result of combined but unequal influences of bio-physical and socio-economic characteristics of communities and households. But within a fishing community, where households are similarly exposed, higher sensitivity and lower adaptive capacity combine to create higher vulnerability. Initiatives to reduce livelihood vulnerability should be correspondingly multifaceted. © 2013 The Author(s).","author":[{"dropping-particle":"","family":"Islam","given":"Md Monirul","non-dropping-particle":"","parse-names":false,"suffix":""},{"dropping-particle":"","family":"Sallu","given":"Susannah","non-dropping-particle":"","parse-names":false,"suffix":""},{"dropping-particle":"","family":"Hubacek","given":"Klaus","non-dropping-particle":"","parse-names":false,"suffix":""},{"dropping-particle":"","family":"Paavola","given":"Jouni","non-dropping-particle":"","parse-names":false,"suffix":""}],"container-title":"Regional Environmental Change","id":"ITEM-1","issue":"1","issued":{"date-parts":[["2014"]]},"page":"281-294","title":"Vulnerability of fishery-based livelihoods to the impacts of climate variability and change: Insights from coastal Bangladesh","type":"article-journal","volume":"14"},"uris":["http://www.mendeley.com/documents/?uuid=394b94ce-bbbe-48df-85a8-468bbddbda2b"]},{"id":"ITEM-2","itemData":{"DOI":"10.1007/s10668-012-9418-9","ISSN":"1387585X","abstract":"This paper builds on national- and regional-level vulnerability assessments by developing and applying a livelihood vulnerability index at the community and household scales to explore the nature of climate vulnerability. It provides innovative methodological steps in relation to livelihood assessment to identify the vulnerability of households and communities to drought. This will help to improve drought vulnerability assessments in Ghana and more widely as it shows extra information can be obtained from local-level vulnerability assessment that may be lacking in national- and regional-level analysis. The research employs quantitative and qualitative data collected through participatory methods, key informant interviews and a questionnaire survey with 270 households across 6 communities in two regions in Ghana. Results show that within the same agroecological zone, households and communities experience different degrees of climate vulnerability. These differences can be largely explained by socioeconomic characteristics such as wealth and gender, as well as access to capital assets. Results identify vulnerable households within resilient communities as well as more resilient households within vulnerable communities. These outliers are studied in detail. It is found that outlier households in vulnerable communities have an array of alternative livelihood options and tend to be socially well connected, enabling them to take advantage of opportunities associated with environmental and economic changes. To sustain and enhance the livelihoods of vulnerable households and communities, policymakers need to identify and facilitate appropriate interventions that foster asset building, improve institutional capacity as well as build social capital. © 2012 Springer Science+Business Media Dordrecht.","author":[{"dropping-particle":"","family":"Antwi-Agyei","given":"Philip","non-dropping-particle":"","parse-names":false,"suffix":""},{"dropping-particle":"","family":"Dougill","given":"Andrew J.","non-dropping-particle":"","parse-names":false,"suffix":""},{"dropping-particle":"","family":"Fraser","given":"Evan D.G.","non-dropping-particle":"","parse-names":false,"suffix":""},{"dropping-particle":"","family":"Stringer","given":"Lindsay C.","non-dropping-particle":"","parse-names":false,"suffix":""}],"container-title":"Environment, Development and Sustainability","id":"ITEM-2","issue":"4","issued":{"date-parts":[["2013"]]},"page":"903-926","title":"Characterising the nature of household vulnerability to climate variability: Empirical evidence from two regions of Ghana","type":"article-journal","volume":"15"},"uris":["http://www.mendeley.com/documents/?uuid=43de67cb-04c8-449a-a6e9-e0be618cfa96"]},{"id":"ITEM-3","itemData":{"DOI":"10.19026/crjss.5.5542","ISSN":"20413238","abstract":"This study examined measurements of poverty in small-scale fishing communities of Ghana using FGT techniques and the Sumaila Relative Poverty Indices. Findings show that poverty head-count index was between 35.5% and 50% using the Local Poverty line and up to 80% using the International Poverty line. In terms of vulnerability, irrespective of the main fishing activity, community (rural or urban) and habitat of fishery resources (freshwater or marine), fishers were facing identical sources of vulnerability. Marginalization indicators were relatively better in the urban fishing communities (90%) than in the rural fishing communities (50%-80%).","author":[{"dropping-particle":"","family":"Asiedu","given":"Berchie","non-dropping-particle":"","parse-names":false,"suffix":""},{"dropping-particle":"","family":"Nunoo","given":"Francis K.E.","non-dropping-particle":"","parse-names":false,"suffix":""},{"dropping-particle":"","family":"Ofori-Danson","given":"Patrick K.","non-dropping-particle":"","parse-names":false,"suffix":""},{"dropping-particle":"","family":"Sarpong","given":"Daniel B.","non-dropping-particle":"","parse-names":false,"suffix":""},{"dropping-particle":"","family":"Sumaila","given":"Ussif R.","non-dropping-particle":"","parse-names":false,"suffix":""}],"container-title":"Current Research Journal of Social Sciences","id":"ITEM-3","issue":"3","issued":{"date-parts":[["2013"]]},"page":"75-90","title":"Poverty Measurements in Small-scale Fisheries of Ghana: A Step towards Poverty Eradication","type":"article-journal","volume":"5"},"uris":["http://www.mendeley.com/documents/?uuid=e066b6dc-2c7c-4bd3-8e3a-35b56095d70a"]}],"mendeley":{"formattedCitation":"[9], [21], [42]","plainTextFormattedCitation":"[9], [21], [42]","previouslyFormattedCitation":"[9], [21], [41]"},"properties":{"noteIndex":0},"schema":"https://github.com/citation-style-language/schema/raw/master/csl-citation.json"}</w:instrText>
            </w:r>
            <w:r>
              <w:rPr>
                <w:rFonts w:cstheme="minorHAnsi"/>
                <w:sz w:val="24"/>
                <w:szCs w:val="24"/>
              </w:rPr>
              <w:fldChar w:fldCharType="separate"/>
            </w:r>
            <w:r w:rsidR="00FC52F5" w:rsidRPr="00FC52F5">
              <w:rPr>
                <w:rFonts w:cstheme="minorHAnsi"/>
                <w:noProof/>
                <w:sz w:val="24"/>
                <w:szCs w:val="24"/>
              </w:rPr>
              <w:t>[9], [21], [42]</w:t>
            </w:r>
            <w:r>
              <w:rPr>
                <w:rFonts w:cstheme="minorHAnsi"/>
                <w:sz w:val="24"/>
                <w:szCs w:val="24"/>
              </w:rPr>
              <w:fldChar w:fldCharType="end"/>
            </w:r>
          </w:p>
        </w:tc>
      </w:tr>
      <w:tr w:rsidR="003D53C3" w:rsidRPr="00F85008" w14:paraId="1CC6C5BF" w14:textId="77777777" w:rsidTr="00A14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bottom w:val="nil"/>
            </w:tcBorders>
            <w:shd w:val="clear" w:color="auto" w:fill="auto"/>
          </w:tcPr>
          <w:p w14:paraId="2C373A26" w14:textId="77777777" w:rsidR="008A5564" w:rsidRPr="00F85008" w:rsidRDefault="008A5564" w:rsidP="00E7736D">
            <w:pPr>
              <w:rPr>
                <w:rFonts w:cstheme="minorHAnsi"/>
                <w:b w:val="0"/>
                <w:sz w:val="24"/>
                <w:szCs w:val="24"/>
              </w:rPr>
            </w:pPr>
            <w:r w:rsidRPr="00F85008">
              <w:rPr>
                <w:rFonts w:cstheme="minorHAnsi"/>
                <w:b w:val="0"/>
                <w:sz w:val="24"/>
                <w:szCs w:val="24"/>
              </w:rPr>
              <w:t>Physical capital</w:t>
            </w:r>
            <w:r w:rsidR="00D64CEA" w:rsidRPr="00F85008">
              <w:rPr>
                <w:rFonts w:cstheme="minorHAnsi"/>
                <w:b w:val="0"/>
                <w:sz w:val="24"/>
                <w:szCs w:val="24"/>
              </w:rPr>
              <w:t xml:space="preserve"> </w:t>
            </w:r>
            <w:r w:rsidR="00D64CEA" w:rsidRPr="00F85008">
              <w:rPr>
                <w:rFonts w:cstheme="minorHAnsi"/>
                <w:b w:val="0"/>
                <w:sz w:val="24"/>
                <w:szCs w:val="24"/>
                <w:vertAlign w:val="superscript"/>
              </w:rPr>
              <w:t>d</w:t>
            </w:r>
          </w:p>
        </w:tc>
        <w:tc>
          <w:tcPr>
            <w:tcW w:w="5987" w:type="dxa"/>
            <w:tcBorders>
              <w:bottom w:val="nil"/>
            </w:tcBorders>
            <w:shd w:val="clear" w:color="auto" w:fill="auto"/>
          </w:tcPr>
          <w:p w14:paraId="5DBE9CD1" w14:textId="77777777" w:rsidR="008E668F" w:rsidRPr="00F85008" w:rsidRDefault="008A5564" w:rsidP="00E7736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85008">
              <w:rPr>
                <w:rFonts w:cstheme="minorHAnsi"/>
                <w:sz w:val="24"/>
                <w:szCs w:val="24"/>
              </w:rPr>
              <w:t>Aggregate index of the indicators of physical capital</w:t>
            </w:r>
          </w:p>
          <w:p w14:paraId="7492F608" w14:textId="77777777" w:rsidR="008A5564" w:rsidRPr="00F85008" w:rsidRDefault="008E668F" w:rsidP="00E7736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85008">
              <w:rPr>
                <w:rFonts w:cstheme="minorHAnsi"/>
                <w:sz w:val="24"/>
                <w:szCs w:val="24"/>
              </w:rPr>
              <w:t>(</w:t>
            </w:r>
            <w:r w:rsidRPr="00F85008">
              <w:rPr>
                <w:rFonts w:cstheme="minorHAnsi"/>
                <w:i/>
                <w:sz w:val="24"/>
                <w:szCs w:val="24"/>
              </w:rPr>
              <w:t>L</w:t>
            </w:r>
            <w:r w:rsidR="008A5564" w:rsidRPr="00F85008">
              <w:rPr>
                <w:rFonts w:cstheme="minorHAnsi"/>
                <w:i/>
                <w:sz w:val="24"/>
                <w:szCs w:val="24"/>
              </w:rPr>
              <w:t xml:space="preserve">anded property, fishing gear and processing </w:t>
            </w:r>
            <w:r w:rsidR="005A0A94" w:rsidRPr="00F85008">
              <w:rPr>
                <w:rFonts w:cstheme="minorHAnsi"/>
                <w:i/>
                <w:sz w:val="24"/>
                <w:szCs w:val="24"/>
              </w:rPr>
              <w:t>kilns</w:t>
            </w:r>
            <w:r w:rsidRPr="00F85008">
              <w:rPr>
                <w:rFonts w:cstheme="minorHAnsi"/>
                <w:sz w:val="24"/>
                <w:szCs w:val="24"/>
              </w:rPr>
              <w:t>)</w:t>
            </w:r>
          </w:p>
        </w:tc>
        <w:tc>
          <w:tcPr>
            <w:tcW w:w="1559" w:type="dxa"/>
            <w:tcBorders>
              <w:bottom w:val="nil"/>
            </w:tcBorders>
            <w:shd w:val="clear" w:color="auto" w:fill="auto"/>
          </w:tcPr>
          <w:p w14:paraId="44F597A1" w14:textId="65A0D8AE" w:rsidR="008A5564" w:rsidRPr="00F85008" w:rsidRDefault="00E54C24" w:rsidP="00E7736D">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85008">
              <w:rPr>
                <w:rFonts w:cstheme="minorHAnsi"/>
                <w:sz w:val="24"/>
                <w:szCs w:val="24"/>
              </w:rPr>
              <w:fldChar w:fldCharType="begin" w:fldLock="1"/>
            </w:r>
            <w:r w:rsidR="00FC52F5">
              <w:rPr>
                <w:rFonts w:cstheme="minorHAnsi"/>
                <w:sz w:val="24"/>
                <w:szCs w:val="24"/>
              </w:rPr>
              <w:instrText>ADDIN CSL_CITATION {"citationItems":[{"id":"ITEM-1","itemData":{"DOI":"10.1057/palgrave.development.1110037","ISBN":"1858642248","ISSN":"00278424","PMID":"60101040","abstract":"The concept of sustainable livelihoods is increasingly important in the development debate. This paper outlines a framework for analysing sustainable livelihoods, defined here in relation to five key indicators. The framework shows how, in different contexts, sustainable livelihoods are achieved through access to a range of livelihood resources (natural, economic, human and social capitals) which are combined in the pursuit of different livelihood strategies (agricultural intensification or extensification, livelihood diversification and migration). Central to the framework is the analysis of the range of formal and informal organisational and institutional factors that influence sustainable livelihood outcomes. In conclusion, the paper briefly considers some of the practical, methodological and operational implications of a sustainable livelihoods approach.","author":[{"dropping-particle":"","family":"Scoones","given":"Ian","non-dropping-particle":"","parse-names":false,"suffix":""}],"container-title":"IDS Working Paper","id":"ITEM-1","issue":"May","issued":{"date-parts":[["1998"]]},"page":"1-22","title":"Sustainable Rural Livelihoods: A Framework for Analysis, IDS Working Paper 72","type":"article-journal","volume":"72"},"uris":["http://www.mendeley.com/documents/?uuid=a55c58d0-69e5-4054-9924-2d502fcbd614"]},{"id":"ITEM-2","itemData":{"DOI":"10.1016/S0308-597X(01)00023-9","ISSN":"0308597X","abstract":"An approach to poverty reduction in low-income countries known as the 'sustainable livelihoods approach' is applied to understanding the strategies of artisanal fisherfolk confronted by fluctuating fisheries resources. The livelihood approach is explained, and the insights it provides into conventional fisheries management policies in developing countries are explored. It is argued that both state-led management and some of the newer, community or territorial use-rights approaches, if predicated on an incomplete understanding of livelihoods, can result in management directives incompatible with both resource conservation and the social and economic goals of management. © 2001 Elsevier Science Ltd. All rights reserved.","author":[{"dropping-particle":"","family":"Allison","given":"Edward H.","non-dropping-particle":"","parse-names":false,"suffix":""},{"dropping-particle":"","family":"Ellis","given":"Frank","non-dropping-particle":"","parse-names":false,"suffix":""}],"container-title":"Marine Policy","id":"ITEM-2","issue":"5","issued":{"date-parts":[["2001"]]},"page":"377-388","title":"The livelihoods approach and management of small-scale fisheries","type":"article-journal","volume":"25"},"uris":["http://www.mendeley.com/documents/?uuid=3bda1c7f-dc87-46e1-8f88-baa265cf72ec"]}],"mendeley":{"formattedCitation":"[25], [43]","plainTextFormattedCitation":"[25], [43]","previouslyFormattedCitation":"[25], [42]"},"properties":{"noteIndex":0},"schema":"https://github.com/citation-style-language/schema/raw/master/csl-citation.json"}</w:instrText>
            </w:r>
            <w:r w:rsidRPr="00F85008">
              <w:rPr>
                <w:rFonts w:cstheme="minorHAnsi"/>
                <w:sz w:val="24"/>
                <w:szCs w:val="24"/>
              </w:rPr>
              <w:fldChar w:fldCharType="separate"/>
            </w:r>
            <w:r w:rsidR="00FC52F5" w:rsidRPr="00FC52F5">
              <w:rPr>
                <w:rFonts w:cstheme="minorHAnsi"/>
                <w:noProof/>
                <w:sz w:val="24"/>
                <w:szCs w:val="24"/>
              </w:rPr>
              <w:t>[25], [43]</w:t>
            </w:r>
            <w:r w:rsidRPr="00F85008">
              <w:rPr>
                <w:rFonts w:cstheme="minorHAnsi"/>
                <w:sz w:val="24"/>
                <w:szCs w:val="24"/>
              </w:rPr>
              <w:fldChar w:fldCharType="end"/>
            </w:r>
          </w:p>
        </w:tc>
      </w:tr>
      <w:tr w:rsidR="003D53C3" w:rsidRPr="00F85008" w14:paraId="061AC73C" w14:textId="77777777" w:rsidTr="00A1460E">
        <w:tc>
          <w:tcPr>
            <w:cnfStyle w:val="001000000000" w:firstRow="0" w:lastRow="0" w:firstColumn="1" w:lastColumn="0" w:oddVBand="0" w:evenVBand="0" w:oddHBand="0" w:evenHBand="0" w:firstRowFirstColumn="0" w:firstRowLastColumn="0" w:lastRowFirstColumn="0" w:lastRowLastColumn="0"/>
            <w:tcW w:w="2694" w:type="dxa"/>
            <w:tcBorders>
              <w:bottom w:val="nil"/>
            </w:tcBorders>
            <w:shd w:val="clear" w:color="auto" w:fill="auto"/>
          </w:tcPr>
          <w:p w14:paraId="109CE417" w14:textId="77777777" w:rsidR="0089239C" w:rsidRPr="00F85008" w:rsidRDefault="0089239C" w:rsidP="00B86B0D">
            <w:pPr>
              <w:ind w:left="326"/>
              <w:rPr>
                <w:b w:val="0"/>
                <w:i/>
                <w:sz w:val="24"/>
                <w:szCs w:val="24"/>
              </w:rPr>
            </w:pPr>
            <w:r w:rsidRPr="00F85008">
              <w:rPr>
                <w:b w:val="0"/>
                <w:i/>
                <w:sz w:val="24"/>
                <w:szCs w:val="24"/>
              </w:rPr>
              <w:t>Use of Technology</w:t>
            </w:r>
            <w:r w:rsidR="00B168EB" w:rsidRPr="00F85008">
              <w:rPr>
                <w:b w:val="0"/>
                <w:i/>
                <w:sz w:val="24"/>
                <w:szCs w:val="24"/>
              </w:rPr>
              <w:t xml:space="preserve"> </w:t>
            </w:r>
            <w:r w:rsidR="00B168EB" w:rsidRPr="00F85008">
              <w:rPr>
                <w:b w:val="0"/>
                <w:i/>
                <w:sz w:val="24"/>
                <w:szCs w:val="24"/>
                <w:vertAlign w:val="superscript"/>
              </w:rPr>
              <w:t>e</w:t>
            </w:r>
            <w:r w:rsidRPr="00F85008">
              <w:rPr>
                <w:b w:val="0"/>
                <w:i/>
                <w:sz w:val="24"/>
                <w:szCs w:val="24"/>
              </w:rPr>
              <w:t xml:space="preserve"> </w:t>
            </w:r>
          </w:p>
        </w:tc>
        <w:tc>
          <w:tcPr>
            <w:tcW w:w="5987" w:type="dxa"/>
            <w:tcBorders>
              <w:bottom w:val="nil"/>
            </w:tcBorders>
            <w:shd w:val="clear" w:color="auto" w:fill="auto"/>
          </w:tcPr>
          <w:p w14:paraId="6DE70691" w14:textId="77777777" w:rsidR="0089239C" w:rsidRPr="00F85008" w:rsidRDefault="0089239C" w:rsidP="0089239C">
            <w:pPr>
              <w:cnfStyle w:val="000000000000" w:firstRow="0" w:lastRow="0" w:firstColumn="0" w:lastColumn="0" w:oddVBand="0" w:evenVBand="0" w:oddHBand="0" w:evenHBand="0" w:firstRowFirstColumn="0" w:firstRowLastColumn="0" w:lastRowFirstColumn="0" w:lastRowLastColumn="0"/>
              <w:rPr>
                <w:sz w:val="24"/>
                <w:szCs w:val="24"/>
              </w:rPr>
            </w:pPr>
            <w:r w:rsidRPr="00F85008">
              <w:rPr>
                <w:sz w:val="24"/>
                <w:szCs w:val="24"/>
              </w:rPr>
              <w:t>Aggregate index of the household’s use of technology</w:t>
            </w:r>
          </w:p>
          <w:p w14:paraId="52F3DC11" w14:textId="7D3B9CF4" w:rsidR="00E32AA0" w:rsidRPr="00F85008" w:rsidRDefault="00E32AA0" w:rsidP="0089239C">
            <w:pPr>
              <w:cnfStyle w:val="000000000000" w:firstRow="0" w:lastRow="0" w:firstColumn="0" w:lastColumn="0" w:oddVBand="0" w:evenVBand="0" w:oddHBand="0" w:evenHBand="0" w:firstRowFirstColumn="0" w:firstRowLastColumn="0" w:lastRowFirstColumn="0" w:lastRowLastColumn="0"/>
              <w:rPr>
                <w:i/>
                <w:sz w:val="24"/>
                <w:szCs w:val="24"/>
              </w:rPr>
            </w:pPr>
            <w:r w:rsidRPr="00F85008">
              <w:rPr>
                <w:i/>
                <w:sz w:val="24"/>
                <w:szCs w:val="24"/>
              </w:rPr>
              <w:t>(</w:t>
            </w:r>
            <w:r w:rsidR="003373E9" w:rsidRPr="00F85008">
              <w:rPr>
                <w:i/>
                <w:sz w:val="24"/>
                <w:szCs w:val="24"/>
              </w:rPr>
              <w:t xml:space="preserve">means of personal transport, </w:t>
            </w:r>
            <w:r w:rsidRPr="00F85008">
              <w:rPr>
                <w:i/>
                <w:sz w:val="24"/>
                <w:szCs w:val="24"/>
              </w:rPr>
              <w:t xml:space="preserve">electricity, </w:t>
            </w:r>
            <w:r w:rsidR="005031A2" w:rsidRPr="00F85008">
              <w:rPr>
                <w:i/>
                <w:sz w:val="24"/>
                <w:szCs w:val="24"/>
              </w:rPr>
              <w:t>energy</w:t>
            </w:r>
            <w:r w:rsidR="005031A2">
              <w:rPr>
                <w:i/>
                <w:sz w:val="24"/>
                <w:szCs w:val="24"/>
              </w:rPr>
              <w:t>-</w:t>
            </w:r>
            <w:r w:rsidR="003373E9" w:rsidRPr="00F85008">
              <w:rPr>
                <w:i/>
                <w:sz w:val="24"/>
                <w:szCs w:val="24"/>
              </w:rPr>
              <w:t xml:space="preserve">efficient stove, </w:t>
            </w:r>
            <w:r w:rsidR="00F85008" w:rsidRPr="00F85008">
              <w:rPr>
                <w:i/>
                <w:sz w:val="24"/>
                <w:szCs w:val="24"/>
              </w:rPr>
              <w:t xml:space="preserve">and </w:t>
            </w:r>
            <w:r w:rsidR="003373E9" w:rsidRPr="00F85008">
              <w:rPr>
                <w:i/>
                <w:sz w:val="24"/>
                <w:szCs w:val="24"/>
              </w:rPr>
              <w:t>standing pipe</w:t>
            </w:r>
            <w:r w:rsidRPr="00F85008">
              <w:rPr>
                <w:i/>
                <w:sz w:val="24"/>
                <w:szCs w:val="24"/>
              </w:rPr>
              <w:t>)</w:t>
            </w:r>
          </w:p>
        </w:tc>
        <w:tc>
          <w:tcPr>
            <w:tcW w:w="1559" w:type="dxa"/>
            <w:tcBorders>
              <w:bottom w:val="nil"/>
            </w:tcBorders>
            <w:shd w:val="clear" w:color="auto" w:fill="auto"/>
          </w:tcPr>
          <w:p w14:paraId="704E4786" w14:textId="77777777" w:rsidR="0089239C" w:rsidRPr="00F85008" w:rsidRDefault="00E54C24" w:rsidP="00E54C24">
            <w:pPr>
              <w:jc w:val="center"/>
              <w:cnfStyle w:val="000000000000" w:firstRow="0" w:lastRow="0" w:firstColumn="0" w:lastColumn="0" w:oddVBand="0" w:evenVBand="0" w:oddHBand="0" w:evenHBand="0" w:firstRowFirstColumn="0" w:firstRowLastColumn="0" w:lastRowFirstColumn="0" w:lastRowLastColumn="0"/>
              <w:rPr>
                <w:sz w:val="24"/>
                <w:szCs w:val="24"/>
              </w:rPr>
            </w:pPr>
            <w:r w:rsidRPr="00F85008">
              <w:rPr>
                <w:sz w:val="24"/>
                <w:szCs w:val="24"/>
              </w:rPr>
              <w:fldChar w:fldCharType="begin" w:fldLock="1"/>
            </w:r>
            <w:r w:rsidRPr="00F85008">
              <w:rPr>
                <w:sz w:val="24"/>
                <w:szCs w:val="24"/>
              </w:rPr>
              <w:instrText>ADDIN CSL_CITATION {"citationItems":[{"id":"ITEM-1","itemData":{"DOI":"10.1007/s10113-013-0487-6","ISSN":"14363798","abstract":"Globally, fisheries support livelihoods of over half a billion people who are exposed to multiple climatic stresses and shocks that affect their capacity to subsist. Yet, only limited research exists on the vulnerability of fishery-based livelihood systems to climate change. We assess the vulnerability of fishery-based livelihoods to the impacts of climate variability and change in two coastal fishing communities in Bangladesh. We use a composite index approach to calculate livelihood vulnerability and qualitative methods to understand how exposure, sensitivity, and adaptive capacity measured by sub-indices produce vulnerability. Our results suggest that exposure to floods and cyclones, sensitivity (such as dependence on small-scale marine fisheries for livelihoods), and lack of adaptive capacity in terms of physical, natural, and financial capital and diverse livelihood strategies construe livelihood vulnerability in different ways depending on the context. The most exposed community is not necessarily the most sensitive or least able to adapt because livelihood vulnerability is a result of combined but unequal influences of bio-physical and socio-economic characteristics of communities and households. But within a fishing community, where households are similarly exposed, higher sensitivity and lower adaptive capacity combine to create higher vulnerability. Initiatives to reduce livelihood vulnerability should be correspondingly multifaceted. © 2013 The Author(s).","author":[{"dropping-particle":"","family":"Islam","given":"Md Monirul","non-dropping-particle":"","parse-names":false,"suffix":""},{"dropping-particle":"","family":"Sallu","given":"Susannah","non-dropping-particle":"","parse-names":false,"suffix":""},{"dropping-particle":"","family":"Hubacek","given":"Klaus","non-dropping-particle":"","parse-names":false,"suffix":""},{"dropping-particle":"","family":"Paavola","given":"Jouni","non-dropping-particle":"","parse-names":false,"suffix":""}],"container-title":"Regional Environmental Change","id":"ITEM-1","issue":"1","issued":{"date-parts":[["2014"]]},"page":"281-294","title":"Vulnerability of fishery-based livelihoods to the impacts of climate variability and change: Insights from coastal Bangladesh","type":"article-journal","volume":"14"},"uris":["http://www.mendeley.com/documents/?uuid=394b94ce-bbbe-48df-85a8-468bbddbda2b"]}],"mendeley":{"formattedCitation":"[9]","plainTextFormattedCitation":"[9]","previouslyFormattedCitation":"[9]"},"properties":{"noteIndex":0},"schema":"https://github.com/citation-style-language/schema/raw/master/csl-citation.json"}</w:instrText>
            </w:r>
            <w:r w:rsidRPr="00F85008">
              <w:rPr>
                <w:sz w:val="24"/>
                <w:szCs w:val="24"/>
              </w:rPr>
              <w:fldChar w:fldCharType="separate"/>
            </w:r>
            <w:r w:rsidRPr="00F85008">
              <w:rPr>
                <w:noProof/>
                <w:sz w:val="24"/>
                <w:szCs w:val="24"/>
              </w:rPr>
              <w:t>[9]</w:t>
            </w:r>
            <w:r w:rsidRPr="00F85008">
              <w:rPr>
                <w:sz w:val="24"/>
                <w:szCs w:val="24"/>
              </w:rPr>
              <w:fldChar w:fldCharType="end"/>
            </w:r>
          </w:p>
        </w:tc>
      </w:tr>
      <w:tr w:rsidR="003D53C3" w:rsidRPr="00F85008" w14:paraId="65E6184F" w14:textId="77777777" w:rsidTr="00A14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shd w:val="clear" w:color="auto" w:fill="auto"/>
          </w:tcPr>
          <w:p w14:paraId="4C59FD79" w14:textId="77777777" w:rsidR="00A1460E" w:rsidRDefault="008A5564" w:rsidP="00E7736D">
            <w:pPr>
              <w:rPr>
                <w:rFonts w:cstheme="minorHAnsi"/>
                <w:bCs w:val="0"/>
                <w:sz w:val="24"/>
                <w:szCs w:val="24"/>
              </w:rPr>
            </w:pPr>
            <w:r w:rsidRPr="00F85008">
              <w:rPr>
                <w:rFonts w:cstheme="minorHAnsi"/>
                <w:b w:val="0"/>
                <w:sz w:val="24"/>
                <w:szCs w:val="24"/>
              </w:rPr>
              <w:t xml:space="preserve">Management </w:t>
            </w:r>
          </w:p>
          <w:p w14:paraId="335DD909" w14:textId="77777777" w:rsidR="008A5564" w:rsidRPr="00F85008" w:rsidRDefault="008A5564" w:rsidP="00E7736D">
            <w:pPr>
              <w:rPr>
                <w:rFonts w:cstheme="minorHAnsi"/>
                <w:b w:val="0"/>
                <w:sz w:val="24"/>
                <w:szCs w:val="24"/>
              </w:rPr>
            </w:pPr>
            <w:r w:rsidRPr="00F85008">
              <w:rPr>
                <w:rFonts w:cstheme="minorHAnsi"/>
                <w:b w:val="0"/>
                <w:sz w:val="24"/>
                <w:szCs w:val="24"/>
              </w:rPr>
              <w:t>approach</w:t>
            </w:r>
            <w:r w:rsidR="00F76D15" w:rsidRPr="00F85008">
              <w:rPr>
                <w:rFonts w:cstheme="minorHAnsi"/>
                <w:b w:val="0"/>
                <w:sz w:val="24"/>
                <w:szCs w:val="24"/>
              </w:rPr>
              <w:t xml:space="preserve"> </w:t>
            </w:r>
            <w:r w:rsidR="00F76D15" w:rsidRPr="00F85008">
              <w:rPr>
                <w:rFonts w:cstheme="minorHAnsi"/>
                <w:b w:val="0"/>
                <w:sz w:val="24"/>
                <w:szCs w:val="24"/>
                <w:vertAlign w:val="superscript"/>
              </w:rPr>
              <w:t>f</w:t>
            </w:r>
            <w:r w:rsidRPr="00F85008">
              <w:rPr>
                <w:rFonts w:cstheme="minorHAnsi"/>
                <w:b w:val="0"/>
                <w:sz w:val="24"/>
                <w:szCs w:val="24"/>
              </w:rPr>
              <w:t xml:space="preserve"> </w:t>
            </w:r>
          </w:p>
        </w:tc>
        <w:tc>
          <w:tcPr>
            <w:tcW w:w="5987" w:type="dxa"/>
            <w:tcBorders>
              <w:top w:val="nil"/>
              <w:bottom w:val="nil"/>
            </w:tcBorders>
            <w:shd w:val="clear" w:color="auto" w:fill="auto"/>
          </w:tcPr>
          <w:p w14:paraId="325BEC16" w14:textId="77777777" w:rsidR="006934DE" w:rsidRPr="00F85008" w:rsidRDefault="008A5564" w:rsidP="00E7736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85008">
              <w:rPr>
                <w:rFonts w:cstheme="minorHAnsi"/>
                <w:sz w:val="24"/>
                <w:szCs w:val="24"/>
              </w:rPr>
              <w:t xml:space="preserve">Aggregate index of the indicators of management approach </w:t>
            </w:r>
          </w:p>
          <w:p w14:paraId="0B7CDC37" w14:textId="795F7548" w:rsidR="008A5564" w:rsidRPr="00F85008" w:rsidRDefault="00B86B0D" w:rsidP="00E7736D">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F85008">
              <w:rPr>
                <w:rFonts w:cstheme="minorHAnsi"/>
                <w:i/>
                <w:sz w:val="24"/>
                <w:szCs w:val="24"/>
              </w:rPr>
              <w:t>(R</w:t>
            </w:r>
            <w:r w:rsidR="008A5564" w:rsidRPr="00F85008">
              <w:rPr>
                <w:rFonts w:cstheme="minorHAnsi"/>
                <w:i/>
                <w:sz w:val="24"/>
                <w:szCs w:val="24"/>
              </w:rPr>
              <w:t xml:space="preserve">isk behaviour, innovation and </w:t>
            </w:r>
            <w:r w:rsidRPr="00F85008">
              <w:rPr>
                <w:rFonts w:cstheme="minorHAnsi"/>
                <w:i/>
                <w:sz w:val="24"/>
                <w:szCs w:val="24"/>
              </w:rPr>
              <w:t xml:space="preserve">involvement </w:t>
            </w:r>
            <w:r w:rsidR="00C566DE">
              <w:rPr>
                <w:rFonts w:cstheme="minorHAnsi"/>
                <w:i/>
                <w:sz w:val="24"/>
                <w:szCs w:val="24"/>
              </w:rPr>
              <w:t xml:space="preserve">in </w:t>
            </w:r>
            <w:r w:rsidR="008A5564" w:rsidRPr="00F85008">
              <w:rPr>
                <w:rFonts w:cstheme="minorHAnsi"/>
                <w:i/>
                <w:sz w:val="24"/>
                <w:szCs w:val="24"/>
              </w:rPr>
              <w:t>alternative livelihood</w:t>
            </w:r>
            <w:r w:rsidR="006934DE" w:rsidRPr="00F85008">
              <w:rPr>
                <w:rFonts w:cstheme="minorHAnsi"/>
                <w:i/>
                <w:sz w:val="24"/>
                <w:szCs w:val="24"/>
              </w:rPr>
              <w:t>)</w:t>
            </w:r>
          </w:p>
        </w:tc>
        <w:tc>
          <w:tcPr>
            <w:tcW w:w="1559" w:type="dxa"/>
            <w:tcBorders>
              <w:top w:val="nil"/>
              <w:bottom w:val="nil"/>
            </w:tcBorders>
            <w:shd w:val="clear" w:color="auto" w:fill="auto"/>
          </w:tcPr>
          <w:p w14:paraId="5018E3C0" w14:textId="205968D8" w:rsidR="008A5564" w:rsidRPr="00F85008" w:rsidRDefault="006934DE" w:rsidP="00E7736D">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85008">
              <w:rPr>
                <w:rFonts w:cstheme="minorHAnsi"/>
                <w:sz w:val="24"/>
                <w:szCs w:val="24"/>
              </w:rPr>
              <w:fldChar w:fldCharType="begin" w:fldLock="1"/>
            </w:r>
            <w:r w:rsidR="007C77C1" w:rsidRPr="00F85008">
              <w:rPr>
                <w:rFonts w:cstheme="minorHAnsi"/>
                <w:sz w:val="24"/>
                <w:szCs w:val="24"/>
              </w:rPr>
              <w:instrText>ADDIN CSL_CITATION {"citationItems":[{"id":"ITEM-1","itemData":{"DOI":"10.1016/j.gloenvcha.2016.03.005","ISSN":"09593780","abstract":"The objective of this paper is to better understand the various individual and household factors that influence resilience, that is, people's ability to respond adequately to shocks and stressors. One of our hypotheses is that resilience does not simply reflect the expected effects of quantifiable factors such as level of assets, or even less quantifiable social processes such as people's experience, but is also determined by more subjective dimensions related to people's perceptions of their ability to cope, adapt or transform in the face of adverse events. Data collected over two years in Fiji, Ghana, Sri Lanka and Vietnam confirms the importance of wealth in the recovery process of households affected by shocks and stressors. However our results challenge the idea that within communities, assets are a systematic differentiator in people's response to adverse events. The findings regarding social capital are mixed and call for more research: social capital had a strong positive influence on resilience at the community level, yet our analysis failed to demonstrate any tangible positive correlation at the household level. Finally, the data confirm that, like vulnerability, resilience is at least in part socially constructed, endogenous to individual and groups, and hence contingent on knowledge, attitudes to risk, culture and subjectivity.","author":[{"dropping-particle":"","family":"Béné","given":"Christophe","non-dropping-particle":"","parse-names":false,"suffix":""},{"dropping-particle":"","family":"Al-Hassan","given":"Ramatu M.","non-dropping-particle":"","parse-names":false,"suffix":""},{"dropping-particle":"","family":"Amarasinghe","given":"Oscar","non-dropping-particle":"","parse-names":false,"suffix":""},{"dropping-particle":"","family":"Fong","given":"Patrick","non-dropping-particle":"","parse-names":false,"suffix":""},{"dropping-particle":"","family":"Ocran","given":"Joseph","non-dropping-particle":"","parse-names":false,"suffix":""},{"dropping-particle":"","family":"Onumah","given":"Edward","non-dropping-particle":"","parse-names":false,"suffix":""},{"dropping-particle":"","family":"Ratuniata","given":"Rusiata","non-dropping-particle":"","parse-names":false,"suffix":""},{"dropping-particle":"Van","family":"Tuyen","given":"Truong","non-dropping-particle":"","parse-names":false,"suffix":""},{"dropping-particle":"","family":"McGregor","given":"J. Allister","non-dropping-particle":"","parse-names":false,"suffix":""},{"dropping-particle":"","family":"Mills","given":"David J.","non-dropping-particle":"","parse-names":false,"suffix":""}],"container-title":"Global Environmental Change","id":"ITEM-1","issued":{"date-parts":[["2016"]]},"page":"153-170","publisher":"Elsevier Ltd","title":"Is resilience socially constructed? Empirical evidence from Fiji, Ghana, Sri Lanka, and Vietnam","type":"article-journal","volume":"38"},"uris":["http://www.mendeley.com/documents/?uuid=64634c07-c87f-4dc5-b6c9-6ad71cf97952"]}],"mendeley":{"formattedCitation":"[10]","plainTextFormattedCitation":"[10]","previouslyFormattedCitation":"[10]"},"properties":{"noteIndex":0},"schema":"https://github.com/citation-style-language/schema/raw/master/csl-citation.json"}</w:instrText>
            </w:r>
            <w:r w:rsidRPr="00F85008">
              <w:rPr>
                <w:rFonts w:cstheme="minorHAnsi"/>
                <w:sz w:val="24"/>
                <w:szCs w:val="24"/>
              </w:rPr>
              <w:fldChar w:fldCharType="separate"/>
            </w:r>
            <w:r w:rsidR="009043E8" w:rsidRPr="00F85008">
              <w:rPr>
                <w:rFonts w:cstheme="minorHAnsi"/>
                <w:noProof/>
                <w:sz w:val="24"/>
                <w:szCs w:val="24"/>
              </w:rPr>
              <w:t>[10]</w:t>
            </w:r>
            <w:r w:rsidRPr="00F85008">
              <w:rPr>
                <w:rFonts w:cstheme="minorHAnsi"/>
                <w:sz w:val="24"/>
                <w:szCs w:val="24"/>
              </w:rPr>
              <w:fldChar w:fldCharType="end"/>
            </w:r>
            <w:r w:rsidR="00171012" w:rsidRPr="00F85008">
              <w:rPr>
                <w:rFonts w:cstheme="minorHAnsi"/>
                <w:sz w:val="24"/>
                <w:szCs w:val="24"/>
              </w:rPr>
              <w:fldChar w:fldCharType="begin" w:fldLock="1"/>
            </w:r>
            <w:r w:rsidR="00FC52F5">
              <w:rPr>
                <w:rFonts w:cstheme="minorHAnsi"/>
                <w:sz w:val="24"/>
                <w:szCs w:val="24"/>
              </w:rPr>
              <w:instrText>ADDIN CSL_CITATION {"citationItems":[{"id":"ITEM-1","itemData":{"DOI":"10.5751/ES-07203-200137","ISSN":"17083087","abstract":"© 2015 by the author (s). Although previous studies have examined adaptive capacity using a range of self-assessment procedures, no objective self-report approaches have been used to identify the dimensions of adaptive capacity and their relative importance. We examine the content, structure, and relative importance of dimensions of adaptive capacity as perceived by rural landholders in an agricultural landscape in South-Eastern Australia. Our findings indicate that the most important dimensions influencing perceived landholder adaptive capacity are related to their management style, particularly their change orientation. Other important dimensions are individual financial capacity, labor availability, and the capacity of communities and local networks to support landholders’ management practices. Trust and confidence in government with respect to native vegetation management was not found to be a significant dimensi on of perceived adaptive capacity. The scale items presented, particularly those with high factor loadings, provide a solid foundation for assessment of adaptive capacity in other study areas, as well as exploration of relationships between the individual dimensions of adaptive capacity and dependent variables such as perceived resilience. Further work is needed to refine the scale items and compare the findings from this case study with those from other contexts and population samples.","author":[{"dropping-particle":"","family":"Lockwood","given":"Michael","non-dropping-particle":"","parse-names":false,"suffix":""},{"dropping-particle":"","family":"Raymond","given":"Christopher M.","non-dropping-particle":"","parse-names":false,"suffix":""},{"dropping-particle":"","family":"Oczkowski","given":"Eddie","non-dropping-particle":"","parse-names":false,"suffix":""},{"dropping-particle":"","family":"Morrison","given":"Mark","non-dropping-particle":"","parse-names":false,"suffix":""}],"container-title":"Ecology and Society","id":"ITEM-1","issue":"1","issued":{"date-parts":[["2015"]]},"title":"Measuring the dimensions of adaptive capacity: A psychometric approach","type":"article-journal","volume":"20"},"uris":["http://www.mendeley.com/documents/?uuid=519340a9-bdb2-4916-bd4d-c939c66e69c9"]}],"mendeley":{"formattedCitation":"[41]","plainTextFormattedCitation":"[41]","previouslyFormattedCitation":"[40]"},"properties":{"noteIndex":0},"schema":"https://github.com/citation-style-language/schema/raw/master/csl-citation.json"}</w:instrText>
            </w:r>
            <w:r w:rsidR="00171012" w:rsidRPr="00F85008">
              <w:rPr>
                <w:rFonts w:cstheme="minorHAnsi"/>
                <w:sz w:val="24"/>
                <w:szCs w:val="24"/>
              </w:rPr>
              <w:fldChar w:fldCharType="separate"/>
            </w:r>
            <w:r w:rsidR="00FC52F5" w:rsidRPr="00FC52F5">
              <w:rPr>
                <w:rFonts w:cstheme="minorHAnsi"/>
                <w:noProof/>
                <w:sz w:val="24"/>
                <w:szCs w:val="24"/>
              </w:rPr>
              <w:t>[41]</w:t>
            </w:r>
            <w:r w:rsidR="00171012" w:rsidRPr="00F85008">
              <w:rPr>
                <w:rFonts w:cstheme="minorHAnsi"/>
                <w:sz w:val="24"/>
                <w:szCs w:val="24"/>
              </w:rPr>
              <w:fldChar w:fldCharType="end"/>
            </w:r>
            <w:r w:rsidRPr="00F85008">
              <w:rPr>
                <w:rFonts w:cstheme="minorHAnsi"/>
                <w:sz w:val="24"/>
                <w:szCs w:val="24"/>
              </w:rPr>
              <w:t xml:space="preserve"> </w:t>
            </w:r>
          </w:p>
        </w:tc>
      </w:tr>
      <w:tr w:rsidR="003D53C3" w:rsidRPr="00F85008" w14:paraId="5ECAA584" w14:textId="77777777" w:rsidTr="00A1460E">
        <w:trPr>
          <w:trHeight w:val="641"/>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shd w:val="clear" w:color="auto" w:fill="auto"/>
          </w:tcPr>
          <w:p w14:paraId="473F8D8D" w14:textId="77777777" w:rsidR="008A5564" w:rsidRPr="00F85008" w:rsidRDefault="008A5564" w:rsidP="00E7736D">
            <w:pPr>
              <w:rPr>
                <w:rFonts w:cstheme="minorHAnsi"/>
                <w:b w:val="0"/>
                <w:bCs w:val="0"/>
                <w:sz w:val="24"/>
                <w:szCs w:val="24"/>
              </w:rPr>
            </w:pPr>
            <w:r w:rsidRPr="00F85008">
              <w:rPr>
                <w:rFonts w:cstheme="minorHAnsi"/>
                <w:b w:val="0"/>
                <w:sz w:val="24"/>
                <w:szCs w:val="24"/>
              </w:rPr>
              <w:t>Human capital</w:t>
            </w:r>
            <w:r w:rsidR="00F521D0" w:rsidRPr="00F85008">
              <w:rPr>
                <w:rFonts w:cstheme="minorHAnsi"/>
                <w:b w:val="0"/>
                <w:sz w:val="24"/>
                <w:szCs w:val="24"/>
              </w:rPr>
              <w:t xml:space="preserve"> </w:t>
            </w:r>
            <w:r w:rsidR="00F521D0" w:rsidRPr="00F85008">
              <w:rPr>
                <w:rFonts w:cstheme="minorHAnsi"/>
                <w:b w:val="0"/>
                <w:sz w:val="24"/>
                <w:szCs w:val="24"/>
                <w:vertAlign w:val="superscript"/>
              </w:rPr>
              <w:t>g</w:t>
            </w:r>
          </w:p>
        </w:tc>
        <w:tc>
          <w:tcPr>
            <w:tcW w:w="5987" w:type="dxa"/>
            <w:tcBorders>
              <w:top w:val="nil"/>
              <w:bottom w:val="nil"/>
            </w:tcBorders>
            <w:shd w:val="clear" w:color="auto" w:fill="auto"/>
          </w:tcPr>
          <w:p w14:paraId="6C2647EA" w14:textId="77777777" w:rsidR="005F02FF" w:rsidRPr="00F85008" w:rsidRDefault="008A5564" w:rsidP="00E7736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85008">
              <w:rPr>
                <w:rFonts w:cstheme="minorHAnsi"/>
                <w:sz w:val="24"/>
                <w:szCs w:val="24"/>
              </w:rPr>
              <w:t>Aggregate index of the indicators of human capita</w:t>
            </w:r>
            <w:r w:rsidR="005F02FF" w:rsidRPr="00F85008">
              <w:rPr>
                <w:rFonts w:cstheme="minorHAnsi"/>
                <w:sz w:val="24"/>
                <w:szCs w:val="24"/>
              </w:rPr>
              <w:t>l</w:t>
            </w:r>
          </w:p>
          <w:p w14:paraId="13A1D937" w14:textId="77777777" w:rsidR="008A5564" w:rsidRPr="00F85008" w:rsidRDefault="005F02FF" w:rsidP="00E7736D">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F85008">
              <w:rPr>
                <w:rFonts w:cstheme="minorHAnsi"/>
                <w:i/>
                <w:sz w:val="24"/>
                <w:szCs w:val="24"/>
              </w:rPr>
              <w:t>(E</w:t>
            </w:r>
            <w:r w:rsidR="008A5564" w:rsidRPr="00F85008">
              <w:rPr>
                <w:rFonts w:cstheme="minorHAnsi"/>
                <w:i/>
                <w:sz w:val="24"/>
                <w:szCs w:val="24"/>
              </w:rPr>
              <w:t xml:space="preserve">ducation and </w:t>
            </w:r>
            <w:r w:rsidR="00171012" w:rsidRPr="00F85008">
              <w:rPr>
                <w:rFonts w:cstheme="minorHAnsi"/>
                <w:i/>
                <w:sz w:val="24"/>
                <w:szCs w:val="24"/>
              </w:rPr>
              <w:t xml:space="preserve">number of employable </w:t>
            </w:r>
            <w:r w:rsidR="008A5564" w:rsidRPr="00F85008">
              <w:rPr>
                <w:rFonts w:cstheme="minorHAnsi"/>
                <w:i/>
                <w:sz w:val="24"/>
                <w:szCs w:val="24"/>
              </w:rPr>
              <w:t>skills</w:t>
            </w:r>
            <w:r w:rsidRPr="00F85008">
              <w:rPr>
                <w:rFonts w:cstheme="minorHAnsi"/>
                <w:i/>
                <w:sz w:val="24"/>
                <w:szCs w:val="24"/>
              </w:rPr>
              <w:t>)</w:t>
            </w:r>
          </w:p>
        </w:tc>
        <w:tc>
          <w:tcPr>
            <w:tcW w:w="1559" w:type="dxa"/>
            <w:tcBorders>
              <w:top w:val="nil"/>
              <w:bottom w:val="nil"/>
            </w:tcBorders>
            <w:shd w:val="clear" w:color="auto" w:fill="auto"/>
          </w:tcPr>
          <w:p w14:paraId="4316DA8A" w14:textId="77777777" w:rsidR="008A5564" w:rsidRPr="00F85008" w:rsidRDefault="00566B37" w:rsidP="00E7736D">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85008">
              <w:rPr>
                <w:rFonts w:cstheme="minorHAnsi"/>
                <w:sz w:val="24"/>
                <w:szCs w:val="24"/>
              </w:rPr>
              <w:fldChar w:fldCharType="begin" w:fldLock="1"/>
            </w:r>
            <w:r w:rsidR="00E54C24" w:rsidRPr="00F85008">
              <w:rPr>
                <w:rFonts w:cstheme="minorHAnsi"/>
                <w:sz w:val="24"/>
                <w:szCs w:val="24"/>
              </w:rPr>
              <w:instrText>ADDIN CSL_CITATION {"citationItems":[{"id":"ITEM-1","itemData":{"DOI":"10.1016/j.crm.2018.02.003","ISSN":"22120963","abstract":"Climate change poses significant threats to the livelihoods of people living in coastal areas, especially in the developing world. There is a critical need to assess vulnerability to inform both scientific debates and policy makers in facilitating adaptation and coping strategies at different scales. This study advances existing approaches to assessing vulnerability by focusing on both household and collective scales in a coastal district in Vietnam: Ngu Hanh Son district. A mixed-method approach was used including 100 household questionnaires, 12 key informant interviews and data from direct observations. At household scale, results indicate large variation in the degree of vulnerability to climate change among households in the same agro-climate zone. These differences are attributable to variations in socio-economic household characteristics and ability to access livelihood assets. Diversifying livelihoods and reducing poverty are important in contributing to the resilience of households. At a collective scale, qualitative data indicates a lack of multi-directional flows of information and highlights gaps in the current governance system. Findings suggest the need to bridge the governance gaps and establish an effective communication system to reduce collective vulnerability in the district. Findings also highlight the need to promote social equity, equality and democracy in formulating climate policies in an effort to reduce the overall vulnerability to climate change.","author":[{"dropping-particle":"","family":"Huynh","given":"Lam Thi Mai","non-dropping-particle":"","parse-names":false,"suffix":""},{"dropping-particle":"","family":"Stringer","given":"Lindsay C.","non-dropping-particle":"","parse-names":false,"suffix":""}],"container-title":"Climate Risk Management","id":"ITEM-1","issue":"February","issued":{"date-parts":[["2018"]]},"page":"165-180","publisher":"Elsevier","title":"Multi-scale assessment of social vulnerability to climate change: An empirical study in coastal Vietnam","type":"article-journal","volume":"20"},"uris":["http://www.mendeley.com/documents/?uuid=7c97eac2-6264-4146-9e4b-c61b27bb6ddb"]},{"id":"ITEM-2","itemData":{"DOI":"10.1007/s10668-012-9418-9","ISSN":"1387585X","abstract":"This paper builds on national- and regional-level vulnerability assessments by developing and applying a livelihood vulnerability index at the community and household scales to explore the nature of climate vulnerability. It provides innovative methodological steps in relation to livelihood assessment to identify the vulnerability of households and communities to drought. This will help to improve drought vulnerability assessments in Ghana and more widely as it shows extra information can be obtained from local-level vulnerability assessment that may be lacking in national- and regional-level analysis. The research employs quantitative and qualitative data collected through participatory methods, key informant interviews and a questionnaire survey with 270 households across 6 communities in two regions in Ghana. Results show that within the same agroecological zone, households and communities experience different degrees of climate vulnerability. These differences can be largely explained by socioeconomic characteristics such as wealth and gender, as well as access to capital assets. Results identify vulnerable households within resilient communities as well as more resilient households within vulnerable communities. These outliers are studied in detail. It is found that outlier households in vulnerable communities have an array of alternative livelihood options and tend to be socially well connected, enabling them to take advantage of opportunities associated with environmental and economic changes. To sustain and enhance the livelihoods of vulnerable households and communities, policymakers need to identify and facilitate appropriate interventions that foster asset building, improve institutional capacity as well as build social capital. © 2012 Springer Science+Business Media Dordrecht.","author":[{"dropping-particle":"","family":"Antwi-Agyei","given":"Philip","non-dropping-particle":"","parse-names":false,"suffix":""},{"dropping-particle":"","family":"Dougill","given":"Andrew J.","non-dropping-particle":"","parse-names":false,"suffix":""},{"dropping-particle":"","family":"Fraser","given":"Evan D.G.","non-dropping-particle":"","parse-names":false,"suffix":""},{"dropping-particle":"","family":"Stringer","given":"Lindsay C.","non-dropping-particle":"","parse-names":false,"suffix":""}],"container-title":"Environment, Development and Sustainability","id":"ITEM-2","issue":"4","issued":{"date-parts":[["2013"]]},"page":"903-926","title":"Characterising the nature of household vulnerability to climate variability: Empirical evidence from two regions of Ghana","type":"article-journal","volume":"15"},"uris":["http://www.mendeley.com/documents/?uuid=43de67cb-04c8-449a-a6e9-e0be618cfa96"]}],"mendeley":{"formattedCitation":"[11], [21]","plainTextFormattedCitation":"[11], [21]","previouslyFormattedCitation":"[11], [21]"},"properties":{"noteIndex":0},"schema":"https://github.com/citation-style-language/schema/raw/master/csl-citation.json"}</w:instrText>
            </w:r>
            <w:r w:rsidRPr="00F85008">
              <w:rPr>
                <w:rFonts w:cstheme="minorHAnsi"/>
                <w:sz w:val="24"/>
                <w:szCs w:val="24"/>
              </w:rPr>
              <w:fldChar w:fldCharType="separate"/>
            </w:r>
            <w:r w:rsidRPr="00F85008">
              <w:rPr>
                <w:rFonts w:cstheme="minorHAnsi"/>
                <w:noProof/>
                <w:sz w:val="24"/>
                <w:szCs w:val="24"/>
              </w:rPr>
              <w:t>[11], [21]</w:t>
            </w:r>
            <w:r w:rsidRPr="00F85008">
              <w:rPr>
                <w:rFonts w:cstheme="minorHAnsi"/>
                <w:sz w:val="24"/>
                <w:szCs w:val="24"/>
              </w:rPr>
              <w:fldChar w:fldCharType="end"/>
            </w:r>
          </w:p>
        </w:tc>
      </w:tr>
      <w:tr w:rsidR="003D53C3" w:rsidRPr="00F85008" w14:paraId="16C3A653" w14:textId="77777777" w:rsidTr="00A1460E">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shd w:val="clear" w:color="auto" w:fill="auto"/>
          </w:tcPr>
          <w:p w14:paraId="1F3C9A70" w14:textId="77777777" w:rsidR="00917490" w:rsidRPr="00F85008" w:rsidRDefault="00917490" w:rsidP="00917490">
            <w:pPr>
              <w:ind w:left="310"/>
              <w:rPr>
                <w:b w:val="0"/>
                <w:i/>
                <w:sz w:val="24"/>
                <w:szCs w:val="24"/>
              </w:rPr>
            </w:pPr>
            <w:r w:rsidRPr="00F85008">
              <w:rPr>
                <w:b w:val="0"/>
                <w:i/>
                <w:sz w:val="24"/>
                <w:szCs w:val="24"/>
              </w:rPr>
              <w:t xml:space="preserve">Experience </w:t>
            </w:r>
          </w:p>
        </w:tc>
        <w:tc>
          <w:tcPr>
            <w:tcW w:w="5987" w:type="dxa"/>
            <w:tcBorders>
              <w:top w:val="nil"/>
              <w:bottom w:val="nil"/>
            </w:tcBorders>
            <w:shd w:val="clear" w:color="auto" w:fill="auto"/>
          </w:tcPr>
          <w:p w14:paraId="72FD7A39" w14:textId="77777777" w:rsidR="00917490" w:rsidRPr="00F85008" w:rsidRDefault="00917490" w:rsidP="00917490">
            <w:pPr>
              <w:cnfStyle w:val="000000100000" w:firstRow="0" w:lastRow="0" w:firstColumn="0" w:lastColumn="0" w:oddVBand="0" w:evenVBand="0" w:oddHBand="1" w:evenHBand="0" w:firstRowFirstColumn="0" w:firstRowLastColumn="0" w:lastRowFirstColumn="0" w:lastRowLastColumn="0"/>
              <w:rPr>
                <w:sz w:val="24"/>
                <w:szCs w:val="24"/>
              </w:rPr>
            </w:pPr>
            <w:r w:rsidRPr="00F85008">
              <w:rPr>
                <w:sz w:val="24"/>
                <w:szCs w:val="24"/>
              </w:rPr>
              <w:t>Years of fishing and/or trading experience</w:t>
            </w:r>
          </w:p>
        </w:tc>
        <w:tc>
          <w:tcPr>
            <w:tcW w:w="1559" w:type="dxa"/>
            <w:tcBorders>
              <w:top w:val="nil"/>
              <w:bottom w:val="nil"/>
            </w:tcBorders>
            <w:shd w:val="clear" w:color="auto" w:fill="auto"/>
          </w:tcPr>
          <w:p w14:paraId="0146DE1D" w14:textId="77777777" w:rsidR="00917490" w:rsidRPr="00F85008" w:rsidRDefault="00566B37" w:rsidP="00566B37">
            <w:pPr>
              <w:jc w:val="center"/>
              <w:cnfStyle w:val="000000100000" w:firstRow="0" w:lastRow="0" w:firstColumn="0" w:lastColumn="0" w:oddVBand="0" w:evenVBand="0" w:oddHBand="1" w:evenHBand="0" w:firstRowFirstColumn="0" w:firstRowLastColumn="0" w:lastRowFirstColumn="0" w:lastRowLastColumn="0"/>
              <w:rPr>
                <w:sz w:val="24"/>
                <w:szCs w:val="24"/>
              </w:rPr>
            </w:pPr>
            <w:r w:rsidRPr="00F85008">
              <w:rPr>
                <w:sz w:val="24"/>
                <w:szCs w:val="24"/>
              </w:rPr>
              <w:fldChar w:fldCharType="begin" w:fldLock="1"/>
            </w:r>
            <w:r w:rsidRPr="00F85008">
              <w:rPr>
                <w:sz w:val="24"/>
                <w:szCs w:val="24"/>
              </w:rPr>
              <w:instrText>ADDIN CSL_CITATION {"citationItems":[{"id":"ITEM-1","itemData":{"DOI":"10.1007/s10113-013-0487-6","ISSN":"14363798","abstract":"Globally, fisheries support livelihoods of over half a billion people who are exposed to multiple climatic stresses and shocks that affect their capacity to subsist. Yet, only limited research exists on the vulnerability of fishery-based livelihood systems to climate change. We assess the vulnerability of fishery-based livelihoods to the impacts of climate variability and change in two coastal fishing communities in Bangladesh. We use a composite index approach to calculate livelihood vulnerability and qualitative methods to understand how exposure, sensitivity, and adaptive capacity measured by sub-indices produce vulnerability. Our results suggest that exposure to floods and cyclones, sensitivity (such as dependence on small-scale marine fisheries for livelihoods), and lack of adaptive capacity in terms of physical, natural, and financial capital and diverse livelihood strategies construe livelihood vulnerability in different ways depending on the context. The most exposed community is not necessarily the most sensitive or least able to adapt because livelihood vulnerability is a result of combined but unequal influences of bio-physical and socio-economic characteristics of communities and households. But within a fishing community, where households are similarly exposed, higher sensitivity and lower adaptive capacity combine to create higher vulnerability. Initiatives to reduce livelihood vulnerability should be correspondingly multifaceted. © 2013 The Author(s).","author":[{"dropping-particle":"","family":"Islam","given":"Md Monirul","non-dropping-particle":"","parse-names":false,"suffix":""},{"dropping-particle":"","family":"Sallu","given":"Susannah","non-dropping-particle":"","parse-names":false,"suffix":""},{"dropping-particle":"","family":"Hubacek","given":"Klaus","non-dropping-particle":"","parse-names":false,"suffix":""},{"dropping-particle":"","family":"Paavola","given":"Jouni","non-dropping-particle":"","parse-names":false,"suffix":""}],"container-title":"Regional Environmental Change","id":"ITEM-1","issue":"1","issued":{"date-parts":[["2014"]]},"page":"281-294","title":"Vulnerability of fishery-based livelihoods to the impacts of climate variability and change: Insights from coastal Bangladesh","type":"article-journal","volume":"14"},"uris":["http://www.mendeley.com/documents/?uuid=394b94ce-bbbe-48df-85a8-468bbddbda2b"]}],"mendeley":{"formattedCitation":"[9]","plainTextFormattedCitation":"[9]","previouslyFormattedCitation":"[9]"},"properties":{"noteIndex":0},"schema":"https://github.com/citation-style-language/schema/raw/master/csl-citation.json"}</w:instrText>
            </w:r>
            <w:r w:rsidRPr="00F85008">
              <w:rPr>
                <w:sz w:val="24"/>
                <w:szCs w:val="24"/>
              </w:rPr>
              <w:fldChar w:fldCharType="separate"/>
            </w:r>
            <w:r w:rsidRPr="00F85008">
              <w:rPr>
                <w:noProof/>
                <w:sz w:val="24"/>
                <w:szCs w:val="24"/>
              </w:rPr>
              <w:t>[9]</w:t>
            </w:r>
            <w:r w:rsidRPr="00F85008">
              <w:rPr>
                <w:sz w:val="24"/>
                <w:szCs w:val="24"/>
              </w:rPr>
              <w:fldChar w:fldCharType="end"/>
            </w:r>
          </w:p>
        </w:tc>
      </w:tr>
      <w:tr w:rsidR="003D53C3" w:rsidRPr="00F85008" w14:paraId="11D1689C" w14:textId="77777777" w:rsidTr="00A1460E">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shd w:val="clear" w:color="auto" w:fill="auto"/>
          </w:tcPr>
          <w:p w14:paraId="6AD082EF" w14:textId="77777777" w:rsidR="008A5564" w:rsidRPr="00F85008" w:rsidRDefault="008A5564" w:rsidP="00EA34F2">
            <w:pPr>
              <w:ind w:left="751" w:hanging="441"/>
              <w:rPr>
                <w:rFonts w:cstheme="minorHAnsi"/>
                <w:b w:val="0"/>
                <w:i/>
                <w:sz w:val="24"/>
                <w:szCs w:val="24"/>
              </w:rPr>
            </w:pPr>
            <w:r w:rsidRPr="00F85008">
              <w:rPr>
                <w:rFonts w:cstheme="minorHAnsi"/>
                <w:b w:val="0"/>
                <w:i/>
                <w:sz w:val="24"/>
                <w:szCs w:val="24"/>
              </w:rPr>
              <w:t>Workforce percentage</w:t>
            </w:r>
          </w:p>
        </w:tc>
        <w:tc>
          <w:tcPr>
            <w:tcW w:w="5987" w:type="dxa"/>
            <w:tcBorders>
              <w:top w:val="nil"/>
              <w:bottom w:val="nil"/>
            </w:tcBorders>
            <w:shd w:val="clear" w:color="auto" w:fill="auto"/>
          </w:tcPr>
          <w:p w14:paraId="5C3C0CC9" w14:textId="77777777" w:rsidR="008A5564" w:rsidRPr="00F85008" w:rsidRDefault="008A5564" w:rsidP="00E7736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85008">
              <w:rPr>
                <w:rFonts w:cstheme="minorHAnsi"/>
                <w:sz w:val="24"/>
                <w:szCs w:val="24"/>
              </w:rPr>
              <w:t>The percentage of individuals who are employed/legally employable in the household (i.e. aged 18 - 70)</w:t>
            </w:r>
          </w:p>
        </w:tc>
        <w:tc>
          <w:tcPr>
            <w:tcW w:w="1559" w:type="dxa"/>
            <w:tcBorders>
              <w:top w:val="nil"/>
              <w:bottom w:val="nil"/>
            </w:tcBorders>
            <w:shd w:val="clear" w:color="auto" w:fill="auto"/>
          </w:tcPr>
          <w:p w14:paraId="06C36A4B" w14:textId="77777777" w:rsidR="008A5564" w:rsidRPr="00F85008" w:rsidRDefault="008A5564" w:rsidP="00E7736D">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D53C3" w:rsidRPr="00F85008" w14:paraId="7E49D3EB" w14:textId="77777777" w:rsidTr="00A14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shd w:val="clear" w:color="auto" w:fill="auto"/>
          </w:tcPr>
          <w:p w14:paraId="29A6E657" w14:textId="77777777" w:rsidR="008A5564" w:rsidRPr="00F85008" w:rsidRDefault="008A5564" w:rsidP="00EA34F2">
            <w:pPr>
              <w:ind w:left="751" w:hanging="441"/>
              <w:rPr>
                <w:rFonts w:cstheme="minorHAnsi"/>
                <w:b w:val="0"/>
                <w:i/>
                <w:sz w:val="24"/>
                <w:szCs w:val="24"/>
              </w:rPr>
            </w:pPr>
            <w:r w:rsidRPr="00F85008">
              <w:rPr>
                <w:rFonts w:cstheme="minorHAnsi"/>
                <w:b w:val="0"/>
                <w:i/>
                <w:sz w:val="24"/>
                <w:szCs w:val="24"/>
              </w:rPr>
              <w:t>Possession of health insurance</w:t>
            </w:r>
          </w:p>
        </w:tc>
        <w:tc>
          <w:tcPr>
            <w:tcW w:w="5987" w:type="dxa"/>
            <w:tcBorders>
              <w:top w:val="nil"/>
              <w:bottom w:val="nil"/>
            </w:tcBorders>
            <w:shd w:val="clear" w:color="auto" w:fill="auto"/>
          </w:tcPr>
          <w:p w14:paraId="02DF5DE4" w14:textId="77777777" w:rsidR="008A5564" w:rsidRPr="00F85008" w:rsidRDefault="008A5564" w:rsidP="00E7736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85008">
              <w:rPr>
                <w:rFonts w:cstheme="minorHAnsi"/>
                <w:sz w:val="24"/>
                <w:szCs w:val="24"/>
              </w:rPr>
              <w:t>The percentage of household members possessing a valid national health insurance card</w:t>
            </w:r>
          </w:p>
        </w:tc>
        <w:tc>
          <w:tcPr>
            <w:tcW w:w="1559" w:type="dxa"/>
            <w:tcBorders>
              <w:top w:val="nil"/>
              <w:bottom w:val="nil"/>
            </w:tcBorders>
            <w:shd w:val="clear" w:color="auto" w:fill="auto"/>
          </w:tcPr>
          <w:p w14:paraId="4E21B5D7" w14:textId="326FD478" w:rsidR="008A5564" w:rsidRPr="00F85008" w:rsidRDefault="005F33B4" w:rsidP="00E7736D">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85008">
              <w:rPr>
                <w:rFonts w:cstheme="minorHAnsi"/>
                <w:sz w:val="24"/>
                <w:szCs w:val="24"/>
              </w:rPr>
              <w:fldChar w:fldCharType="begin" w:fldLock="1"/>
            </w:r>
            <w:r w:rsidR="00FC52F5">
              <w:rPr>
                <w:rFonts w:cstheme="minorHAnsi"/>
                <w:sz w:val="24"/>
                <w:szCs w:val="24"/>
              </w:rPr>
              <w:instrText>ADDIN CSL_CITATION {"citationItems":[{"id":"ITEM-1","itemData":{"DOI":"10.19026/crjss.5.5542","ISSN":"20413238","abstract":"This study examined measurements of poverty in small-scale fishing communities of Ghana using FGT techniques and the Sumaila Relative Poverty Indices. Findings show that poverty head-count index was between 35.5% and 50% using the Local Poverty line and up to 80% using the International Poverty line. In terms of vulnerability, irrespective of the main fishing activity, community (rural or urban) and habitat of fishery resources (freshwater or marine), fishers were facing identical sources of vulnerability. Marginalization indicators were relatively better in the urban fishing communities (90%) than in the rural fishing communities (50%-80%).","author":[{"dropping-particle":"","family":"Asiedu","given":"Berchie","non-dropping-particle":"","parse-names":false,"suffix":""},{"dropping-particle":"","family":"Nunoo","given":"Francis K.E.","non-dropping-particle":"","parse-names":false,"suffix":""},{"dropping-particle":"","family":"Ofori-Danson","given":"Patrick K.","non-dropping-particle":"","parse-names":false,"suffix":""},{"dropping-particle":"","family":"Sarpong","given":"Daniel B.","non-dropping-particle":"","parse-names":false,"suffix":""},{"dropping-particle":"","family":"Sumaila","given":"Ussif R.","non-dropping-particle":"","parse-names":false,"suffix":""}],"container-title":"Current Research Journal of Social Sciences","id":"ITEM-1","issue":"3","issued":{"date-parts":[["2013"]]},"page":"75-90","title":"Poverty Measurements in Small-scale Fisheries of Ghana: A Step towards Poverty Eradication","type":"article-journal","volume":"5"},"uris":["http://www.mendeley.com/documents/?uuid=e066b6dc-2c7c-4bd3-8e3a-35b56095d70a"]}],"mendeley":{"formattedCitation":"[42]","plainTextFormattedCitation":"[42]","previouslyFormattedCitation":"[41]"},"properties":{"noteIndex":0},"schema":"https://github.com/citation-style-language/schema/raw/master/csl-citation.json"}</w:instrText>
            </w:r>
            <w:r w:rsidRPr="00F85008">
              <w:rPr>
                <w:rFonts w:cstheme="minorHAnsi"/>
                <w:sz w:val="24"/>
                <w:szCs w:val="24"/>
              </w:rPr>
              <w:fldChar w:fldCharType="separate"/>
            </w:r>
            <w:r w:rsidR="00FC52F5" w:rsidRPr="00FC52F5">
              <w:rPr>
                <w:rFonts w:cstheme="minorHAnsi"/>
                <w:noProof/>
                <w:sz w:val="24"/>
                <w:szCs w:val="24"/>
              </w:rPr>
              <w:t>[42]</w:t>
            </w:r>
            <w:r w:rsidRPr="00F85008">
              <w:rPr>
                <w:rFonts w:cstheme="minorHAnsi"/>
                <w:sz w:val="24"/>
                <w:szCs w:val="24"/>
              </w:rPr>
              <w:fldChar w:fldCharType="end"/>
            </w:r>
          </w:p>
        </w:tc>
      </w:tr>
      <w:tr w:rsidR="003D53C3" w:rsidRPr="00F85008" w14:paraId="660CAD67" w14:textId="77777777" w:rsidTr="00A1460E">
        <w:trPr>
          <w:trHeight w:val="698"/>
        </w:trPr>
        <w:tc>
          <w:tcPr>
            <w:cnfStyle w:val="001000000000" w:firstRow="0" w:lastRow="0" w:firstColumn="1" w:lastColumn="0" w:oddVBand="0" w:evenVBand="0" w:oddHBand="0" w:evenHBand="0" w:firstRowFirstColumn="0" w:firstRowLastColumn="0" w:lastRowFirstColumn="0" w:lastRowLastColumn="0"/>
            <w:tcW w:w="2694" w:type="dxa"/>
            <w:tcBorders>
              <w:top w:val="nil"/>
              <w:bottom w:val="single" w:sz="4" w:space="0" w:color="auto"/>
            </w:tcBorders>
            <w:shd w:val="clear" w:color="auto" w:fill="auto"/>
          </w:tcPr>
          <w:p w14:paraId="7153D4E8" w14:textId="77777777" w:rsidR="008A5564" w:rsidRPr="00F85008" w:rsidRDefault="008A5564" w:rsidP="00E7736D">
            <w:pPr>
              <w:rPr>
                <w:rFonts w:cstheme="minorHAnsi"/>
                <w:b w:val="0"/>
                <w:sz w:val="24"/>
                <w:szCs w:val="24"/>
              </w:rPr>
            </w:pPr>
            <w:r w:rsidRPr="00F85008">
              <w:rPr>
                <w:rFonts w:cstheme="minorHAnsi"/>
                <w:b w:val="0"/>
                <w:sz w:val="24"/>
                <w:szCs w:val="24"/>
              </w:rPr>
              <w:t>Natural capital</w:t>
            </w:r>
            <w:r w:rsidR="00644566" w:rsidRPr="00F85008">
              <w:rPr>
                <w:rFonts w:cstheme="minorHAnsi"/>
                <w:b w:val="0"/>
                <w:sz w:val="24"/>
                <w:szCs w:val="24"/>
              </w:rPr>
              <w:t xml:space="preserve"> </w:t>
            </w:r>
            <w:r w:rsidR="00644566" w:rsidRPr="00F85008">
              <w:rPr>
                <w:rFonts w:cstheme="minorHAnsi"/>
                <w:b w:val="0"/>
                <w:sz w:val="24"/>
                <w:szCs w:val="24"/>
                <w:vertAlign w:val="superscript"/>
              </w:rPr>
              <w:t>h</w:t>
            </w:r>
          </w:p>
        </w:tc>
        <w:tc>
          <w:tcPr>
            <w:tcW w:w="5987" w:type="dxa"/>
            <w:tcBorders>
              <w:top w:val="nil"/>
              <w:bottom w:val="single" w:sz="4" w:space="0" w:color="auto"/>
            </w:tcBorders>
            <w:shd w:val="clear" w:color="auto" w:fill="auto"/>
          </w:tcPr>
          <w:p w14:paraId="381BAFE8" w14:textId="77777777" w:rsidR="00644566" w:rsidRPr="00F85008" w:rsidRDefault="008A5564" w:rsidP="00E7736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85008">
              <w:rPr>
                <w:rFonts w:cstheme="minorHAnsi"/>
                <w:sz w:val="24"/>
                <w:szCs w:val="24"/>
              </w:rPr>
              <w:t>Aggregate index of the indicators of natural capital</w:t>
            </w:r>
          </w:p>
          <w:p w14:paraId="19383937" w14:textId="77777777" w:rsidR="008A5564" w:rsidRPr="00F85008" w:rsidRDefault="00644566" w:rsidP="00E7736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85008">
              <w:rPr>
                <w:rFonts w:cstheme="minorHAnsi"/>
                <w:sz w:val="24"/>
                <w:szCs w:val="24"/>
              </w:rPr>
              <w:t>(L</w:t>
            </w:r>
            <w:r w:rsidR="008A5564" w:rsidRPr="00F85008">
              <w:rPr>
                <w:rFonts w:cstheme="minorHAnsi"/>
                <w:sz w:val="24"/>
                <w:szCs w:val="24"/>
              </w:rPr>
              <w:t>ivestock and land</w:t>
            </w:r>
            <w:r w:rsidRPr="00F85008">
              <w:rPr>
                <w:rFonts w:cstheme="minorHAnsi"/>
                <w:sz w:val="24"/>
                <w:szCs w:val="24"/>
              </w:rPr>
              <w:t>)</w:t>
            </w:r>
          </w:p>
        </w:tc>
        <w:tc>
          <w:tcPr>
            <w:tcW w:w="1559" w:type="dxa"/>
            <w:tcBorders>
              <w:top w:val="nil"/>
              <w:bottom w:val="single" w:sz="4" w:space="0" w:color="auto"/>
            </w:tcBorders>
            <w:shd w:val="clear" w:color="auto" w:fill="auto"/>
          </w:tcPr>
          <w:p w14:paraId="1CF7B5F8" w14:textId="0D0FD9CB" w:rsidR="008A5564" w:rsidRPr="00F85008" w:rsidRDefault="00231B67" w:rsidP="00E7736D">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85008">
              <w:rPr>
                <w:rFonts w:cstheme="minorHAnsi"/>
                <w:sz w:val="24"/>
                <w:szCs w:val="24"/>
              </w:rPr>
              <w:fldChar w:fldCharType="begin" w:fldLock="1"/>
            </w:r>
            <w:r w:rsidR="00B924BC">
              <w:rPr>
                <w:rFonts w:cstheme="minorHAnsi"/>
                <w:sz w:val="24"/>
                <w:szCs w:val="24"/>
              </w:rPr>
              <w:instrText>ADDIN CSL_CITATION {"citationItems":[{"id":"ITEM-1","itemData":{"DOI":"10.1057/palgrave.development.1110037","ISBN":"1858642248","ISSN":"00278424","PMID":"60101040","abstract":"The concept of sustainable livelihoods is increasingly important in the development debate. This paper outlines a framework for analysing sustainable livelihoods, defined here in relation to five key indicators. The framework shows how, in different contexts, sustainable livelihoods are achieved through access to a range of livelihood resources (natural, economic, human and social capitals) which are combined in the pursuit of different livelihood strategies (agricultural intensification or extensification, livelihood diversification and migration). Central to the framework is the analysis of the range of formal and informal organisational and institutional factors that influence sustainable livelihood outcomes. In conclusion, the paper briefly considers some of the practical, methodological and operational implications of a sustainable livelihoods approach.","author":[{"dropping-particle":"","family":"Scoones","given":"Ian","non-dropping-particle":"","parse-names":false,"suffix":""}],"container-title":"IDS Working Paper","id":"ITEM-1","issue":"May","issued":{"date-parts":[["1998"]]},"page":"1-22","title":"Sustainable Rural Livelihoods: A Framework for Analysis, IDS Working Paper 72","type":"article-journal","volume":"72"},"uris":["http://www.mendeley.com/documents/?uuid=a55c58d0-69e5-4054-9924-2d502fcbd614"]},{"id":"ITEM-2","itemData":{"DOI":"10.1007/s10113-013-0487-6","ISSN":"14363798","abstract":"Globally, fisheries support livelihoods of over half a billion people who are exposed to multiple climatic stresses and shocks that affect their capacity to subsist. Yet, only limited research exists on the vulnerability of fishery-based livelihood systems to climate change. We assess the vulnerability of fishery-based livelihoods to the impacts of climate variability and change in two coastal fishing communities in Bangladesh. We use a composite index approach to calculate livelihood vulnerability and qualitative methods to understand how exposure, sensitivity, and adaptive capacity measured by sub-indices produce vulnerability. Our results suggest that exposure to floods and cyclones, sensitivity (such as dependence on small-scale marine fisheries for livelihoods), and lack of adaptive capacity in terms of physical, natural, and financial capital and diverse livelihood strategies construe livelihood vulnerability in different ways depending on the context. The most exposed community is not necessarily the most sensitive or least able to adapt because livelihood vulnerability is a result of combined but unequal influences of bio-physical and socio-economic characteristics of communities and households. But within a fishing community, where households are similarly exposed, higher sensitivity and lower adaptive capacity combine to create higher vulnerability. Initiatives to reduce livelihood vulnerability should be correspondingly multifaceted. © 2013 The Author(s).","author":[{"dropping-particle":"","family":"Islam","given":"Md Monirul","non-dropping-particle":"","parse-names":false,"suffix":""},{"dropping-particle":"","family":"Sallu","given":"Susannah","non-dropping-particle":"","parse-names":false,"suffix":""},{"dropping-particle":"","family":"Hubacek","given":"Klaus","non-dropping-particle":"","parse-names":false,"suffix":""},{"dropping-particle":"","family":"Paavola","given":"Jouni","non-dropping-particle":"","parse-names":false,"suffix":""}],"container-title":"Regional Environmental Change","id":"ITEM-2","issue":"1","issued":{"date-parts":[["2014"]]},"page":"281-294","title":"Vulnerability of fishery-based livelihoods to the impacts of climate variability and change: Insights from coastal Bangladesh","type":"article-journal","volume":"14"},"uris":["http://www.mendeley.com/documents/?uuid=394b94ce-bbbe-48df-85a8-468bbddbda2b"]}],"mendeley":{"formattedCitation":"[9], [25]","plainTextFormattedCitation":"[9], [25]","previouslyFormattedCitation":"[9], [25]"},"properties":{"noteIndex":0},"schema":"https://github.com/citation-style-language/schema/raw/master/csl-citation.json"}</w:instrText>
            </w:r>
            <w:r w:rsidRPr="00F85008">
              <w:rPr>
                <w:rFonts w:cstheme="minorHAnsi"/>
                <w:sz w:val="24"/>
                <w:szCs w:val="24"/>
              </w:rPr>
              <w:fldChar w:fldCharType="separate"/>
            </w:r>
            <w:r w:rsidR="000150EF" w:rsidRPr="000150EF">
              <w:rPr>
                <w:rFonts w:cstheme="minorHAnsi"/>
                <w:noProof/>
                <w:sz w:val="24"/>
                <w:szCs w:val="24"/>
              </w:rPr>
              <w:t>[9], [25]</w:t>
            </w:r>
            <w:r w:rsidRPr="00F85008">
              <w:rPr>
                <w:rFonts w:cstheme="minorHAnsi"/>
                <w:sz w:val="24"/>
                <w:szCs w:val="24"/>
              </w:rPr>
              <w:fldChar w:fldCharType="end"/>
            </w:r>
          </w:p>
        </w:tc>
      </w:tr>
    </w:tbl>
    <w:p w14:paraId="0F653F1C" w14:textId="77777777" w:rsidR="0012767E" w:rsidRPr="006B3D64" w:rsidRDefault="001029C5" w:rsidP="00931B14">
      <w:pPr>
        <w:spacing w:after="0"/>
        <w:jc w:val="both"/>
        <w:rPr>
          <w:rFonts w:cstheme="minorHAnsi"/>
          <w:sz w:val="18"/>
          <w:szCs w:val="23"/>
        </w:rPr>
      </w:pPr>
      <w:r w:rsidRPr="006B3D64">
        <w:rPr>
          <w:b/>
          <w:sz w:val="18"/>
          <w:vertAlign w:val="superscript"/>
        </w:rPr>
        <w:t>a</w:t>
      </w:r>
      <w:r w:rsidR="006E0E61" w:rsidRPr="006B3D64">
        <w:rPr>
          <w:sz w:val="18"/>
          <w:vertAlign w:val="superscript"/>
        </w:rPr>
        <w:t xml:space="preserve"> </w:t>
      </w:r>
      <w:r w:rsidR="006E0E61" w:rsidRPr="006B3D64">
        <w:rPr>
          <w:sz w:val="18"/>
        </w:rPr>
        <w:t xml:space="preserve">Calculated as sum of </w:t>
      </w:r>
      <w:r w:rsidR="00F23BF8" w:rsidRPr="006B3D64">
        <w:rPr>
          <w:sz w:val="18"/>
        </w:rPr>
        <w:t>wall, roof and floor quality and ranges from 0 – 7 (</w:t>
      </w:r>
      <w:r w:rsidR="00163532" w:rsidRPr="006B3D64">
        <w:rPr>
          <w:sz w:val="18"/>
        </w:rPr>
        <w:t>W</w:t>
      </w:r>
      <w:r w:rsidR="00FB7659" w:rsidRPr="006B3D64">
        <w:rPr>
          <w:sz w:val="18"/>
        </w:rPr>
        <w:t xml:space="preserve">all: </w:t>
      </w:r>
      <w:r w:rsidR="00E7771F" w:rsidRPr="006B3D64">
        <w:rPr>
          <w:sz w:val="18"/>
        </w:rPr>
        <w:t>3 = Palm leaves</w:t>
      </w:r>
      <w:r w:rsidR="004D041F" w:rsidRPr="006B3D64">
        <w:rPr>
          <w:sz w:val="18"/>
        </w:rPr>
        <w:t>,</w:t>
      </w:r>
      <w:r w:rsidR="00E7771F" w:rsidRPr="006B3D64">
        <w:rPr>
          <w:sz w:val="18"/>
        </w:rPr>
        <w:t xml:space="preserve"> 2 = mud</w:t>
      </w:r>
      <w:r w:rsidR="004D041F" w:rsidRPr="006B3D64">
        <w:rPr>
          <w:sz w:val="18"/>
        </w:rPr>
        <w:t>,</w:t>
      </w:r>
      <w:r w:rsidR="00E7771F" w:rsidRPr="006B3D64">
        <w:rPr>
          <w:sz w:val="18"/>
        </w:rPr>
        <w:t xml:space="preserve"> 1 = wood</w:t>
      </w:r>
      <w:r w:rsidR="004D041F" w:rsidRPr="006B3D64">
        <w:rPr>
          <w:sz w:val="18"/>
        </w:rPr>
        <w:t>,</w:t>
      </w:r>
      <w:r w:rsidR="00E7771F" w:rsidRPr="006B3D64">
        <w:rPr>
          <w:sz w:val="18"/>
        </w:rPr>
        <w:t xml:space="preserve"> 0 = concrete blocks</w:t>
      </w:r>
      <w:r w:rsidR="00D16B54" w:rsidRPr="006B3D64">
        <w:rPr>
          <w:sz w:val="18"/>
        </w:rPr>
        <w:t xml:space="preserve">; </w:t>
      </w:r>
      <w:r w:rsidR="00163532" w:rsidRPr="006B3D64">
        <w:rPr>
          <w:sz w:val="18"/>
        </w:rPr>
        <w:t xml:space="preserve">Roof: </w:t>
      </w:r>
      <w:r w:rsidR="00F005A7" w:rsidRPr="006B3D64">
        <w:rPr>
          <w:sz w:val="18"/>
        </w:rPr>
        <w:t>2</w:t>
      </w:r>
      <w:r w:rsidR="004D041F" w:rsidRPr="006B3D64">
        <w:rPr>
          <w:sz w:val="18"/>
        </w:rPr>
        <w:t xml:space="preserve"> = Thatch</w:t>
      </w:r>
      <w:r w:rsidR="00F005A7" w:rsidRPr="006B3D64">
        <w:rPr>
          <w:sz w:val="18"/>
        </w:rPr>
        <w:t>,</w:t>
      </w:r>
      <w:r w:rsidR="004D041F" w:rsidRPr="006B3D64">
        <w:rPr>
          <w:sz w:val="18"/>
        </w:rPr>
        <w:t xml:space="preserve"> 1 = Galvanized sheets</w:t>
      </w:r>
      <w:r w:rsidR="00F005A7" w:rsidRPr="006B3D64">
        <w:rPr>
          <w:sz w:val="18"/>
        </w:rPr>
        <w:t>,</w:t>
      </w:r>
      <w:r w:rsidR="004D041F" w:rsidRPr="006B3D64">
        <w:rPr>
          <w:sz w:val="18"/>
        </w:rPr>
        <w:t xml:space="preserve"> </w:t>
      </w:r>
      <w:r w:rsidR="00F005A7" w:rsidRPr="006B3D64">
        <w:rPr>
          <w:sz w:val="18"/>
        </w:rPr>
        <w:t>0</w:t>
      </w:r>
      <w:r w:rsidR="004D041F" w:rsidRPr="006B3D64">
        <w:rPr>
          <w:sz w:val="18"/>
        </w:rPr>
        <w:t xml:space="preserve"> = Fibre cement;</w:t>
      </w:r>
      <w:r w:rsidR="00F005A7" w:rsidRPr="006B3D64">
        <w:rPr>
          <w:sz w:val="16"/>
        </w:rPr>
        <w:t xml:space="preserve"> </w:t>
      </w:r>
      <w:r w:rsidR="00F005A7" w:rsidRPr="006B3D64">
        <w:rPr>
          <w:sz w:val="18"/>
        </w:rPr>
        <w:t>2 = mud, 1 = Screed floor, 0 = Tiled</w:t>
      </w:r>
      <w:r w:rsidR="00F23BF8" w:rsidRPr="006B3D64">
        <w:rPr>
          <w:sz w:val="18"/>
        </w:rPr>
        <w:t>)</w:t>
      </w:r>
      <w:r w:rsidR="00F005A7" w:rsidRPr="006B3D64">
        <w:rPr>
          <w:sz w:val="18"/>
        </w:rPr>
        <w:t>.</w:t>
      </w:r>
      <w:r w:rsidR="00FE6FA7" w:rsidRPr="006B3D64">
        <w:rPr>
          <w:sz w:val="18"/>
        </w:rPr>
        <w:t xml:space="preserve"> </w:t>
      </w:r>
      <w:r w:rsidRPr="006B3D64">
        <w:rPr>
          <w:b/>
          <w:sz w:val="18"/>
          <w:vertAlign w:val="superscript"/>
        </w:rPr>
        <w:t>b</w:t>
      </w:r>
      <w:r w:rsidR="009F0002" w:rsidRPr="006B3D64">
        <w:rPr>
          <w:sz w:val="18"/>
        </w:rPr>
        <w:t xml:space="preserve"> Calculated as sum of </w:t>
      </w:r>
      <w:r w:rsidR="008214DA" w:rsidRPr="006B3D64">
        <w:rPr>
          <w:sz w:val="18"/>
        </w:rPr>
        <w:t>indicator score</w:t>
      </w:r>
      <w:r w:rsidR="00B44B4E" w:rsidRPr="006B3D64">
        <w:rPr>
          <w:sz w:val="18"/>
        </w:rPr>
        <w:t xml:space="preserve"> and ranges from 0 – 5 (</w:t>
      </w:r>
      <w:r w:rsidR="009F0002" w:rsidRPr="006B3D64">
        <w:rPr>
          <w:sz w:val="18"/>
        </w:rPr>
        <w:t>Trust in community leader: 0 = none</w:t>
      </w:r>
      <w:r w:rsidR="00B44B4E" w:rsidRPr="006B3D64">
        <w:rPr>
          <w:sz w:val="18"/>
        </w:rPr>
        <w:t>,</w:t>
      </w:r>
      <w:r w:rsidR="009F0002" w:rsidRPr="006B3D64">
        <w:rPr>
          <w:sz w:val="18"/>
        </w:rPr>
        <w:t xml:space="preserve"> 1 = weak</w:t>
      </w:r>
      <w:r w:rsidR="00B44B4E" w:rsidRPr="006B3D64">
        <w:rPr>
          <w:sz w:val="18"/>
        </w:rPr>
        <w:t>,</w:t>
      </w:r>
      <w:r w:rsidR="009F0002" w:rsidRPr="006B3D64">
        <w:rPr>
          <w:sz w:val="18"/>
        </w:rPr>
        <w:t xml:space="preserve"> 2 = high</w:t>
      </w:r>
      <w:r w:rsidR="00B44B4E" w:rsidRPr="006B3D64">
        <w:rPr>
          <w:sz w:val="18"/>
        </w:rPr>
        <w:t xml:space="preserve">; </w:t>
      </w:r>
      <w:r w:rsidR="009F0002" w:rsidRPr="006B3D64">
        <w:rPr>
          <w:sz w:val="18"/>
        </w:rPr>
        <w:t>Social groups joined: 0 = none</w:t>
      </w:r>
      <w:r w:rsidR="00B44B4E" w:rsidRPr="006B3D64">
        <w:rPr>
          <w:sz w:val="18"/>
        </w:rPr>
        <w:t>,</w:t>
      </w:r>
      <w:r w:rsidR="009F0002" w:rsidRPr="006B3D64">
        <w:rPr>
          <w:sz w:val="18"/>
        </w:rPr>
        <w:t xml:space="preserve"> 1 = one</w:t>
      </w:r>
      <w:r w:rsidR="00B44B4E" w:rsidRPr="006B3D64">
        <w:rPr>
          <w:sz w:val="18"/>
        </w:rPr>
        <w:t>,</w:t>
      </w:r>
      <w:r w:rsidR="009F0002" w:rsidRPr="006B3D64">
        <w:rPr>
          <w:sz w:val="18"/>
        </w:rPr>
        <w:t xml:space="preserve"> 2 = two</w:t>
      </w:r>
      <w:r w:rsidR="00B44B4E" w:rsidRPr="006B3D64">
        <w:rPr>
          <w:sz w:val="18"/>
        </w:rPr>
        <w:t>,</w:t>
      </w:r>
      <w:r w:rsidR="009F0002" w:rsidRPr="006B3D64">
        <w:rPr>
          <w:sz w:val="18"/>
        </w:rPr>
        <w:t xml:space="preserve"> 3 = ≥ three</w:t>
      </w:r>
      <w:r w:rsidR="00B44B4E" w:rsidRPr="006B3D64">
        <w:rPr>
          <w:sz w:val="18"/>
        </w:rPr>
        <w:t xml:space="preserve">; </w:t>
      </w:r>
      <w:r w:rsidR="009F0002" w:rsidRPr="006B3D64">
        <w:rPr>
          <w:sz w:val="18"/>
        </w:rPr>
        <w:t>Likelihood to obey laws: 0 = unlikely</w:t>
      </w:r>
      <w:r w:rsidR="00CB16E4" w:rsidRPr="006B3D64">
        <w:rPr>
          <w:sz w:val="18"/>
        </w:rPr>
        <w:t>,</w:t>
      </w:r>
      <w:r w:rsidR="009F0002" w:rsidRPr="006B3D64">
        <w:rPr>
          <w:sz w:val="18"/>
        </w:rPr>
        <w:t xml:space="preserve"> 1 = Uncertain</w:t>
      </w:r>
      <w:r w:rsidR="00CB16E4" w:rsidRPr="006B3D64">
        <w:rPr>
          <w:sz w:val="18"/>
        </w:rPr>
        <w:t>,</w:t>
      </w:r>
      <w:r w:rsidR="009F0002" w:rsidRPr="006B3D64">
        <w:rPr>
          <w:sz w:val="18"/>
        </w:rPr>
        <w:t xml:space="preserve"> 2 = Likely</w:t>
      </w:r>
      <w:r w:rsidR="00BA3387" w:rsidRPr="006B3D64">
        <w:rPr>
          <w:sz w:val="18"/>
        </w:rPr>
        <w:t xml:space="preserve">; </w:t>
      </w:r>
      <w:r w:rsidR="009F0002" w:rsidRPr="006B3D64">
        <w:rPr>
          <w:sz w:val="18"/>
        </w:rPr>
        <w:t>Ability to speak Effutu: 0 = no</w:t>
      </w:r>
      <w:r w:rsidR="001E5F31" w:rsidRPr="006B3D64">
        <w:rPr>
          <w:sz w:val="18"/>
        </w:rPr>
        <w:t>,</w:t>
      </w:r>
      <w:r w:rsidR="009F0002" w:rsidRPr="006B3D64">
        <w:rPr>
          <w:sz w:val="18"/>
        </w:rPr>
        <w:t xml:space="preserve"> 1 = partially</w:t>
      </w:r>
      <w:r w:rsidR="001E5F31" w:rsidRPr="006B3D64">
        <w:rPr>
          <w:sz w:val="18"/>
        </w:rPr>
        <w:t>,</w:t>
      </w:r>
      <w:r w:rsidR="009F0002" w:rsidRPr="006B3D64">
        <w:rPr>
          <w:sz w:val="18"/>
        </w:rPr>
        <w:t xml:space="preserve"> 2 = fluently</w:t>
      </w:r>
      <w:r w:rsidR="001E5F31" w:rsidRPr="006B3D64">
        <w:rPr>
          <w:sz w:val="18"/>
        </w:rPr>
        <w:t xml:space="preserve">; </w:t>
      </w:r>
      <w:r w:rsidR="009F0002" w:rsidRPr="006B3D64">
        <w:rPr>
          <w:sz w:val="18"/>
        </w:rPr>
        <w:t>Ability to understand Effutu: 0 = no</w:t>
      </w:r>
      <w:r w:rsidR="001E5F31" w:rsidRPr="006B3D64">
        <w:rPr>
          <w:sz w:val="18"/>
        </w:rPr>
        <w:t>,</w:t>
      </w:r>
      <w:r w:rsidR="009F0002" w:rsidRPr="006B3D64">
        <w:rPr>
          <w:sz w:val="18"/>
        </w:rPr>
        <w:t xml:space="preserve"> 1 = partially</w:t>
      </w:r>
      <w:r w:rsidR="001E5F31" w:rsidRPr="006B3D64">
        <w:rPr>
          <w:sz w:val="18"/>
        </w:rPr>
        <w:t>,</w:t>
      </w:r>
      <w:r w:rsidR="009F0002" w:rsidRPr="006B3D64">
        <w:rPr>
          <w:sz w:val="18"/>
        </w:rPr>
        <w:t xml:space="preserve"> 2 = Completely</w:t>
      </w:r>
      <w:r w:rsidR="001E5F31" w:rsidRPr="006B3D64">
        <w:rPr>
          <w:sz w:val="18"/>
        </w:rPr>
        <w:t>)</w:t>
      </w:r>
      <w:r w:rsidR="000E4718" w:rsidRPr="006B3D64">
        <w:rPr>
          <w:sz w:val="18"/>
        </w:rPr>
        <w:t>.</w:t>
      </w:r>
      <w:r w:rsidR="008214DA" w:rsidRPr="006B3D64">
        <w:rPr>
          <w:sz w:val="18"/>
        </w:rPr>
        <w:t xml:space="preserve"> </w:t>
      </w:r>
      <w:r w:rsidRPr="006B3D64">
        <w:rPr>
          <w:b/>
          <w:sz w:val="18"/>
          <w:vertAlign w:val="superscript"/>
        </w:rPr>
        <w:t>c</w:t>
      </w:r>
      <w:r w:rsidR="00F94DB4" w:rsidRPr="006B3D64">
        <w:rPr>
          <w:sz w:val="18"/>
        </w:rPr>
        <w:t xml:space="preserve"> </w:t>
      </w:r>
      <w:r w:rsidR="008214DA" w:rsidRPr="006B3D64">
        <w:rPr>
          <w:sz w:val="18"/>
        </w:rPr>
        <w:t xml:space="preserve">Calculated as sum of </w:t>
      </w:r>
      <w:r w:rsidR="00465A61" w:rsidRPr="006B3D64">
        <w:rPr>
          <w:sz w:val="18"/>
        </w:rPr>
        <w:t>indicator scores and ranges from 0 – 11 (</w:t>
      </w:r>
      <w:r w:rsidR="00206446" w:rsidRPr="006B3D64">
        <w:rPr>
          <w:sz w:val="18"/>
        </w:rPr>
        <w:t>Have savings in bank: 0 = no, 1 = yes; Joins credit union: 0 = no, 1 = yes; Receive remittances from family: 0 = never, 1 = seldomly, 2 = occasionally, 3 = regularly; Have made some</w:t>
      </w:r>
      <w:r w:rsidR="00D00E98" w:rsidRPr="006B3D64">
        <w:rPr>
          <w:sz w:val="18"/>
        </w:rPr>
        <w:t xml:space="preserve"> financial</w:t>
      </w:r>
      <w:r w:rsidR="00206446" w:rsidRPr="006B3D64">
        <w:rPr>
          <w:sz w:val="18"/>
        </w:rPr>
        <w:t xml:space="preserve"> investment: 0 = </w:t>
      </w:r>
      <w:r w:rsidR="00206446" w:rsidRPr="006B3D64">
        <w:rPr>
          <w:sz w:val="18"/>
        </w:rPr>
        <w:lastRenderedPageBreak/>
        <w:t>no, 1 = yes</w:t>
      </w:r>
      <w:r w:rsidR="00465A61" w:rsidRPr="006B3D64">
        <w:rPr>
          <w:sz w:val="18"/>
        </w:rPr>
        <w:t>)</w:t>
      </w:r>
      <w:r w:rsidR="00F94DB4" w:rsidRPr="006B3D64">
        <w:rPr>
          <w:sz w:val="18"/>
        </w:rPr>
        <w:t>.</w:t>
      </w:r>
      <w:r w:rsidR="000E4718" w:rsidRPr="006B3D64">
        <w:rPr>
          <w:sz w:val="18"/>
        </w:rPr>
        <w:t xml:space="preserve"> </w:t>
      </w:r>
      <w:r w:rsidR="005F2628" w:rsidRPr="006B3D64">
        <w:rPr>
          <w:sz w:val="18"/>
          <w:vertAlign w:val="superscript"/>
        </w:rPr>
        <w:t>d</w:t>
      </w:r>
      <w:r w:rsidR="005F2628" w:rsidRPr="006B3D64">
        <w:rPr>
          <w:sz w:val="18"/>
        </w:rPr>
        <w:t xml:space="preserve"> </w:t>
      </w:r>
      <w:r w:rsidR="00D64CEA" w:rsidRPr="006B3D64">
        <w:rPr>
          <w:sz w:val="18"/>
        </w:rPr>
        <w:t xml:space="preserve">Calculated as sum of indicator scores and ranges from </w:t>
      </w:r>
      <w:r w:rsidR="00AB7C63" w:rsidRPr="006B3D64">
        <w:rPr>
          <w:sz w:val="18"/>
        </w:rPr>
        <w:t>0 – 8 (Have sea fishing gear: 0 = no, 1 = yes; Have lagoon fishing gear: 0 = no, 1 = yes; Current state of fishing gears: 0 = Old, 1 = Nearly new, 2 = New</w:t>
      </w:r>
      <w:r w:rsidR="006E5FCB" w:rsidRPr="006B3D64">
        <w:rPr>
          <w:sz w:val="18"/>
        </w:rPr>
        <w:t xml:space="preserve">; </w:t>
      </w:r>
      <w:r w:rsidR="00AB7C63" w:rsidRPr="006B3D64">
        <w:rPr>
          <w:sz w:val="18"/>
        </w:rPr>
        <w:t xml:space="preserve">How many fish kilns: 0 = none; 1 = one; 2 = two; 3 = </w:t>
      </w:r>
      <w:r w:rsidR="005F2628" w:rsidRPr="006B3D64">
        <w:rPr>
          <w:rFonts w:cstheme="minorHAnsi"/>
          <w:sz w:val="18"/>
        </w:rPr>
        <w:t>≥</w:t>
      </w:r>
      <w:r w:rsidR="00AB7C63" w:rsidRPr="006B3D64">
        <w:rPr>
          <w:sz w:val="18"/>
        </w:rPr>
        <w:t xml:space="preserve"> three)</w:t>
      </w:r>
      <w:r w:rsidR="00B168EB" w:rsidRPr="006B3D64">
        <w:rPr>
          <w:sz w:val="18"/>
        </w:rPr>
        <w:t xml:space="preserve">. </w:t>
      </w:r>
      <w:r w:rsidR="00B168EB" w:rsidRPr="006B3D64">
        <w:rPr>
          <w:sz w:val="18"/>
          <w:vertAlign w:val="superscript"/>
        </w:rPr>
        <w:t xml:space="preserve">e </w:t>
      </w:r>
      <w:r w:rsidR="004E632E" w:rsidRPr="006B3D64">
        <w:rPr>
          <w:rFonts w:cstheme="minorHAnsi"/>
          <w:sz w:val="18"/>
          <w:szCs w:val="23"/>
        </w:rPr>
        <w:t xml:space="preserve">Calculated as sum of </w:t>
      </w:r>
      <w:r w:rsidR="008B7339" w:rsidRPr="006B3D64">
        <w:rPr>
          <w:rFonts w:cstheme="minorHAnsi"/>
          <w:sz w:val="18"/>
          <w:szCs w:val="23"/>
        </w:rPr>
        <w:t>responses</w:t>
      </w:r>
      <w:r w:rsidR="004E632E" w:rsidRPr="006B3D64">
        <w:rPr>
          <w:rFonts w:cstheme="minorHAnsi"/>
          <w:sz w:val="18"/>
          <w:szCs w:val="23"/>
        </w:rPr>
        <w:t xml:space="preserve"> (No = 0; Yes = 1)</w:t>
      </w:r>
      <w:r w:rsidR="008B7339" w:rsidRPr="006B3D64">
        <w:rPr>
          <w:rFonts w:cstheme="minorHAnsi"/>
          <w:sz w:val="18"/>
          <w:szCs w:val="23"/>
        </w:rPr>
        <w:t xml:space="preserve"> to five</w:t>
      </w:r>
      <w:r w:rsidR="004E632E" w:rsidRPr="006B3D64">
        <w:rPr>
          <w:rFonts w:cstheme="minorHAnsi"/>
          <w:sz w:val="18"/>
          <w:szCs w:val="23"/>
        </w:rPr>
        <w:t xml:space="preserve"> variables</w:t>
      </w:r>
      <w:r w:rsidR="003E2FF5" w:rsidRPr="006B3D64">
        <w:rPr>
          <w:rFonts w:cstheme="minorHAnsi"/>
          <w:sz w:val="18"/>
          <w:szCs w:val="23"/>
        </w:rPr>
        <w:t xml:space="preserve"> (</w:t>
      </w:r>
      <w:r w:rsidR="004E632E" w:rsidRPr="006B3D64">
        <w:rPr>
          <w:rFonts w:cstheme="minorHAnsi"/>
          <w:sz w:val="18"/>
          <w:szCs w:val="23"/>
        </w:rPr>
        <w:t>possession of transportation, use of electricity, have toilet facility, use of energy efficient stove, and have a standing pipe in the house</w:t>
      </w:r>
      <w:r w:rsidR="003E2FF5" w:rsidRPr="006B3D64">
        <w:rPr>
          <w:rFonts w:cstheme="minorHAnsi"/>
          <w:sz w:val="18"/>
          <w:szCs w:val="23"/>
        </w:rPr>
        <w:t>); sc</w:t>
      </w:r>
      <w:r w:rsidR="004E632E" w:rsidRPr="006B3D64">
        <w:rPr>
          <w:rFonts w:cstheme="minorHAnsi"/>
          <w:sz w:val="18"/>
          <w:szCs w:val="23"/>
        </w:rPr>
        <w:t xml:space="preserve">ore ranges from 0 </w:t>
      </w:r>
      <w:r w:rsidR="003E2FF5" w:rsidRPr="006B3D64">
        <w:rPr>
          <w:rFonts w:cstheme="minorHAnsi"/>
          <w:sz w:val="18"/>
          <w:szCs w:val="23"/>
        </w:rPr>
        <w:t>–</w:t>
      </w:r>
      <w:r w:rsidR="004E632E" w:rsidRPr="006B3D64">
        <w:rPr>
          <w:rFonts w:cstheme="minorHAnsi"/>
          <w:sz w:val="18"/>
          <w:szCs w:val="23"/>
        </w:rPr>
        <w:t xml:space="preserve"> 5</w:t>
      </w:r>
      <w:r w:rsidR="003E2FF5" w:rsidRPr="006B3D64">
        <w:rPr>
          <w:rFonts w:cstheme="minorHAnsi"/>
          <w:sz w:val="18"/>
          <w:szCs w:val="23"/>
        </w:rPr>
        <w:t xml:space="preserve">.  </w:t>
      </w:r>
      <w:r w:rsidR="00F76D15" w:rsidRPr="006B3D64">
        <w:rPr>
          <w:rFonts w:cstheme="minorHAnsi"/>
          <w:sz w:val="18"/>
          <w:szCs w:val="23"/>
          <w:vertAlign w:val="superscript"/>
        </w:rPr>
        <w:t xml:space="preserve">f </w:t>
      </w:r>
      <w:r w:rsidR="00F76D15" w:rsidRPr="006B3D64">
        <w:rPr>
          <w:rFonts w:cstheme="minorHAnsi"/>
          <w:sz w:val="18"/>
          <w:szCs w:val="23"/>
        </w:rPr>
        <w:t>Calculated as</w:t>
      </w:r>
      <w:r w:rsidR="00B41B8E" w:rsidRPr="006B3D64">
        <w:rPr>
          <w:rFonts w:cstheme="minorHAnsi"/>
          <w:sz w:val="18"/>
          <w:szCs w:val="23"/>
        </w:rPr>
        <w:t xml:space="preserve"> sum of indicators scores and ranges from 0 – 5 (</w:t>
      </w:r>
      <w:r w:rsidR="005C085E" w:rsidRPr="006B3D64">
        <w:rPr>
          <w:rFonts w:cstheme="minorHAnsi"/>
          <w:sz w:val="18"/>
          <w:szCs w:val="23"/>
        </w:rPr>
        <w:t>Willingness to change livelihood: 0 = no, 1 = uncertain, 2 = yes; Willingness to try new things: 0 = unwilling, 1 = uncertain, 2 = willing; Involvement in alternative livelihood: 0 = no, 1 = yes</w:t>
      </w:r>
      <w:r w:rsidR="00B41B8E" w:rsidRPr="006B3D64">
        <w:rPr>
          <w:rFonts w:cstheme="minorHAnsi"/>
          <w:sz w:val="18"/>
          <w:szCs w:val="23"/>
        </w:rPr>
        <w:t>)</w:t>
      </w:r>
      <w:r w:rsidR="005C085E" w:rsidRPr="006B3D64">
        <w:rPr>
          <w:rFonts w:cstheme="minorHAnsi"/>
          <w:sz w:val="18"/>
          <w:szCs w:val="23"/>
        </w:rPr>
        <w:t>.</w:t>
      </w:r>
      <w:r w:rsidR="00F521D0" w:rsidRPr="006B3D64">
        <w:rPr>
          <w:rFonts w:cstheme="minorHAnsi"/>
          <w:sz w:val="18"/>
          <w:szCs w:val="23"/>
        </w:rPr>
        <w:t xml:space="preserve"> </w:t>
      </w:r>
      <w:r w:rsidR="00F521D0" w:rsidRPr="006B3D64">
        <w:rPr>
          <w:rFonts w:cstheme="minorHAnsi"/>
          <w:sz w:val="18"/>
          <w:szCs w:val="23"/>
          <w:vertAlign w:val="superscript"/>
        </w:rPr>
        <w:t xml:space="preserve">g </w:t>
      </w:r>
      <w:r w:rsidR="00C9639C" w:rsidRPr="006B3D64">
        <w:rPr>
          <w:rFonts w:cstheme="minorHAnsi"/>
          <w:sz w:val="18"/>
          <w:szCs w:val="23"/>
        </w:rPr>
        <w:t>Calculated as sum of indicator scores and ranges from 0 – 9 (Highest education level in household: 0 = no education, 1 = Primary, 2 = junior high, 3 = senior high, 4 = university; Other employable skills: 0 = none, 1 = one, 2 = two, 3 = three, 4 = four, 5 = ≥ 5)</w:t>
      </w:r>
      <w:r w:rsidR="007A5FA9" w:rsidRPr="006B3D64">
        <w:rPr>
          <w:rFonts w:cstheme="minorHAnsi"/>
          <w:sz w:val="18"/>
          <w:szCs w:val="23"/>
        </w:rPr>
        <w:t>.</w:t>
      </w:r>
      <w:r w:rsidR="00644566" w:rsidRPr="006B3D64">
        <w:rPr>
          <w:rFonts w:cstheme="minorHAnsi"/>
          <w:sz w:val="18"/>
          <w:szCs w:val="23"/>
        </w:rPr>
        <w:t xml:space="preserve"> </w:t>
      </w:r>
      <w:r w:rsidR="00644566" w:rsidRPr="006B3D64">
        <w:rPr>
          <w:rFonts w:cstheme="minorHAnsi"/>
          <w:sz w:val="18"/>
          <w:szCs w:val="23"/>
          <w:vertAlign w:val="superscript"/>
        </w:rPr>
        <w:t xml:space="preserve">h </w:t>
      </w:r>
      <w:r w:rsidR="00644566" w:rsidRPr="006B3D64">
        <w:rPr>
          <w:rFonts w:cstheme="minorHAnsi"/>
          <w:sz w:val="18"/>
          <w:szCs w:val="23"/>
        </w:rPr>
        <w:t>Calculates as sum of indicator scores and ranges from 0 – 6 (</w:t>
      </w:r>
      <w:r w:rsidR="00B340D7" w:rsidRPr="006B3D64">
        <w:rPr>
          <w:rFonts w:cstheme="minorHAnsi"/>
          <w:sz w:val="18"/>
          <w:szCs w:val="23"/>
        </w:rPr>
        <w:t>Livestock types possessed: 0 = none, 1 = one, 2 = two, 3 = three, 4 = ≥ four; Possession of land in Winneba: 0 = no, 1 = yes; Possession of land in hometown: 0 = no, 1 = yes</w:t>
      </w:r>
      <w:r w:rsidR="00644566" w:rsidRPr="006B3D64">
        <w:rPr>
          <w:rFonts w:cstheme="minorHAnsi"/>
          <w:sz w:val="18"/>
          <w:szCs w:val="23"/>
        </w:rPr>
        <w:t>)</w:t>
      </w:r>
      <w:r w:rsidR="00B340D7" w:rsidRPr="006B3D64">
        <w:rPr>
          <w:rFonts w:cstheme="minorHAnsi"/>
          <w:sz w:val="18"/>
          <w:szCs w:val="23"/>
        </w:rPr>
        <w:t>.</w:t>
      </w:r>
    </w:p>
    <w:p w14:paraId="276065FF" w14:textId="77777777" w:rsidR="0086275A" w:rsidRDefault="0086275A" w:rsidP="002836FD">
      <w:pPr>
        <w:spacing w:after="0"/>
        <w:jc w:val="both"/>
        <w:rPr>
          <w:sz w:val="24"/>
        </w:rPr>
      </w:pPr>
    </w:p>
    <w:p w14:paraId="4FCBC316" w14:textId="73012D08" w:rsidR="008771C4" w:rsidRPr="003B39D5" w:rsidRDefault="00D835FC" w:rsidP="002836FD">
      <w:pPr>
        <w:spacing w:after="0"/>
        <w:jc w:val="both"/>
        <w:rPr>
          <w:sz w:val="24"/>
        </w:rPr>
      </w:pPr>
      <w:r>
        <w:rPr>
          <w:sz w:val="24"/>
        </w:rPr>
        <w:t xml:space="preserve">Another important question that had to be addressed was whether or not to </w:t>
      </w:r>
      <w:r w:rsidR="00C56C5C">
        <w:rPr>
          <w:sz w:val="24"/>
        </w:rPr>
        <w:t>weight the component</w:t>
      </w:r>
      <w:r w:rsidR="00B754D8">
        <w:rPr>
          <w:sz w:val="24"/>
        </w:rPr>
        <w:t>s</w:t>
      </w:r>
      <w:r w:rsidR="00C56C5C">
        <w:rPr>
          <w:sz w:val="24"/>
        </w:rPr>
        <w:t xml:space="preserve"> of the </w:t>
      </w:r>
      <w:r w:rsidR="00226DE8">
        <w:rPr>
          <w:sz w:val="24"/>
        </w:rPr>
        <w:t>vulnerability model.</w:t>
      </w:r>
      <w:r w:rsidR="005113B7">
        <w:rPr>
          <w:sz w:val="24"/>
        </w:rPr>
        <w:t xml:space="preserve"> </w:t>
      </w:r>
      <w:r w:rsidR="00CA469D">
        <w:rPr>
          <w:sz w:val="24"/>
        </w:rPr>
        <w:t xml:space="preserve">Previous studies that have applied </w:t>
      </w:r>
      <w:r w:rsidR="008F0C93">
        <w:rPr>
          <w:sz w:val="24"/>
        </w:rPr>
        <w:t>weight</w:t>
      </w:r>
      <w:r w:rsidR="005031A2">
        <w:rPr>
          <w:sz w:val="24"/>
        </w:rPr>
        <w:t>ing</w:t>
      </w:r>
      <w:r w:rsidR="008F0C93">
        <w:rPr>
          <w:sz w:val="24"/>
        </w:rPr>
        <w:t xml:space="preserve"> determined weight</w:t>
      </w:r>
      <w:r w:rsidR="006F147A">
        <w:rPr>
          <w:sz w:val="24"/>
        </w:rPr>
        <w:t>s</w:t>
      </w:r>
      <w:r w:rsidR="008F0C93">
        <w:rPr>
          <w:sz w:val="24"/>
        </w:rPr>
        <w:t xml:space="preserve"> </w:t>
      </w:r>
      <w:r w:rsidR="004E1088">
        <w:rPr>
          <w:sz w:val="24"/>
        </w:rPr>
        <w:t>either by expert judgement,</w:t>
      </w:r>
      <w:r w:rsidR="006F147A">
        <w:rPr>
          <w:sz w:val="24"/>
        </w:rPr>
        <w:t xml:space="preserve"> </w:t>
      </w:r>
      <w:r w:rsidR="00014ADB">
        <w:rPr>
          <w:sz w:val="24"/>
        </w:rPr>
        <w:t xml:space="preserve">by regression and/or principal component analysis. </w:t>
      </w:r>
      <w:r w:rsidR="005C280A">
        <w:rPr>
          <w:sz w:val="24"/>
        </w:rPr>
        <w:t>All these techniques have been criticised as</w:t>
      </w:r>
      <w:r w:rsidR="002F63A7">
        <w:rPr>
          <w:sz w:val="24"/>
        </w:rPr>
        <w:t xml:space="preserve"> being</w:t>
      </w:r>
      <w:r w:rsidR="005C280A">
        <w:rPr>
          <w:sz w:val="24"/>
        </w:rPr>
        <w:t xml:space="preserve"> purely subjective or </w:t>
      </w:r>
      <w:r w:rsidR="002F63A7">
        <w:rPr>
          <w:sz w:val="24"/>
        </w:rPr>
        <w:t>statistically</w:t>
      </w:r>
      <w:r w:rsidR="005C280A">
        <w:rPr>
          <w:sz w:val="24"/>
        </w:rPr>
        <w:t xml:space="preserve"> biased</w:t>
      </w:r>
      <w:r w:rsidR="002F63A7">
        <w:rPr>
          <w:sz w:val="24"/>
        </w:rPr>
        <w:t xml:space="preserve"> </w:t>
      </w:r>
      <w:r w:rsidR="002F63A7">
        <w:rPr>
          <w:sz w:val="24"/>
        </w:rPr>
        <w:fldChar w:fldCharType="begin" w:fldLock="1"/>
      </w:r>
      <w:r w:rsidR="00B924BC">
        <w:rPr>
          <w:sz w:val="24"/>
        </w:rPr>
        <w:instrText>ADDIN CSL_CITATION {"citationItems":[{"id":"ITEM-1","itemData":{"DOI":"10.1007/s10113-013-0487-6","ISSN":"14363798","abstract":"Globally, fisheries support livelihoods of over half a billion people who are exposed to multiple climatic stresses and shocks that affect their capacity to subsist. Yet, only limited research exists on the vulnerability of fishery-based livelihood systems to climate change. We assess the vulnerability of fishery-based livelihoods to the impacts of climate variability and change in two coastal fishing communities in Bangladesh. We use a composite index approach to calculate livelihood vulnerability and qualitative methods to understand how exposure, sensitivity, and adaptive capacity measured by sub-indices produce vulnerability. Our results suggest that exposure to floods and cyclones, sensitivity (such as dependence on small-scale marine fisheries for livelihoods), and lack of adaptive capacity in terms of physical, natural, and financial capital and diverse livelihood strategies construe livelihood vulnerability in different ways depending on the context. The most exposed community is not necessarily the most sensitive or least able to adapt because livelihood vulnerability is a result of combined but unequal influences of bio-physical and socio-economic characteristics of communities and households. But within a fishing community, where households are similarly exposed, higher sensitivity and lower adaptive capacity combine to create higher vulnerability. Initiatives to reduce livelihood vulnerability should be correspondingly multifaceted. © 2013 The Author(s).","author":[{"dropping-particle":"","family":"Islam","given":"Md Monirul","non-dropping-particle":"","parse-names":false,"suffix":""},{"dropping-particle":"","family":"Sallu","given":"Susannah","non-dropping-particle":"","parse-names":false,"suffix":""},{"dropping-particle":"","family":"Hubacek","given":"Klaus","non-dropping-particle":"","parse-names":false,"suffix":""},{"dropping-particle":"","family":"Paavola","given":"Jouni","non-dropping-particle":"","parse-names":false,"suffix":""}],"container-title":"Regional Environmental Change","id":"ITEM-1","issue":"1","issued":{"date-parts":[["2014"]]},"page":"281-294","title":"Vulnerability of fishery-based livelihoods to the impacts of climate variability and change: Insights from coastal Bangladesh","type":"article-journal","volume":"14"},"uris":["http://www.mendeley.com/documents/?uuid=394b94ce-bbbe-48df-85a8-468bbddbda2b"]},{"id":"ITEM-2","itemData":{"DOI":"10.1016/j.ecolind.2017.02.040","ISSN":"1470160X","abstract":"Governing climate change in cities entails a good understanding of urban vulnerabilities. This research presents an Indicator-based Vulnerability Assessment for 571 European cities. Basing on panel data from Urban Audit database and a set of newly developed indicators, we assessed urban vulnerabilities for the following impact chains: (i) heatwaves on human health; (ii) drought on water planning, and; (iii) flooding (sub-divided into pluvial, fluvial and coastal) on the socio-economic tissue and the urban fabric. Results shed light on the key challenges that specific groups of European cities face in order to better deal with the expected impacts of climate change. This knowledge is a necessary step to advance in the understanding of urban risks to climate change and the development of effective EU policies for urban adaptation.","author":[{"dropping-particle":"","family":"Tapia","given":"Carlos","non-dropping-particle":"","parse-names":false,"suffix":""},{"dropping-particle":"","family":"Abajo","given":"Beñat","non-dropping-particle":"","parse-names":false,"suffix":""},{"dropping-particle":"","family":"Feliu","given":"Efren","non-dropping-particle":"","parse-names":false,"suffix":""},{"dropping-particle":"","family":"Mendizabal","given":"Maddalen","non-dropping-particle":"","parse-names":false,"suffix":""},{"dropping-particle":"","family":"Martinez","given":"José Antonio","non-dropping-particle":"","parse-names":false,"suffix":""},{"dropping-particle":"","family":"Fernández","given":"J. German","non-dropping-particle":"","parse-names":false,"suffix":""},{"dropping-particle":"","family":"Laburu","given":"Txomin","non-dropping-particle":"","parse-names":false,"suffix":""},{"dropping-particle":"","family":"Lejarazu","given":"Adelaida","non-dropping-particle":"","parse-names":false,"suffix":""}],"container-title":"Ecological Indicators","id":"ITEM-2","issued":{"date-parts":[["2017"]]},"page":"142-155","title":"Profiling urban vulnerabilities to climate change: An indicator-based vulnerability assessment for European cities","type":"article-journal","volume":"78"},"uris":["http://www.mendeley.com/documents/?uuid=d9193ae9-5c27-4a24-95ca-3890d99ae78a"]}],"mendeley":{"formattedCitation":"[9], [32]","plainTextFormattedCitation":"[9], [32]","previouslyFormattedCitation":"[9], [32]"},"properties":{"noteIndex":0},"schema":"https://github.com/citation-style-language/schema/raw/master/csl-citation.json"}</w:instrText>
      </w:r>
      <w:r w:rsidR="002F63A7">
        <w:rPr>
          <w:sz w:val="24"/>
        </w:rPr>
        <w:fldChar w:fldCharType="separate"/>
      </w:r>
      <w:r w:rsidR="000150EF" w:rsidRPr="000150EF">
        <w:rPr>
          <w:noProof/>
          <w:sz w:val="24"/>
        </w:rPr>
        <w:t>[9], [32]</w:t>
      </w:r>
      <w:r w:rsidR="002F63A7">
        <w:rPr>
          <w:sz w:val="24"/>
        </w:rPr>
        <w:fldChar w:fldCharType="end"/>
      </w:r>
      <w:r w:rsidR="002F63A7">
        <w:rPr>
          <w:sz w:val="24"/>
        </w:rPr>
        <w:t xml:space="preserve">. </w:t>
      </w:r>
      <w:r w:rsidR="00894E50">
        <w:rPr>
          <w:sz w:val="24"/>
        </w:rPr>
        <w:t>It has been recommended that a more transparent ap</w:t>
      </w:r>
      <w:r w:rsidR="00865134">
        <w:rPr>
          <w:sz w:val="24"/>
        </w:rPr>
        <w:t>p</w:t>
      </w:r>
      <w:r w:rsidR="00894E50">
        <w:rPr>
          <w:sz w:val="24"/>
        </w:rPr>
        <w:t>roach</w:t>
      </w:r>
      <w:r w:rsidR="00865134">
        <w:rPr>
          <w:sz w:val="24"/>
        </w:rPr>
        <w:t xml:space="preserve"> is to avoid such weighting altogether </w:t>
      </w:r>
      <w:r w:rsidR="00865134">
        <w:rPr>
          <w:sz w:val="24"/>
        </w:rPr>
        <w:fldChar w:fldCharType="begin" w:fldLock="1"/>
      </w:r>
      <w:r w:rsidR="00643F1B">
        <w:rPr>
          <w:sz w:val="24"/>
        </w:rPr>
        <w:instrText>ADDIN CSL_CITATION {"citationItems":[{"id":"ITEM-1","itemData":{"DOI":"10.1111/j.1467-2979.2008.00310.x","ISSN":"1467-2960","abstract":"Abstract Anthropogenic global warming has significantly influenced physical and biological processes at global and regional scales. The observed and anticipated changes in global climate present significant opportunities and challenges for societies and economies. We compare the vulnerability of 132 national economies to potential climate change impacts on their capture fisheries using an indicator-based approach. Countries in Central and Western Africa (e.g. Malawi, Guinea, Senegal, and Uganda), Peru and Colombia in north-western South America, and four tropical Asian countries (Bangladesh, Cambodia, Pakistan, and Yemen) were identified as most vulnerable. This vulnerability was due to the combined effect of predicted warming, the relative importance of fisheries to national economies and diets, and limited societal capacity to adapt to potential impacts and opportunities. Many vulnerable countries were also among the world?s least developed countries whose inhabitants are among the world?s poorest and twice as reliant on fish, which provides 27% of dietary protein compared to 13% in less vulnerable countries. These countries also produce 20% of the world?s fish exports and are in greatest need of adaptation planning to maintain or enhance the contribution that fisheries can make to poverty reduction. Although the precise impacts and direction of climate-driven change for particular fish stocks and fisheries are uncertain, our analysis suggests they are likely to lead to either increased economic hardship or missed opportunities for development in countries that depend upon fisheries but lack the capacity to adapt.","author":[{"dropping-particle":"","family":"Allison","given":"Edward H","non-dropping-particle":"","parse-names":false,"suffix":""},{"dropping-particle":"","family":"Perry","given":"Allison L","non-dropping-particle":"","parse-names":false,"suffix":""},{"dropping-particle":"","family":"Badjeck","given":"Marie-Caroline","non-dropping-particle":"","parse-names":false,"suffix":""},{"dropping-particle":"","family":"Neil Adger","given":"W","non-dropping-particle":"","parse-names":false,"suffix":""},{"dropping-particle":"","family":"Brown","given":"Katrina","non-dropping-particle":"","parse-names":false,"suffix":""},{"dropping-particle":"","family":"Conway","given":"Declan","non-dropping-particle":"","parse-names":false,"suffix":""},{"dropping-particle":"","family":"Halls","given":"Ashley S","non-dropping-particle":"","parse-names":false,"suffix":""},{"dropping-particle":"","family":"Pilling","given":"Graham M","non-dropping-particle":"","parse-names":false,"suffix":""},{"dropping-particle":"","family":"Reynolds","given":"John D","non-dropping-particle":"","parse-names":false,"suffix":""},{"dropping-particle":"","family":"Andrew","given":"Neil L","non-dropping-particle":"","parse-names":false,"suffix":""},{"dropping-particle":"","family":"Dulvy","given":"Nicholas K","non-dropping-particle":"","parse-names":false,"suffix":""}],"container-title":"Fish and Fisheries","id":"ITEM-1","issue":"2","issued":{"date-parts":[["2009","6","1"]]},"note":"doi: 10.1111/j.1467-2979.2008.00310.x","page":"173-196","publisher":"John Wiley &amp; Sons, Ltd (10.1111)","title":"Vulnerability of national economies to the impacts of climate change on fisheries","type":"article-journal","volume":"10"},"uris":["http://www.mendeley.com/documents/?uuid=123fa285-824c-46ca-9cd9-6adcdee22d3c"]}],"mendeley":{"formattedCitation":"[14]","plainTextFormattedCitation":"[14]","previouslyFormattedCitation":"[14]"},"properties":{"noteIndex":0},"schema":"https://github.com/citation-style-language/schema/raw/master/csl-citation.json"}</w:instrText>
      </w:r>
      <w:r w:rsidR="00865134">
        <w:rPr>
          <w:sz w:val="24"/>
        </w:rPr>
        <w:fldChar w:fldCharType="separate"/>
      </w:r>
      <w:r w:rsidR="0076085D" w:rsidRPr="0076085D">
        <w:rPr>
          <w:noProof/>
          <w:sz w:val="24"/>
        </w:rPr>
        <w:t>[14]</w:t>
      </w:r>
      <w:r w:rsidR="00865134">
        <w:rPr>
          <w:sz w:val="24"/>
        </w:rPr>
        <w:fldChar w:fldCharType="end"/>
      </w:r>
      <w:r w:rsidR="00865134">
        <w:rPr>
          <w:sz w:val="24"/>
        </w:rPr>
        <w:t>.</w:t>
      </w:r>
      <w:r w:rsidR="00FF6C3D">
        <w:rPr>
          <w:sz w:val="24"/>
        </w:rPr>
        <w:t xml:space="preserve"> For these reasons, w</w:t>
      </w:r>
      <w:r w:rsidR="004756BF">
        <w:rPr>
          <w:sz w:val="24"/>
        </w:rPr>
        <w:t>eights were not applied in this study</w:t>
      </w:r>
      <w:r w:rsidR="00FF6C3D">
        <w:rPr>
          <w:sz w:val="24"/>
        </w:rPr>
        <w:t>.</w:t>
      </w:r>
      <w:r w:rsidR="003B39D5">
        <w:rPr>
          <w:sz w:val="24"/>
        </w:rPr>
        <w:t xml:space="preserve"> </w:t>
      </w:r>
    </w:p>
    <w:p w14:paraId="5707FC3B" w14:textId="77777777" w:rsidR="002836FD" w:rsidRDefault="002836FD" w:rsidP="002836FD">
      <w:pPr>
        <w:spacing w:after="0"/>
        <w:jc w:val="both"/>
        <w:rPr>
          <w:rFonts w:cstheme="minorHAnsi"/>
          <w:b/>
          <w:sz w:val="23"/>
          <w:szCs w:val="23"/>
        </w:rPr>
      </w:pPr>
    </w:p>
    <w:p w14:paraId="68644A15" w14:textId="77777777" w:rsidR="002836FD" w:rsidRPr="0054511E" w:rsidRDefault="002836FD" w:rsidP="002836FD">
      <w:pPr>
        <w:jc w:val="both"/>
        <w:rPr>
          <w:b/>
          <w:sz w:val="24"/>
          <w:szCs w:val="24"/>
        </w:rPr>
      </w:pPr>
      <w:bookmarkStart w:id="6" w:name="_Hlk43132204"/>
      <w:r w:rsidRPr="0054511E">
        <w:rPr>
          <w:rFonts w:cstheme="minorHAnsi"/>
          <w:b/>
          <w:sz w:val="24"/>
          <w:szCs w:val="24"/>
        </w:rPr>
        <w:t xml:space="preserve">3.2.4 </w:t>
      </w:r>
      <w:bookmarkEnd w:id="6"/>
      <w:r w:rsidRPr="0054511E">
        <w:rPr>
          <w:rFonts w:cstheme="minorHAnsi"/>
          <w:b/>
          <w:sz w:val="24"/>
          <w:szCs w:val="24"/>
        </w:rPr>
        <w:t xml:space="preserve">Household </w:t>
      </w:r>
      <w:r w:rsidR="006168C6" w:rsidRPr="0054511E">
        <w:rPr>
          <w:rFonts w:cstheme="minorHAnsi"/>
          <w:b/>
          <w:sz w:val="24"/>
          <w:szCs w:val="24"/>
        </w:rPr>
        <w:t xml:space="preserve">climate change impact and </w:t>
      </w:r>
      <w:r w:rsidRPr="0054511E">
        <w:rPr>
          <w:rFonts w:cstheme="minorHAnsi"/>
          <w:b/>
          <w:sz w:val="24"/>
          <w:szCs w:val="24"/>
        </w:rPr>
        <w:t>vulnerability analysis</w:t>
      </w:r>
    </w:p>
    <w:p w14:paraId="7CD5563B" w14:textId="4BC2B5B7" w:rsidR="00C5472B" w:rsidRDefault="001C7D2B" w:rsidP="00C83EED">
      <w:pPr>
        <w:spacing w:after="0"/>
        <w:jc w:val="both"/>
        <w:rPr>
          <w:sz w:val="24"/>
        </w:rPr>
      </w:pPr>
      <w:r>
        <w:rPr>
          <w:sz w:val="24"/>
        </w:rPr>
        <w:t>A</w:t>
      </w:r>
      <w:r w:rsidR="0097425F">
        <w:rPr>
          <w:sz w:val="24"/>
        </w:rPr>
        <w:t>ccording to a key informant</w:t>
      </w:r>
      <w:r w:rsidR="00375274">
        <w:rPr>
          <w:sz w:val="24"/>
        </w:rPr>
        <w:t>,</w:t>
      </w:r>
      <w:r w:rsidR="0097425F">
        <w:rPr>
          <w:sz w:val="24"/>
        </w:rPr>
        <w:t xml:space="preserve"> </w:t>
      </w:r>
      <w:r w:rsidR="0026574C">
        <w:rPr>
          <w:sz w:val="24"/>
        </w:rPr>
        <w:t>2014</w:t>
      </w:r>
      <w:r w:rsidR="00AD722F">
        <w:rPr>
          <w:sz w:val="24"/>
        </w:rPr>
        <w:t xml:space="preserve"> was the most recent </w:t>
      </w:r>
      <w:r w:rsidR="00F76A93">
        <w:rPr>
          <w:sz w:val="24"/>
        </w:rPr>
        <w:t>‘</w:t>
      </w:r>
      <w:r w:rsidR="00AD722F">
        <w:rPr>
          <w:sz w:val="24"/>
        </w:rPr>
        <w:t>good</w:t>
      </w:r>
      <w:r w:rsidR="00F76A93">
        <w:rPr>
          <w:sz w:val="24"/>
        </w:rPr>
        <w:t>’</w:t>
      </w:r>
      <w:r w:rsidR="00AD722F">
        <w:rPr>
          <w:sz w:val="24"/>
        </w:rPr>
        <w:t xml:space="preserve"> season</w:t>
      </w:r>
      <w:r w:rsidR="00F1458F">
        <w:rPr>
          <w:sz w:val="24"/>
        </w:rPr>
        <w:t xml:space="preserve"> because catches were</w:t>
      </w:r>
      <w:r w:rsidR="00F95DFC">
        <w:rPr>
          <w:sz w:val="24"/>
        </w:rPr>
        <w:t xml:space="preserve"> comparable to </w:t>
      </w:r>
      <w:r w:rsidR="00296A5E">
        <w:rPr>
          <w:sz w:val="24"/>
        </w:rPr>
        <w:t xml:space="preserve">a </w:t>
      </w:r>
      <w:r w:rsidR="00F95DFC">
        <w:rPr>
          <w:sz w:val="24"/>
        </w:rPr>
        <w:t xml:space="preserve">historic one in 1983 </w:t>
      </w:r>
      <w:r w:rsidR="00631411">
        <w:rPr>
          <w:sz w:val="24"/>
        </w:rPr>
        <w:t>[</w:t>
      </w:r>
      <w:r w:rsidR="00F95DFC">
        <w:rPr>
          <w:sz w:val="24"/>
        </w:rPr>
        <w:t>Akosua village elder, 2018</w:t>
      </w:r>
      <w:r w:rsidR="00631411">
        <w:rPr>
          <w:sz w:val="24"/>
        </w:rPr>
        <w:t xml:space="preserve">]. </w:t>
      </w:r>
      <w:r w:rsidR="007A142D">
        <w:rPr>
          <w:sz w:val="24"/>
        </w:rPr>
        <w:t xml:space="preserve">In addition, all respondents concur that 2018 was the worst of ‘bad’ seasons. </w:t>
      </w:r>
      <w:r w:rsidR="0027421D">
        <w:rPr>
          <w:sz w:val="24"/>
        </w:rPr>
        <w:t>The</w:t>
      </w:r>
      <w:r w:rsidR="00F52E6C">
        <w:rPr>
          <w:sz w:val="24"/>
        </w:rPr>
        <w:t xml:space="preserve"> percentage change in</w:t>
      </w:r>
      <w:r w:rsidR="00123E19">
        <w:rPr>
          <w:sz w:val="24"/>
        </w:rPr>
        <w:t xml:space="preserve"> </w:t>
      </w:r>
      <w:r w:rsidR="00123E19" w:rsidRPr="00C523AC">
        <w:rPr>
          <w:sz w:val="24"/>
        </w:rPr>
        <w:t xml:space="preserve">self-reported household </w:t>
      </w:r>
      <w:r w:rsidR="00123E19">
        <w:rPr>
          <w:sz w:val="24"/>
        </w:rPr>
        <w:t xml:space="preserve">monthly </w:t>
      </w:r>
      <w:r w:rsidR="00123E19" w:rsidRPr="00C523AC">
        <w:rPr>
          <w:sz w:val="24"/>
        </w:rPr>
        <w:t xml:space="preserve">incomes </w:t>
      </w:r>
      <w:r w:rsidR="00F52E6C">
        <w:rPr>
          <w:sz w:val="24"/>
        </w:rPr>
        <w:t>between</w:t>
      </w:r>
      <w:r w:rsidR="00123E19">
        <w:rPr>
          <w:sz w:val="24"/>
        </w:rPr>
        <w:t xml:space="preserve"> </w:t>
      </w:r>
      <w:r w:rsidR="0030277F">
        <w:rPr>
          <w:sz w:val="24"/>
        </w:rPr>
        <w:t>2014 and 2018</w:t>
      </w:r>
      <w:r w:rsidR="0027421D">
        <w:rPr>
          <w:sz w:val="24"/>
        </w:rPr>
        <w:t xml:space="preserve"> was therefore estimated </w:t>
      </w:r>
      <w:r w:rsidR="00506B4A">
        <w:rPr>
          <w:sz w:val="24"/>
        </w:rPr>
        <w:t xml:space="preserve">as </w:t>
      </w:r>
      <w:r w:rsidR="0027421D">
        <w:rPr>
          <w:sz w:val="24"/>
        </w:rPr>
        <w:t>an indicator of the economic impact of climate change</w:t>
      </w:r>
      <w:r w:rsidR="00506B4A">
        <w:rPr>
          <w:sz w:val="24"/>
        </w:rPr>
        <w:t xml:space="preserve"> on fishing livelihood</w:t>
      </w:r>
      <w:r w:rsidR="00123E19">
        <w:rPr>
          <w:sz w:val="24"/>
        </w:rPr>
        <w:t xml:space="preserve">. </w:t>
      </w:r>
      <w:r w:rsidR="00105066">
        <w:rPr>
          <w:sz w:val="24"/>
        </w:rPr>
        <w:t>Furthermore, t</w:t>
      </w:r>
      <w:r w:rsidR="003013F2">
        <w:rPr>
          <w:sz w:val="24"/>
        </w:rPr>
        <w:t xml:space="preserve">o test the </w:t>
      </w:r>
      <w:r w:rsidR="002F553A">
        <w:rPr>
          <w:sz w:val="24"/>
        </w:rPr>
        <w:t>respons</w:t>
      </w:r>
      <w:r w:rsidR="00123E19">
        <w:rPr>
          <w:sz w:val="24"/>
        </w:rPr>
        <w:t>e</w:t>
      </w:r>
      <w:r w:rsidR="003B238E">
        <w:rPr>
          <w:sz w:val="24"/>
        </w:rPr>
        <w:t xml:space="preserve"> of households’ vulnerability</w:t>
      </w:r>
      <w:r w:rsidR="006D4F8F">
        <w:rPr>
          <w:sz w:val="24"/>
        </w:rPr>
        <w:t xml:space="preserve"> (as estimated in section 3.2.3)</w:t>
      </w:r>
      <w:r w:rsidR="003B238E">
        <w:rPr>
          <w:sz w:val="24"/>
        </w:rPr>
        <w:t xml:space="preserve"> to income fluctuations</w:t>
      </w:r>
      <w:r w:rsidR="00A731E9">
        <w:rPr>
          <w:sz w:val="24"/>
        </w:rPr>
        <w:t xml:space="preserve"> (</w:t>
      </w:r>
      <w:r w:rsidR="001919BE">
        <w:rPr>
          <w:sz w:val="24"/>
        </w:rPr>
        <w:t>all things being equal</w:t>
      </w:r>
      <w:r w:rsidR="00A731E9">
        <w:rPr>
          <w:sz w:val="24"/>
        </w:rPr>
        <w:t>),</w:t>
      </w:r>
      <w:r w:rsidR="003B238E">
        <w:rPr>
          <w:sz w:val="24"/>
        </w:rPr>
        <w:t xml:space="preserve"> </w:t>
      </w:r>
      <w:r w:rsidR="001919BE">
        <w:rPr>
          <w:sz w:val="24"/>
        </w:rPr>
        <w:t xml:space="preserve">an </w:t>
      </w:r>
      <w:r w:rsidR="009969B2">
        <w:rPr>
          <w:sz w:val="24"/>
        </w:rPr>
        <w:t xml:space="preserve">ANOVA analysis was performed </w:t>
      </w:r>
      <w:r w:rsidR="001B74BC">
        <w:rPr>
          <w:sz w:val="24"/>
        </w:rPr>
        <w:t xml:space="preserve">to compare </w:t>
      </w:r>
      <w:r w:rsidR="004D07EE">
        <w:rPr>
          <w:sz w:val="24"/>
        </w:rPr>
        <w:t>household vulnerability in the good and bad seasons.</w:t>
      </w:r>
      <w:r w:rsidR="009969B2">
        <w:rPr>
          <w:sz w:val="24"/>
        </w:rPr>
        <w:t xml:space="preserve"> </w:t>
      </w:r>
    </w:p>
    <w:p w14:paraId="5F728F26" w14:textId="77777777" w:rsidR="00C5472B" w:rsidRDefault="00C5472B" w:rsidP="00C83EED">
      <w:pPr>
        <w:spacing w:after="0"/>
        <w:jc w:val="both"/>
        <w:rPr>
          <w:sz w:val="24"/>
        </w:rPr>
      </w:pPr>
    </w:p>
    <w:p w14:paraId="5A8B02BF" w14:textId="17B29A46" w:rsidR="00414235" w:rsidRDefault="00E56D82" w:rsidP="00BA7F1E">
      <w:pPr>
        <w:spacing w:after="0"/>
        <w:jc w:val="both"/>
        <w:rPr>
          <w:sz w:val="24"/>
        </w:rPr>
      </w:pPr>
      <w:r w:rsidRPr="00DF52B7">
        <w:rPr>
          <w:sz w:val="24"/>
        </w:rPr>
        <w:t>To</w:t>
      </w:r>
      <w:r w:rsidR="00ED27D2">
        <w:rPr>
          <w:sz w:val="24"/>
        </w:rPr>
        <w:t xml:space="preserve"> </w:t>
      </w:r>
      <w:r w:rsidR="00DF52B7">
        <w:rPr>
          <w:sz w:val="24"/>
        </w:rPr>
        <w:t xml:space="preserve">understand how vulnerability is differentiated </w:t>
      </w:r>
      <w:r w:rsidR="00710A61">
        <w:rPr>
          <w:sz w:val="24"/>
        </w:rPr>
        <w:t>among households</w:t>
      </w:r>
      <w:r w:rsidR="00ED27D2">
        <w:rPr>
          <w:sz w:val="24"/>
        </w:rPr>
        <w:t xml:space="preserve"> and which households are mo</w:t>
      </w:r>
      <w:r w:rsidR="00A90B13">
        <w:rPr>
          <w:sz w:val="24"/>
        </w:rPr>
        <w:t>st</w:t>
      </w:r>
      <w:r w:rsidR="00ED27D2">
        <w:rPr>
          <w:sz w:val="24"/>
        </w:rPr>
        <w:t xml:space="preserve"> vulnerable</w:t>
      </w:r>
      <w:r w:rsidR="00DF52B7">
        <w:rPr>
          <w:sz w:val="24"/>
        </w:rPr>
        <w:t xml:space="preserve">, </w:t>
      </w:r>
      <w:r w:rsidR="004D6B79">
        <w:rPr>
          <w:sz w:val="24"/>
        </w:rPr>
        <w:t>ANOVA analyses (</w:t>
      </w:r>
      <w:r w:rsidR="004D6B79">
        <w:rPr>
          <w:rFonts w:cstheme="minorHAnsi"/>
          <w:sz w:val="24"/>
        </w:rPr>
        <w:t>α</w:t>
      </w:r>
      <w:r w:rsidR="004D6B79">
        <w:rPr>
          <w:sz w:val="24"/>
        </w:rPr>
        <w:t xml:space="preserve"> = 0.05) were used to compare </w:t>
      </w:r>
      <w:r w:rsidR="00A90B13">
        <w:rPr>
          <w:sz w:val="24"/>
        </w:rPr>
        <w:t xml:space="preserve">households </w:t>
      </w:r>
      <w:r w:rsidR="004D6B79">
        <w:rPr>
          <w:sz w:val="24"/>
        </w:rPr>
        <w:t xml:space="preserve">under three </w:t>
      </w:r>
      <w:r w:rsidR="00FE599D">
        <w:rPr>
          <w:sz w:val="24"/>
        </w:rPr>
        <w:t>household categorisations – economic class, gender of household-head and vulnerability group</w:t>
      </w:r>
      <w:r w:rsidR="00437247">
        <w:rPr>
          <w:sz w:val="24"/>
        </w:rPr>
        <w:t xml:space="preserve"> (Tables 5, </w:t>
      </w:r>
      <w:r w:rsidR="00E21ECA">
        <w:rPr>
          <w:sz w:val="24"/>
        </w:rPr>
        <w:t>7</w:t>
      </w:r>
      <w:r w:rsidR="00F471A5">
        <w:rPr>
          <w:sz w:val="24"/>
        </w:rPr>
        <w:t xml:space="preserve"> and</w:t>
      </w:r>
      <w:r w:rsidR="00E21ECA">
        <w:rPr>
          <w:sz w:val="24"/>
        </w:rPr>
        <w:t xml:space="preserve"> 8</w:t>
      </w:r>
      <w:r w:rsidR="00437247">
        <w:rPr>
          <w:sz w:val="24"/>
        </w:rPr>
        <w:t>)</w:t>
      </w:r>
      <w:r w:rsidR="00FE599D">
        <w:rPr>
          <w:sz w:val="24"/>
        </w:rPr>
        <w:t xml:space="preserve">. </w:t>
      </w:r>
      <w:r w:rsidR="001E3EC5">
        <w:rPr>
          <w:sz w:val="24"/>
        </w:rPr>
        <w:t>Vulnerability groups were derived by a</w:t>
      </w:r>
      <w:r w:rsidR="00A61DA1" w:rsidRPr="00A61DA1">
        <w:rPr>
          <w:sz w:val="24"/>
        </w:rPr>
        <w:t xml:space="preserve"> </w:t>
      </w:r>
      <w:r w:rsidR="004504F8">
        <w:rPr>
          <w:sz w:val="24"/>
        </w:rPr>
        <w:t>quantile</w:t>
      </w:r>
      <w:r w:rsidR="00A61DA1" w:rsidRPr="00A61DA1">
        <w:rPr>
          <w:sz w:val="24"/>
        </w:rPr>
        <w:t xml:space="preserve"> </w:t>
      </w:r>
      <w:r w:rsidR="004504F8">
        <w:rPr>
          <w:sz w:val="24"/>
        </w:rPr>
        <w:t>classification</w:t>
      </w:r>
      <w:r w:rsidR="00A61DA1" w:rsidRPr="00A61DA1">
        <w:rPr>
          <w:sz w:val="24"/>
        </w:rPr>
        <w:t xml:space="preserve"> technique</w:t>
      </w:r>
      <w:r w:rsidR="00A75E97">
        <w:rPr>
          <w:sz w:val="24"/>
        </w:rPr>
        <w:t xml:space="preserve"> </w:t>
      </w:r>
      <w:r w:rsidR="00A75E97">
        <w:rPr>
          <w:sz w:val="24"/>
        </w:rPr>
        <w:fldChar w:fldCharType="begin" w:fldLock="1"/>
      </w:r>
      <w:r w:rsidR="00FC52F5">
        <w:rPr>
          <w:sz w:val="24"/>
        </w:rPr>
        <w:instrText>ADDIN CSL_CITATION {"citationItems":[{"id":"ITEM-1","itemData":{"DOI":"10.1016/j.gloenvcha.2004.01.001","ISSN":"09593780","abstract":"There is growing recognition in the human dimensions research community that climate change impact studies must take into account the effects of other ongoing global changes. Yet there has been no systematic methodology to study climate change vulnerability in the context of multiple stressors. Using the example of Indian agriculture, this paper presents a methodology for investigating regional vulnerability to climate change in combination with other global stressors. This method, which relies on both vulnerability mapping and local-level case studies, may be used to assess differential vulnerability for any particular sector within a nation or region, and it can serve as a basis for targeting policy interventions. © 2004 Elsevier Ltd. All rights reserved.","author":[{"dropping-particle":"","family":"O'Brien","given":"Karen","non-dropping-particle":"","parse-names":false,"suffix":""},{"dropping-particle":"","family":"Leichenko","given":"Robin","non-dropping-particle":"","parse-names":false,"suffix":""},{"dropping-particle":"","family":"Kelkar","given":"Ulka","non-dropping-particle":"","parse-names":false,"suffix":""},{"dropping-particle":"","family":"Venema","given":"Henry","non-dropping-particle":"","parse-names":false,"suffix":""},{"dropping-particle":"","family":"Aandahl","given":"Guro","non-dropping-particle":"","parse-names":false,"suffix":""},{"dropping-particle":"","family":"Tompkins","given":"Heather","non-dropping-particle":"","parse-names":false,"suffix":""},{"dropping-particle":"","family":"Javed","given":"Akram","non-dropping-particle":"","parse-names":false,"suffix":""},{"dropping-particle":"","family":"Bhadwal","given":"Suruchi","non-dropping-particle":"","parse-names":false,"suffix":""},{"dropping-particle":"","family":"Barg","given":"Stephan","non-dropping-particle":"","parse-names":false,"suffix":""},{"dropping-particle":"","family":"Nygaard","given":"Lynn","non-dropping-particle":"","parse-names":false,"suffix":""},{"dropping-particle":"","family":"West","given":"Jennifer","non-dropping-particle":"","parse-names":false,"suffix":""}],"container-title":"Global Environmental Change","id":"ITEM-1","issue":"4","issued":{"date-parts":[["2004"]]},"page":"303-313","title":"Mapping vulnerability to multiple stressors: Climate change and globalization in India","type":"article-journal","volume":"14"},"uris":["http://www.mendeley.com/documents/?uuid=1d1d812e-2852-4b0e-a667-29ac09b734eb"]},{"id":"ITEM-2","itemData":{"DOI":"10.1007/s10113-013-0487-6","ISSN":"14363798","abstract":"Globally, fisheries support livelihoods of over half a billion people who are exposed to multiple climatic stresses and shocks that affect their capacity to subsist. Yet, only limited research exists on the vulnerability of fishery-based livelihood systems to climate change. We assess the vulnerability of fishery-based livelihoods to the impacts of climate variability and change in two coastal fishing communities in Bangladesh. We use a composite index approach to calculate livelihood vulnerability and qualitative methods to understand how exposure, sensitivity, and adaptive capacity measured by sub-indices produce vulnerability. Our results suggest that exposure to floods and cyclones, sensitivity (such as dependence on small-scale marine fisheries for livelihoods), and lack of adaptive capacity in terms of physical, natural, and financial capital and diverse livelihood strategies construe livelihood vulnerability in different ways depending on the context. The most exposed community is not necessarily the most sensitive or least able to adapt because livelihood vulnerability is a result of combined but unequal influences of bio-physical and socio-economic characteristics of communities and households. But within a fishing community, where households are similarly exposed, higher sensitivity and lower adaptive capacity combine to create higher vulnerability. Initiatives to reduce livelihood vulnerability should be correspondingly multifaceted. © 2013 The Author(s).","author":[{"dropping-particle":"","family":"Islam","given":"Md Monirul","non-dropping-particle":"","parse-names":false,"suffix":""},{"dropping-particle":"","family":"Sallu","given":"Susannah","non-dropping-particle":"","parse-names":false,"suffix":""},{"dropping-particle":"","family":"Hubacek","given":"Klaus","non-dropping-particle":"","parse-names":false,"suffix":""},{"dropping-particle":"","family":"Paavola","given":"Jouni","non-dropping-particle":"","parse-names":false,"suffix":""}],"container-title":"Regional Environmental Change","id":"ITEM-2","issue":"1","issued":{"date-parts":[["2014"]]},"page":"281-294","title":"Vulnerability of fishery-based livelihoods to the impacts of climate variability and change: Insights from coastal Bangladesh","type":"article-journal","volume":"14"},"uris":["http://www.mendeley.com/documents/?uuid=394b94ce-bbbe-48df-85a8-468bbddbda2b"]},{"id":"ITEM-3","itemData":{"DOI":"10.1111/j.1467-2979.2008.00310.x","ISSN":"1467-2960","abstract":"Abstract Anthropogenic global warming has significantly influenced physical and biological processes at global and regional scales. The observed and anticipated changes in global climate present significant opportunities and challenges for societies and economies. We compare the vulnerability of 132 national economies to potential climate change impacts on their capture fisheries using an indicator-based approach. Countries in Central and Western Africa (e.g. Malawi, Guinea, Senegal, and Uganda), Peru and Colombia in north-western South America, and four tropical Asian countries (Bangladesh, Cambodia, Pakistan, and Yemen) were identified as most vulnerable. This vulnerability was due to the combined effect of predicted warming, the relative importance of fisheries to national economies and diets, and limited societal capacity to adapt to potential impacts and opportunities. Many vulnerable countries were also among the world?s least developed countries whose inhabitants are among the world?s poorest and twice as reliant on fish, which provides 27% of dietary protein compared to 13% in less vulnerable countries. These countries also produce 20% of the world?s fish exports and are in greatest need of adaptation planning to maintain or enhance the contribution that fisheries can make to poverty reduction. Although the precise impacts and direction of climate-driven change for particular fish stocks and fisheries are uncertain, our analysis suggests they are likely to lead to either increased economic hardship or missed opportunities for development in countries that depend upon fisheries but lack the capacity to adapt.","author":[{"dropping-particle":"","family":"Allison","given":"Edward H","non-dropping-particle":"","parse-names":false,"suffix":""},{"dropping-particle":"","family":"Perry","given":"Allison L","non-dropping-particle":"","parse-names":false,"suffix":""},{"dropping-particle":"","family":"Badjeck","given":"Marie-Caroline","non-dropping-particle":"","parse-names":false,"suffix":""},{"dropping-particle":"","family":"Neil Adger","given":"W","non-dropping-particle":"","parse-names":false,"suffix":""},{"dropping-particle":"","family":"Brown","given":"Katrina","non-dropping-particle":"","parse-names":false,"suffix":""},{"dropping-particle":"","family":"Conway","given":"Declan","non-dropping-particle":"","parse-names":false,"suffix":""},{"dropping-particle":"","family":"Halls","given":"Ashley S","non-dropping-particle":"","parse-names":false,"suffix":""},{"dropping-particle":"","family":"Pilling","given":"Graham M","non-dropping-particle":"","parse-names":false,"suffix":""},{"dropping-particle":"","family":"Reynolds","given":"John D","non-dropping-particle":"","parse-names":false,"suffix":""},{"dropping-particle":"","family":"Andrew","given":"Neil L","non-dropping-particle":"","parse-names":false,"suffix":""},{"dropping-particle":"","family":"Dulvy","given":"Nicholas K","non-dropping-particle":"","parse-names":false,"suffix":""}],"container-title":"Fish and Fisheries","id":"ITEM-3","issue":"2","issued":{"date-parts":[["2009","6","1"]]},"note":"doi: 10.1111/j.1467-2979.2008.00310.x","page":"173-196","publisher":"John Wiley &amp; Sons, Ltd (10.1111)","title":"Vulnerability of national economies to the impacts of climate change on fisheries","type":"article-journal","volume":"10"},"uris":["http://www.mendeley.com/documents/?uuid=123fa285-824c-46ca-9cd9-6adcdee22d3c"]}],"mendeley":{"formattedCitation":"[9], [14], [44]","plainTextFormattedCitation":"[9], [14], [44]","previouslyFormattedCitation":"[9], [14], [43]"},"properties":{"noteIndex":0},"schema":"https://github.com/citation-style-language/schema/raw/master/csl-citation.json"}</w:instrText>
      </w:r>
      <w:r w:rsidR="00A75E97">
        <w:rPr>
          <w:sz w:val="24"/>
        </w:rPr>
        <w:fldChar w:fldCharType="separate"/>
      </w:r>
      <w:r w:rsidR="00FC52F5" w:rsidRPr="00FC52F5">
        <w:rPr>
          <w:noProof/>
          <w:sz w:val="24"/>
        </w:rPr>
        <w:t>[9], [14], [44]</w:t>
      </w:r>
      <w:r w:rsidR="00A75E97">
        <w:rPr>
          <w:sz w:val="24"/>
        </w:rPr>
        <w:fldChar w:fldCharType="end"/>
      </w:r>
      <w:r w:rsidR="00A61DA1" w:rsidRPr="00A61DA1">
        <w:rPr>
          <w:sz w:val="24"/>
        </w:rPr>
        <w:t xml:space="preserve"> </w:t>
      </w:r>
      <w:r w:rsidR="001E3EC5">
        <w:rPr>
          <w:sz w:val="24"/>
        </w:rPr>
        <w:t>that</w:t>
      </w:r>
      <w:r w:rsidR="00A61DA1" w:rsidRPr="00A61DA1">
        <w:rPr>
          <w:sz w:val="24"/>
        </w:rPr>
        <w:t xml:space="preserve"> group</w:t>
      </w:r>
      <w:r w:rsidR="001E3EC5">
        <w:rPr>
          <w:sz w:val="24"/>
        </w:rPr>
        <w:t>ed</w:t>
      </w:r>
      <w:r w:rsidR="00A61DA1" w:rsidRPr="00A61DA1">
        <w:rPr>
          <w:sz w:val="24"/>
        </w:rPr>
        <w:t xml:space="preserve"> the surveyed households into three clusters</w:t>
      </w:r>
      <w:r w:rsidR="001E3EC5">
        <w:rPr>
          <w:sz w:val="24"/>
        </w:rPr>
        <w:t xml:space="preserve"> based on their </w:t>
      </w:r>
      <w:r w:rsidR="00346484">
        <w:rPr>
          <w:sz w:val="24"/>
        </w:rPr>
        <w:t>vulnerability ind</w:t>
      </w:r>
      <w:r w:rsidR="009C7F8F">
        <w:rPr>
          <w:sz w:val="24"/>
        </w:rPr>
        <w:t>ices</w:t>
      </w:r>
      <w:r w:rsidR="00A61DA1" w:rsidRPr="00A61DA1">
        <w:rPr>
          <w:sz w:val="24"/>
        </w:rPr>
        <w:t xml:space="preserve">. </w:t>
      </w:r>
      <w:r w:rsidR="00EC0A96">
        <w:rPr>
          <w:sz w:val="24"/>
        </w:rPr>
        <w:t>Finally, f</w:t>
      </w:r>
      <w:r w:rsidR="00C9397D">
        <w:rPr>
          <w:sz w:val="24"/>
        </w:rPr>
        <w:t>urther ANOVA analys</w:t>
      </w:r>
      <w:r w:rsidR="006C7C4B">
        <w:rPr>
          <w:sz w:val="24"/>
        </w:rPr>
        <w:t>e</w:t>
      </w:r>
      <w:r w:rsidR="00C9397D">
        <w:rPr>
          <w:sz w:val="24"/>
        </w:rPr>
        <w:t>s</w:t>
      </w:r>
      <w:r w:rsidR="000434D2">
        <w:rPr>
          <w:sz w:val="24"/>
        </w:rPr>
        <w:t>,</w:t>
      </w:r>
      <w:r w:rsidR="00C9397D">
        <w:rPr>
          <w:sz w:val="24"/>
        </w:rPr>
        <w:t xml:space="preserve"> and </w:t>
      </w:r>
      <w:r w:rsidR="009A7CB4">
        <w:rPr>
          <w:sz w:val="24"/>
        </w:rPr>
        <w:t>its</w:t>
      </w:r>
      <w:r w:rsidR="002F103B">
        <w:rPr>
          <w:sz w:val="24"/>
        </w:rPr>
        <w:t xml:space="preserve"> non-parametric</w:t>
      </w:r>
      <w:r w:rsidR="00C9397D">
        <w:rPr>
          <w:sz w:val="24"/>
        </w:rPr>
        <w:t xml:space="preserve"> analogues w</w:t>
      </w:r>
      <w:r w:rsidR="000434D2">
        <w:rPr>
          <w:sz w:val="24"/>
        </w:rPr>
        <w:t>h</w:t>
      </w:r>
      <w:r w:rsidR="00C9397D">
        <w:rPr>
          <w:sz w:val="24"/>
        </w:rPr>
        <w:t xml:space="preserve">ere </w:t>
      </w:r>
      <w:r w:rsidR="000434D2">
        <w:rPr>
          <w:sz w:val="24"/>
        </w:rPr>
        <w:t>appropriate, were performed</w:t>
      </w:r>
      <w:r w:rsidR="006B132D">
        <w:rPr>
          <w:sz w:val="24"/>
        </w:rPr>
        <w:t xml:space="preserve"> </w:t>
      </w:r>
      <w:r w:rsidR="004C7BDB">
        <w:rPr>
          <w:sz w:val="24"/>
        </w:rPr>
        <w:t xml:space="preserve">to </w:t>
      </w:r>
      <w:r w:rsidR="00C9397D">
        <w:rPr>
          <w:sz w:val="24"/>
        </w:rPr>
        <w:t xml:space="preserve">investigate </w:t>
      </w:r>
      <w:r w:rsidR="00FE553B">
        <w:rPr>
          <w:sz w:val="24"/>
        </w:rPr>
        <w:t xml:space="preserve">how each of the </w:t>
      </w:r>
      <w:r w:rsidR="006B132D">
        <w:rPr>
          <w:sz w:val="24"/>
        </w:rPr>
        <w:t>indicators</w:t>
      </w:r>
      <w:r w:rsidR="00FE553B">
        <w:rPr>
          <w:sz w:val="24"/>
        </w:rPr>
        <w:t xml:space="preserve"> </w:t>
      </w:r>
      <w:r w:rsidR="00ED0703">
        <w:rPr>
          <w:sz w:val="24"/>
        </w:rPr>
        <w:t xml:space="preserve">of </w:t>
      </w:r>
      <w:r w:rsidR="00D0684D" w:rsidRPr="00ED0703">
        <w:rPr>
          <w:i/>
          <w:sz w:val="24"/>
        </w:rPr>
        <w:t>E, S</w:t>
      </w:r>
      <w:r w:rsidR="00ED0703">
        <w:rPr>
          <w:i/>
          <w:sz w:val="24"/>
        </w:rPr>
        <w:t xml:space="preserve"> and</w:t>
      </w:r>
      <w:r w:rsidR="00D0684D" w:rsidRPr="00ED0703">
        <w:rPr>
          <w:i/>
          <w:sz w:val="24"/>
        </w:rPr>
        <w:t xml:space="preserve"> AC</w:t>
      </w:r>
      <w:r w:rsidR="00D0684D">
        <w:rPr>
          <w:sz w:val="24"/>
        </w:rPr>
        <w:t xml:space="preserve"> </w:t>
      </w:r>
      <w:r w:rsidR="00FE553B">
        <w:rPr>
          <w:sz w:val="24"/>
        </w:rPr>
        <w:t>differed between household</w:t>
      </w:r>
      <w:r w:rsidR="00191608">
        <w:rPr>
          <w:sz w:val="24"/>
        </w:rPr>
        <w:t>s</w:t>
      </w:r>
      <w:r w:rsidR="00F471A5">
        <w:rPr>
          <w:sz w:val="24"/>
        </w:rPr>
        <w:t xml:space="preserve"> (Table 9)</w:t>
      </w:r>
      <w:r w:rsidR="00FE553B">
        <w:rPr>
          <w:sz w:val="24"/>
        </w:rPr>
        <w:t>.</w:t>
      </w:r>
      <w:r w:rsidR="000B7E92">
        <w:rPr>
          <w:sz w:val="24"/>
        </w:rPr>
        <w:t xml:space="preserve"> </w:t>
      </w:r>
    </w:p>
    <w:p w14:paraId="5A3BE164" w14:textId="77777777" w:rsidR="00414235" w:rsidRDefault="00414235" w:rsidP="00C83EED">
      <w:pPr>
        <w:spacing w:after="0"/>
        <w:rPr>
          <w:sz w:val="24"/>
        </w:rPr>
      </w:pPr>
    </w:p>
    <w:p w14:paraId="2CACB0A4" w14:textId="21F54A9B" w:rsidR="006E5FCB" w:rsidRDefault="00C83EED" w:rsidP="00C83EED">
      <w:pPr>
        <w:spacing w:after="0"/>
        <w:rPr>
          <w:b/>
          <w:sz w:val="24"/>
        </w:rPr>
      </w:pPr>
      <w:r>
        <w:rPr>
          <w:b/>
          <w:sz w:val="24"/>
        </w:rPr>
        <w:t>4. RESULTS AND DISCUSSION</w:t>
      </w:r>
    </w:p>
    <w:p w14:paraId="78015AF1" w14:textId="77777777" w:rsidR="00DF09CA" w:rsidRDefault="00B82735" w:rsidP="007908B9">
      <w:pPr>
        <w:rPr>
          <w:b/>
          <w:sz w:val="24"/>
        </w:rPr>
      </w:pPr>
      <w:r>
        <w:rPr>
          <w:b/>
          <w:sz w:val="24"/>
        </w:rPr>
        <w:t>4</w:t>
      </w:r>
      <w:r w:rsidRPr="00B82735">
        <w:rPr>
          <w:b/>
          <w:sz w:val="24"/>
        </w:rPr>
        <w:t>.1 Evidence of</w:t>
      </w:r>
      <w:r w:rsidR="00970E6F">
        <w:rPr>
          <w:b/>
          <w:sz w:val="24"/>
        </w:rPr>
        <w:t xml:space="preserve"> local</w:t>
      </w:r>
      <w:r w:rsidRPr="00B82735">
        <w:rPr>
          <w:b/>
          <w:sz w:val="24"/>
        </w:rPr>
        <w:t xml:space="preserve"> </w:t>
      </w:r>
      <w:r w:rsidR="00970E6F">
        <w:rPr>
          <w:b/>
          <w:sz w:val="24"/>
        </w:rPr>
        <w:t>t</w:t>
      </w:r>
      <w:r w:rsidRPr="00B82735">
        <w:rPr>
          <w:b/>
          <w:sz w:val="24"/>
        </w:rPr>
        <w:t>emperature</w:t>
      </w:r>
      <w:r w:rsidR="0092156F">
        <w:rPr>
          <w:b/>
          <w:sz w:val="24"/>
        </w:rPr>
        <w:t xml:space="preserve"> and </w:t>
      </w:r>
      <w:r w:rsidR="00970E6F">
        <w:rPr>
          <w:b/>
          <w:sz w:val="24"/>
        </w:rPr>
        <w:t>rainfall variability</w:t>
      </w:r>
    </w:p>
    <w:p w14:paraId="23A03E92" w14:textId="6A2C1E9F" w:rsidR="00020345" w:rsidRPr="00714D2F" w:rsidRDefault="007214B2" w:rsidP="00020345">
      <w:pPr>
        <w:spacing w:line="276" w:lineRule="auto"/>
        <w:jc w:val="both"/>
        <w:rPr>
          <w:sz w:val="24"/>
        </w:rPr>
      </w:pPr>
      <w:r w:rsidRPr="007214B2">
        <w:rPr>
          <w:sz w:val="24"/>
        </w:rPr>
        <w:t xml:space="preserve">Figure </w:t>
      </w:r>
      <w:r w:rsidR="00F07A6C">
        <w:rPr>
          <w:sz w:val="24"/>
        </w:rPr>
        <w:t>2</w:t>
      </w:r>
      <w:r w:rsidRPr="007214B2">
        <w:rPr>
          <w:sz w:val="24"/>
        </w:rPr>
        <w:t xml:space="preserve"> shows that average daily maximum temperatures have remained largely stable between 1989 and 2018. </w:t>
      </w:r>
      <w:r w:rsidR="00722A73">
        <w:rPr>
          <w:sz w:val="24"/>
        </w:rPr>
        <w:t xml:space="preserve">However, </w:t>
      </w:r>
      <w:r w:rsidRPr="007214B2">
        <w:rPr>
          <w:sz w:val="24"/>
        </w:rPr>
        <w:t xml:space="preserve">average daily minimum temperatures have increased by 0.65°C during the same period. This local data corroborates the IPCC’s finding that globally, </w:t>
      </w:r>
      <w:proofErr w:type="spellStart"/>
      <w:r w:rsidRPr="007214B2">
        <w:rPr>
          <w:sz w:val="24"/>
        </w:rPr>
        <w:t>nighttime</w:t>
      </w:r>
      <w:proofErr w:type="spellEnd"/>
      <w:r w:rsidRPr="007214B2">
        <w:rPr>
          <w:sz w:val="24"/>
        </w:rPr>
        <w:t xml:space="preserve"> temperatures are increasing faster than day time temperatures with implications for crop and animal production</w:t>
      </w:r>
      <w:r w:rsidR="002C3B80">
        <w:rPr>
          <w:sz w:val="24"/>
        </w:rPr>
        <w:t xml:space="preserve"> </w:t>
      </w:r>
      <w:r w:rsidR="002C3B80">
        <w:rPr>
          <w:sz w:val="24"/>
        </w:rPr>
        <w:fldChar w:fldCharType="begin" w:fldLock="1"/>
      </w:r>
      <w:r w:rsidR="00FC52F5">
        <w:rPr>
          <w:sz w:val="24"/>
        </w:rPr>
        <w:instrText>ADDIN CSL_CITATION {"citationItems":[{"id":"ITEM-1","itemData":{"author":[{"dropping-particle":"","family":"Intergovernmental Panel on Climate Change","given":"","non-dropping-particle":"","parse-names":false,"suffix":""}],"id":"ITEM-1","issued":{"date-parts":[["2014"]]},"page":"1-18","title":"Summary for Policymakers; in Climate Change Impacts, Adaptation and Vulnerability (contribution of working group II to the Fourth Assessment Report of the Intergovernmental Panel on Climate Change),(ed) J.J. McCarthy, O.F. Canziani, N.A. Leary, D.J. Dokke","type":"article-journal"},"uris":["http://www.mendeley.com/documents/?uuid=0e1d3fe2-3c0b-4adc-b381-54c5e9830e1c"]},{"id":"ITEM-2","itemData":{"DOI":"10.1111/nph.14073","ISBN":"0028646X","author":[{"dropping-particle":"","family":"Fu","given":"Yongshuo H","non-dropping-particle":"","parse-names":false,"suffix":""},{"dropping-particle":"","family":"Liu","given":"Yongjie","non-dropping-particle":"","parse-names":false,"suffix":""},{"dropping-particle":"","family":"Boeck","given":"Hans J","non-dropping-particle":"De","parse-names":false,"suffix":""},{"dropping-particle":"","family":"Menzel","given":"Annette","non-dropping-particle":"","parse-names":false,"suffix":""},{"dropping-particle":"","family":"Nijs","given":"Ivan","non-dropping-particle":"","parse-names":false,"suffix":""},{"dropping-particle":"","family":"Peaucelle","given":"Marc","non-dropping-particle":"","parse-names":false,"suffix":""},{"dropping-particle":"","family":"Penuelas","given":"Josep","non-dropping-particle":"","parse-names":false,"suffix":""},{"dropping-particle":"","family":"Piao","given":"Shilong","non-dropping-particle":"","parse-names":false,"suffix":""},{"dropping-particle":"","family":"Janssens","given":"Ivan A","non-dropping-particle":"","parse-names":false,"suffix":""}],"container-title":"NEW PHYTOLOGIST","id":"ITEM-2","issue":"3","issued":{"date-parts":[["0"]]},"page":"590-597","title":"Three times greater weight of daytime than of night-time temperature on leaf unfolding phenology in temperate trees","type":"article","volume":"212"},"uris":["http://www.mendeley.com/documents/?uuid=b5574981-a3f1-48fd-8abc-f52e54085787"]}],"mendeley":{"formattedCitation":"[33], [45]","plainTextFormattedCitation":"[33], [45]","previouslyFormattedCitation":"[33], [44]"},"properties":{"noteIndex":0},"schema":"https://github.com/citation-style-language/schema/raw/master/csl-citation.json"}</w:instrText>
      </w:r>
      <w:r w:rsidR="002C3B80">
        <w:rPr>
          <w:sz w:val="24"/>
        </w:rPr>
        <w:fldChar w:fldCharType="separate"/>
      </w:r>
      <w:r w:rsidR="00FC52F5" w:rsidRPr="00FC52F5">
        <w:rPr>
          <w:noProof/>
          <w:sz w:val="24"/>
        </w:rPr>
        <w:t>[33], [45]</w:t>
      </w:r>
      <w:r w:rsidR="002C3B80">
        <w:rPr>
          <w:sz w:val="24"/>
        </w:rPr>
        <w:fldChar w:fldCharType="end"/>
      </w:r>
      <w:r w:rsidR="002C3B80">
        <w:rPr>
          <w:sz w:val="24"/>
        </w:rPr>
        <w:t>.</w:t>
      </w:r>
      <w:r w:rsidR="0092156F">
        <w:rPr>
          <w:sz w:val="24"/>
        </w:rPr>
        <w:t xml:space="preserve"> </w:t>
      </w:r>
      <w:r w:rsidR="006A778D">
        <w:rPr>
          <w:sz w:val="24"/>
        </w:rPr>
        <w:t>A</w:t>
      </w:r>
      <w:r w:rsidR="00A50FA5" w:rsidRPr="00714D2F">
        <w:rPr>
          <w:sz w:val="24"/>
        </w:rPr>
        <w:t xml:space="preserve">verage annual rainfall from 1989 – 2018 is 834.3 mm. This is lower than the amount recorded </w:t>
      </w:r>
      <w:r w:rsidR="002A14B9">
        <w:rPr>
          <w:sz w:val="24"/>
        </w:rPr>
        <w:t>from</w:t>
      </w:r>
      <w:r w:rsidR="00726043">
        <w:rPr>
          <w:sz w:val="24"/>
        </w:rPr>
        <w:t xml:space="preserve"> 1982 – 2012 </w:t>
      </w:r>
      <w:r w:rsidR="00A50FA5" w:rsidRPr="00895222">
        <w:rPr>
          <w:sz w:val="24"/>
        </w:rPr>
        <w:t>(Table 1)</w:t>
      </w:r>
      <w:r w:rsidR="00A50FA5" w:rsidRPr="00714D2F">
        <w:rPr>
          <w:sz w:val="24"/>
        </w:rPr>
        <w:t xml:space="preserve"> but much higher </w:t>
      </w:r>
      <w:r w:rsidR="00A50FA5" w:rsidRPr="00714D2F">
        <w:rPr>
          <w:sz w:val="24"/>
        </w:rPr>
        <w:lastRenderedPageBreak/>
        <w:t xml:space="preserve">than average annual rainfall for the dry equatorial climatic zone (400 – 500 mm/year) within which the study area lies </w:t>
      </w:r>
      <w:r w:rsidR="00E7540E">
        <w:rPr>
          <w:sz w:val="24"/>
        </w:rPr>
        <w:fldChar w:fldCharType="begin" w:fldLock="1"/>
      </w:r>
      <w:r w:rsidR="00B924BC">
        <w:rPr>
          <w:sz w:val="24"/>
        </w:rPr>
        <w:instrText>ADDIN CSL_CITATION {"citationItems":[{"id":"ITEM-1","itemData":{"abstract":"programmes at all levels. To achieve this objective, GSS has over the years produced statistical data through censuses, sample surveys and administrative sources. The 2010 Population and Housing Census (PHC) is the fifth census to be undertaken in Ghana since independence in 1957. The immediate objective of the 2010 Census was to ensure the availability of demographic, housing and socio-economic bench-mark data at the national, regional, district and locality levels for planning.","author":[{"dropping-particle":"","family":"Ghana Statistical Service","given":"","non-dropping-particle":"","parse-names":false,"suffix":""}],"id":"ITEM-1","issued":{"date-parts":[["2014"]]},"number-of-pages":"409","publisher-place":"Accra, Ghana","title":"2010 POPULATION &amp; HOUSING CENSUS NATIONAL: NATIONAL ANALYTICAL REPORT","type":"report"},"uris":["http://www.mendeley.com/documents/?uuid=c17b3342-93eb-45de-8bab-59700f36a8c3"]},{"id":"ITEM-2","itemData":{"DOI":"10.1016/j.ocecoaman.2018.04.029","ISSN":"09645691","author":[{"dropping-particle":"","family":"Ankrah","given":"Johnson","non-dropping-particle":"","parse-names":false,"suffix":""}],"container-title":"Ocean and Coastal Management","id":"ITEM-2","issue":"May","issued":{"date-parts":[["2018"]]},"page":"141-146","publisher":"Elsevier","title":"Climate change impacts and coastal livelihoods; an analysis of fishers of coastal Winneba, Ghana","type":"article-journal","volume":"161"},"uris":["http://www.mendeley.com/documents/?uuid=c395da84-f133-41fa-9b60-37a72ac4d02a"]}],"mendeley":{"formattedCitation":"[23], [34]","plainTextFormattedCitation":"[23], [34]","previouslyFormattedCitation":"[23], [34]"},"properties":{"noteIndex":0},"schema":"https://github.com/citation-style-language/schema/raw/master/csl-citation.json"}</w:instrText>
      </w:r>
      <w:r w:rsidR="00E7540E">
        <w:rPr>
          <w:sz w:val="24"/>
        </w:rPr>
        <w:fldChar w:fldCharType="separate"/>
      </w:r>
      <w:r w:rsidR="000150EF" w:rsidRPr="000150EF">
        <w:rPr>
          <w:noProof/>
          <w:sz w:val="24"/>
        </w:rPr>
        <w:t>[23], [34]</w:t>
      </w:r>
      <w:r w:rsidR="00E7540E">
        <w:rPr>
          <w:sz w:val="24"/>
        </w:rPr>
        <w:fldChar w:fldCharType="end"/>
      </w:r>
      <w:r w:rsidR="00A50FA5" w:rsidRPr="00A46815">
        <w:rPr>
          <w:sz w:val="24"/>
        </w:rPr>
        <w:t>.</w:t>
      </w:r>
      <w:r w:rsidR="00604B4F">
        <w:rPr>
          <w:sz w:val="24"/>
        </w:rPr>
        <w:t xml:space="preserve"> Contrary to </w:t>
      </w:r>
      <w:r w:rsidR="00255A48">
        <w:rPr>
          <w:sz w:val="24"/>
        </w:rPr>
        <w:t>community</w:t>
      </w:r>
      <w:r w:rsidR="00604B4F">
        <w:rPr>
          <w:sz w:val="24"/>
        </w:rPr>
        <w:t xml:space="preserve"> perceptions</w:t>
      </w:r>
      <w:r w:rsidR="00604B4F" w:rsidRPr="00A46815">
        <w:rPr>
          <w:sz w:val="24"/>
        </w:rPr>
        <w:t xml:space="preserve">, </w:t>
      </w:r>
      <w:r w:rsidR="00604B4F">
        <w:rPr>
          <w:sz w:val="24"/>
        </w:rPr>
        <w:t>annual rainfall</w:t>
      </w:r>
      <w:r w:rsidR="00604B4F" w:rsidRPr="00A46815">
        <w:rPr>
          <w:sz w:val="24"/>
        </w:rPr>
        <w:t xml:space="preserve"> shows an increasing trend</w:t>
      </w:r>
      <w:r w:rsidR="00A50FA5" w:rsidRPr="00A46815">
        <w:rPr>
          <w:sz w:val="24"/>
        </w:rPr>
        <w:t xml:space="preserve"> </w:t>
      </w:r>
      <w:r w:rsidR="00A50FA5" w:rsidRPr="00714D2F">
        <w:rPr>
          <w:sz w:val="24"/>
        </w:rPr>
        <w:t xml:space="preserve">over the </w:t>
      </w:r>
      <w:r w:rsidR="00604B4F">
        <w:rPr>
          <w:sz w:val="24"/>
        </w:rPr>
        <w:t xml:space="preserve">last </w:t>
      </w:r>
      <w:r w:rsidR="00A50FA5" w:rsidRPr="00714D2F">
        <w:rPr>
          <w:sz w:val="24"/>
        </w:rPr>
        <w:t>30</w:t>
      </w:r>
      <w:r w:rsidR="00604B4F">
        <w:rPr>
          <w:sz w:val="24"/>
        </w:rPr>
        <w:t xml:space="preserve"> years,</w:t>
      </w:r>
      <w:r w:rsidR="0031394C">
        <w:rPr>
          <w:sz w:val="24"/>
        </w:rPr>
        <w:t xml:space="preserve"> although it </w:t>
      </w:r>
      <w:r w:rsidR="00A50FA5" w:rsidRPr="00714D2F">
        <w:rPr>
          <w:sz w:val="24"/>
        </w:rPr>
        <w:t>has</w:t>
      </w:r>
      <w:r w:rsidR="00F24E3E">
        <w:rPr>
          <w:sz w:val="24"/>
        </w:rPr>
        <w:t xml:space="preserve"> indeed</w:t>
      </w:r>
      <w:r w:rsidR="00A50FA5" w:rsidRPr="00714D2F">
        <w:rPr>
          <w:sz w:val="24"/>
        </w:rPr>
        <w:t xml:space="preserve"> been very erratic </w:t>
      </w:r>
      <w:r w:rsidR="00A50FA5" w:rsidRPr="00A46815">
        <w:rPr>
          <w:sz w:val="24"/>
        </w:rPr>
        <w:t xml:space="preserve">(Figure </w:t>
      </w:r>
      <w:r w:rsidR="005602B0">
        <w:rPr>
          <w:sz w:val="24"/>
        </w:rPr>
        <w:t>3</w:t>
      </w:r>
      <w:r w:rsidR="00A50FA5" w:rsidRPr="00A46815">
        <w:rPr>
          <w:sz w:val="24"/>
        </w:rPr>
        <w:t xml:space="preserve">). </w:t>
      </w:r>
      <w:bookmarkStart w:id="7" w:name="_Hlk44935163"/>
      <w:r w:rsidR="00020345">
        <w:rPr>
          <w:sz w:val="24"/>
        </w:rPr>
        <w:t xml:space="preserve">Furthermore, </w:t>
      </w:r>
      <w:r w:rsidR="00B85CB0">
        <w:rPr>
          <w:sz w:val="24"/>
        </w:rPr>
        <w:t xml:space="preserve">from </w:t>
      </w:r>
      <w:r w:rsidR="000F2947">
        <w:rPr>
          <w:sz w:val="24"/>
        </w:rPr>
        <w:t>Table 4</w:t>
      </w:r>
      <w:r w:rsidR="00B85CB0">
        <w:rPr>
          <w:sz w:val="24"/>
        </w:rPr>
        <w:t>,</w:t>
      </w:r>
      <w:r w:rsidR="0031394C" w:rsidRPr="00714D2F">
        <w:rPr>
          <w:sz w:val="24"/>
        </w:rPr>
        <w:t xml:space="preserve"> the number of </w:t>
      </w:r>
      <w:r w:rsidR="00FF6947" w:rsidRPr="001B28E5">
        <w:rPr>
          <w:rFonts w:cstheme="minorHAnsi"/>
          <w:bCs/>
          <w:sz w:val="24"/>
          <w:szCs w:val="24"/>
        </w:rPr>
        <w:t xml:space="preserve">≥ 14 mm/24 hrs </w:t>
      </w:r>
      <w:r w:rsidR="00FF6947">
        <w:rPr>
          <w:rFonts w:cstheme="minorHAnsi"/>
          <w:bCs/>
          <w:sz w:val="24"/>
          <w:szCs w:val="24"/>
        </w:rPr>
        <w:t>r</w:t>
      </w:r>
      <w:r w:rsidR="00FF6947" w:rsidRPr="001B28E5">
        <w:rPr>
          <w:rFonts w:cstheme="minorHAnsi"/>
          <w:bCs/>
          <w:sz w:val="24"/>
          <w:szCs w:val="24"/>
        </w:rPr>
        <w:t>ain</w:t>
      </w:r>
      <w:r w:rsidR="00F73C6B">
        <w:rPr>
          <w:rFonts w:cstheme="minorHAnsi"/>
          <w:bCs/>
          <w:sz w:val="24"/>
          <w:szCs w:val="24"/>
        </w:rPr>
        <w:t>fall</w:t>
      </w:r>
      <w:r w:rsidR="00FF6947" w:rsidRPr="001B28E5">
        <w:rPr>
          <w:rFonts w:cstheme="minorHAnsi"/>
          <w:bCs/>
          <w:sz w:val="24"/>
          <w:szCs w:val="24"/>
        </w:rPr>
        <w:t xml:space="preserve"> days</w:t>
      </w:r>
      <w:r w:rsidR="00FF6947" w:rsidRPr="00714D2F">
        <w:rPr>
          <w:sz w:val="24"/>
        </w:rPr>
        <w:t xml:space="preserve"> </w:t>
      </w:r>
      <w:r w:rsidR="00C30685">
        <w:rPr>
          <w:sz w:val="24"/>
        </w:rPr>
        <w:t>outside seasons (</w:t>
      </w:r>
      <w:r w:rsidR="00A55799">
        <w:rPr>
          <w:sz w:val="24"/>
        </w:rPr>
        <w:t xml:space="preserve">i.e. </w:t>
      </w:r>
      <w:r w:rsidR="000F2947">
        <w:rPr>
          <w:sz w:val="24"/>
        </w:rPr>
        <w:t>40</w:t>
      </w:r>
      <w:r w:rsidR="00A55799">
        <w:rPr>
          <w:sz w:val="24"/>
        </w:rPr>
        <w:t xml:space="preserve"> days</w:t>
      </w:r>
      <w:r w:rsidR="00C30685">
        <w:rPr>
          <w:sz w:val="24"/>
        </w:rPr>
        <w:t>)</w:t>
      </w:r>
      <w:r w:rsidR="000F2947">
        <w:rPr>
          <w:sz w:val="24"/>
        </w:rPr>
        <w:t xml:space="preserve"> </w:t>
      </w:r>
      <w:r w:rsidR="00354375">
        <w:rPr>
          <w:sz w:val="24"/>
        </w:rPr>
        <w:t>a</w:t>
      </w:r>
      <w:r w:rsidR="0031394C" w:rsidRPr="00714D2F">
        <w:rPr>
          <w:sz w:val="24"/>
        </w:rPr>
        <w:t>nd</w:t>
      </w:r>
      <w:r w:rsidR="009817C7">
        <w:rPr>
          <w:sz w:val="24"/>
        </w:rPr>
        <w:t xml:space="preserve"> the</w:t>
      </w:r>
      <w:r w:rsidR="0031394C" w:rsidRPr="00714D2F">
        <w:rPr>
          <w:sz w:val="24"/>
        </w:rPr>
        <w:t xml:space="preserve"> total amount of rainfall outside </w:t>
      </w:r>
      <w:r w:rsidR="008D1D54">
        <w:rPr>
          <w:sz w:val="24"/>
        </w:rPr>
        <w:t xml:space="preserve">seasons (1417.1 mm/decade) </w:t>
      </w:r>
      <w:r w:rsidR="003A698F">
        <w:rPr>
          <w:sz w:val="24"/>
        </w:rPr>
        <w:t xml:space="preserve">recorded in the last decade (D3) represent </w:t>
      </w:r>
      <w:r w:rsidR="00812F75">
        <w:rPr>
          <w:sz w:val="24"/>
        </w:rPr>
        <w:t>an average increase of 45.5% and 88.6% respectively</w:t>
      </w:r>
      <w:r w:rsidR="002F6449">
        <w:rPr>
          <w:sz w:val="24"/>
        </w:rPr>
        <w:t>, compared to the two previous decades</w:t>
      </w:r>
      <w:r w:rsidR="00B914B7">
        <w:rPr>
          <w:sz w:val="24"/>
        </w:rPr>
        <w:t xml:space="preserve"> (D1 and D2)</w:t>
      </w:r>
      <w:r w:rsidR="00E62CAC">
        <w:rPr>
          <w:sz w:val="24"/>
        </w:rPr>
        <w:t xml:space="preserve">. </w:t>
      </w:r>
      <w:r w:rsidR="00323D83">
        <w:rPr>
          <w:sz w:val="24"/>
        </w:rPr>
        <w:t>Thus</w:t>
      </w:r>
      <w:r w:rsidR="00A950DA">
        <w:rPr>
          <w:sz w:val="24"/>
        </w:rPr>
        <w:t>,</w:t>
      </w:r>
      <w:r w:rsidR="00323D83">
        <w:rPr>
          <w:sz w:val="24"/>
        </w:rPr>
        <w:t xml:space="preserve"> </w:t>
      </w:r>
      <w:r w:rsidR="00442744">
        <w:rPr>
          <w:sz w:val="24"/>
        </w:rPr>
        <w:t xml:space="preserve">the distinctiveness of the major and minor rainy seasons is being blurred with </w:t>
      </w:r>
      <w:r w:rsidR="009817C7">
        <w:rPr>
          <w:sz w:val="24"/>
        </w:rPr>
        <w:t xml:space="preserve">an </w:t>
      </w:r>
      <w:r w:rsidR="00442744">
        <w:rPr>
          <w:sz w:val="24"/>
        </w:rPr>
        <w:t xml:space="preserve">increasing </w:t>
      </w:r>
      <w:r w:rsidR="00FC7C96">
        <w:rPr>
          <w:sz w:val="24"/>
        </w:rPr>
        <w:t>number of rainfall</w:t>
      </w:r>
      <w:r w:rsidR="00F73C6B">
        <w:rPr>
          <w:sz w:val="24"/>
        </w:rPr>
        <w:t xml:space="preserve"> </w:t>
      </w:r>
      <w:r w:rsidR="00FC7C96">
        <w:rPr>
          <w:sz w:val="24"/>
        </w:rPr>
        <w:t>days and total rainfall outside them.</w:t>
      </w:r>
      <w:r w:rsidR="00020345">
        <w:rPr>
          <w:sz w:val="24"/>
        </w:rPr>
        <w:t xml:space="preserve"> </w:t>
      </w:r>
      <w:r w:rsidR="00FC7C96">
        <w:rPr>
          <w:sz w:val="24"/>
        </w:rPr>
        <w:t xml:space="preserve">Consequently, </w:t>
      </w:r>
      <w:r w:rsidR="00CA56F6">
        <w:rPr>
          <w:sz w:val="24"/>
        </w:rPr>
        <w:t>the results do no corroborate local perceptions of reducing rainfall</w:t>
      </w:r>
      <w:r w:rsidR="00020345" w:rsidRPr="00714D2F">
        <w:rPr>
          <w:sz w:val="24"/>
        </w:rPr>
        <w:t xml:space="preserve">. </w:t>
      </w:r>
      <w:bookmarkEnd w:id="7"/>
      <w:r w:rsidR="00020345" w:rsidRPr="00714D2F">
        <w:rPr>
          <w:sz w:val="24"/>
        </w:rPr>
        <w:t>T</w:t>
      </w:r>
      <w:r w:rsidR="00020345">
        <w:rPr>
          <w:sz w:val="24"/>
        </w:rPr>
        <w:t xml:space="preserve">he data </w:t>
      </w:r>
      <w:r w:rsidR="00020345" w:rsidRPr="00714D2F">
        <w:rPr>
          <w:sz w:val="24"/>
        </w:rPr>
        <w:t>also</w:t>
      </w:r>
      <w:r w:rsidR="00020345">
        <w:rPr>
          <w:sz w:val="24"/>
        </w:rPr>
        <w:t xml:space="preserve"> shows some</w:t>
      </w:r>
      <w:r w:rsidR="00020345" w:rsidRPr="00714D2F">
        <w:rPr>
          <w:sz w:val="24"/>
        </w:rPr>
        <w:t xml:space="preserve"> evidence of rainfall intensification</w:t>
      </w:r>
      <w:r w:rsidR="00EB41D4">
        <w:rPr>
          <w:sz w:val="24"/>
        </w:rPr>
        <w:t>. F</w:t>
      </w:r>
      <w:r w:rsidR="00020345" w:rsidRPr="00714D2F">
        <w:rPr>
          <w:sz w:val="24"/>
        </w:rPr>
        <w:t xml:space="preserve">urther analysis </w:t>
      </w:r>
      <w:r w:rsidR="00020345">
        <w:rPr>
          <w:sz w:val="24"/>
        </w:rPr>
        <w:t>revealed</w:t>
      </w:r>
      <w:r w:rsidR="00020345" w:rsidRPr="00714D2F">
        <w:rPr>
          <w:sz w:val="24"/>
        </w:rPr>
        <w:t xml:space="preserve"> that there has been almost a two-fold increase in the number of ≥ 100 mm rainfall days in the last decade compared to the previous two.</w:t>
      </w:r>
    </w:p>
    <w:p w14:paraId="558D2FDE" w14:textId="69C5A42F" w:rsidR="00577EEF" w:rsidRPr="00577EEF" w:rsidRDefault="00577EEF" w:rsidP="00EB41D4">
      <w:pPr>
        <w:pStyle w:val="Caption"/>
        <w:keepNext/>
        <w:spacing w:after="0"/>
        <w:rPr>
          <w:sz w:val="24"/>
        </w:rPr>
      </w:pPr>
      <w:r w:rsidRPr="00577EEF">
        <w:rPr>
          <w:sz w:val="24"/>
        </w:rPr>
        <w:t xml:space="preserve">Table </w:t>
      </w:r>
      <w:r w:rsidRPr="00577EEF">
        <w:rPr>
          <w:sz w:val="24"/>
        </w:rPr>
        <w:fldChar w:fldCharType="begin"/>
      </w:r>
      <w:r w:rsidRPr="00577EEF">
        <w:rPr>
          <w:sz w:val="24"/>
        </w:rPr>
        <w:instrText xml:space="preserve"> SEQ Table \* ARABIC </w:instrText>
      </w:r>
      <w:r w:rsidRPr="00577EEF">
        <w:rPr>
          <w:sz w:val="24"/>
        </w:rPr>
        <w:fldChar w:fldCharType="separate"/>
      </w:r>
      <w:r w:rsidR="001E46DE">
        <w:rPr>
          <w:noProof/>
          <w:sz w:val="24"/>
        </w:rPr>
        <w:t>4</w:t>
      </w:r>
      <w:r w:rsidRPr="00577EEF">
        <w:rPr>
          <w:sz w:val="24"/>
        </w:rPr>
        <w:fldChar w:fldCharType="end"/>
      </w:r>
      <w:r w:rsidRPr="00577EEF">
        <w:rPr>
          <w:sz w:val="24"/>
        </w:rPr>
        <w:t>: Number of days in the major and minor rainy seasons in Winneba from 1989 – 2018 recording rainfall greater or equal to 14 mm, and total rainfall in each decade.</w:t>
      </w:r>
    </w:p>
    <w:tbl>
      <w:tblPr>
        <w:tblStyle w:val="ListTable6Colorful"/>
        <w:tblW w:w="9408" w:type="dxa"/>
        <w:tblLook w:val="04A0" w:firstRow="1" w:lastRow="0" w:firstColumn="1" w:lastColumn="0" w:noHBand="0" w:noVBand="1"/>
      </w:tblPr>
      <w:tblGrid>
        <w:gridCol w:w="1358"/>
        <w:gridCol w:w="1358"/>
        <w:gridCol w:w="1358"/>
        <w:gridCol w:w="1359"/>
        <w:gridCol w:w="236"/>
        <w:gridCol w:w="1272"/>
        <w:gridCol w:w="1358"/>
        <w:gridCol w:w="1096"/>
        <w:gridCol w:w="13"/>
      </w:tblGrid>
      <w:tr w:rsidR="00020345" w:rsidRPr="00AF2669" w14:paraId="5406ED8B" w14:textId="77777777" w:rsidTr="00385B2A">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358" w:type="dxa"/>
            <w:vMerge w:val="restart"/>
            <w:shd w:val="clear" w:color="auto" w:fill="auto"/>
          </w:tcPr>
          <w:p w14:paraId="247246C5" w14:textId="77777777" w:rsidR="00020345" w:rsidRPr="00D50CA0" w:rsidRDefault="00020345" w:rsidP="00721F30">
            <w:pPr>
              <w:autoSpaceDE w:val="0"/>
              <w:autoSpaceDN w:val="0"/>
              <w:adjustRightInd w:val="0"/>
              <w:spacing w:before="240"/>
              <w:jc w:val="center"/>
              <w:rPr>
                <w:rFonts w:cstheme="minorHAnsi"/>
                <w:b w:val="0"/>
                <w:sz w:val="24"/>
                <w:szCs w:val="24"/>
              </w:rPr>
            </w:pPr>
            <w:r w:rsidRPr="00D50CA0">
              <w:rPr>
                <w:rFonts w:cstheme="minorHAnsi"/>
                <w:b w:val="0"/>
                <w:sz w:val="24"/>
                <w:szCs w:val="24"/>
              </w:rPr>
              <w:t>Period</w:t>
            </w:r>
          </w:p>
        </w:tc>
        <w:tc>
          <w:tcPr>
            <w:tcW w:w="4075" w:type="dxa"/>
            <w:gridSpan w:val="3"/>
            <w:shd w:val="clear" w:color="auto" w:fill="auto"/>
          </w:tcPr>
          <w:p w14:paraId="4F11B55A" w14:textId="15F2CD60" w:rsidR="00020345" w:rsidRPr="00D50CA0" w:rsidRDefault="00020345" w:rsidP="00721F3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D50CA0">
              <w:rPr>
                <w:rFonts w:cstheme="minorHAnsi"/>
                <w:b w:val="0"/>
                <w:sz w:val="24"/>
                <w:szCs w:val="24"/>
              </w:rPr>
              <w:t xml:space="preserve"> Number of </w:t>
            </w:r>
            <w:bookmarkStart w:id="8" w:name="_Hlk44934258"/>
            <w:r w:rsidRPr="00D50CA0">
              <w:rPr>
                <w:rFonts w:cstheme="minorHAnsi"/>
                <w:b w:val="0"/>
                <w:sz w:val="24"/>
                <w:szCs w:val="24"/>
              </w:rPr>
              <w:t xml:space="preserve">≥ 14 mm/24 hrs </w:t>
            </w:r>
            <w:r w:rsidR="00523526">
              <w:rPr>
                <w:rFonts w:cstheme="minorHAnsi"/>
                <w:b w:val="0"/>
                <w:sz w:val="24"/>
                <w:szCs w:val="24"/>
              </w:rPr>
              <w:t>r</w:t>
            </w:r>
            <w:r w:rsidRPr="00D50CA0">
              <w:rPr>
                <w:rFonts w:cstheme="minorHAnsi"/>
                <w:b w:val="0"/>
                <w:sz w:val="24"/>
                <w:szCs w:val="24"/>
              </w:rPr>
              <w:t>ain</w:t>
            </w:r>
            <w:r w:rsidR="00F73C6B">
              <w:rPr>
                <w:rFonts w:cstheme="minorHAnsi"/>
                <w:b w:val="0"/>
                <w:sz w:val="24"/>
                <w:szCs w:val="24"/>
              </w:rPr>
              <w:t>fall</w:t>
            </w:r>
            <w:r w:rsidRPr="00D50CA0">
              <w:rPr>
                <w:rFonts w:cstheme="minorHAnsi"/>
                <w:b w:val="0"/>
                <w:sz w:val="24"/>
                <w:szCs w:val="24"/>
              </w:rPr>
              <w:t xml:space="preserve"> days</w:t>
            </w:r>
            <w:bookmarkEnd w:id="8"/>
          </w:p>
        </w:tc>
        <w:tc>
          <w:tcPr>
            <w:tcW w:w="236" w:type="dxa"/>
            <w:tcBorders>
              <w:top w:val="single" w:sz="4" w:space="0" w:color="000000" w:themeColor="text1"/>
              <w:bottom w:val="nil"/>
            </w:tcBorders>
            <w:shd w:val="clear" w:color="auto" w:fill="auto"/>
          </w:tcPr>
          <w:p w14:paraId="756729F7" w14:textId="77777777" w:rsidR="00020345" w:rsidRPr="00D50CA0" w:rsidRDefault="00020345" w:rsidP="00721F3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p>
        </w:tc>
        <w:tc>
          <w:tcPr>
            <w:tcW w:w="3739" w:type="dxa"/>
            <w:gridSpan w:val="4"/>
            <w:shd w:val="clear" w:color="auto" w:fill="auto"/>
          </w:tcPr>
          <w:p w14:paraId="11C1D4A1" w14:textId="77777777" w:rsidR="00020345" w:rsidRPr="00D50CA0" w:rsidRDefault="00020345" w:rsidP="00721F3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D50CA0">
              <w:rPr>
                <w:rFonts w:cstheme="minorHAnsi"/>
                <w:b w:val="0"/>
                <w:sz w:val="24"/>
                <w:szCs w:val="24"/>
              </w:rPr>
              <w:t>Total amount of rainfall (mm/decade)</w:t>
            </w:r>
          </w:p>
        </w:tc>
      </w:tr>
      <w:tr w:rsidR="00020345" w:rsidRPr="00AF2669" w14:paraId="5CD37933" w14:textId="77777777" w:rsidTr="00385B2A">
        <w:trPr>
          <w:gridAfter w:val="1"/>
          <w:cnfStyle w:val="000000100000" w:firstRow="0" w:lastRow="0" w:firstColumn="0" w:lastColumn="0" w:oddVBand="0" w:evenVBand="0" w:oddHBand="1" w:evenHBand="0" w:firstRowFirstColumn="0" w:firstRowLastColumn="0" w:lastRowFirstColumn="0" w:lastRowLastColumn="0"/>
          <w:wAfter w:w="13" w:type="dxa"/>
          <w:trHeight w:val="242"/>
        </w:trPr>
        <w:tc>
          <w:tcPr>
            <w:cnfStyle w:val="001000000000" w:firstRow="0" w:lastRow="0" w:firstColumn="1" w:lastColumn="0" w:oddVBand="0" w:evenVBand="0" w:oddHBand="0" w:evenHBand="0" w:firstRowFirstColumn="0" w:firstRowLastColumn="0" w:lastRowFirstColumn="0" w:lastRowLastColumn="0"/>
            <w:tcW w:w="1358" w:type="dxa"/>
            <w:vMerge/>
            <w:shd w:val="clear" w:color="auto" w:fill="auto"/>
          </w:tcPr>
          <w:p w14:paraId="28D3CB28" w14:textId="77777777" w:rsidR="00020345" w:rsidRPr="00D50CA0" w:rsidRDefault="00020345" w:rsidP="00721F30">
            <w:pPr>
              <w:autoSpaceDE w:val="0"/>
              <w:autoSpaceDN w:val="0"/>
              <w:adjustRightInd w:val="0"/>
              <w:jc w:val="center"/>
              <w:rPr>
                <w:rFonts w:cstheme="minorHAnsi"/>
                <w:b w:val="0"/>
                <w:sz w:val="24"/>
                <w:szCs w:val="24"/>
              </w:rPr>
            </w:pPr>
          </w:p>
        </w:tc>
        <w:tc>
          <w:tcPr>
            <w:tcW w:w="1358" w:type="dxa"/>
            <w:tcBorders>
              <w:top w:val="nil"/>
              <w:bottom w:val="single" w:sz="4" w:space="0" w:color="auto"/>
            </w:tcBorders>
            <w:shd w:val="clear" w:color="auto" w:fill="auto"/>
          </w:tcPr>
          <w:p w14:paraId="60259951" w14:textId="77777777" w:rsidR="00020345" w:rsidRPr="00AF2669" w:rsidRDefault="00020345" w:rsidP="00721F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669">
              <w:rPr>
                <w:rFonts w:cstheme="minorHAnsi"/>
                <w:sz w:val="24"/>
                <w:szCs w:val="24"/>
              </w:rPr>
              <w:t>Major seasons</w:t>
            </w:r>
          </w:p>
        </w:tc>
        <w:tc>
          <w:tcPr>
            <w:tcW w:w="1358" w:type="dxa"/>
            <w:tcBorders>
              <w:top w:val="nil"/>
              <w:bottom w:val="single" w:sz="4" w:space="0" w:color="auto"/>
            </w:tcBorders>
            <w:shd w:val="clear" w:color="auto" w:fill="auto"/>
          </w:tcPr>
          <w:p w14:paraId="1D77A5D3" w14:textId="77777777" w:rsidR="00020345" w:rsidRPr="00AF2669" w:rsidRDefault="00020345" w:rsidP="00721F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669">
              <w:rPr>
                <w:rFonts w:cstheme="minorHAnsi"/>
                <w:sz w:val="24"/>
                <w:szCs w:val="24"/>
              </w:rPr>
              <w:t>Minor seasons</w:t>
            </w:r>
          </w:p>
        </w:tc>
        <w:tc>
          <w:tcPr>
            <w:tcW w:w="1359" w:type="dxa"/>
            <w:tcBorders>
              <w:top w:val="single" w:sz="4" w:space="0" w:color="auto"/>
              <w:bottom w:val="single" w:sz="4" w:space="0" w:color="auto"/>
            </w:tcBorders>
            <w:shd w:val="clear" w:color="auto" w:fill="auto"/>
          </w:tcPr>
          <w:p w14:paraId="12214AA0" w14:textId="77777777" w:rsidR="00020345" w:rsidRPr="00AF2669" w:rsidRDefault="00020345" w:rsidP="00721F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669">
              <w:rPr>
                <w:rFonts w:cstheme="minorHAnsi"/>
                <w:sz w:val="24"/>
                <w:szCs w:val="24"/>
              </w:rPr>
              <w:t>Outside seasons</w:t>
            </w:r>
          </w:p>
        </w:tc>
        <w:tc>
          <w:tcPr>
            <w:tcW w:w="236" w:type="dxa"/>
            <w:tcBorders>
              <w:top w:val="nil"/>
              <w:bottom w:val="nil"/>
            </w:tcBorders>
            <w:shd w:val="clear" w:color="auto" w:fill="auto"/>
          </w:tcPr>
          <w:p w14:paraId="22388DBB" w14:textId="77777777" w:rsidR="00020345" w:rsidRPr="00AF2669" w:rsidRDefault="00020345" w:rsidP="00721F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2" w:type="dxa"/>
            <w:tcBorders>
              <w:top w:val="nil"/>
              <w:bottom w:val="single" w:sz="4" w:space="0" w:color="auto"/>
            </w:tcBorders>
            <w:shd w:val="clear" w:color="auto" w:fill="auto"/>
          </w:tcPr>
          <w:p w14:paraId="6EA1FBD9" w14:textId="77777777" w:rsidR="00020345" w:rsidRPr="00AF2669" w:rsidRDefault="00020345" w:rsidP="00721F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669">
              <w:rPr>
                <w:rFonts w:cstheme="minorHAnsi"/>
                <w:sz w:val="24"/>
                <w:szCs w:val="24"/>
              </w:rPr>
              <w:t>Major seasons</w:t>
            </w:r>
          </w:p>
        </w:tc>
        <w:tc>
          <w:tcPr>
            <w:tcW w:w="1358" w:type="dxa"/>
            <w:shd w:val="clear" w:color="auto" w:fill="auto"/>
          </w:tcPr>
          <w:p w14:paraId="5747A785" w14:textId="77777777" w:rsidR="00020345" w:rsidRPr="00AF2669" w:rsidRDefault="00020345" w:rsidP="00721F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669">
              <w:rPr>
                <w:rFonts w:cstheme="minorHAnsi"/>
                <w:sz w:val="24"/>
                <w:szCs w:val="24"/>
              </w:rPr>
              <w:t>Minor seasons</w:t>
            </w:r>
          </w:p>
        </w:tc>
        <w:tc>
          <w:tcPr>
            <w:tcW w:w="1096" w:type="dxa"/>
            <w:tcBorders>
              <w:top w:val="nil"/>
              <w:bottom w:val="single" w:sz="4" w:space="0" w:color="auto"/>
            </w:tcBorders>
            <w:shd w:val="clear" w:color="auto" w:fill="auto"/>
          </w:tcPr>
          <w:p w14:paraId="72F28489" w14:textId="77777777" w:rsidR="00020345" w:rsidRPr="00AF2669" w:rsidRDefault="00020345" w:rsidP="00721F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669">
              <w:rPr>
                <w:rFonts w:cstheme="minorHAnsi"/>
                <w:sz w:val="24"/>
                <w:szCs w:val="24"/>
              </w:rPr>
              <w:t>Outside seasons</w:t>
            </w:r>
          </w:p>
        </w:tc>
      </w:tr>
      <w:tr w:rsidR="00020345" w:rsidRPr="00AF2669" w14:paraId="5465F343" w14:textId="77777777" w:rsidTr="00385B2A">
        <w:trPr>
          <w:gridAfter w:val="1"/>
          <w:wAfter w:w="13" w:type="dxa"/>
          <w:trHeight w:val="242"/>
        </w:trPr>
        <w:tc>
          <w:tcPr>
            <w:cnfStyle w:val="001000000000" w:firstRow="0" w:lastRow="0" w:firstColumn="1" w:lastColumn="0" w:oddVBand="0" w:evenVBand="0" w:oddHBand="0" w:evenHBand="0" w:firstRowFirstColumn="0" w:firstRowLastColumn="0" w:lastRowFirstColumn="0" w:lastRowLastColumn="0"/>
            <w:tcW w:w="1358" w:type="dxa"/>
            <w:tcBorders>
              <w:top w:val="single" w:sz="4" w:space="0" w:color="auto"/>
            </w:tcBorders>
            <w:shd w:val="clear" w:color="auto" w:fill="auto"/>
          </w:tcPr>
          <w:p w14:paraId="37DD7611" w14:textId="77777777" w:rsidR="00020345" w:rsidRPr="00D50CA0" w:rsidRDefault="00020345" w:rsidP="00721F30">
            <w:pPr>
              <w:autoSpaceDE w:val="0"/>
              <w:autoSpaceDN w:val="0"/>
              <w:adjustRightInd w:val="0"/>
              <w:jc w:val="center"/>
              <w:rPr>
                <w:rFonts w:cstheme="minorHAnsi"/>
                <w:b w:val="0"/>
                <w:sz w:val="24"/>
                <w:szCs w:val="24"/>
              </w:rPr>
            </w:pPr>
            <w:r w:rsidRPr="00D50CA0">
              <w:rPr>
                <w:rFonts w:cstheme="minorHAnsi"/>
                <w:b w:val="0"/>
                <w:sz w:val="24"/>
                <w:szCs w:val="24"/>
              </w:rPr>
              <w:t>D1</w:t>
            </w:r>
          </w:p>
        </w:tc>
        <w:tc>
          <w:tcPr>
            <w:tcW w:w="1358" w:type="dxa"/>
            <w:tcBorders>
              <w:top w:val="single" w:sz="4" w:space="0" w:color="auto"/>
            </w:tcBorders>
            <w:shd w:val="clear" w:color="auto" w:fill="auto"/>
          </w:tcPr>
          <w:p w14:paraId="46072A2A" w14:textId="77777777" w:rsidR="00020345" w:rsidRPr="00AF2669" w:rsidRDefault="00020345" w:rsidP="00721F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669">
              <w:rPr>
                <w:rFonts w:cstheme="minorHAnsi"/>
                <w:sz w:val="24"/>
                <w:szCs w:val="24"/>
              </w:rPr>
              <w:t>107</w:t>
            </w:r>
          </w:p>
        </w:tc>
        <w:tc>
          <w:tcPr>
            <w:tcW w:w="1358" w:type="dxa"/>
            <w:tcBorders>
              <w:top w:val="single" w:sz="4" w:space="0" w:color="auto"/>
            </w:tcBorders>
            <w:shd w:val="clear" w:color="auto" w:fill="auto"/>
          </w:tcPr>
          <w:p w14:paraId="1BE96BBF" w14:textId="77777777" w:rsidR="00020345" w:rsidRPr="00AF2669" w:rsidRDefault="00020345" w:rsidP="00721F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669">
              <w:rPr>
                <w:rFonts w:cstheme="minorHAnsi"/>
                <w:sz w:val="24"/>
                <w:szCs w:val="24"/>
              </w:rPr>
              <w:t>27</w:t>
            </w:r>
          </w:p>
        </w:tc>
        <w:tc>
          <w:tcPr>
            <w:tcW w:w="1359" w:type="dxa"/>
            <w:tcBorders>
              <w:top w:val="single" w:sz="4" w:space="0" w:color="auto"/>
            </w:tcBorders>
            <w:shd w:val="clear" w:color="auto" w:fill="auto"/>
          </w:tcPr>
          <w:p w14:paraId="64D733BC" w14:textId="77777777" w:rsidR="00020345" w:rsidRPr="00AF2669" w:rsidRDefault="00020345" w:rsidP="00721F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669">
              <w:rPr>
                <w:rFonts w:cstheme="minorHAnsi"/>
                <w:sz w:val="24"/>
                <w:szCs w:val="24"/>
              </w:rPr>
              <w:t>28</w:t>
            </w:r>
          </w:p>
        </w:tc>
        <w:tc>
          <w:tcPr>
            <w:tcW w:w="236" w:type="dxa"/>
            <w:tcBorders>
              <w:top w:val="nil"/>
            </w:tcBorders>
            <w:shd w:val="clear" w:color="auto" w:fill="auto"/>
          </w:tcPr>
          <w:p w14:paraId="2EE899BA" w14:textId="77777777" w:rsidR="00020345" w:rsidRPr="00AF2669" w:rsidRDefault="00020345" w:rsidP="00721F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72" w:type="dxa"/>
            <w:tcBorders>
              <w:top w:val="single" w:sz="4" w:space="0" w:color="auto"/>
            </w:tcBorders>
            <w:shd w:val="clear" w:color="auto" w:fill="auto"/>
          </w:tcPr>
          <w:p w14:paraId="2C5E33A9" w14:textId="77777777" w:rsidR="00020345" w:rsidRPr="00AF2669" w:rsidRDefault="00020345" w:rsidP="00721F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669">
              <w:rPr>
                <w:rFonts w:cstheme="minorHAnsi"/>
                <w:sz w:val="24"/>
                <w:szCs w:val="24"/>
              </w:rPr>
              <w:t>2535.5</w:t>
            </w:r>
          </w:p>
        </w:tc>
        <w:tc>
          <w:tcPr>
            <w:tcW w:w="1358" w:type="dxa"/>
            <w:tcBorders>
              <w:top w:val="single" w:sz="4" w:space="0" w:color="auto"/>
            </w:tcBorders>
            <w:shd w:val="clear" w:color="auto" w:fill="auto"/>
          </w:tcPr>
          <w:p w14:paraId="34F0B1FD" w14:textId="77777777" w:rsidR="00020345" w:rsidRPr="00AF2669" w:rsidRDefault="00020345" w:rsidP="00721F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669">
              <w:rPr>
                <w:rFonts w:cstheme="minorHAnsi"/>
                <w:sz w:val="24"/>
                <w:szCs w:val="24"/>
              </w:rPr>
              <w:t>520.7</w:t>
            </w:r>
          </w:p>
        </w:tc>
        <w:tc>
          <w:tcPr>
            <w:tcW w:w="1096" w:type="dxa"/>
            <w:tcBorders>
              <w:top w:val="single" w:sz="4" w:space="0" w:color="auto"/>
            </w:tcBorders>
            <w:shd w:val="clear" w:color="auto" w:fill="auto"/>
          </w:tcPr>
          <w:p w14:paraId="10E8F75A" w14:textId="77777777" w:rsidR="00020345" w:rsidRPr="00AF2669" w:rsidRDefault="00020345" w:rsidP="00721F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669">
              <w:rPr>
                <w:rFonts w:cstheme="minorHAnsi"/>
                <w:sz w:val="24"/>
                <w:szCs w:val="24"/>
              </w:rPr>
              <w:t>646.1</w:t>
            </w:r>
          </w:p>
        </w:tc>
      </w:tr>
      <w:tr w:rsidR="00020345" w:rsidRPr="00AF2669" w14:paraId="56BB2CE9" w14:textId="77777777" w:rsidTr="00385B2A">
        <w:trPr>
          <w:gridAfter w:val="1"/>
          <w:cnfStyle w:val="000000100000" w:firstRow="0" w:lastRow="0" w:firstColumn="0" w:lastColumn="0" w:oddVBand="0" w:evenVBand="0" w:oddHBand="1" w:evenHBand="0" w:firstRowFirstColumn="0" w:firstRowLastColumn="0" w:lastRowFirstColumn="0" w:lastRowLastColumn="0"/>
          <w:wAfter w:w="13" w:type="dxa"/>
          <w:trHeight w:val="232"/>
        </w:trPr>
        <w:tc>
          <w:tcPr>
            <w:cnfStyle w:val="001000000000" w:firstRow="0" w:lastRow="0" w:firstColumn="1" w:lastColumn="0" w:oddVBand="0" w:evenVBand="0" w:oddHBand="0" w:evenHBand="0" w:firstRowFirstColumn="0" w:firstRowLastColumn="0" w:lastRowFirstColumn="0" w:lastRowLastColumn="0"/>
            <w:tcW w:w="1358" w:type="dxa"/>
            <w:shd w:val="clear" w:color="auto" w:fill="auto"/>
          </w:tcPr>
          <w:p w14:paraId="66323AB0" w14:textId="77777777" w:rsidR="00020345" w:rsidRPr="00D50CA0" w:rsidRDefault="00020345" w:rsidP="00721F30">
            <w:pPr>
              <w:autoSpaceDE w:val="0"/>
              <w:autoSpaceDN w:val="0"/>
              <w:adjustRightInd w:val="0"/>
              <w:jc w:val="center"/>
              <w:rPr>
                <w:rFonts w:cstheme="minorHAnsi"/>
                <w:b w:val="0"/>
                <w:sz w:val="24"/>
                <w:szCs w:val="24"/>
              </w:rPr>
            </w:pPr>
            <w:r w:rsidRPr="00D50CA0">
              <w:rPr>
                <w:rFonts w:cstheme="minorHAnsi"/>
                <w:b w:val="0"/>
                <w:sz w:val="24"/>
                <w:szCs w:val="24"/>
              </w:rPr>
              <w:t>D2</w:t>
            </w:r>
          </w:p>
        </w:tc>
        <w:tc>
          <w:tcPr>
            <w:tcW w:w="1358" w:type="dxa"/>
            <w:shd w:val="clear" w:color="auto" w:fill="auto"/>
          </w:tcPr>
          <w:p w14:paraId="30025A9D" w14:textId="77777777" w:rsidR="00020345" w:rsidRPr="00AF2669" w:rsidRDefault="00020345" w:rsidP="00721F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669">
              <w:rPr>
                <w:rFonts w:cstheme="minorHAnsi"/>
                <w:sz w:val="24"/>
                <w:szCs w:val="24"/>
              </w:rPr>
              <w:t>120</w:t>
            </w:r>
          </w:p>
        </w:tc>
        <w:tc>
          <w:tcPr>
            <w:tcW w:w="1358" w:type="dxa"/>
            <w:shd w:val="clear" w:color="auto" w:fill="auto"/>
          </w:tcPr>
          <w:p w14:paraId="655B095B" w14:textId="77777777" w:rsidR="00020345" w:rsidRPr="00AF2669" w:rsidRDefault="00020345" w:rsidP="00721F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669">
              <w:rPr>
                <w:rFonts w:cstheme="minorHAnsi"/>
                <w:sz w:val="24"/>
                <w:szCs w:val="24"/>
              </w:rPr>
              <w:t>34</w:t>
            </w:r>
          </w:p>
        </w:tc>
        <w:tc>
          <w:tcPr>
            <w:tcW w:w="1359" w:type="dxa"/>
            <w:shd w:val="clear" w:color="auto" w:fill="auto"/>
          </w:tcPr>
          <w:p w14:paraId="7082DD78" w14:textId="77777777" w:rsidR="00020345" w:rsidRPr="00AF2669" w:rsidRDefault="00020345" w:rsidP="00721F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669">
              <w:rPr>
                <w:rFonts w:cstheme="minorHAnsi"/>
                <w:sz w:val="24"/>
                <w:szCs w:val="24"/>
              </w:rPr>
              <w:t>27</w:t>
            </w:r>
          </w:p>
        </w:tc>
        <w:tc>
          <w:tcPr>
            <w:tcW w:w="236" w:type="dxa"/>
            <w:shd w:val="clear" w:color="auto" w:fill="auto"/>
          </w:tcPr>
          <w:p w14:paraId="677736A2" w14:textId="77777777" w:rsidR="00020345" w:rsidRPr="00AF2669" w:rsidRDefault="00020345" w:rsidP="00721F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2" w:type="dxa"/>
            <w:shd w:val="clear" w:color="auto" w:fill="auto"/>
          </w:tcPr>
          <w:p w14:paraId="6377D05F" w14:textId="77777777" w:rsidR="00020345" w:rsidRPr="00AF2669" w:rsidRDefault="00020345" w:rsidP="00721F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669">
              <w:rPr>
                <w:rFonts w:cstheme="minorHAnsi"/>
                <w:sz w:val="24"/>
                <w:szCs w:val="24"/>
              </w:rPr>
              <w:t>4265.1</w:t>
            </w:r>
          </w:p>
        </w:tc>
        <w:tc>
          <w:tcPr>
            <w:tcW w:w="1358" w:type="dxa"/>
            <w:shd w:val="clear" w:color="auto" w:fill="auto"/>
          </w:tcPr>
          <w:p w14:paraId="0681BF75" w14:textId="77777777" w:rsidR="00020345" w:rsidRPr="00AF2669" w:rsidRDefault="00020345" w:rsidP="00721F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669">
              <w:rPr>
                <w:rFonts w:cstheme="minorHAnsi"/>
                <w:sz w:val="24"/>
                <w:szCs w:val="24"/>
              </w:rPr>
              <w:t>1044.1</w:t>
            </w:r>
          </w:p>
        </w:tc>
        <w:tc>
          <w:tcPr>
            <w:tcW w:w="1096" w:type="dxa"/>
            <w:shd w:val="clear" w:color="auto" w:fill="auto"/>
          </w:tcPr>
          <w:p w14:paraId="3A9A910B" w14:textId="77777777" w:rsidR="00020345" w:rsidRPr="00AF2669" w:rsidRDefault="00020345" w:rsidP="00721F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669">
              <w:rPr>
                <w:rFonts w:cstheme="minorHAnsi"/>
                <w:sz w:val="24"/>
                <w:szCs w:val="24"/>
              </w:rPr>
              <w:t>897.2</w:t>
            </w:r>
          </w:p>
        </w:tc>
      </w:tr>
      <w:tr w:rsidR="00020345" w:rsidRPr="00AF2669" w14:paraId="01B015A6" w14:textId="77777777" w:rsidTr="00385B2A">
        <w:trPr>
          <w:gridAfter w:val="1"/>
          <w:wAfter w:w="13" w:type="dxa"/>
          <w:trHeight w:val="242"/>
        </w:trPr>
        <w:tc>
          <w:tcPr>
            <w:cnfStyle w:val="001000000000" w:firstRow="0" w:lastRow="0" w:firstColumn="1" w:lastColumn="0" w:oddVBand="0" w:evenVBand="0" w:oddHBand="0" w:evenHBand="0" w:firstRowFirstColumn="0" w:firstRowLastColumn="0" w:lastRowFirstColumn="0" w:lastRowLastColumn="0"/>
            <w:tcW w:w="1358" w:type="dxa"/>
            <w:shd w:val="clear" w:color="auto" w:fill="auto"/>
          </w:tcPr>
          <w:p w14:paraId="65B6BF48" w14:textId="77777777" w:rsidR="00020345" w:rsidRPr="00D50CA0" w:rsidRDefault="00020345" w:rsidP="00721F30">
            <w:pPr>
              <w:autoSpaceDE w:val="0"/>
              <w:autoSpaceDN w:val="0"/>
              <w:adjustRightInd w:val="0"/>
              <w:jc w:val="center"/>
              <w:rPr>
                <w:rFonts w:cstheme="minorHAnsi"/>
                <w:b w:val="0"/>
                <w:sz w:val="24"/>
                <w:szCs w:val="24"/>
              </w:rPr>
            </w:pPr>
            <w:r w:rsidRPr="00D50CA0">
              <w:rPr>
                <w:rFonts w:cstheme="minorHAnsi"/>
                <w:b w:val="0"/>
                <w:sz w:val="24"/>
                <w:szCs w:val="24"/>
              </w:rPr>
              <w:t>D3</w:t>
            </w:r>
          </w:p>
        </w:tc>
        <w:tc>
          <w:tcPr>
            <w:tcW w:w="1358" w:type="dxa"/>
            <w:shd w:val="clear" w:color="auto" w:fill="auto"/>
          </w:tcPr>
          <w:p w14:paraId="2ED528CA" w14:textId="77777777" w:rsidR="00020345" w:rsidRPr="00AF2669" w:rsidRDefault="00020345" w:rsidP="00721F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669">
              <w:rPr>
                <w:rFonts w:cstheme="minorHAnsi"/>
                <w:sz w:val="24"/>
                <w:szCs w:val="24"/>
              </w:rPr>
              <w:t>110</w:t>
            </w:r>
          </w:p>
        </w:tc>
        <w:tc>
          <w:tcPr>
            <w:tcW w:w="1358" w:type="dxa"/>
            <w:shd w:val="clear" w:color="auto" w:fill="auto"/>
          </w:tcPr>
          <w:p w14:paraId="428A9BFC" w14:textId="77777777" w:rsidR="00020345" w:rsidRPr="00AF2669" w:rsidRDefault="00020345" w:rsidP="00721F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669">
              <w:rPr>
                <w:rFonts w:cstheme="minorHAnsi"/>
                <w:sz w:val="24"/>
                <w:szCs w:val="24"/>
              </w:rPr>
              <w:t>39</w:t>
            </w:r>
          </w:p>
        </w:tc>
        <w:tc>
          <w:tcPr>
            <w:tcW w:w="1359" w:type="dxa"/>
            <w:shd w:val="clear" w:color="auto" w:fill="auto"/>
          </w:tcPr>
          <w:p w14:paraId="5A8EDAC7" w14:textId="4AC8C79B" w:rsidR="00020345" w:rsidRPr="00AF2669" w:rsidRDefault="00020345" w:rsidP="00721F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669">
              <w:rPr>
                <w:rFonts w:cstheme="minorHAnsi"/>
                <w:sz w:val="24"/>
                <w:szCs w:val="24"/>
              </w:rPr>
              <w:t>40</w:t>
            </w:r>
          </w:p>
        </w:tc>
        <w:tc>
          <w:tcPr>
            <w:tcW w:w="236" w:type="dxa"/>
            <w:tcBorders>
              <w:bottom w:val="single" w:sz="4" w:space="0" w:color="auto"/>
            </w:tcBorders>
            <w:shd w:val="clear" w:color="auto" w:fill="auto"/>
          </w:tcPr>
          <w:p w14:paraId="356BE207" w14:textId="77777777" w:rsidR="00020345" w:rsidRPr="00AF2669" w:rsidRDefault="00020345" w:rsidP="00721F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72" w:type="dxa"/>
            <w:shd w:val="clear" w:color="auto" w:fill="auto"/>
          </w:tcPr>
          <w:p w14:paraId="06CB094D" w14:textId="77777777" w:rsidR="00020345" w:rsidRPr="00AF2669" w:rsidRDefault="00020345" w:rsidP="00721F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669">
              <w:rPr>
                <w:rFonts w:cstheme="minorHAnsi"/>
                <w:sz w:val="24"/>
                <w:szCs w:val="24"/>
              </w:rPr>
              <w:t>4621.2</w:t>
            </w:r>
          </w:p>
        </w:tc>
        <w:tc>
          <w:tcPr>
            <w:tcW w:w="1358" w:type="dxa"/>
            <w:shd w:val="clear" w:color="auto" w:fill="auto"/>
          </w:tcPr>
          <w:p w14:paraId="363091E2" w14:textId="77777777" w:rsidR="00020345" w:rsidRPr="00AF2669" w:rsidRDefault="00020345" w:rsidP="00721F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669">
              <w:rPr>
                <w:rFonts w:cstheme="minorHAnsi"/>
                <w:sz w:val="24"/>
                <w:szCs w:val="24"/>
              </w:rPr>
              <w:t>1109.0</w:t>
            </w:r>
          </w:p>
        </w:tc>
        <w:tc>
          <w:tcPr>
            <w:tcW w:w="1096" w:type="dxa"/>
            <w:shd w:val="clear" w:color="auto" w:fill="auto"/>
          </w:tcPr>
          <w:p w14:paraId="00596CD0" w14:textId="139E4F7E" w:rsidR="00020345" w:rsidRPr="00AF2669" w:rsidRDefault="00020345" w:rsidP="00721F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669">
              <w:rPr>
                <w:rFonts w:cstheme="minorHAnsi"/>
                <w:sz w:val="24"/>
                <w:szCs w:val="24"/>
              </w:rPr>
              <w:t>1417.1</w:t>
            </w:r>
          </w:p>
        </w:tc>
      </w:tr>
    </w:tbl>
    <w:p w14:paraId="5B3B299E" w14:textId="2F31E6CB" w:rsidR="00020345" w:rsidRPr="00AF2669" w:rsidRDefault="00020345" w:rsidP="00020345">
      <w:pPr>
        <w:autoSpaceDE w:val="0"/>
        <w:autoSpaceDN w:val="0"/>
        <w:adjustRightInd w:val="0"/>
        <w:spacing w:after="0" w:line="240" w:lineRule="auto"/>
        <w:jc w:val="both"/>
        <w:rPr>
          <w:rFonts w:cstheme="minorHAnsi"/>
          <w:sz w:val="18"/>
          <w:szCs w:val="24"/>
        </w:rPr>
      </w:pPr>
      <w:r w:rsidRPr="00AF2669">
        <w:rPr>
          <w:rFonts w:cstheme="minorHAnsi"/>
          <w:sz w:val="18"/>
          <w:szCs w:val="24"/>
        </w:rPr>
        <w:t xml:space="preserve">D1 – (1989 - 1998), D2 – (1999 - 2008), D3 – (2009 – 2018). </w:t>
      </w:r>
      <w:r w:rsidR="00AC158F">
        <w:rPr>
          <w:rFonts w:cstheme="minorHAnsi"/>
          <w:sz w:val="18"/>
          <w:szCs w:val="24"/>
        </w:rPr>
        <w:t>*</w:t>
      </w:r>
      <w:r w:rsidRPr="00AF2669">
        <w:rPr>
          <w:rFonts w:cstheme="minorHAnsi"/>
          <w:sz w:val="18"/>
          <w:szCs w:val="24"/>
        </w:rPr>
        <w:t>Data for 2018 is from January to September. 14 mm is chosen as the lower limit for substantial rain because it is the least average rainfall for 10 major seasons in D1.</w:t>
      </w:r>
      <w:r w:rsidR="00CA10BD">
        <w:rPr>
          <w:rFonts w:cstheme="minorHAnsi"/>
          <w:sz w:val="18"/>
          <w:szCs w:val="24"/>
        </w:rPr>
        <w:t>)</w:t>
      </w:r>
    </w:p>
    <w:p w14:paraId="07B86FFA" w14:textId="77777777" w:rsidR="0043405D" w:rsidRDefault="0043405D" w:rsidP="0092156F">
      <w:pPr>
        <w:spacing w:after="0"/>
        <w:jc w:val="both"/>
        <w:rPr>
          <w:sz w:val="24"/>
        </w:rPr>
      </w:pPr>
    </w:p>
    <w:p w14:paraId="4B296D7C" w14:textId="1BA7953B" w:rsidR="00496113" w:rsidRDefault="00496113" w:rsidP="00305040">
      <w:pPr>
        <w:autoSpaceDE w:val="0"/>
        <w:autoSpaceDN w:val="0"/>
        <w:adjustRightInd w:val="0"/>
        <w:spacing w:after="0" w:line="240" w:lineRule="auto"/>
        <w:rPr>
          <w:rFonts w:ascii="Times New Roman" w:hAnsi="Times New Roman" w:cs="Times New Roman"/>
          <w:sz w:val="24"/>
          <w:szCs w:val="24"/>
        </w:rPr>
      </w:pPr>
      <w:r w:rsidRPr="00496113">
        <w:rPr>
          <w:rFonts w:ascii="Times New Roman" w:hAnsi="Times New Roman" w:cs="Times New Roman"/>
          <w:noProof/>
          <w:sz w:val="24"/>
          <w:szCs w:val="24"/>
        </w:rPr>
        <w:drawing>
          <wp:inline distT="0" distB="0" distL="0" distR="0" wp14:anchorId="59CAA983" wp14:editId="1212E692">
            <wp:extent cx="4007846" cy="29239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507" r="25409" b="8384"/>
                    <a:stretch/>
                  </pic:blipFill>
                  <pic:spPr bwMode="auto">
                    <a:xfrm>
                      <a:off x="0" y="0"/>
                      <a:ext cx="4034691" cy="2943538"/>
                    </a:xfrm>
                    <a:prstGeom prst="rect">
                      <a:avLst/>
                    </a:prstGeom>
                    <a:ln>
                      <a:noFill/>
                    </a:ln>
                    <a:extLst>
                      <a:ext uri="{53640926-AAD7-44D8-BBD7-CCE9431645EC}">
                        <a14:shadowObscured xmlns:a14="http://schemas.microsoft.com/office/drawing/2010/main"/>
                      </a:ext>
                    </a:extLst>
                  </pic:spPr>
                </pic:pic>
              </a:graphicData>
            </a:graphic>
          </wp:inline>
        </w:drawing>
      </w:r>
    </w:p>
    <w:p w14:paraId="0714A6F8" w14:textId="01748E5F" w:rsidR="00AE39FE" w:rsidRDefault="006E75EB" w:rsidP="00305040">
      <w:pPr>
        <w:autoSpaceDE w:val="0"/>
        <w:autoSpaceDN w:val="0"/>
        <w:adjustRightInd w:val="0"/>
        <w:spacing w:after="0" w:line="240" w:lineRule="auto"/>
        <w:rPr>
          <w:rFonts w:ascii="Times New Roman" w:hAnsi="Times New Roman" w:cs="Times New Roman"/>
          <w:sz w:val="24"/>
          <w:szCs w:val="24"/>
        </w:rPr>
      </w:pPr>
      <w:r>
        <w:rPr>
          <w:noProof/>
        </w:rPr>
        <w:lastRenderedPageBreak/>
        <w:drawing>
          <wp:inline distT="0" distB="0" distL="0" distR="0" wp14:anchorId="03654FB7" wp14:editId="40093D6A">
            <wp:extent cx="4051619" cy="256222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7674" cy="2572378"/>
                    </a:xfrm>
                    <a:prstGeom prst="rect">
                      <a:avLst/>
                    </a:prstGeom>
                    <a:noFill/>
                    <a:ln>
                      <a:noFill/>
                    </a:ln>
                  </pic:spPr>
                </pic:pic>
              </a:graphicData>
            </a:graphic>
          </wp:inline>
        </w:drawing>
      </w:r>
    </w:p>
    <w:p w14:paraId="31DC31AD" w14:textId="04CFA035" w:rsidR="004E76F1" w:rsidRDefault="004E76F1" w:rsidP="00305040">
      <w:pPr>
        <w:autoSpaceDE w:val="0"/>
        <w:autoSpaceDN w:val="0"/>
        <w:adjustRightInd w:val="0"/>
        <w:spacing w:after="0" w:line="240" w:lineRule="auto"/>
        <w:rPr>
          <w:rFonts w:ascii="Times New Roman" w:hAnsi="Times New Roman" w:cs="Times New Roman"/>
          <w:sz w:val="24"/>
          <w:szCs w:val="24"/>
        </w:rPr>
      </w:pPr>
    </w:p>
    <w:p w14:paraId="7891E6D0" w14:textId="3A57C37B" w:rsidR="00E77CD3" w:rsidRDefault="00D46007" w:rsidP="000A68EB">
      <w:pPr>
        <w:pStyle w:val="Caption"/>
        <w:jc w:val="both"/>
        <w:rPr>
          <w:sz w:val="24"/>
        </w:rPr>
      </w:pPr>
      <w:r w:rsidRPr="00D46007">
        <w:rPr>
          <w:sz w:val="24"/>
        </w:rPr>
        <w:t xml:space="preserve">Figure </w:t>
      </w:r>
      <w:r w:rsidRPr="00D46007">
        <w:rPr>
          <w:sz w:val="24"/>
        </w:rPr>
        <w:fldChar w:fldCharType="begin"/>
      </w:r>
      <w:r w:rsidRPr="00D46007">
        <w:rPr>
          <w:sz w:val="24"/>
        </w:rPr>
        <w:instrText xml:space="preserve"> SEQ Figure \* ARABIC </w:instrText>
      </w:r>
      <w:r w:rsidRPr="00D46007">
        <w:rPr>
          <w:sz w:val="24"/>
        </w:rPr>
        <w:fldChar w:fldCharType="separate"/>
      </w:r>
      <w:r w:rsidR="001E46DE">
        <w:rPr>
          <w:noProof/>
          <w:sz w:val="24"/>
        </w:rPr>
        <w:t>2</w:t>
      </w:r>
      <w:r w:rsidRPr="00D46007">
        <w:rPr>
          <w:sz w:val="24"/>
        </w:rPr>
        <w:fldChar w:fldCharType="end"/>
      </w:r>
      <w:r w:rsidRPr="00D46007">
        <w:rPr>
          <w:sz w:val="24"/>
        </w:rPr>
        <w:t xml:space="preserve">: Average daily minimum and maximum temperatures for </w:t>
      </w:r>
      <w:r w:rsidR="00723CAC">
        <w:rPr>
          <w:sz w:val="24"/>
        </w:rPr>
        <w:t>Winneba</w:t>
      </w:r>
      <w:r w:rsidRPr="00D46007">
        <w:rPr>
          <w:sz w:val="24"/>
        </w:rPr>
        <w:t xml:space="preserve"> from 1989 – 2018. Maximum temperature from 2009 – 2014 is excluded as it was not available from </w:t>
      </w:r>
      <w:proofErr w:type="spellStart"/>
      <w:r w:rsidRPr="00D46007">
        <w:rPr>
          <w:sz w:val="24"/>
        </w:rPr>
        <w:t>GMet</w:t>
      </w:r>
      <w:proofErr w:type="spellEnd"/>
      <w:r w:rsidRPr="00D46007">
        <w:rPr>
          <w:sz w:val="24"/>
        </w:rPr>
        <w:t>.</w:t>
      </w:r>
    </w:p>
    <w:p w14:paraId="53F31388" w14:textId="77777777" w:rsidR="0027222C" w:rsidRPr="00565EA5" w:rsidRDefault="0027222C" w:rsidP="00565EA5"/>
    <w:p w14:paraId="1050BCC4" w14:textId="77777777" w:rsidR="00397F39" w:rsidRDefault="007C31B6" w:rsidP="002402F9">
      <w:pPr>
        <w:keepNext/>
        <w:spacing w:after="0"/>
      </w:pPr>
      <w:r w:rsidRPr="001957FF">
        <w:rPr>
          <w:rFonts w:cstheme="minorHAnsi"/>
          <w:noProof/>
          <w:sz w:val="24"/>
          <w:szCs w:val="24"/>
          <w:lang w:eastAsia="en-GB"/>
        </w:rPr>
        <w:drawing>
          <wp:inline distT="0" distB="0" distL="0" distR="0" wp14:anchorId="20667CD1" wp14:editId="7983F3E4">
            <wp:extent cx="4840541" cy="279070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5814"/>
                    <a:stretch/>
                  </pic:blipFill>
                  <pic:spPr bwMode="auto">
                    <a:xfrm>
                      <a:off x="0" y="0"/>
                      <a:ext cx="4912074" cy="2831942"/>
                    </a:xfrm>
                    <a:prstGeom prst="rect">
                      <a:avLst/>
                    </a:prstGeom>
                    <a:noFill/>
                    <a:ln>
                      <a:noFill/>
                    </a:ln>
                    <a:extLst>
                      <a:ext uri="{53640926-AAD7-44D8-BBD7-CCE9431645EC}">
                        <a14:shadowObscured xmlns:a14="http://schemas.microsoft.com/office/drawing/2010/main"/>
                      </a:ext>
                    </a:extLst>
                  </pic:spPr>
                </pic:pic>
              </a:graphicData>
            </a:graphic>
          </wp:inline>
        </w:drawing>
      </w:r>
    </w:p>
    <w:p w14:paraId="046660C8" w14:textId="77777777" w:rsidR="00DF09CA" w:rsidRDefault="00397F39" w:rsidP="009845F1">
      <w:pPr>
        <w:pStyle w:val="Caption"/>
        <w:spacing w:after="0"/>
        <w:rPr>
          <w:sz w:val="24"/>
        </w:rPr>
      </w:pPr>
      <w:r w:rsidRPr="00397F39">
        <w:rPr>
          <w:sz w:val="24"/>
        </w:rPr>
        <w:t xml:space="preserve">Figure </w:t>
      </w:r>
      <w:r w:rsidR="006003AD">
        <w:rPr>
          <w:sz w:val="24"/>
        </w:rPr>
        <w:t>3</w:t>
      </w:r>
      <w:r w:rsidRPr="00397F39">
        <w:rPr>
          <w:sz w:val="24"/>
        </w:rPr>
        <w:t>: Total annual rainfall for Effutu Municipality from 1989 – 2018.</w:t>
      </w:r>
    </w:p>
    <w:p w14:paraId="17F8B83F" w14:textId="77777777" w:rsidR="000A1F94" w:rsidRDefault="000A1F94" w:rsidP="004257F3">
      <w:pPr>
        <w:rPr>
          <w:b/>
          <w:sz w:val="24"/>
        </w:rPr>
      </w:pPr>
    </w:p>
    <w:p w14:paraId="669B8742" w14:textId="4024A1E2" w:rsidR="00BE301F" w:rsidRDefault="00BE301F" w:rsidP="004257F3">
      <w:pPr>
        <w:rPr>
          <w:b/>
          <w:sz w:val="24"/>
        </w:rPr>
      </w:pPr>
      <w:r>
        <w:rPr>
          <w:b/>
          <w:sz w:val="24"/>
        </w:rPr>
        <w:t xml:space="preserve">4.2 </w:t>
      </w:r>
      <w:r w:rsidR="00042EBE">
        <w:rPr>
          <w:b/>
          <w:sz w:val="24"/>
        </w:rPr>
        <w:t>Climate change impact on fishing livelihood</w:t>
      </w:r>
    </w:p>
    <w:p w14:paraId="77A0EE6D" w14:textId="03B97BD5" w:rsidR="00BE301F" w:rsidRPr="00025300" w:rsidRDefault="00AC256A" w:rsidP="001F4DFE">
      <w:pPr>
        <w:jc w:val="both"/>
        <w:rPr>
          <w:sz w:val="24"/>
        </w:rPr>
      </w:pPr>
      <w:r>
        <w:rPr>
          <w:sz w:val="24"/>
        </w:rPr>
        <w:t>A comparison of household monthly incomes between 2014 and 2018 showed that</w:t>
      </w:r>
      <w:r w:rsidR="00D5190D">
        <w:rPr>
          <w:sz w:val="24"/>
        </w:rPr>
        <w:t xml:space="preserve"> incomes have reduced by about 90% in the last 4 years. </w:t>
      </w:r>
      <w:bookmarkStart w:id="9" w:name="_Hlk43129970"/>
      <w:r w:rsidR="00ED26AC">
        <w:rPr>
          <w:sz w:val="24"/>
        </w:rPr>
        <w:t>In Ghana, a</w:t>
      </w:r>
      <w:r w:rsidR="00B338E4">
        <w:rPr>
          <w:sz w:val="24"/>
        </w:rPr>
        <w:t>rtisanal fishing</w:t>
      </w:r>
      <w:r w:rsidR="001F018B">
        <w:rPr>
          <w:sz w:val="24"/>
        </w:rPr>
        <w:t xml:space="preserve"> </w:t>
      </w:r>
      <w:r w:rsidR="00D90A99">
        <w:rPr>
          <w:sz w:val="24"/>
        </w:rPr>
        <w:t xml:space="preserve">is a significant </w:t>
      </w:r>
      <w:r w:rsidR="00CB00C5">
        <w:rPr>
          <w:sz w:val="24"/>
        </w:rPr>
        <w:t>contributor</w:t>
      </w:r>
      <w:r w:rsidR="00C55C2E">
        <w:rPr>
          <w:sz w:val="24"/>
        </w:rPr>
        <w:t xml:space="preserve"> to </w:t>
      </w:r>
      <w:r w:rsidR="004F4E64">
        <w:rPr>
          <w:sz w:val="24"/>
        </w:rPr>
        <w:t>food security and poverty alleviation</w:t>
      </w:r>
      <w:r w:rsidR="00BD1077">
        <w:rPr>
          <w:sz w:val="24"/>
        </w:rPr>
        <w:t xml:space="preserve"> in coastal areas</w:t>
      </w:r>
      <w:r w:rsidR="004A7CBF">
        <w:rPr>
          <w:sz w:val="24"/>
        </w:rPr>
        <w:t xml:space="preserve"> </w:t>
      </w:r>
      <w:r w:rsidR="004A7CBF">
        <w:rPr>
          <w:sz w:val="24"/>
        </w:rPr>
        <w:fldChar w:fldCharType="begin" w:fldLock="1"/>
      </w:r>
      <w:r w:rsidR="00FC52F5">
        <w:rPr>
          <w:sz w:val="24"/>
        </w:rPr>
        <w:instrText>ADDIN CSL_CITATION {"citationItems":[{"id":"ITEM-1","itemData":{"DOI":"10.1016/j.ocecoaman.2015.04.010","ISSN":"09645691","abstract":"West African small-scale fisheries are analyzed to determine their contribution to the economy, food security (catches and employment) and poverty alleviation (income and choice of activity). Previous quantitative analysis revealed major discrepancies between official data (which essentially underreports artisanal and ignores subsistence fisheries catches) and re-estimated data obtained from various reports. This resulted in a doubling of the landed value of small-scale fisheries catches to 3.5 billion USD year&lt;sup&gt;-1&lt;/sup&gt; compared to officially reported numbers. Similarly, employment estimated officially at 1 million fishers was found here to be only 70% higher when subsistence fisheries are included. For the 22 West African countries considered in this study, we estimate that 6.7 million people directly depend on fishing activities for their food and/or livelihood. Furthermore, the present study shows an increasing reliance of West Africa's coastal population on fisheries for their food and income despite decreasing total income and increasing fishing costs, which in turn aggravated poverty. The notion that small-scale fisheries could contribute to poverty alleviation despite crises and shocks is thus highly contestable. Indeed, although the number of people depending on fisheries is still increasing, driven by their current (even though decreasing) profitability, the perception of small-scale fishing as an activity of last resort is probably justified, and more appropriate than viewing it as a source of sustainable livelihood.","author":[{"dropping-particle":"","family":"Belhabib","given":"Dyhia","non-dropping-particle":"","parse-names":false,"suffix":""},{"dropping-particle":"","family":"Sumaila","given":"U. Rashid","non-dropping-particle":"","parse-names":false,"suffix":""},{"dropping-particle":"","family":"Pauly","given":"Daniel","non-dropping-particle":"","parse-names":false,"suffix":""}],"container-title":"Ocean and Coastal Management","id":"ITEM-1","issued":{"date-parts":[["2015"]]},"page":"72-81","publisher":"Elsevier Ltd","title":"Feeding the poor: Contribution of West African fisheries toemployment and food security","type":"article-journal","volume":"111"},"uris":["http://www.mendeley.com/documents/?uuid=2e53bd41-13f3-4bee-bc2e-ed1be2d17db6"]},{"id":"ITEM-2","itemData":{"abstract":"Traditionally, the contribution, role and importance of small-scale fisheries have often been described in thematic terms such as economic, social, employment and source of food. However, the contributions of small-scale fisheries are often interlinked and interdependent and some of their major contributions lie at the interface between these themes/sectors rather than within each. Also some of the major contributions to small-scale fisheries result from the synergies between various domains particularly economic and social aspects as conventionally recognized. In keeping with the vision for small-scale fisheries as proposed by the Advisory Committee on Fisheries Research (ACFR) Working Party on Small-scale Fisheries, it would seem appropriate to give in any such analysis due regard to the evolving concepts of food security, poverty alleviation, rural and economic development as well as the environmental and cultural dimensions of small-scale fisheries. The analysis incorporates these various concepts and moves away from the more conventional sector type or thematic approach.","author":[{"dropping-particle":"","family":"Béné","given":"Christophe","non-dropping-particle":"","parse-names":false,"suffix":""}],"container-title":"FAO Fisheries Circular No. 1008 Rome, FAO. 2006. 46p.","id":"ITEM-2","issue":"1008","issued":{"date-parts":[["2006"]]},"title":"SMALL-SCALE FISHERIES_ASSESSING THEIR CONTRIBUTION TO RURAL LIVELIHOODS IN DEVELOPING COUNTRIES","type":"report","volume":"1008"},"uris":["http://www.mendeley.com/documents/?uuid=620a9d0f-cf83-4328-a969-51a9a7b5a5a0"]}],"mendeley":{"formattedCitation":"[46], [47]","plainTextFormattedCitation":"[46], [47]","previouslyFormattedCitation":"[45], [46]"},"properties":{"noteIndex":0},"schema":"https://github.com/citation-style-language/schema/raw/master/csl-citation.json"}</w:instrText>
      </w:r>
      <w:r w:rsidR="004A7CBF">
        <w:rPr>
          <w:sz w:val="24"/>
        </w:rPr>
        <w:fldChar w:fldCharType="separate"/>
      </w:r>
      <w:r w:rsidR="00FC52F5" w:rsidRPr="00FC52F5">
        <w:rPr>
          <w:noProof/>
          <w:sz w:val="24"/>
        </w:rPr>
        <w:t>[46], [47]</w:t>
      </w:r>
      <w:r w:rsidR="004A7CBF">
        <w:rPr>
          <w:sz w:val="24"/>
        </w:rPr>
        <w:fldChar w:fldCharType="end"/>
      </w:r>
      <w:r w:rsidR="00F444F8">
        <w:rPr>
          <w:sz w:val="24"/>
        </w:rPr>
        <w:t xml:space="preserve"> and supports </w:t>
      </w:r>
      <w:r w:rsidR="008856AE">
        <w:rPr>
          <w:sz w:val="24"/>
        </w:rPr>
        <w:t xml:space="preserve">the lives of </w:t>
      </w:r>
      <w:r w:rsidR="00BB38E4">
        <w:rPr>
          <w:sz w:val="24"/>
        </w:rPr>
        <w:t xml:space="preserve">about 20% of the population </w:t>
      </w:r>
      <w:r w:rsidR="00BB38E4">
        <w:rPr>
          <w:sz w:val="24"/>
        </w:rPr>
        <w:fldChar w:fldCharType="begin" w:fldLock="1"/>
      </w:r>
      <w:r w:rsidR="00FC52F5">
        <w:rPr>
          <w:sz w:val="24"/>
        </w:rPr>
        <w:instrText>ADDIN CSL_CITATION {"citationItems":[{"id":"ITEM-1","itemData":{"DOI":"10.1080/23308249.2014.962687","ISSN":"23308257","abstract":"? 2014 Taylor and Francis Group, LLC.Ghana has a long fishing tradition, including industrial fishing. After many of the countries where Ghanaian fleets were actively fishing declared an Exclusive Economic Zone in the 1980s, the distant-water fleet of Ghana returned to its home waters, precipitating a collapse of some local stocks. While official catches reported to the FAO document this decline, the catches of other sectors (artisanal, subsistence, and recreational fishing) were not reported, their contribution to the livelihoods of Ghanaians was simply not documented, and their impact on fish stocks overlooked. Herein, total catches were estimated at 20.8 million tonnes between 1950 and 2010 compared to 11.8 million tonnes reported to the FAO. Subsistence catches, notably from coastal lagoons represented the bulk of unreported catches and seemed to have increased overall during this period, while the artisanal and large-scale sector catches decreased. Furthermore, the economic contribution of artisanal fisheries to Ghana is declining mainly due to use of non-sophisticated technology and activities of industrial fisheries making already poor communities poorer while industrial (particularly tuna) fisheries are increasing their profitability margin due to high technology being adopted and operating in less exploited parts of the continental shelf of Ghana. Accurate catch statistics and a better understanding of the contribution of the marine fisheries sector are needed for sustainable management of the fishing industry in Ghana and its contribution to the Ghanaian economy.","author":[{"dropping-particle":"","family":"Nunoo","given":"F. K.E.","non-dropping-particle":"","parse-names":false,"suffix":""},{"dropping-particle":"","family":"Asiedu","given":"B.","non-dropping-particle":"","parse-names":false,"suffix":""},{"dropping-particle":"","family":"Amador","given":"K.","non-dropping-particle":"","parse-names":false,"suffix":""},{"dropping-particle":"","family":"Belhabib","given":"Dyhia","non-dropping-particle":"","parse-names":false,"suffix":""},{"dropping-particle":"","family":"Lam","given":"Vicky","non-dropping-particle":"","parse-names":false,"suffix":""},{"dropping-particle":"","family":"Sumaila","given":"Rashid","non-dropping-particle":"","parse-names":false,"suffix":""},{"dropping-particle":"","family":"Pauly","given":"Daniel","non-dropping-particle":"","parse-names":false,"suffix":""}],"container-title":"Reviews in Fisheries Science and Aquaculture","id":"ITEM-1","issue":"4","issued":{"date-parts":[["2014"]]},"page":"274-283","title":"Marine fisheries catches in Ghana: Historic reconstruction for 1950 to 2010 and current economic impacts","type":"article-journal","volume":"22"},"uris":["http://www.mendeley.com/documents/?uuid=debb98c6-b5d8-4251-add0-67296dc98698"]}],"mendeley":{"formattedCitation":"[48]","plainTextFormattedCitation":"[48]","previouslyFormattedCitation":"[47]"},"properties":{"noteIndex":0},"schema":"https://github.com/citation-style-language/schema/raw/master/csl-citation.json"}</w:instrText>
      </w:r>
      <w:r w:rsidR="00BB38E4">
        <w:rPr>
          <w:sz w:val="24"/>
        </w:rPr>
        <w:fldChar w:fldCharType="separate"/>
      </w:r>
      <w:r w:rsidR="00FC52F5" w:rsidRPr="00FC52F5">
        <w:rPr>
          <w:noProof/>
          <w:sz w:val="24"/>
        </w:rPr>
        <w:t>[48]</w:t>
      </w:r>
      <w:r w:rsidR="00BB38E4">
        <w:rPr>
          <w:sz w:val="24"/>
        </w:rPr>
        <w:fldChar w:fldCharType="end"/>
      </w:r>
      <w:r w:rsidR="00C55C2E">
        <w:rPr>
          <w:sz w:val="24"/>
        </w:rPr>
        <w:t>.</w:t>
      </w:r>
      <w:r w:rsidR="00CB63B1">
        <w:rPr>
          <w:sz w:val="24"/>
        </w:rPr>
        <w:t xml:space="preserve"> </w:t>
      </w:r>
      <w:r w:rsidR="003A3E76">
        <w:rPr>
          <w:sz w:val="24"/>
        </w:rPr>
        <w:t xml:space="preserve">Several studies have observed that </w:t>
      </w:r>
      <w:r w:rsidR="007F3034">
        <w:rPr>
          <w:sz w:val="24"/>
        </w:rPr>
        <w:t xml:space="preserve">climate change </w:t>
      </w:r>
      <w:r w:rsidR="006F28B3">
        <w:rPr>
          <w:sz w:val="24"/>
        </w:rPr>
        <w:t xml:space="preserve">interacts </w:t>
      </w:r>
      <w:r w:rsidR="007F3034">
        <w:rPr>
          <w:sz w:val="24"/>
        </w:rPr>
        <w:t xml:space="preserve">with other non-climatic stressors </w:t>
      </w:r>
      <w:r w:rsidR="006F28B3">
        <w:rPr>
          <w:sz w:val="24"/>
        </w:rPr>
        <w:t>in complex way</w:t>
      </w:r>
      <w:r w:rsidR="00721F30">
        <w:rPr>
          <w:sz w:val="24"/>
        </w:rPr>
        <w:t>s</w:t>
      </w:r>
      <w:r w:rsidR="006F28B3">
        <w:rPr>
          <w:sz w:val="24"/>
        </w:rPr>
        <w:t xml:space="preserve"> </w:t>
      </w:r>
      <w:r w:rsidR="007F3034">
        <w:rPr>
          <w:sz w:val="24"/>
        </w:rPr>
        <w:t>to impact fi</w:t>
      </w:r>
      <w:r w:rsidR="006F28B3">
        <w:rPr>
          <w:sz w:val="24"/>
        </w:rPr>
        <w:t>s</w:t>
      </w:r>
      <w:r w:rsidR="007F3034">
        <w:rPr>
          <w:sz w:val="24"/>
        </w:rPr>
        <w:t>hing livelihoods</w:t>
      </w:r>
      <w:r w:rsidR="00721F30">
        <w:rPr>
          <w:sz w:val="24"/>
        </w:rPr>
        <w:t xml:space="preserve"> </w:t>
      </w:r>
      <w:r w:rsidR="00721F30">
        <w:rPr>
          <w:sz w:val="24"/>
        </w:rPr>
        <w:fldChar w:fldCharType="begin" w:fldLock="1"/>
      </w:r>
      <w:r w:rsidR="00643F1B">
        <w:rPr>
          <w:sz w:val="24"/>
        </w:rPr>
        <w:instrText>ADDIN CSL_CITATION {"citationItems":[{"id":"ITEM-1","itemData":{"DOI":"10.1016/j.marpol.2013.06.007","ISSN":"0308597X","abstract":"Limits and barriers to adaptation restrict people's ability to address the negative impacts of climate change or manage risks in a way that maximises their wellbeing. There is a lack of evidence of this on small-scale fishing communities in developing countries. This study identifies and characterises limits and barriers to adaptation of fishing activities to cyclones and examines interactions between them in two fishing communities in Bangladesh, using household questionnaires, oral history interviews, vulnerability matrices and focus group discussions. The limits include physical characteristics of climate and sea like higher frequency and duration of cyclones, and hidden sandbars. Barriers include technologically poor boats, inaccurate weather forecast, poor radio signal, lack of access to credit, low incomes, underestimation of cyclone occurrence, coercion of fishermen by the boat owners and captains, lack of education, skills and livelihood alternatives, unfavourable credit schemes, lack of enforcement of fishing regulations and maritime laws, and lack of access to fish markets. These local and wider scale factors interact in complex ways and constrain completion of fishing trips, coping with cyclones at sea, safe return of boats from sea, timely responses to cyclones and livelihood diversification. The findings indicate a need for further detailed research into the determinants and implications of such limits and barriers, in order to move towards an improved characterisation of adaptation and to identify most suitable means to overcome the limits and barriers. © 2013 The Authors.","author":[{"dropping-particle":"","family":"Monirul Islam","given":"Md","non-dropping-particle":"","parse-names":false,"suffix":""},{"dropping-particle":"","family":"Sallu","given":"Susannah","non-dropping-particle":"","parse-names":false,"suffix":""},{"dropping-particle":"","family":"Hubacek","given":"Klaus","non-dropping-particle":"","parse-names":false,"suffix":""},{"dropping-particle":"","family":"Paavola","given":"Jouni","non-dropping-particle":"","parse-names":false,"suffix":""}],"container-title":"Marine Policy","id":"ITEM-1","issued":{"date-parts":[["2014"]]},"page":"208-216","publisher":"Elsevier","title":"Limits and barriers to adaptation to climate variability and change in Bangladeshi coastal fishing communities","type":"article-journal","volume":"43"},"uris":["http://www.mendeley.com/documents/?uuid=de2490d6-0d3b-4069-bc72-e52acefbdcd4"]},{"id":"ITEM-2","itemData":{"DOI":"10.1016/j.gloenvcha.2015.03.003","ISSN":"09593780","abstract":"This paper investigates the relative importance of climate change in the context of multiple stressors in semi-arid Ghana. It draws upon ethnographic research in two agrarian villages, and integrates theories from resilience, vulnerability and feminist political ecology. The findings empirically demonstrate that many farmers do not worry about climate change, even in situations where local perceptions and the climate data show a clear pattern of variability. Additionally, the paper provides evidence of a 'gendered double exposure,' whereby patriarchy and local culture shape how different social groups are impacted by climate change. Overall, the emerging findings suggest that an overemphasis on scenario-based climate change impacts may detract attention from equally important non-climatic factors that loom large in people's lives. The article's central argument is not meant to downplay the ongoing impacts of climate change in Africa. It rather suggests that climate change should be addressed as one problem among many socio-ecological challenges facing smallholder farmers.","author":[{"dropping-particle":"","family":"Nyantakyi-Frimpong","given":"Hanson","non-dropping-particle":"","parse-names":false,"suffix":""},{"dropping-particle":"","family":"Bezner-Kerr","given":"Rachel","non-dropping-particle":"","parse-names":false,"suffix":""}],"container-title":"Global Environmental Change","id":"ITEM-2","issued":{"date-parts":[["2015"]]},"page":"40-56","publisher":"Elsevier Ltd","title":"The relative importance of climate change in the context of multiple stressors in semi-arid Ghana","type":"article-journal","volume":"32"},"uris":["http://www.mendeley.com/documents/?uuid=147f7ec4-5dde-4b63-922d-3e214dca80ee"]},{"id":"ITEM-3","itemData":{"DOI":"10.1016/j.gloenvcha.2014.10.007","ISSN":"09593780","abstract":"This paper examines vulnerability to climate change in the context of multiple stressors through a case study of Funafuti, Tuvalu. Climate change research in Pacific Islands has largely focused on biophysical changes such as sea-level rise. Less is known about how livelihoods are affected and what adaptation options are realistic. The research employs a vulnerability framework to identify where climate fits in the suite of forces (socioeconomic, cultural, environmental) already affecting livelihoods. The participatory approach includes semi-structured interviews with community members, initially without reference to climate. Key areas of concern to people in Funafuti are economic, food, water and overcrowding, rather than climate change. Vulnerability to changing climatic conditions is evident in water, land, and food through the interaction of non-climatic forces (e.g. overcrowding, urbanization, few economic opportunities, changing land use, and shifting cultural norms), and climatic forces (e.g. dry spells, extreme sea-levels, strong winds and changing marine conditions). Adaptations, beyond bearing the effects and sharing the burden, are mainly reactive and short-term. Future changes in climate will be experienced in the context of these multiple, interacting forces, and adaptation initiatives will need to be designed in light of these.","author":[{"dropping-particle":"","family":"McCubbin","given":"Sandra","non-dropping-particle":"","parse-names":false,"suffix":""},{"dropping-particle":"","family":"Smit","given":"Barry","non-dropping-particle":"","parse-names":false,"suffix":""},{"dropping-particle":"","family":"Pearce","given":"Tristan","non-dropping-particle":"","parse-names":false,"suffix":""}],"container-title":"Global Environmental Change","id":"ITEM-3","issued":{"date-parts":[["2015"]]},"page":"43-55","publisher":"Elsevier Ltd","title":"Where does climate fit? Vulnerability to climate change in the context of multiple stressors in Funafuti, Tuvalu","type":"article-journal","volume":"30"},"uris":["http://www.mendeley.com/documents/?uuid=ad805d91-3654-4581-9a93-415b98d22486"]}],"mendeley":{"formattedCitation":"[15], [16], [19]","plainTextFormattedCitation":"[15], [16], [19]","previouslyFormattedCitation":"[15], [16], [19]"},"properties":{"noteIndex":0},"schema":"https://github.com/citation-style-language/schema/raw/master/csl-citation.json"}</w:instrText>
      </w:r>
      <w:r w:rsidR="00721F30">
        <w:rPr>
          <w:sz w:val="24"/>
        </w:rPr>
        <w:fldChar w:fldCharType="separate"/>
      </w:r>
      <w:r w:rsidR="0076085D" w:rsidRPr="0076085D">
        <w:rPr>
          <w:noProof/>
          <w:sz w:val="24"/>
        </w:rPr>
        <w:t>[15], [16], [19]</w:t>
      </w:r>
      <w:r w:rsidR="00721F30">
        <w:rPr>
          <w:sz w:val="24"/>
        </w:rPr>
        <w:fldChar w:fldCharType="end"/>
      </w:r>
      <w:r w:rsidR="007F3034">
        <w:rPr>
          <w:sz w:val="24"/>
        </w:rPr>
        <w:t>.</w:t>
      </w:r>
      <w:r w:rsidR="00755F5D">
        <w:rPr>
          <w:sz w:val="24"/>
        </w:rPr>
        <w:t xml:space="preserve"> </w:t>
      </w:r>
      <w:r w:rsidR="00591980" w:rsidRPr="00591980">
        <w:rPr>
          <w:sz w:val="24"/>
        </w:rPr>
        <w:t>The results demonstrate the magnitude of impact that that interaction has on the economy of coastal fishing communities.</w:t>
      </w:r>
      <w:r w:rsidR="004F102E">
        <w:rPr>
          <w:sz w:val="24"/>
        </w:rPr>
        <w:t xml:space="preserve"> </w:t>
      </w:r>
      <w:r w:rsidR="00E14D73">
        <w:rPr>
          <w:sz w:val="24"/>
        </w:rPr>
        <w:t>W</w:t>
      </w:r>
      <w:r w:rsidR="001B31E4">
        <w:rPr>
          <w:sz w:val="24"/>
        </w:rPr>
        <w:t>ith</w:t>
      </w:r>
      <w:r w:rsidR="00E14D73">
        <w:rPr>
          <w:sz w:val="24"/>
        </w:rPr>
        <w:t xml:space="preserve"> such </w:t>
      </w:r>
      <w:r w:rsidR="005031A2">
        <w:rPr>
          <w:sz w:val="24"/>
        </w:rPr>
        <w:t xml:space="preserve">a </w:t>
      </w:r>
      <w:r w:rsidR="00E14D73">
        <w:rPr>
          <w:sz w:val="24"/>
        </w:rPr>
        <w:t>considerable impact on income</w:t>
      </w:r>
      <w:r w:rsidR="00DA355F">
        <w:rPr>
          <w:sz w:val="24"/>
        </w:rPr>
        <w:t>s</w:t>
      </w:r>
      <w:r w:rsidR="00E14D73">
        <w:rPr>
          <w:sz w:val="24"/>
        </w:rPr>
        <w:t xml:space="preserve">, </w:t>
      </w:r>
      <w:r w:rsidR="00A22D04">
        <w:rPr>
          <w:sz w:val="24"/>
        </w:rPr>
        <w:t>food security is threatened</w:t>
      </w:r>
      <w:r w:rsidR="00034E74">
        <w:rPr>
          <w:sz w:val="24"/>
        </w:rPr>
        <w:t>,</w:t>
      </w:r>
      <w:r w:rsidR="00A22D04">
        <w:rPr>
          <w:sz w:val="24"/>
        </w:rPr>
        <w:t xml:space="preserve"> </w:t>
      </w:r>
      <w:r w:rsidR="001B31E4">
        <w:rPr>
          <w:sz w:val="24"/>
        </w:rPr>
        <w:t xml:space="preserve">and many households </w:t>
      </w:r>
      <w:r w:rsidR="00CC0682">
        <w:rPr>
          <w:sz w:val="24"/>
        </w:rPr>
        <w:t xml:space="preserve">might sink deeper into </w:t>
      </w:r>
      <w:r w:rsidR="00CC0682">
        <w:rPr>
          <w:sz w:val="24"/>
        </w:rPr>
        <w:lastRenderedPageBreak/>
        <w:t>poverty</w:t>
      </w:r>
      <w:r w:rsidR="001B31E4">
        <w:rPr>
          <w:sz w:val="24"/>
        </w:rPr>
        <w:t xml:space="preserve"> in the absence of adaptation interventions.</w:t>
      </w:r>
      <w:bookmarkEnd w:id="9"/>
      <w:r w:rsidR="00AF2038">
        <w:rPr>
          <w:sz w:val="24"/>
        </w:rPr>
        <w:t xml:space="preserve"> </w:t>
      </w:r>
      <w:r w:rsidR="001E4199">
        <w:rPr>
          <w:sz w:val="24"/>
        </w:rPr>
        <w:t>Some</w:t>
      </w:r>
      <w:r w:rsidR="000A43BA">
        <w:rPr>
          <w:sz w:val="24"/>
        </w:rPr>
        <w:t xml:space="preserve"> </w:t>
      </w:r>
      <w:r w:rsidR="00FE7D0D">
        <w:rPr>
          <w:sz w:val="24"/>
        </w:rPr>
        <w:t xml:space="preserve">studies </w:t>
      </w:r>
      <w:r w:rsidR="00222805">
        <w:rPr>
          <w:sz w:val="24"/>
        </w:rPr>
        <w:t xml:space="preserve">have </w:t>
      </w:r>
      <w:r w:rsidR="009421AB">
        <w:rPr>
          <w:sz w:val="24"/>
        </w:rPr>
        <w:t>suggested</w:t>
      </w:r>
      <w:r w:rsidR="00222805">
        <w:rPr>
          <w:sz w:val="24"/>
        </w:rPr>
        <w:t xml:space="preserve"> that climatic stressors are </w:t>
      </w:r>
      <w:r w:rsidR="00103EEC">
        <w:rPr>
          <w:sz w:val="24"/>
        </w:rPr>
        <w:t>of less importance to</w:t>
      </w:r>
      <w:r w:rsidR="00E55022">
        <w:rPr>
          <w:sz w:val="24"/>
        </w:rPr>
        <w:t xml:space="preserve"> natural</w:t>
      </w:r>
      <w:r w:rsidR="00103EEC">
        <w:rPr>
          <w:sz w:val="24"/>
        </w:rPr>
        <w:t xml:space="preserve"> resource-dependent communities tha</w:t>
      </w:r>
      <w:r w:rsidR="005F5B39">
        <w:rPr>
          <w:sz w:val="24"/>
        </w:rPr>
        <w:t xml:space="preserve">n non-climatic stressors </w:t>
      </w:r>
      <w:r w:rsidR="00BA7BB5">
        <w:rPr>
          <w:sz w:val="24"/>
        </w:rPr>
        <w:t>such as</w:t>
      </w:r>
      <w:r w:rsidR="005F5B39">
        <w:rPr>
          <w:sz w:val="24"/>
        </w:rPr>
        <w:t xml:space="preserve"> </w:t>
      </w:r>
      <w:r w:rsidR="005F1613">
        <w:rPr>
          <w:sz w:val="24"/>
        </w:rPr>
        <w:t xml:space="preserve">limited </w:t>
      </w:r>
      <w:r w:rsidR="005F5B39">
        <w:rPr>
          <w:sz w:val="24"/>
        </w:rPr>
        <w:t xml:space="preserve">access to resources and infrastructural deficits </w:t>
      </w:r>
      <w:r w:rsidR="005F5B39">
        <w:rPr>
          <w:sz w:val="24"/>
        </w:rPr>
        <w:fldChar w:fldCharType="begin" w:fldLock="1"/>
      </w:r>
      <w:r w:rsidR="00FC52F5">
        <w:rPr>
          <w:sz w:val="24"/>
        </w:rPr>
        <w:instrText>ADDIN CSL_CITATION {"citationItems":[{"id":"ITEM-1","itemData":{"DOI":"10.1016/j.gloenvcha.2006.11.008","ISSN":"09593780","abstract":"In much of sub-Saharan Africa, considerable research exists on the impacts of climate change on social-ecological systems. Recent adaptation studies emphasize sectoral vulnerability and largely physical adaptation strategies that mirror anti-desertification plans. The adaptive role of subsistence farmers, the vulnerable 'target' population, is largely overlooked. This article aims to fill this gap by putting the views from the vulnerable in the center of the analysis. Drawing from participatory risk ranking and scoring among smallholders in central Senegal, data on multiple hazards indicate that farmers' adaptive capacity to climate change is undermined by poor health, rural unemployment, and inadequate village infrastructure. Results from conceptual mapping reveal incomplete understanding of causes and consequences of climate change. Yet, shared knowledge and lessons learned from previous climatic stresses provide vital entry points for social learning and enhanced adaptive capacity to both wetter and drier periods now and in the future. © 2006 Elsevier Ltd. All rights reserved.","author":[{"dropping-particle":"","family":"Tschakert","given":"Petra","non-dropping-particle":"","parse-names":false,"suffix":""}],"container-title":"Global Environmental Change","id":"ITEM-1","issue":"3-4","issued":{"date-parts":[["2007"]]},"page":"381-396","title":"Views from the vulnerable: Understanding climatic and other stressors in the Sahel","type":"article-journal","volume":"17"},"uris":["http://www.mendeley.com/documents/?uuid=97e53b90-dd3f-4cea-876f-faf616d76c26"]},{"id":"ITEM-2","itemData":{"DOI":"10.1016/j.gloenvcha.2015.03.003","ISSN":"09593780","abstract":"This paper investigates the relative importance of climate change in the context of multiple stressors in semi-arid Ghana. It draws upon ethnographic research in two agrarian villages, and integrates theories from resilience, vulnerability and feminist political ecology. The findings empirically demonstrate that many farmers do not worry about climate change, even in situations where local perceptions and the climate data show a clear pattern of variability. Additionally, the paper provides evidence of a 'gendered double exposure,' whereby patriarchy and local culture shape how different social groups are impacted by climate change. Overall, the emerging findings suggest that an overemphasis on scenario-based climate change impacts may detract attention from equally important non-climatic factors that loom large in people's lives. The article's central argument is not meant to downplay the ongoing impacts of climate change in Africa. It rather suggests that climate change should be addressed as one problem among many socio-ecological challenges facing smallholder farmers.","author":[{"dropping-particle":"","family":"Nyantakyi-Frimpong","given":"Hanson","non-dropping-particle":"","parse-names":false,"suffix":""},{"dropping-particle":"","family":"Bezner-Kerr","given":"Rachel","non-dropping-particle":"","parse-names":false,"suffix":""}],"container-title":"Global Environmental Change","id":"ITEM-2","issued":{"date-parts":[["2015"]]},"page":"40-56","publisher":"Elsevier Ltd","title":"The relative importance of climate change in the context of multiple stressors in semi-arid Ghana","type":"article-journal","volume":"32"},"uris":["http://www.mendeley.com/documents/?uuid=147f7ec4-5dde-4b63-922d-3e214dca80ee"]},{"id":"ITEM-3","itemData":{"DOI":"10.1016/j.gloenvcha.2014.10.007","ISSN":"09593780","abstract":"This paper examines vulnerability to climate change in the context of multiple stressors through a case study of Funafuti, Tuvalu. Climate change research in Pacific Islands has largely focused on biophysical changes such as sea-level rise. Less is known about how livelihoods are affected and what adaptation options are realistic. The research employs a vulnerability framework to identify where climate fits in the suite of forces (socioeconomic, cultural, environmental) already affecting livelihoods. The participatory approach includes semi-structured interviews with community members, initially without reference to climate. Key areas of concern to people in Funafuti are economic, food, water and overcrowding, rather than climate change. Vulnerability to changing climatic conditions is evident in water, land, and food through the interaction of non-climatic forces (e.g. overcrowding, urbanization, few economic opportunities, changing land use, and shifting cultural norms), and climatic forces (e.g. dry spells, extreme sea-levels, strong winds and changing marine conditions). Adaptations, beyond bearing the effects and sharing the burden, are mainly reactive and short-term. Future changes in climate will be experienced in the context of these multiple, interacting forces, and adaptation initiatives will need to be designed in light of these.","author":[{"dropping-particle":"","family":"McCubbin","given":"Sandra","non-dropping-particle":"","parse-names":false,"suffix":""},{"dropping-particle":"","family":"Smit","given":"Barry","non-dropping-particle":"","parse-names":false,"suffix":""},{"dropping-particle":"","family":"Pearce","given":"Tristan","non-dropping-particle":"","parse-names":false,"suffix":""}],"container-title":"Global Environmental Change","id":"ITEM-3","issued":{"date-parts":[["2015"]]},"page":"43-55","publisher":"Elsevier Ltd","title":"Where does climate fit? Vulnerability to climate change in the context of multiple stressors in Funafuti, Tuvalu","type":"article-journal","volume":"30"},"uris":["http://www.mendeley.com/documents/?uuid=ad805d91-3654-4581-9a93-415b98d22486"]}],"mendeley":{"formattedCitation":"[15], [16], [49]","plainTextFormattedCitation":"[15], [16], [49]","previouslyFormattedCitation":"[15], [16], [48]"},"properties":{"noteIndex":0},"schema":"https://github.com/citation-style-language/schema/raw/master/csl-citation.json"}</w:instrText>
      </w:r>
      <w:r w:rsidR="005F5B39">
        <w:rPr>
          <w:sz w:val="24"/>
        </w:rPr>
        <w:fldChar w:fldCharType="separate"/>
      </w:r>
      <w:r w:rsidR="00FC52F5" w:rsidRPr="00FC52F5">
        <w:rPr>
          <w:noProof/>
          <w:sz w:val="24"/>
        </w:rPr>
        <w:t>[15], [16], [49]</w:t>
      </w:r>
      <w:r w:rsidR="005F5B39">
        <w:rPr>
          <w:sz w:val="24"/>
        </w:rPr>
        <w:fldChar w:fldCharType="end"/>
      </w:r>
      <w:r w:rsidR="005F5B39">
        <w:rPr>
          <w:sz w:val="24"/>
        </w:rPr>
        <w:t xml:space="preserve">. </w:t>
      </w:r>
      <w:r w:rsidR="001A25BA">
        <w:rPr>
          <w:sz w:val="24"/>
        </w:rPr>
        <w:t>Indeed</w:t>
      </w:r>
      <w:r w:rsidR="00C5443E">
        <w:rPr>
          <w:sz w:val="24"/>
        </w:rPr>
        <w:t>, v</w:t>
      </w:r>
      <w:r w:rsidR="007A4841">
        <w:rPr>
          <w:sz w:val="24"/>
        </w:rPr>
        <w:t xml:space="preserve">ulnerability </w:t>
      </w:r>
      <w:r w:rsidR="0075612F">
        <w:rPr>
          <w:sz w:val="24"/>
        </w:rPr>
        <w:t>i</w:t>
      </w:r>
      <w:r w:rsidR="00B1654C">
        <w:rPr>
          <w:sz w:val="24"/>
        </w:rPr>
        <w:t xml:space="preserve">s </w:t>
      </w:r>
      <w:r w:rsidR="00F8129F">
        <w:rPr>
          <w:sz w:val="24"/>
        </w:rPr>
        <w:t xml:space="preserve">understood to be embedded in the political economy </w:t>
      </w:r>
      <w:r w:rsidR="007D4808">
        <w:rPr>
          <w:sz w:val="24"/>
        </w:rPr>
        <w:t xml:space="preserve">of a context </w:t>
      </w:r>
      <w:r w:rsidR="007D4808">
        <w:rPr>
          <w:sz w:val="24"/>
        </w:rPr>
        <w:fldChar w:fldCharType="begin" w:fldLock="1"/>
      </w:r>
      <w:r w:rsidR="00FC52F5">
        <w:rPr>
          <w:sz w:val="24"/>
        </w:rPr>
        <w:instrText>ADDIN CSL_CITATION {"citationItems":[{"id":"ITEM-1","itemData":{"DOI":"10.1126/science.1112122","ISSN":"00368075","abstract":"Social and ecological vulnerability to disasters and outcomes of any particular extreme event are influenced by buildup or erosion of resilience both before and after disasters occur. Resilient social-ecological systems incorporate diverse mechanisms for living with, and learning from, change and unexpected shocks. Disaster management requires multilevel governance systems that can enhance the capacity to cope with uncertainty and surprise by mobilizing diverse sources of resilience.","author":[{"dropping-particle":"","family":"Adger","given":"W. Neil","non-dropping-particle":"","parse-names":false,"suffix":""},{"dropping-particle":"","family":"Hughes","given":"Terry P.","non-dropping-particle":"","parse-names":false,"suffix":""},{"dropping-particle":"","family":"Folke","given":"Carl","non-dropping-particle":"","parse-names":false,"suffix":""},{"dropping-particle":"","family":"Carpenter","given":"Stephen R.","non-dropping-particle":"","parse-names":false,"suffix":""},{"dropping-particle":"","family":"Rockström","given":"Johan","non-dropping-particle":"","parse-names":false,"suffix":""}],"container-title":"Science","id":"ITEM-1","issue":"5737","issued":{"date-parts":[["2005"]]},"page":"1036-1039","title":"Social-ecological resilience to coastal disasters","type":"article","volume":"309"},"uris":["http://www.mendeley.com/documents/?uuid=45a91c48-1ed1-4d85-b55b-969262e86028"]},{"id":"ITEM-2","itemData":{"DOI":"10.1016/S0305-750X(98)00136-3","ISSN":"0305750X","abstract":"A framework for analyzing social vulnerability is outlined, an aspect largely underemphasized in assessments of the impacts of climate change and climate extremes. Vulnerability is defined in this paper as the exposure of individuals or collective groups to livelihood stress as a result of the impacts of such environmental change. It is constituted by individual and collective aspects which can be disaggregated, but are linked through the political economy of markets and institutions. Research in coastal northern Vietnam shows that baseline social vulnerability is enhanced by some institutional and economic factors associated with Vietnam's economic transition from central planning, namely the breakdown of collective action on protection from extreme events and an increasingly skewed income. Offsetting these trends are other institutional changes associated with the dynamic nature of the economic restructuring and evolution of the market transition in Vietnam, which decrease vulnerability.","author":[{"dropping-particle":"","family":"Neil Adger","given":"W.","non-dropping-particle":"","parse-names":false,"suffix":""}],"container-title":"World Development","id":"ITEM-2","issue":"2","issued":{"date-parts":[["1999"]]},"page":"249-269","title":"Social vulnerability to climate change and extremes in coastal Vietnam","type":"article-journal","volume":"27"},"uris":["http://www.mendeley.com/documents/?uuid=1d2e39a0-9b6e-4cbb-aa84-519a0ff0bf10"]},{"id":"ITEM-3","itemData":{"DOI":"10.1111/j.2040-0209.2014.00446.x","ISBN":"9781781181850","abstract":"This paper gives insight into the political economy of climate compatible development (CCD) in Ghana’s artisanal fisheries, focusing on two contentious policy areas that both have the potential to offer “triple-win” benefits, but in practice may not: the subsidized premix fuel provided to artisanal fishermen, and mangrove protection. Regarding the premix fuel subsidy, it is highly opposed by artisanal fishermen who argue that it would damage their livelihoods, and it may force fishermen into alternative, potentially unsustainable livelihoods. Regarding mangrove protection, there is insufficient funding and administrative coordination across ministries and agencies, meaning it is neglected. Therefore, a major constraint to CCD is institutional failing, rather than a lack of policies. The paper emphasises that CCD needs to be conceptualised as a process that is dynamic across space and time, and that pressure from a number of actors, including grass-roots actors, may demand short-term improvements to current problems rather than aspiring to triple-win outcomes in the long-term, creating challenges for CCD. There is also an overview of artisanal fishing in Ghana, and the impacts of climate change.","author":[{"dropping-particle":"","family":"Tanner","given":"Thomas","non-dropping-particle":"","parse-names":false,"suffix":""},{"dropping-particle":"","family":"Mensah","given":"Adelina","non-dropping-particle":"","parse-names":false,"suffix":""},{"dropping-particle":"","family":"Lawson","given":"Elaine T.","non-dropping-particle":"","parse-names":false,"suffix":""},{"dropping-particle":"","family":"Gordon","given":"Chris","non-dropping-particle":"","parse-names":false,"suffix":""},{"dropping-particle":"","family":"Godfrey-Wood","given":"Rachel","non-dropping-particle":"","parse-names":false,"suffix":""},{"dropping-particle":"","family":"Cannon","given":"Terry","non-dropping-particle":"","parse-names":false,"suffix":""}],"container-title":"IDS Working Papers","id":"ITEM-3","issue":"446","issued":{"date-parts":[["2014"]]},"page":"1-30","title":"Political Economy of Climate Compatible Development: Artisanal Fisheries and Climate Change in Ghana","type":"article-journal","volume":"2014"},"uris":["http://www.mendeley.com/documents/?uuid=8b6cc563-9076-42bf-a72b-c6c420c056ae"]}],"mendeley":{"formattedCitation":"[18], [22], [50]","plainTextFormattedCitation":"[18], [22], [50]","previouslyFormattedCitation":"[18], [22], [49]"},"properties":{"noteIndex":0},"schema":"https://github.com/citation-style-language/schema/raw/master/csl-citation.json"}</w:instrText>
      </w:r>
      <w:r w:rsidR="007D4808">
        <w:rPr>
          <w:sz w:val="24"/>
        </w:rPr>
        <w:fldChar w:fldCharType="separate"/>
      </w:r>
      <w:r w:rsidR="00FC52F5" w:rsidRPr="00FC52F5">
        <w:rPr>
          <w:noProof/>
          <w:sz w:val="24"/>
        </w:rPr>
        <w:t>[18], [22], [50]</w:t>
      </w:r>
      <w:r w:rsidR="007D4808">
        <w:rPr>
          <w:sz w:val="24"/>
        </w:rPr>
        <w:fldChar w:fldCharType="end"/>
      </w:r>
      <w:r w:rsidR="007D4808">
        <w:rPr>
          <w:sz w:val="24"/>
        </w:rPr>
        <w:t xml:space="preserve"> and the </w:t>
      </w:r>
      <w:r w:rsidR="00C13ECB">
        <w:rPr>
          <w:sz w:val="24"/>
        </w:rPr>
        <w:t xml:space="preserve">resilience of the </w:t>
      </w:r>
      <w:r w:rsidR="003A1EFB">
        <w:rPr>
          <w:sz w:val="24"/>
        </w:rPr>
        <w:t xml:space="preserve">resources upon which peoples’ livelihoods depend </w:t>
      </w:r>
      <w:r w:rsidR="003A1EFB">
        <w:rPr>
          <w:sz w:val="24"/>
        </w:rPr>
        <w:fldChar w:fldCharType="begin" w:fldLock="1"/>
      </w:r>
      <w:r w:rsidR="00FC52F5">
        <w:rPr>
          <w:sz w:val="24"/>
        </w:rPr>
        <w:instrText>ADDIN CSL_CITATION {"citationItems":[{"id":"ITEM-1","itemData":{"DOI":"10.1126/science.1112122","ISSN":"00368075","abstract":"Social and ecological vulnerability to disasters and outcomes of any particular extreme event are influenced by buildup or erosion of resilience both before and after disasters occur. Resilient social-ecological systems incorporate diverse mechanisms for living with, and learning from, change and unexpected shocks. Disaster management requires multilevel governance systems that can enhance the capacity to cope with uncertainty and surprise by mobilizing diverse sources of resilience.","author":[{"dropping-particle":"","family":"Adger","given":"W. Neil","non-dropping-particle":"","parse-names":false,"suffix":""},{"dropping-particle":"","family":"Hughes","given":"Terry P.","non-dropping-particle":"","parse-names":false,"suffix":""},{"dropping-particle":"","family":"Folke","given":"Carl","non-dropping-particle":"","parse-names":false,"suffix":""},{"dropping-particle":"","family":"Carpenter","given":"Stephen R.","non-dropping-particle":"","parse-names":false,"suffix":""},{"dropping-particle":"","family":"Rockström","given":"Johan","non-dropping-particle":"","parse-names":false,"suffix":""}],"container-title":"Science","id":"ITEM-1","issue":"5737","issued":{"date-parts":[["2005"]]},"page":"1036-1039","title":"Social-ecological resilience to coastal disasters","type":"article","volume":"309"},"uris":["http://www.mendeley.com/documents/?uuid=45a91c48-1ed1-4d85-b55b-969262e86028"]},{"id":"ITEM-2","itemData":{"DOI":"10.1191/030913200701540465","ISSN":"03091325","abstract":"This article defines social resilience as the ability of groups or communities to cope with external stresses and disturbances as a result of social, political and environmental change. This definition highlights social resilience in relation to the concept of ecological resilience which is a characteristic of ecosystems to maintain themselves in the face of disturbance. There is a clear link between social and ecological resilience, particularly for social groups or communities that are dependent on ecological and environmental resources for their livelihoods. But it is not clear whether resilient ecosystems enable resilient communities in such situations. This article examines whether resilience is a useful characteristic for describing the social and economic situation of social groups and explores potential links between social resilience and ecological resilience. The origins of this interdisciplinary study in human ecology, ecological economics and rural sociology are reviewed, and a study of the impacts of ecological change on a resource-dependent community in contemporary coastal Vietnam in terms of the resilience of its institutions is outlined.","author":[{"dropping-particle":"","family":"Adger","given":"W. N.","non-dropping-particle":"","parse-names":false,"suffix":""}],"container-title":"Progress in Human Geography","id":"ITEM-2","issue":"3","issued":{"date-parts":[["2000"]]},"page":"347-364","title":"Social and ecological resilience: Are they related?","type":"article-journal","volume":"24"},"uris":["http://www.mendeley.com/documents/?uuid=a1d6bec3-1602-4e7b-86e0-ab856d18b8c3"]},{"id":"ITEM-3","itemData":{"DOI":"10.1016/j.gloenvcha.2006.02.004","ISSN":"09593780","abstract":"This article uses a systemic perspective to identify and analyze the conceptual relations among vulnerability, resilience, and adaptive capacity within socio-ecological systems (SES). Since different intellectual traditions use the terms in different, sometimes incompatible, ways, they emerge as strongly related but unclear in the precise nature of their relationships. A set of diagnostic questions is proposed regarding the specification of the terms to develop a shared conceptual framework for the natural and social dimensions of global change. Also, development of a general theory of change in SESs is suggested as an important agenda item for research on global change. © 2006 Elsevier Ltd. All rights reserved.","author":[{"dropping-particle":"","family":"Gallopín","given":"Gilberto C.","non-dropping-particle":"","parse-names":false,"suffix":""}],"container-title":"Global Environmental Change","id":"ITEM-3","issue":"3","issued":{"date-parts":[["2006"]]},"page":"293-303","title":"Linkages between vulnerability, resilience, and adaptive capacity","type":"article-journal","volume":"16"},"uris":["http://www.mendeley.com/documents/?uuid=1f74fa8a-18db-4265-806c-01e5ea9e4681"]}],"mendeley":{"formattedCitation":"[40], [50], [51]","plainTextFormattedCitation":"[40], [50], [51]","previouslyFormattedCitation":"[39], [49], [50]"},"properties":{"noteIndex":0},"schema":"https://github.com/citation-style-language/schema/raw/master/csl-citation.json"}</w:instrText>
      </w:r>
      <w:r w:rsidR="003A1EFB">
        <w:rPr>
          <w:sz w:val="24"/>
        </w:rPr>
        <w:fldChar w:fldCharType="separate"/>
      </w:r>
      <w:r w:rsidR="00FC52F5" w:rsidRPr="00FC52F5">
        <w:rPr>
          <w:noProof/>
          <w:sz w:val="24"/>
        </w:rPr>
        <w:t>[40], [50], [51]</w:t>
      </w:r>
      <w:r w:rsidR="003A1EFB">
        <w:rPr>
          <w:sz w:val="24"/>
        </w:rPr>
        <w:fldChar w:fldCharType="end"/>
      </w:r>
      <w:r w:rsidR="007005B6">
        <w:rPr>
          <w:sz w:val="24"/>
        </w:rPr>
        <w:t xml:space="preserve">. </w:t>
      </w:r>
      <w:r w:rsidR="00963711">
        <w:rPr>
          <w:sz w:val="24"/>
        </w:rPr>
        <w:t>A limited number of studies</w:t>
      </w:r>
      <w:r w:rsidR="00586E03">
        <w:rPr>
          <w:sz w:val="24"/>
        </w:rPr>
        <w:t xml:space="preserve"> (e.g.</w:t>
      </w:r>
      <w:r w:rsidR="00E85165">
        <w:rPr>
          <w:sz w:val="24"/>
        </w:rPr>
        <w:t xml:space="preserve"> </w:t>
      </w:r>
      <w:r w:rsidR="00E85165">
        <w:rPr>
          <w:sz w:val="24"/>
        </w:rPr>
        <w:fldChar w:fldCharType="begin" w:fldLock="1"/>
      </w:r>
      <w:r w:rsidR="00FC52F5">
        <w:rPr>
          <w:sz w:val="24"/>
        </w:rPr>
        <w:instrText>ADDIN CSL_CITATION {"citationItems":[{"id":"ITEM-1","itemData":{"DOI":"10.1016/j.gloenvcha.2014.10.007","ISSN":"09593780","abstract":"This paper examines vulnerability to climate change in the context of multiple stressors through a case study of Funafuti, Tuvalu. Climate change research in Pacific Islands has largely focused on biophysical changes such as sea-level rise. Less is known about how livelihoods are affected and what adaptation options are realistic. The research employs a vulnerability framework to identify where climate fits in the suite of forces (socioeconomic, cultural, environmental) already affecting livelihoods. The participatory approach includes semi-structured interviews with community members, initially without reference to climate. Key areas of concern to people in Funafuti are economic, food, water and overcrowding, rather than climate change. Vulnerability to changing climatic conditions is evident in water, land, and food through the interaction of non-climatic forces (e.g. overcrowding, urbanization, few economic opportunities, changing land use, and shifting cultural norms), and climatic forces (e.g. dry spells, extreme sea-levels, strong winds and changing marine conditions). Adaptations, beyond bearing the effects and sharing the burden, are mainly reactive and short-term. Future changes in climate will be experienced in the context of these multiple, interacting forces, and adaptation initiatives will need to be designed in light of these.","author":[{"dropping-particle":"","family":"McCubbin","given":"Sandra","non-dropping-particle":"","parse-names":false,"suffix":""},{"dropping-particle":"","family":"Smit","given":"Barry","non-dropping-particle":"","parse-names":false,"suffix":""},{"dropping-particle":"","family":"Pearce","given":"Tristan","non-dropping-particle":"","parse-names":false,"suffix":""}],"container-title":"Global Environmental Change","id":"ITEM-1","issued":{"date-parts":[["2015"]]},"page":"43-55","publisher":"Elsevier Ltd","title":"Where does climate fit? Vulnerability to climate change in the context of multiple stressors in Funafuti, Tuvalu","type":"article-journal","volume":"30"},"uris":["http://www.mendeley.com/documents/?uuid=ad805d91-3654-4581-9a93-415b98d22486"]},{"id":"ITEM-2","itemData":{"DOI":"10.1016/j.marpol.2018.08.029","ISSN":"0308597X","abstract":"Multiple stresses adversely affect fish catch and livelihoods of marine fishermen. Perceptions regarding these stresses in the fishing community can vary, which can consequently determine adaptation responses. However, there are limited attempts to understand these perceptions and the factors which might be influencing them. This study, first, identifies the specific stresses impacting livelihoods of the fishing community in Maharashtra (India) through the literature and Focus Group Discussions. Thereafter, a household survey is used to examine the factors influencing the perceptions of these stresses. Further, a composite stress perception index, comprising of two factors representing climatic and non-climatic or general stresses, is built. The index suggests that a majority of the community perceive greater risks from the non-climatic stresses compared to changes in temperature and rain. It is found that the perception of stresses varies significantly with the regional background. However, the relation of various other socio-economic factors is not uniform with the perceptions of different stresses. This study is one of the first to comparatively analyze climatic and non-climatic stresses in fishing, and suggests the need for effective implementation of current policy measures to reduce the stresses along with awareness generation regarding impact of climate change in the community.","author":[{"dropping-particle":"","family":"Malakar","given":"Krishna","non-dropping-particle":"","parse-names":false,"suffix":""},{"dropping-particle":"","family":"Mishra","given":"Trupti","non-dropping-particle":"","parse-names":false,"suffix":""},{"dropping-particle":"","family":"Patwardhan","given":"Anand","non-dropping-particle":"","parse-names":false,"suffix":""}],"container-title":"Marine Policy","id":"ITEM-2","issue":"105","issued":{"date-parts":[["2018"]]},"page":"18-26","publisher":"Elsevier Ltd","title":"Perceptions of multi-stresses impacting livelihoods of marine fishermen","type":"article-journal","volume":"97"},"uris":["http://www.mendeley.com/documents/?uuid=5d122798-204c-4e03-a45b-0297b73f7ecd"]}],"mendeley":{"formattedCitation":"[16], [52]","plainTextFormattedCitation":"[16], [52]","previouslyFormattedCitation":"[16], [51]"},"properties":{"noteIndex":0},"schema":"https://github.com/citation-style-language/schema/raw/master/csl-citation.json"}</w:instrText>
      </w:r>
      <w:r w:rsidR="00E85165">
        <w:rPr>
          <w:sz w:val="24"/>
        </w:rPr>
        <w:fldChar w:fldCharType="separate"/>
      </w:r>
      <w:r w:rsidR="00FC52F5" w:rsidRPr="00FC52F5">
        <w:rPr>
          <w:noProof/>
          <w:sz w:val="24"/>
        </w:rPr>
        <w:t>[16], [52]</w:t>
      </w:r>
      <w:r w:rsidR="00E85165">
        <w:rPr>
          <w:sz w:val="24"/>
        </w:rPr>
        <w:fldChar w:fldCharType="end"/>
      </w:r>
      <w:r w:rsidR="00586E03">
        <w:rPr>
          <w:sz w:val="24"/>
        </w:rPr>
        <w:t>)</w:t>
      </w:r>
      <w:r w:rsidR="00963711">
        <w:rPr>
          <w:sz w:val="24"/>
        </w:rPr>
        <w:t xml:space="preserve"> have attempted to e</w:t>
      </w:r>
      <w:r w:rsidR="008D77AB">
        <w:rPr>
          <w:sz w:val="24"/>
        </w:rPr>
        <w:t>xplicate</w:t>
      </w:r>
      <w:r w:rsidR="00963711">
        <w:rPr>
          <w:sz w:val="24"/>
        </w:rPr>
        <w:t xml:space="preserve"> the </w:t>
      </w:r>
      <w:r w:rsidR="00F0519D">
        <w:rPr>
          <w:sz w:val="24"/>
        </w:rPr>
        <w:t xml:space="preserve">relative importance of climatic and </w:t>
      </w:r>
      <w:r w:rsidR="00EE3E8F">
        <w:rPr>
          <w:sz w:val="24"/>
        </w:rPr>
        <w:t>non-</w:t>
      </w:r>
      <w:r w:rsidR="00F0519D">
        <w:rPr>
          <w:sz w:val="24"/>
        </w:rPr>
        <w:t xml:space="preserve">climatic stressors to </w:t>
      </w:r>
      <w:r w:rsidR="000F52E8">
        <w:rPr>
          <w:sz w:val="24"/>
        </w:rPr>
        <w:t>coastal fishing co</w:t>
      </w:r>
      <w:r w:rsidR="00F0519D">
        <w:rPr>
          <w:sz w:val="24"/>
        </w:rPr>
        <w:t>mmunit</w:t>
      </w:r>
      <w:r w:rsidR="00991D06">
        <w:rPr>
          <w:sz w:val="24"/>
        </w:rPr>
        <w:t>ies</w:t>
      </w:r>
      <w:r w:rsidR="00B6763C">
        <w:rPr>
          <w:sz w:val="24"/>
        </w:rPr>
        <w:t xml:space="preserve">. </w:t>
      </w:r>
      <w:r w:rsidR="00DE0BA6">
        <w:rPr>
          <w:sz w:val="24"/>
        </w:rPr>
        <w:t xml:space="preserve">McCubbin et al. </w:t>
      </w:r>
      <w:r w:rsidR="00B100F4">
        <w:rPr>
          <w:sz w:val="24"/>
        </w:rPr>
        <w:t xml:space="preserve">[16] show that non-climatic stressors </w:t>
      </w:r>
      <w:r w:rsidR="00864634">
        <w:rPr>
          <w:sz w:val="24"/>
        </w:rPr>
        <w:t xml:space="preserve">are priority problems for fishing communities, while </w:t>
      </w:r>
      <w:proofErr w:type="spellStart"/>
      <w:r w:rsidR="00864634">
        <w:rPr>
          <w:sz w:val="24"/>
        </w:rPr>
        <w:t>Malakar</w:t>
      </w:r>
      <w:proofErr w:type="spellEnd"/>
      <w:r w:rsidR="00864634">
        <w:rPr>
          <w:sz w:val="24"/>
        </w:rPr>
        <w:t xml:space="preserve"> et al. [50] hold that it depends on the </w:t>
      </w:r>
      <w:r w:rsidR="002E0894">
        <w:rPr>
          <w:sz w:val="24"/>
        </w:rPr>
        <w:t>regional</w:t>
      </w:r>
      <w:r w:rsidR="00C52FF4">
        <w:rPr>
          <w:sz w:val="24"/>
        </w:rPr>
        <w:t xml:space="preserve"> scale</w:t>
      </w:r>
      <w:r w:rsidR="002E0894">
        <w:rPr>
          <w:sz w:val="24"/>
        </w:rPr>
        <w:t xml:space="preserve"> (rural to </w:t>
      </w:r>
      <w:r w:rsidR="00C00F78">
        <w:rPr>
          <w:sz w:val="24"/>
        </w:rPr>
        <w:t>urban</w:t>
      </w:r>
      <w:r w:rsidR="002E0894">
        <w:rPr>
          <w:sz w:val="24"/>
        </w:rPr>
        <w:t>)</w:t>
      </w:r>
      <w:r w:rsidR="00C52FF4">
        <w:rPr>
          <w:sz w:val="24"/>
        </w:rPr>
        <w:t xml:space="preserve"> being considered.</w:t>
      </w:r>
      <w:r w:rsidR="00864634">
        <w:rPr>
          <w:sz w:val="24"/>
        </w:rPr>
        <w:t xml:space="preserve"> </w:t>
      </w:r>
      <w:r w:rsidR="00751633">
        <w:rPr>
          <w:sz w:val="24"/>
        </w:rPr>
        <w:t xml:space="preserve">More </w:t>
      </w:r>
      <w:r w:rsidR="008B02F7">
        <w:rPr>
          <w:sz w:val="24"/>
        </w:rPr>
        <w:t>research</w:t>
      </w:r>
      <w:r w:rsidR="00EE3E8F">
        <w:rPr>
          <w:sz w:val="24"/>
        </w:rPr>
        <w:t xml:space="preserve"> from a variety of contexts is needed to fully </w:t>
      </w:r>
      <w:r w:rsidR="00362CDD">
        <w:rPr>
          <w:sz w:val="24"/>
        </w:rPr>
        <w:t xml:space="preserve">elucidate </w:t>
      </w:r>
      <w:r w:rsidR="00137004">
        <w:rPr>
          <w:sz w:val="24"/>
        </w:rPr>
        <w:t>it.</w:t>
      </w:r>
      <w:r w:rsidR="00645B88">
        <w:rPr>
          <w:sz w:val="24"/>
        </w:rPr>
        <w:t xml:space="preserve"> </w:t>
      </w:r>
      <w:r w:rsidR="00845714">
        <w:rPr>
          <w:sz w:val="24"/>
        </w:rPr>
        <w:t xml:space="preserve"> </w:t>
      </w:r>
      <w:r w:rsidR="003B2A74">
        <w:rPr>
          <w:sz w:val="24"/>
        </w:rPr>
        <w:t xml:space="preserve"> </w:t>
      </w:r>
      <w:r w:rsidR="00F0519D">
        <w:rPr>
          <w:sz w:val="24"/>
        </w:rPr>
        <w:t xml:space="preserve"> </w:t>
      </w:r>
    </w:p>
    <w:p w14:paraId="156D8B70" w14:textId="77777777" w:rsidR="00B762D6" w:rsidRDefault="00964502" w:rsidP="004257F3">
      <w:pPr>
        <w:rPr>
          <w:b/>
          <w:sz w:val="24"/>
        </w:rPr>
      </w:pPr>
      <w:r>
        <w:rPr>
          <w:b/>
          <w:sz w:val="24"/>
        </w:rPr>
        <w:t>4.</w:t>
      </w:r>
      <w:r w:rsidR="00BE301F">
        <w:rPr>
          <w:b/>
          <w:sz w:val="24"/>
        </w:rPr>
        <w:t>3</w:t>
      </w:r>
      <w:r>
        <w:rPr>
          <w:b/>
          <w:sz w:val="24"/>
        </w:rPr>
        <w:t xml:space="preserve"> </w:t>
      </w:r>
      <w:r w:rsidR="009C00B5">
        <w:rPr>
          <w:b/>
          <w:sz w:val="24"/>
        </w:rPr>
        <w:t>Household v</w:t>
      </w:r>
      <w:r w:rsidR="003D63BF">
        <w:rPr>
          <w:b/>
          <w:sz w:val="24"/>
        </w:rPr>
        <w:t xml:space="preserve">ulnerability </w:t>
      </w:r>
    </w:p>
    <w:p w14:paraId="268AF76B" w14:textId="76A2D5BF" w:rsidR="00A21D2D" w:rsidRDefault="00FB3E8C" w:rsidP="002F0C97">
      <w:pPr>
        <w:jc w:val="both"/>
        <w:rPr>
          <w:sz w:val="24"/>
        </w:rPr>
      </w:pPr>
      <w:r>
        <w:rPr>
          <w:sz w:val="24"/>
        </w:rPr>
        <w:t xml:space="preserve">At the community level, </w:t>
      </w:r>
      <w:r w:rsidR="002F4B3F">
        <w:rPr>
          <w:sz w:val="24"/>
        </w:rPr>
        <w:t>an ANOVA test to</w:t>
      </w:r>
      <w:r w:rsidR="00FE5C32">
        <w:rPr>
          <w:sz w:val="24"/>
        </w:rPr>
        <w:t xml:space="preserve"> compare the</w:t>
      </w:r>
      <w:r>
        <w:rPr>
          <w:sz w:val="24"/>
        </w:rPr>
        <w:t xml:space="preserve"> vulnerability</w:t>
      </w:r>
      <w:r w:rsidR="004D1195">
        <w:rPr>
          <w:sz w:val="24"/>
        </w:rPr>
        <w:t xml:space="preserve"> </w:t>
      </w:r>
      <w:r w:rsidR="00FE5C32">
        <w:rPr>
          <w:sz w:val="24"/>
        </w:rPr>
        <w:t xml:space="preserve">of all households </w:t>
      </w:r>
      <w:r w:rsidR="000A0D7C">
        <w:rPr>
          <w:sz w:val="24"/>
        </w:rPr>
        <w:t>between</w:t>
      </w:r>
      <w:r w:rsidR="00FE5C32">
        <w:rPr>
          <w:sz w:val="24"/>
        </w:rPr>
        <w:t xml:space="preserve"> good and bad season</w:t>
      </w:r>
      <w:r w:rsidR="005031A2">
        <w:rPr>
          <w:sz w:val="24"/>
        </w:rPr>
        <w:t>s</w:t>
      </w:r>
      <w:r w:rsidR="00FE5C32">
        <w:rPr>
          <w:sz w:val="24"/>
        </w:rPr>
        <w:t xml:space="preserve"> showed a </w:t>
      </w:r>
      <w:r w:rsidR="004D1195">
        <w:rPr>
          <w:sz w:val="24"/>
        </w:rPr>
        <w:t>significan</w:t>
      </w:r>
      <w:r w:rsidR="000A0D7C">
        <w:rPr>
          <w:sz w:val="24"/>
        </w:rPr>
        <w:t>t</w:t>
      </w:r>
      <w:r w:rsidR="004D1195">
        <w:rPr>
          <w:sz w:val="24"/>
        </w:rPr>
        <w:t xml:space="preserve"> increase</w:t>
      </w:r>
      <w:r w:rsidR="000A0D7C">
        <w:rPr>
          <w:sz w:val="24"/>
        </w:rPr>
        <w:t xml:space="preserve"> in bad seasons</w:t>
      </w:r>
      <w:r w:rsidR="003118DF">
        <w:rPr>
          <w:sz w:val="24"/>
        </w:rPr>
        <w:t xml:space="preserve"> (</w:t>
      </w:r>
      <w:r w:rsidR="003C4D59">
        <w:rPr>
          <w:sz w:val="24"/>
        </w:rPr>
        <w:t>ANOVA test, p = 0.01</w:t>
      </w:r>
      <w:r w:rsidR="003118DF">
        <w:rPr>
          <w:sz w:val="24"/>
        </w:rPr>
        <w:t>)</w:t>
      </w:r>
      <w:r w:rsidR="004D1195">
        <w:rPr>
          <w:sz w:val="24"/>
        </w:rPr>
        <w:t xml:space="preserve">. </w:t>
      </w:r>
      <w:r w:rsidR="00341655">
        <w:rPr>
          <w:sz w:val="24"/>
        </w:rPr>
        <w:t>In the estimation of</w:t>
      </w:r>
      <w:r w:rsidR="00743476">
        <w:rPr>
          <w:sz w:val="24"/>
        </w:rPr>
        <w:t xml:space="preserve"> the</w:t>
      </w:r>
      <w:r w:rsidR="00341655">
        <w:rPr>
          <w:sz w:val="24"/>
        </w:rPr>
        <w:t xml:space="preserve"> vulnerability index, the only </w:t>
      </w:r>
      <w:r w:rsidR="00BD3CE1">
        <w:rPr>
          <w:sz w:val="24"/>
        </w:rPr>
        <w:t xml:space="preserve">variable that is </w:t>
      </w:r>
      <w:r w:rsidR="00DD3A61">
        <w:rPr>
          <w:sz w:val="24"/>
        </w:rPr>
        <w:t xml:space="preserve">varied </w:t>
      </w:r>
      <w:r w:rsidR="00BD3CE1">
        <w:rPr>
          <w:sz w:val="24"/>
        </w:rPr>
        <w:t xml:space="preserve">between </w:t>
      </w:r>
      <w:r w:rsidR="003F5EED">
        <w:rPr>
          <w:sz w:val="24"/>
        </w:rPr>
        <w:t>‘</w:t>
      </w:r>
      <w:r w:rsidR="00BD3CE1">
        <w:rPr>
          <w:sz w:val="24"/>
        </w:rPr>
        <w:t>good</w:t>
      </w:r>
      <w:r w:rsidR="003F5EED">
        <w:rPr>
          <w:sz w:val="24"/>
        </w:rPr>
        <w:t>’</w:t>
      </w:r>
      <w:r w:rsidR="00BD3CE1">
        <w:rPr>
          <w:sz w:val="24"/>
        </w:rPr>
        <w:t xml:space="preserve"> and </w:t>
      </w:r>
      <w:r w:rsidR="003F5EED">
        <w:rPr>
          <w:sz w:val="24"/>
        </w:rPr>
        <w:t>‘</w:t>
      </w:r>
      <w:r w:rsidR="00BD3CE1">
        <w:rPr>
          <w:sz w:val="24"/>
        </w:rPr>
        <w:t>bad</w:t>
      </w:r>
      <w:r w:rsidR="003F5EED">
        <w:rPr>
          <w:sz w:val="24"/>
        </w:rPr>
        <w:t>’</w:t>
      </w:r>
      <w:r w:rsidR="00BD3CE1">
        <w:rPr>
          <w:sz w:val="24"/>
        </w:rPr>
        <w:t xml:space="preserve"> seasons is monthly incom</w:t>
      </w:r>
      <w:r w:rsidR="00EE0319">
        <w:rPr>
          <w:sz w:val="24"/>
        </w:rPr>
        <w:t>e</w:t>
      </w:r>
      <w:r w:rsidR="00BD3CE1">
        <w:rPr>
          <w:sz w:val="24"/>
        </w:rPr>
        <w:t xml:space="preserve">. </w:t>
      </w:r>
      <w:r w:rsidR="00CD72AA">
        <w:rPr>
          <w:sz w:val="24"/>
        </w:rPr>
        <w:t xml:space="preserve">Although </w:t>
      </w:r>
      <w:r w:rsidR="00DC24D9">
        <w:rPr>
          <w:sz w:val="24"/>
        </w:rPr>
        <w:t xml:space="preserve">other contextual socioeconomic and policy factors are </w:t>
      </w:r>
      <w:r w:rsidR="007A5B53">
        <w:rPr>
          <w:sz w:val="24"/>
        </w:rPr>
        <w:t xml:space="preserve">important </w:t>
      </w:r>
      <w:r w:rsidR="00621EF4">
        <w:rPr>
          <w:sz w:val="24"/>
        </w:rPr>
        <w:t>covariates</w:t>
      </w:r>
      <w:r w:rsidR="005953E3">
        <w:rPr>
          <w:sz w:val="24"/>
        </w:rPr>
        <w:t xml:space="preserve"> </w:t>
      </w:r>
      <w:r w:rsidR="00621EF4">
        <w:rPr>
          <w:sz w:val="24"/>
        </w:rPr>
        <w:t>as already acknowledged</w:t>
      </w:r>
      <w:r w:rsidR="005953E3">
        <w:rPr>
          <w:sz w:val="24"/>
        </w:rPr>
        <w:t xml:space="preserve"> </w:t>
      </w:r>
      <w:r w:rsidR="005953E3">
        <w:rPr>
          <w:sz w:val="24"/>
        </w:rPr>
        <w:fldChar w:fldCharType="begin" w:fldLock="1"/>
      </w:r>
      <w:r w:rsidR="005953E3">
        <w:rPr>
          <w:sz w:val="24"/>
        </w:rPr>
        <w:instrText>ADDIN CSL_CITATION {"citationItems":[{"id":"ITEM-1","itemData":{"DOI":"10.1038/s41558-017-0065-x","ISSN":"17586798","abstract":"© 2018 The Author(s). To minimize the impacts of climate change on human wellbeing, governments, development agencies, and civil society organizations have made substantial investments in improving people's capacity to adapt to change. Yet to date, these investments have tended to focus on a very narrow understanding of adaptive capacity. Here, we propose an approach to build adaptive capacity across five domains: the assets that people can draw upon in times of need; the flexibility to change strategies; the ability to organize and act collectively; learning to recognize and respond to change; and the agency to determine whether to change or not.","author":[{"dropping-particle":"","family":"Cinner","given":"Joshua E.","non-dropping-particle":"","parse-names":false,"suffix":""},{"dropping-particle":"","family":"Adger","given":"W. Neil","non-dropping-particle":"","parse-names":false,"suffix":""},{"dropping-particle":"","family":"Allison","given":"Edward H.","non-dropping-particle":"","parse-names":false,"suffix":""},{"dropping-particle":"","family":"Barnes","given":"Michele L.","non-dropping-particle":"","parse-names":false,"suffix":""},{"dropping-particle":"","family":"Brown","given":"Katrina","non-dropping-particle":"","parse-names":false,"suffix":""},{"dropping-particle":"","family":"Cohen","given":"Philippa J.","non-dropping-particle":"","parse-names":false,"suffix":""},{"dropping-particle":"","family":"Gelcich","given":"Stefan","non-dropping-particle":"","parse-names":false,"suffix":""},{"dropping-particle":"","family":"Hicks","given":"Christina C.","non-dropping-particle":"","parse-names":false,"suffix":""},{"dropping-particle":"","family":"Hughes","given":"Terry P.","non-dropping-particle":"","parse-names":false,"suffix":""},{"dropping-particle":"","family":"Lau","given":"Jacqueline","non-dropping-particle":"","parse-names":false,"suffix":""},{"dropping-particle":"","family":"Marshall","given":"Nadine A.","non-dropping-particle":"","parse-names":false,"suffix":""},{"dropping-particle":"","family":"Morrison","given":"Tiffany H.","non-dropping-particle":"","parse-names":false,"suffix":""}],"container-title":"Nature Climate Change","id":"ITEM-1","issue":"2","issued":{"date-parts":[["2018"]]},"page":"117-123","publisher":"Springer US","title":"Building adaptive capacity to climate change in tropical coastal communities","type":"article-journal","volume":"8"},"uris":["http://www.mendeley.com/documents/?uuid=23068310-ea88-4930-b723-40b7df3f6846"]},{"id":"ITEM-2","itemData":{"DOI":"10.1016/S0305-750X(98)00136-3","ISSN":"0305750X","abstract":"A framework for analyzing social vulnerability is outlined, an aspect largely underemphasized in assessments of the impacts of climate change and climate extremes. Vulnerability is defined in this paper as the exposure of individuals or collective groups to livelihood stress as a result of the impacts of such environmental change. It is constituted by individual and collective aspects which can be disaggregated, but are linked through the political economy of markets and institutions. Research in coastal northern Vietnam shows that baseline social vulnerability is enhanced by some institutional and economic factors associated with Vietnam's economic transition from central planning, namely the breakdown of collective action on protection from extreme events and an increasingly skewed income. Offsetting these trends are other institutional changes associated with the dynamic nature of the economic restructuring and evolution of the market transition in Vietnam, which decrease vulnerability.","author":[{"dropping-particle":"","family":"Neil Adger","given":"W.","non-dropping-particle":"","parse-names":false,"suffix":""}],"container-title":"World Development","id":"ITEM-2","issue":"2","issued":{"date-parts":[["1999"]]},"page":"249-269","title":"Social vulnerability to climate change and extremes in coastal Vietnam","type":"article-journal","volume":"27"},"uris":["http://www.mendeley.com/documents/?uuid=1d2e39a0-9b6e-4cbb-aa84-519a0ff0bf10"]},{"id":"ITEM-3","itemData":{"DOI":"10.1111/geoj.12282","ISSN":"14754959","abstract":"Small‐scale coastal fisheries (SSCF) in the Western region of Ghana are affected by a combination of climate and non-climate stressors. Coastal communities are particularly vulnerable to these stressors because of their proximity to the sea and high dependence on small-scale fisheries for their livelihoods. A better understanding of how fishing communities, particularly SSCF, respond to climate and non-climate stressors is paramount to improve planning and implementation of effective adaptation action. Drawing on the capitals framework, this study examines the adaptive capacity of SSCF to the combined effects of climate-related (increasing coastal erosion, and wave and storm frequency) and non-climate related stressors (declining catches; scarcity and prohibitive cost of fuel; inconsiderate implementation of fisheries laws and policies; competition from the oil and gas industry; sand mining; and algal blooms). The findings show how fishers mobilise and use adaptive capacity through exploitation of various forms of capital, including cultural capital (e.g., local innovation); political capital (e.g., lobbying government and local authorities); social capital (e.g., collective action); human capital (e.g., local leadership); and natural capital (e.g., utilising beach sand) to respond to multiple stressors. Nevertheless, in many cases, fishers’ responses were reactive and led to negative (maladaptive) outcomes. Furthermore, this study underscores the importance of critically considering the interactive nature of capitals and how they collectively influence adaptive capacity in the planning and implementation of adaptation research, policy and practice.","author":[{"dropping-particle":"","family":"Freduah","given":"George","non-dropping-particle":"","parse-names":false,"suffix":""},{"dropping-particle":"","family":"Fidelman","given":"Pedro","non-dropping-particle":"","parse-names":false,"suffix":""},{"dropping-particle":"","family":"Smith","given":"Timothy F.","non-dropping-particle":"","parse-names":false,"suffix":""}],"container-title":"Geographical Journal","id":"ITEM-3","issue":"1","issued":{"date-parts":[["2019"]]},"page":"96-110","title":"Adaptive capacity of small-scale coastal fishers to climate and non-climate stressors in the Western region of Ghana","type":"article-journal","volume":"185"},"uris":["http://www.mendeley.com/documents/?uuid=746285dd-cadc-41b5-b2f3-6ef092c92394"]},{"id":"ITEM-4","itemData":{"DOI":"10.1016/j.marpol.2013.06.007","ISSN":"0308597X","abstract":"Limits and barriers to adaptation restrict people's ability to address the negative impacts of climate change or manage risks in a way that maximises their wellbeing. There is a lack of evidence of this on small-scale fishing communities in developing countries. This study identifies and characterises limits and barriers to adaptation of fishing activities to cyclones and examines interactions between them in two fishing communities in Bangladesh, using household questionnaires, oral history interviews, vulnerability matrices and focus group discussions. The limits include physical characteristics of climate and sea like higher frequency and duration of cyclones, and hidden sandbars. Barriers include technologically poor boats, inaccurate weather forecast, poor radio signal, lack of access to credit, low incomes, underestimation of cyclone occurrence, coercion of fishermen by the boat owners and captains, lack of education, skills and livelihood alternatives, unfavourable credit schemes, lack of enforcement of fishing regulations and maritime laws, and lack of access to fish markets. These local and wider scale factors interact in complex ways and constrain completion of fishing trips, coping with cyclones at sea, safe return of boats from sea, timely responses to cyclones and livelihood diversification. The findings indicate a need for further detailed research into the determinants and implications of such limits and barriers, in order to move towards an improved characterisation of adaptation and to identify most suitable means to overcome the limits and barriers. © 2013 The Authors.","author":[{"dropping-particle":"","family":"Monirul Islam","given":"Md","non-dropping-particle":"","parse-names":false,"suffix":""},{"dropping-particle":"","family":"Sallu","given":"Susannah","non-dropping-particle":"","parse-names":false,"suffix":""},{"dropping-particle":"","family":"Hubacek","given":"Klaus","non-dropping-particle":"","parse-names":false,"suffix":""},{"dropping-particle":"","family":"Paavola","given":"Jouni","non-dropping-particle":"","parse-names":false,"suffix":""}],"container-title":"Marine Policy","id":"ITEM-4","issued":{"date-parts":[["2014"]]},"page":"208-216","publisher":"Elsevier","title":"Limits and barriers to adaptation to climate variability and change in Bangladeshi coastal fishing communities","type":"article-journal","volume":"43"},"uris":["http://www.mendeley.com/documents/?uuid=de2490d6-0d3b-4069-bc72-e52acefbdcd4"]}],"mendeley":{"formattedCitation":"[13], [17]–[19]","plainTextFormattedCitation":"[13], [17]–[19]","previouslyFormattedCitation":"[13], [17]–[19]"},"properties":{"noteIndex":0},"schema":"https://github.com/citation-style-language/schema/raw/master/csl-citation.json"}</w:instrText>
      </w:r>
      <w:r w:rsidR="005953E3">
        <w:rPr>
          <w:sz w:val="24"/>
        </w:rPr>
        <w:fldChar w:fldCharType="separate"/>
      </w:r>
      <w:r w:rsidR="005953E3" w:rsidRPr="0076085D">
        <w:rPr>
          <w:noProof/>
          <w:sz w:val="24"/>
        </w:rPr>
        <w:t>[13], [17]–[19]</w:t>
      </w:r>
      <w:r w:rsidR="005953E3">
        <w:rPr>
          <w:sz w:val="24"/>
        </w:rPr>
        <w:fldChar w:fldCharType="end"/>
      </w:r>
      <w:r w:rsidR="005953E3">
        <w:rPr>
          <w:sz w:val="24"/>
        </w:rPr>
        <w:t>, they</w:t>
      </w:r>
      <w:r w:rsidR="00621EF4">
        <w:rPr>
          <w:sz w:val="24"/>
        </w:rPr>
        <w:t xml:space="preserve"> </w:t>
      </w:r>
      <w:r w:rsidR="005953E3">
        <w:rPr>
          <w:sz w:val="24"/>
        </w:rPr>
        <w:t xml:space="preserve">are </w:t>
      </w:r>
      <w:r w:rsidR="00DC24D9">
        <w:rPr>
          <w:sz w:val="24"/>
        </w:rPr>
        <w:t>not explic</w:t>
      </w:r>
      <w:r w:rsidR="009236AE">
        <w:rPr>
          <w:sz w:val="24"/>
        </w:rPr>
        <w:t>itly analysed in the study</w:t>
      </w:r>
      <w:r w:rsidR="005953E3">
        <w:rPr>
          <w:sz w:val="24"/>
        </w:rPr>
        <w:t xml:space="preserve">. </w:t>
      </w:r>
      <w:r w:rsidR="001F4AC6">
        <w:rPr>
          <w:sz w:val="24"/>
        </w:rPr>
        <w:t>T</w:t>
      </w:r>
      <w:r w:rsidR="005953E3">
        <w:rPr>
          <w:sz w:val="24"/>
        </w:rPr>
        <w:t xml:space="preserve">he significant </w:t>
      </w:r>
      <w:r w:rsidR="00057733">
        <w:rPr>
          <w:sz w:val="24"/>
        </w:rPr>
        <w:t xml:space="preserve">increase in vulnerability associated with change in </w:t>
      </w:r>
      <w:r w:rsidR="001F4AC6">
        <w:rPr>
          <w:sz w:val="24"/>
        </w:rPr>
        <w:t xml:space="preserve">monthly </w:t>
      </w:r>
      <w:r w:rsidR="00057733">
        <w:rPr>
          <w:sz w:val="24"/>
        </w:rPr>
        <w:t>incomes</w:t>
      </w:r>
      <w:r w:rsidR="00D26032">
        <w:rPr>
          <w:sz w:val="24"/>
        </w:rPr>
        <w:t xml:space="preserve"> therefore</w:t>
      </w:r>
      <w:r w:rsidR="00057733">
        <w:rPr>
          <w:sz w:val="24"/>
        </w:rPr>
        <w:t xml:space="preserve"> d</w:t>
      </w:r>
      <w:r w:rsidR="00B447D8">
        <w:rPr>
          <w:sz w:val="24"/>
        </w:rPr>
        <w:t>emonstrates</w:t>
      </w:r>
      <w:r w:rsidR="00AA65B6">
        <w:rPr>
          <w:sz w:val="24"/>
        </w:rPr>
        <w:t xml:space="preserve"> </w:t>
      </w:r>
      <w:r w:rsidR="009236AE">
        <w:rPr>
          <w:sz w:val="24"/>
        </w:rPr>
        <w:t xml:space="preserve">how </w:t>
      </w:r>
      <w:r w:rsidR="00C844A7">
        <w:rPr>
          <w:sz w:val="24"/>
        </w:rPr>
        <w:t>contextual socioeconomic factors</w:t>
      </w:r>
      <w:r w:rsidR="009236AE">
        <w:rPr>
          <w:sz w:val="24"/>
        </w:rPr>
        <w:t xml:space="preserve"> can latently act in concert with </w:t>
      </w:r>
      <w:r w:rsidR="00A87162">
        <w:rPr>
          <w:sz w:val="24"/>
        </w:rPr>
        <w:t>a</w:t>
      </w:r>
      <w:r w:rsidR="00C54097">
        <w:rPr>
          <w:sz w:val="24"/>
        </w:rPr>
        <w:t xml:space="preserve"> </w:t>
      </w:r>
      <w:r w:rsidR="00AA65B6">
        <w:rPr>
          <w:sz w:val="24"/>
        </w:rPr>
        <w:t>d</w:t>
      </w:r>
      <w:r w:rsidR="00C54097">
        <w:rPr>
          <w:sz w:val="24"/>
        </w:rPr>
        <w:t xml:space="preserve">windling </w:t>
      </w:r>
      <w:r w:rsidR="008B4A6D">
        <w:rPr>
          <w:sz w:val="24"/>
        </w:rPr>
        <w:t>resource</w:t>
      </w:r>
      <w:r w:rsidR="00D571A1">
        <w:rPr>
          <w:sz w:val="24"/>
        </w:rPr>
        <w:t>-</w:t>
      </w:r>
      <w:r w:rsidR="0070391A">
        <w:rPr>
          <w:sz w:val="24"/>
        </w:rPr>
        <w:t>base</w:t>
      </w:r>
      <w:r w:rsidR="009236AE">
        <w:rPr>
          <w:sz w:val="24"/>
        </w:rPr>
        <w:t xml:space="preserve"> to </w:t>
      </w:r>
      <w:r w:rsidR="00363365">
        <w:rPr>
          <w:sz w:val="24"/>
        </w:rPr>
        <w:t>increas</w:t>
      </w:r>
      <w:r w:rsidR="009236AE">
        <w:rPr>
          <w:sz w:val="24"/>
        </w:rPr>
        <w:t>e</w:t>
      </w:r>
      <w:r w:rsidR="00363365">
        <w:rPr>
          <w:sz w:val="24"/>
        </w:rPr>
        <w:t xml:space="preserve"> </w:t>
      </w:r>
      <w:r w:rsidR="009236AE">
        <w:rPr>
          <w:sz w:val="24"/>
        </w:rPr>
        <w:t>t</w:t>
      </w:r>
      <w:r w:rsidR="003E2CF2">
        <w:rPr>
          <w:sz w:val="24"/>
        </w:rPr>
        <w:t>he vulnerability of</w:t>
      </w:r>
      <w:r w:rsidR="005138A1">
        <w:rPr>
          <w:sz w:val="24"/>
        </w:rPr>
        <w:t xml:space="preserve"> </w:t>
      </w:r>
      <w:r w:rsidR="00D571A1">
        <w:rPr>
          <w:sz w:val="24"/>
        </w:rPr>
        <w:t xml:space="preserve">fishing </w:t>
      </w:r>
      <w:r w:rsidR="005138A1">
        <w:rPr>
          <w:sz w:val="24"/>
        </w:rPr>
        <w:t>households</w:t>
      </w:r>
      <w:r w:rsidR="00DE3F24">
        <w:rPr>
          <w:sz w:val="24"/>
        </w:rPr>
        <w:t xml:space="preserve"> </w:t>
      </w:r>
      <w:r w:rsidR="00DE3F24">
        <w:rPr>
          <w:sz w:val="24"/>
        </w:rPr>
        <w:fldChar w:fldCharType="begin" w:fldLock="1"/>
      </w:r>
      <w:r w:rsidR="00FC52F5">
        <w:rPr>
          <w:sz w:val="24"/>
        </w:rPr>
        <w:instrText>ADDIN CSL_CITATION {"citationItems":[{"id":"ITEM-1","itemData":{"DOI":"10.1191/030913200701540465","ISSN":"03091325","abstract":"This article defines social resilience as the ability of groups or communities to cope with external stresses and disturbances as a result of social, political and environmental change. This definition highlights social resilience in relation to the concept of ecological resilience which is a characteristic of ecosystems to maintain themselves in the face of disturbance. There is a clear link between social and ecological resilience, particularly for social groups or communities that are dependent on ecological and environmental resources for their livelihoods. But it is not clear whether resilient ecosystems enable resilient communities in such situations. This article examines whether resilience is a useful characteristic for describing the social and economic situation of social groups and explores potential links between social resilience and ecological resilience. The origins of this interdisciplinary study in human ecology, ecological economics and rural sociology are reviewed, and a study of the impacts of ecological change on a resource-dependent community in contemporary coastal Vietnam in terms of the resilience of its institutions is outlined.","author":[{"dropping-particle":"","family":"Adger","given":"W. N.","non-dropping-particle":"","parse-names":false,"suffix":""}],"container-title":"Progress in Human Geography","id":"ITEM-1","issue":"3","issued":{"date-parts":[["2000"]]},"page":"347-364","title":"Social and ecological resilience: Are they related?","type":"article-journal","volume":"24"},"uris":["http://www.mendeley.com/documents/?uuid=a1d6bec3-1602-4e7b-86e0-ab856d18b8c3"]}],"mendeley":{"formattedCitation":"[51]","plainTextFormattedCitation":"[51]","previouslyFormattedCitation":"[50]"},"properties":{"noteIndex":0},"schema":"https://github.com/citation-style-language/schema/raw/master/csl-citation.json"}</w:instrText>
      </w:r>
      <w:r w:rsidR="00DE3F24">
        <w:rPr>
          <w:sz w:val="24"/>
        </w:rPr>
        <w:fldChar w:fldCharType="separate"/>
      </w:r>
      <w:r w:rsidR="00FC52F5" w:rsidRPr="00FC52F5">
        <w:rPr>
          <w:noProof/>
          <w:sz w:val="24"/>
        </w:rPr>
        <w:t>[51]</w:t>
      </w:r>
      <w:r w:rsidR="00DE3F24">
        <w:rPr>
          <w:sz w:val="24"/>
        </w:rPr>
        <w:fldChar w:fldCharType="end"/>
      </w:r>
      <w:r w:rsidR="00D571A1">
        <w:rPr>
          <w:sz w:val="24"/>
        </w:rPr>
        <w:t>.</w:t>
      </w:r>
      <w:r w:rsidR="003E2CF2">
        <w:rPr>
          <w:sz w:val="24"/>
        </w:rPr>
        <w:t xml:space="preserve"> </w:t>
      </w:r>
      <w:r w:rsidR="003B7D00">
        <w:rPr>
          <w:sz w:val="24"/>
        </w:rPr>
        <w:t xml:space="preserve">It also </w:t>
      </w:r>
      <w:r w:rsidR="00B1704D">
        <w:rPr>
          <w:sz w:val="24"/>
        </w:rPr>
        <w:t>reflects</w:t>
      </w:r>
      <w:r w:rsidR="003D485D">
        <w:rPr>
          <w:sz w:val="24"/>
        </w:rPr>
        <w:t xml:space="preserve"> </w:t>
      </w:r>
      <w:r w:rsidR="00731388">
        <w:rPr>
          <w:sz w:val="24"/>
        </w:rPr>
        <w:t>previous</w:t>
      </w:r>
      <w:r w:rsidR="003D485D">
        <w:rPr>
          <w:sz w:val="24"/>
        </w:rPr>
        <w:t xml:space="preserve"> findings on</w:t>
      </w:r>
      <w:r w:rsidR="00610919">
        <w:rPr>
          <w:sz w:val="24"/>
        </w:rPr>
        <w:t xml:space="preserve"> how </w:t>
      </w:r>
      <w:r w:rsidR="009C21DF">
        <w:rPr>
          <w:sz w:val="24"/>
        </w:rPr>
        <w:t xml:space="preserve">local </w:t>
      </w:r>
      <w:r w:rsidR="00EF30F0">
        <w:rPr>
          <w:sz w:val="24"/>
        </w:rPr>
        <w:t xml:space="preserve">communities are and will be affected by </w:t>
      </w:r>
      <w:r w:rsidR="009C21DF">
        <w:rPr>
          <w:sz w:val="24"/>
        </w:rPr>
        <w:t xml:space="preserve">predictions of </w:t>
      </w:r>
      <w:r w:rsidR="005031A2">
        <w:rPr>
          <w:sz w:val="24"/>
        </w:rPr>
        <w:t xml:space="preserve">a </w:t>
      </w:r>
      <w:r w:rsidR="00910D62">
        <w:rPr>
          <w:sz w:val="24"/>
        </w:rPr>
        <w:t xml:space="preserve">global </w:t>
      </w:r>
      <w:r w:rsidR="00EF30F0">
        <w:rPr>
          <w:sz w:val="24"/>
        </w:rPr>
        <w:t>decreas</w:t>
      </w:r>
      <w:r w:rsidR="009C21DF">
        <w:rPr>
          <w:sz w:val="24"/>
        </w:rPr>
        <w:t>e</w:t>
      </w:r>
      <w:r w:rsidR="00825B36">
        <w:rPr>
          <w:sz w:val="24"/>
        </w:rPr>
        <w:t xml:space="preserve"> in</w:t>
      </w:r>
      <w:r w:rsidR="00EF30F0">
        <w:rPr>
          <w:sz w:val="24"/>
        </w:rPr>
        <w:t xml:space="preserve"> maximum </w:t>
      </w:r>
      <w:r w:rsidR="00825B36">
        <w:rPr>
          <w:sz w:val="24"/>
        </w:rPr>
        <w:t xml:space="preserve">fish </w:t>
      </w:r>
      <w:r w:rsidR="00EF30F0">
        <w:rPr>
          <w:sz w:val="24"/>
        </w:rPr>
        <w:t>yield and revenue potential due to climate change</w:t>
      </w:r>
      <w:r w:rsidR="00610919">
        <w:rPr>
          <w:sz w:val="24"/>
        </w:rPr>
        <w:t xml:space="preserve"> </w:t>
      </w:r>
      <w:r w:rsidR="00866BF2">
        <w:rPr>
          <w:sz w:val="24"/>
        </w:rPr>
        <w:fldChar w:fldCharType="begin" w:fldLock="1"/>
      </w:r>
      <w:r w:rsidR="007C77C1">
        <w:rPr>
          <w:sz w:val="24"/>
        </w:rPr>
        <w:instrText>ADDIN CSL_CITATION {"citationItems":[{"id":"ITEM-1","itemData":{"DOI":"10.1038/srep32607","ISSN":"20452322","abstract":"Previous studies highlight the winners and losers in fisheries under climate change based on shifts in biomass, species composition and potential catches. Understanding how climate change is likely to alter the fisheries revenues of maritime countries is a crucial next step towards the development of effective socio-economic policy and food sustainability strategies to mitigate and adapt to climate change. Particularly, fish prices and cross-oceans connections through distant water fishing operations may largely modify the projected climate change impacts on fisheries revenues. However, these factors have not formally been considered in global studies. Here, using climate-living marine resources simulation models, we show that global fisheries revenues could drop by 35% more than the projected decrease in catches by the 2050 s under high CO 2 emission scenarios. Regionally, the projected increases in fish catch in high latitudes may not translate into increases in revenues because of the increasing dominance of low value fish, and the decrease in catches by these countries' vessels operating in more severely impacted distant waters. Also, we find that developing countries with high fisheries dependency are negatively impacted. Our results suggest the need to conduct full-fledged economic analyses of the potential economic effects of climate change on global marine fisheries.","author":[{"dropping-particle":"","family":"Lam","given":"Vicky W.Y.","non-dropping-particle":"","parse-names":false,"suffix":""},{"dropping-particle":"","family":"Cheung","given":"William W.L.","non-dropping-particle":"","parse-names":false,"suffix":""},{"dropping-particle":"","family":"Reygondeau","given":"Gabriel","non-dropping-particle":"","parse-names":false,"suffix":""},{"dropping-particle":"","family":"Rashid Sumaila","given":"U.","non-dropping-particle":"","parse-names":false,"suffix":""}],"container-title":"Scientific Reports","id":"ITEM-1","issued":{"date-parts":[["2016"]]},"page":"6-13","publisher":"Nature Publishing Group","title":"Projected change in global fisheries revenues under climate change","type":"article-journal","volume":"6"},"uris":["http://www.mendeley.com/documents/?uuid=9dbaf7b3-ee06-4528-a009-79e168d5a12e"]}],"mendeley":{"formattedCitation":"[4]","plainTextFormattedCitation":"[4]","previouslyFormattedCitation":"[4]"},"properties":{"noteIndex":0},"schema":"https://github.com/citation-style-language/schema/raw/master/csl-citation.json"}</w:instrText>
      </w:r>
      <w:r w:rsidR="00866BF2">
        <w:rPr>
          <w:sz w:val="24"/>
        </w:rPr>
        <w:fldChar w:fldCharType="separate"/>
      </w:r>
      <w:r w:rsidR="009043E8" w:rsidRPr="009043E8">
        <w:rPr>
          <w:noProof/>
          <w:sz w:val="24"/>
        </w:rPr>
        <w:t>[4]</w:t>
      </w:r>
      <w:r w:rsidR="00866BF2">
        <w:rPr>
          <w:sz w:val="24"/>
        </w:rPr>
        <w:fldChar w:fldCharType="end"/>
      </w:r>
      <w:r w:rsidR="00610919">
        <w:rPr>
          <w:sz w:val="24"/>
        </w:rPr>
        <w:t>.</w:t>
      </w:r>
      <w:r w:rsidR="00EF30F0">
        <w:rPr>
          <w:sz w:val="24"/>
        </w:rPr>
        <w:t xml:space="preserve"> </w:t>
      </w:r>
      <w:r w:rsidR="00F54D87">
        <w:rPr>
          <w:sz w:val="24"/>
        </w:rPr>
        <w:t xml:space="preserve"> </w:t>
      </w:r>
    </w:p>
    <w:p w14:paraId="3C429266" w14:textId="5906D634" w:rsidR="00C167B8" w:rsidRDefault="00E22F7E" w:rsidP="00C167B8">
      <w:pPr>
        <w:spacing w:before="240"/>
        <w:jc w:val="both"/>
        <w:rPr>
          <w:sz w:val="24"/>
        </w:rPr>
      </w:pPr>
      <w:r>
        <w:rPr>
          <w:sz w:val="24"/>
        </w:rPr>
        <w:t>At the household level</w:t>
      </w:r>
      <w:r w:rsidR="00A21D2D">
        <w:rPr>
          <w:sz w:val="24"/>
        </w:rPr>
        <w:t xml:space="preserve">, </w:t>
      </w:r>
      <w:r w:rsidR="00B54999">
        <w:rPr>
          <w:sz w:val="24"/>
        </w:rPr>
        <w:t xml:space="preserve">significant differences </w:t>
      </w:r>
      <w:r w:rsidR="00112D12">
        <w:rPr>
          <w:sz w:val="24"/>
        </w:rPr>
        <w:t xml:space="preserve">in vulnerability </w:t>
      </w:r>
      <w:r w:rsidR="00B54999">
        <w:rPr>
          <w:sz w:val="24"/>
        </w:rPr>
        <w:t xml:space="preserve">were found only amongst the </w:t>
      </w:r>
      <w:r w:rsidR="00112D12">
        <w:rPr>
          <w:sz w:val="24"/>
        </w:rPr>
        <w:t xml:space="preserve">statistically derived </w:t>
      </w:r>
      <w:r w:rsidR="00B54999">
        <w:rPr>
          <w:sz w:val="24"/>
        </w:rPr>
        <w:t>vulnerability groups (</w:t>
      </w:r>
      <w:r w:rsidR="00D21AAB">
        <w:rPr>
          <w:sz w:val="24"/>
        </w:rPr>
        <w:t>p = .01 and .01 for good and bad season</w:t>
      </w:r>
      <w:r w:rsidR="00F909C7">
        <w:rPr>
          <w:sz w:val="24"/>
        </w:rPr>
        <w:t>s</w:t>
      </w:r>
      <w:r w:rsidR="00D21AAB">
        <w:rPr>
          <w:sz w:val="24"/>
        </w:rPr>
        <w:t xml:space="preserve"> respectively; </w:t>
      </w:r>
      <w:r w:rsidR="00B54999">
        <w:rPr>
          <w:sz w:val="24"/>
        </w:rPr>
        <w:t xml:space="preserve">Table 5). </w:t>
      </w:r>
      <w:r w:rsidR="002A295E">
        <w:rPr>
          <w:sz w:val="24"/>
        </w:rPr>
        <w:t>T</w:t>
      </w:r>
      <w:r w:rsidR="00211EF6" w:rsidRPr="00211EF6">
        <w:rPr>
          <w:sz w:val="24"/>
        </w:rPr>
        <w:t>he result</w:t>
      </w:r>
      <w:r w:rsidR="00881FB0">
        <w:rPr>
          <w:sz w:val="24"/>
        </w:rPr>
        <w:t>s</w:t>
      </w:r>
      <w:r w:rsidR="00211EF6" w:rsidRPr="00211EF6">
        <w:rPr>
          <w:sz w:val="24"/>
        </w:rPr>
        <w:t xml:space="preserve"> </w:t>
      </w:r>
      <w:r w:rsidR="0081080E">
        <w:rPr>
          <w:sz w:val="24"/>
        </w:rPr>
        <w:t>suggest</w:t>
      </w:r>
      <w:r w:rsidR="00D12BEB">
        <w:rPr>
          <w:sz w:val="24"/>
        </w:rPr>
        <w:t xml:space="preserve"> </w:t>
      </w:r>
      <w:r w:rsidR="00174771">
        <w:rPr>
          <w:sz w:val="24"/>
        </w:rPr>
        <w:t xml:space="preserve">that </w:t>
      </w:r>
      <w:r w:rsidR="00D12BEB">
        <w:rPr>
          <w:sz w:val="24"/>
        </w:rPr>
        <w:t xml:space="preserve">in </w:t>
      </w:r>
      <w:r w:rsidR="002A295E">
        <w:rPr>
          <w:sz w:val="24"/>
        </w:rPr>
        <w:t>both</w:t>
      </w:r>
      <w:r w:rsidR="00D12BEB">
        <w:rPr>
          <w:sz w:val="24"/>
        </w:rPr>
        <w:t xml:space="preserve"> </w:t>
      </w:r>
      <w:r w:rsidR="00E57E4C">
        <w:rPr>
          <w:sz w:val="24"/>
        </w:rPr>
        <w:t>‘</w:t>
      </w:r>
      <w:r w:rsidR="00D12BEB">
        <w:rPr>
          <w:sz w:val="24"/>
        </w:rPr>
        <w:t>good</w:t>
      </w:r>
      <w:r w:rsidR="00E57E4C">
        <w:rPr>
          <w:sz w:val="24"/>
        </w:rPr>
        <w:t>’</w:t>
      </w:r>
      <w:r w:rsidR="00D12BEB">
        <w:rPr>
          <w:sz w:val="24"/>
        </w:rPr>
        <w:t xml:space="preserve"> or </w:t>
      </w:r>
      <w:r w:rsidR="00E57E4C">
        <w:rPr>
          <w:sz w:val="24"/>
        </w:rPr>
        <w:t>‘</w:t>
      </w:r>
      <w:r w:rsidR="00D12BEB">
        <w:rPr>
          <w:sz w:val="24"/>
        </w:rPr>
        <w:t>bad</w:t>
      </w:r>
      <w:r w:rsidR="00E57E4C">
        <w:rPr>
          <w:sz w:val="24"/>
        </w:rPr>
        <w:t>’</w:t>
      </w:r>
      <w:r w:rsidR="00D12BEB">
        <w:rPr>
          <w:sz w:val="24"/>
        </w:rPr>
        <w:t xml:space="preserve"> seasons, </w:t>
      </w:r>
      <w:r w:rsidR="00174771">
        <w:rPr>
          <w:sz w:val="24"/>
        </w:rPr>
        <w:t xml:space="preserve">all </w:t>
      </w:r>
      <w:r w:rsidR="001927E8">
        <w:rPr>
          <w:sz w:val="24"/>
        </w:rPr>
        <w:t xml:space="preserve">households irrespective of </w:t>
      </w:r>
      <w:r w:rsidR="00577273">
        <w:rPr>
          <w:sz w:val="24"/>
        </w:rPr>
        <w:t xml:space="preserve">economic class </w:t>
      </w:r>
      <w:r w:rsidR="001927E8">
        <w:rPr>
          <w:sz w:val="24"/>
        </w:rPr>
        <w:t>are equally vulnerable</w:t>
      </w:r>
      <w:r w:rsidR="007D35FB">
        <w:rPr>
          <w:sz w:val="24"/>
        </w:rPr>
        <w:t xml:space="preserve"> (Table 5)</w:t>
      </w:r>
      <w:r w:rsidR="00577273">
        <w:rPr>
          <w:sz w:val="24"/>
        </w:rPr>
        <w:t>.</w:t>
      </w:r>
      <w:r w:rsidR="007732F6">
        <w:rPr>
          <w:sz w:val="24"/>
        </w:rPr>
        <w:t xml:space="preserve"> </w:t>
      </w:r>
      <w:r w:rsidR="009A15BC">
        <w:rPr>
          <w:sz w:val="24"/>
        </w:rPr>
        <w:t>An analysis of income distribution showed that</w:t>
      </w:r>
      <w:r w:rsidR="00E321CB">
        <w:rPr>
          <w:sz w:val="24"/>
        </w:rPr>
        <w:t xml:space="preserve"> there</w:t>
      </w:r>
      <w:r w:rsidR="004C7573">
        <w:rPr>
          <w:sz w:val="24"/>
        </w:rPr>
        <w:t xml:space="preserve"> </w:t>
      </w:r>
      <w:r w:rsidR="004C18AC">
        <w:rPr>
          <w:sz w:val="24"/>
        </w:rPr>
        <w:t>was high income inequality in the community during the ‘good’ season, which</w:t>
      </w:r>
      <w:r w:rsidR="004E3E92">
        <w:rPr>
          <w:sz w:val="24"/>
        </w:rPr>
        <w:t xml:space="preserve"> is</w:t>
      </w:r>
      <w:r w:rsidR="004C18AC">
        <w:rPr>
          <w:sz w:val="24"/>
        </w:rPr>
        <w:t xml:space="preserve"> reduced slightly </w:t>
      </w:r>
      <w:r w:rsidR="001B13E4">
        <w:rPr>
          <w:sz w:val="24"/>
        </w:rPr>
        <w:t xml:space="preserve">in the ‘bad’ season </w:t>
      </w:r>
      <w:r w:rsidR="004C7573">
        <w:rPr>
          <w:sz w:val="24"/>
        </w:rPr>
        <w:t>(</w:t>
      </w:r>
      <w:r w:rsidR="00C85F75">
        <w:rPr>
          <w:sz w:val="24"/>
        </w:rPr>
        <w:t>G</w:t>
      </w:r>
      <w:r w:rsidR="004C7573">
        <w:rPr>
          <w:sz w:val="24"/>
        </w:rPr>
        <w:t xml:space="preserve">ini index = </w:t>
      </w:r>
      <w:r w:rsidR="001B13E4">
        <w:rPr>
          <w:sz w:val="24"/>
        </w:rPr>
        <w:t xml:space="preserve">0.64 and </w:t>
      </w:r>
      <w:r w:rsidR="004C7573">
        <w:rPr>
          <w:sz w:val="24"/>
        </w:rPr>
        <w:t>0.4</w:t>
      </w:r>
      <w:r w:rsidR="001337A6">
        <w:rPr>
          <w:sz w:val="24"/>
        </w:rPr>
        <w:t>7</w:t>
      </w:r>
      <w:r w:rsidR="001B13E4">
        <w:rPr>
          <w:sz w:val="24"/>
        </w:rPr>
        <w:t xml:space="preserve"> respectively</w:t>
      </w:r>
      <w:r w:rsidR="004C7573">
        <w:rPr>
          <w:sz w:val="24"/>
        </w:rPr>
        <w:t>)</w:t>
      </w:r>
      <w:r w:rsidR="004E3E92">
        <w:rPr>
          <w:sz w:val="24"/>
        </w:rPr>
        <w:t>. This</w:t>
      </w:r>
      <w:r w:rsidR="001B13E4">
        <w:rPr>
          <w:sz w:val="24"/>
        </w:rPr>
        <w:t xml:space="preserve"> is </w:t>
      </w:r>
      <w:r w:rsidR="00D90CE5">
        <w:rPr>
          <w:sz w:val="24"/>
        </w:rPr>
        <w:t>deemed to be the major reason for equality in vulnerability during the ‘bad’ season.</w:t>
      </w:r>
      <w:r w:rsidR="00AD7498">
        <w:rPr>
          <w:sz w:val="24"/>
        </w:rPr>
        <w:t xml:space="preserve"> </w:t>
      </w:r>
      <w:r w:rsidR="00200242">
        <w:rPr>
          <w:sz w:val="24"/>
        </w:rPr>
        <w:t>Furthermore,</w:t>
      </w:r>
      <w:r w:rsidR="00725A68">
        <w:rPr>
          <w:sz w:val="24"/>
        </w:rPr>
        <w:t xml:space="preserve"> </w:t>
      </w:r>
      <w:r w:rsidR="00200242">
        <w:rPr>
          <w:sz w:val="24"/>
        </w:rPr>
        <w:t xml:space="preserve">following the ANOVA test, a Tukey post hoc test </w:t>
      </w:r>
      <w:r w:rsidR="00A5218E" w:rsidRPr="00190128">
        <w:rPr>
          <w:sz w:val="24"/>
        </w:rPr>
        <w:t xml:space="preserve">showed </w:t>
      </w:r>
      <w:r w:rsidR="005031A2">
        <w:rPr>
          <w:sz w:val="24"/>
        </w:rPr>
        <w:t xml:space="preserve">a </w:t>
      </w:r>
      <w:r w:rsidR="00A5218E" w:rsidRPr="00190128">
        <w:rPr>
          <w:sz w:val="24"/>
        </w:rPr>
        <w:t xml:space="preserve">significant </w:t>
      </w:r>
      <w:r w:rsidR="00A5218E">
        <w:rPr>
          <w:sz w:val="24"/>
        </w:rPr>
        <w:t xml:space="preserve">vulnerability </w:t>
      </w:r>
      <w:r w:rsidR="00A5218E" w:rsidRPr="00190128">
        <w:rPr>
          <w:sz w:val="24"/>
        </w:rPr>
        <w:t>difference between net owners a</w:t>
      </w:r>
      <w:r w:rsidR="0056226A">
        <w:rPr>
          <w:sz w:val="24"/>
        </w:rPr>
        <w:t>nd their</w:t>
      </w:r>
      <w:r w:rsidR="00A5218E" w:rsidRPr="00190128">
        <w:rPr>
          <w:sz w:val="24"/>
        </w:rPr>
        <w:t xml:space="preserve"> net draggers (p = 0.03) during</w:t>
      </w:r>
      <w:r w:rsidR="00A5218E">
        <w:rPr>
          <w:sz w:val="24"/>
        </w:rPr>
        <w:t xml:space="preserve"> the</w:t>
      </w:r>
      <w:r w:rsidR="00A5218E" w:rsidRPr="00190128">
        <w:rPr>
          <w:sz w:val="24"/>
        </w:rPr>
        <w:t xml:space="preserve"> </w:t>
      </w:r>
      <w:r w:rsidR="00076E59">
        <w:rPr>
          <w:sz w:val="24"/>
        </w:rPr>
        <w:t>‘</w:t>
      </w:r>
      <w:r w:rsidR="00A5218E" w:rsidRPr="00190128">
        <w:rPr>
          <w:sz w:val="24"/>
        </w:rPr>
        <w:t>good</w:t>
      </w:r>
      <w:r w:rsidR="00076E59">
        <w:rPr>
          <w:sz w:val="24"/>
        </w:rPr>
        <w:t>’</w:t>
      </w:r>
      <w:r w:rsidR="00A5218E">
        <w:rPr>
          <w:sz w:val="24"/>
        </w:rPr>
        <w:t xml:space="preserve"> but not the </w:t>
      </w:r>
      <w:r w:rsidR="00076E59">
        <w:rPr>
          <w:sz w:val="24"/>
        </w:rPr>
        <w:t>‘</w:t>
      </w:r>
      <w:r w:rsidR="00A5218E">
        <w:rPr>
          <w:sz w:val="24"/>
        </w:rPr>
        <w:t>bad</w:t>
      </w:r>
      <w:r w:rsidR="00076E59">
        <w:rPr>
          <w:sz w:val="24"/>
        </w:rPr>
        <w:t>’</w:t>
      </w:r>
      <w:r w:rsidR="00A5218E">
        <w:rPr>
          <w:sz w:val="24"/>
        </w:rPr>
        <w:t xml:space="preserve"> season. </w:t>
      </w:r>
      <w:r w:rsidR="00762DF8">
        <w:rPr>
          <w:sz w:val="24"/>
        </w:rPr>
        <w:t xml:space="preserve">Interviews with some net owners </w:t>
      </w:r>
      <w:r w:rsidR="0023112F">
        <w:rPr>
          <w:sz w:val="24"/>
        </w:rPr>
        <w:t xml:space="preserve">revealed that, in </w:t>
      </w:r>
      <w:r w:rsidR="0056226A">
        <w:rPr>
          <w:sz w:val="24"/>
        </w:rPr>
        <w:t>‘</w:t>
      </w:r>
      <w:r w:rsidR="0023112F">
        <w:rPr>
          <w:sz w:val="24"/>
        </w:rPr>
        <w:t>bad</w:t>
      </w:r>
      <w:r w:rsidR="0056226A">
        <w:rPr>
          <w:sz w:val="24"/>
        </w:rPr>
        <w:t>’</w:t>
      </w:r>
      <w:r w:rsidR="0023112F">
        <w:rPr>
          <w:sz w:val="24"/>
        </w:rPr>
        <w:t xml:space="preserve"> seasons, </w:t>
      </w:r>
      <w:r w:rsidR="001821D9">
        <w:rPr>
          <w:sz w:val="24"/>
        </w:rPr>
        <w:t xml:space="preserve">the dire economic situation </w:t>
      </w:r>
      <w:r w:rsidR="0023112F">
        <w:rPr>
          <w:sz w:val="24"/>
        </w:rPr>
        <w:t xml:space="preserve">often </w:t>
      </w:r>
      <w:r w:rsidR="00E803F7">
        <w:rPr>
          <w:sz w:val="24"/>
        </w:rPr>
        <w:t>force</w:t>
      </w:r>
      <w:r w:rsidR="001821D9">
        <w:rPr>
          <w:sz w:val="24"/>
        </w:rPr>
        <w:t>s them</w:t>
      </w:r>
      <w:r w:rsidR="00E803F7">
        <w:rPr>
          <w:sz w:val="24"/>
        </w:rPr>
        <w:t xml:space="preserve"> to altruistically bear the responsibility for their</w:t>
      </w:r>
      <w:r w:rsidR="0023112F">
        <w:rPr>
          <w:sz w:val="24"/>
        </w:rPr>
        <w:t xml:space="preserve"> boat crew</w:t>
      </w:r>
      <w:r w:rsidR="00C50191">
        <w:rPr>
          <w:sz w:val="24"/>
        </w:rPr>
        <w:t>s’</w:t>
      </w:r>
      <w:r w:rsidR="0023112F">
        <w:rPr>
          <w:sz w:val="24"/>
        </w:rPr>
        <w:t xml:space="preserve"> and </w:t>
      </w:r>
      <w:r w:rsidR="00170968">
        <w:rPr>
          <w:sz w:val="24"/>
        </w:rPr>
        <w:t>some of their</w:t>
      </w:r>
      <w:r w:rsidR="0023112F">
        <w:rPr>
          <w:sz w:val="24"/>
        </w:rPr>
        <w:t xml:space="preserve"> net draggers</w:t>
      </w:r>
      <w:r w:rsidR="00C50191">
        <w:rPr>
          <w:sz w:val="24"/>
        </w:rPr>
        <w:t>’ subsistence.</w:t>
      </w:r>
      <w:r w:rsidR="001821D9">
        <w:rPr>
          <w:sz w:val="24"/>
        </w:rPr>
        <w:t xml:space="preserve"> </w:t>
      </w:r>
      <w:r w:rsidR="00C167B8">
        <w:rPr>
          <w:sz w:val="24"/>
        </w:rPr>
        <w:t xml:space="preserve">This finding has utility in the design and equitable distribution of adaptation interventions. </w:t>
      </w:r>
      <w:r w:rsidR="004E75E1">
        <w:rPr>
          <w:sz w:val="24"/>
        </w:rPr>
        <w:t xml:space="preserve">It shows that </w:t>
      </w:r>
      <w:r w:rsidR="00E12883">
        <w:rPr>
          <w:sz w:val="24"/>
        </w:rPr>
        <w:t xml:space="preserve">adaption </w:t>
      </w:r>
      <w:r w:rsidR="00C87B0E">
        <w:rPr>
          <w:sz w:val="24"/>
        </w:rPr>
        <w:t>support interventions should not focus predominantly on th</w:t>
      </w:r>
      <w:r w:rsidR="00C167B8" w:rsidRPr="00074B2B">
        <w:rPr>
          <w:sz w:val="24"/>
        </w:rPr>
        <w:t xml:space="preserve">e poorest and </w:t>
      </w:r>
      <w:r w:rsidR="00C167B8">
        <w:rPr>
          <w:sz w:val="24"/>
        </w:rPr>
        <w:t xml:space="preserve">often </w:t>
      </w:r>
      <w:r w:rsidR="00C167B8" w:rsidRPr="00074B2B">
        <w:rPr>
          <w:sz w:val="24"/>
        </w:rPr>
        <w:t>most vulnerable</w:t>
      </w:r>
      <w:r w:rsidR="00C87B0E">
        <w:rPr>
          <w:sz w:val="24"/>
        </w:rPr>
        <w:t xml:space="preserve"> </w:t>
      </w:r>
      <w:r w:rsidR="00C87B0E">
        <w:rPr>
          <w:sz w:val="24"/>
        </w:rPr>
        <w:fldChar w:fldCharType="begin" w:fldLock="1"/>
      </w:r>
      <w:r w:rsidR="00FC52F5">
        <w:rPr>
          <w:sz w:val="24"/>
        </w:rPr>
        <w:instrText>ADDIN CSL_CITATION {"citationItems":[{"id":"ITEM-1","itemData":{"DOI":"10.1038/d41586-019-01497-9","ISSN":"0028-0836","author":[{"dropping-particle":"","family":"Pelling","given":"Mark","non-dropping-particle":"","parse-names":false,"suffix":""},{"dropping-particle":"","family":"Garschagen","given":"Matthias","non-dropping-particle":"","parse-names":false,"suffix":""}],"container-title":"Nature","id":"ITEM-1","issue":"7756","issued":{"date-parts":[["2019","5","14"]]},"page":"327-329","title":"Put equity first in climate adaptation","type":"article-journal","volume":"569"},"uris":["http://www.mendeley.com/documents/?uuid=99a5e705-a606-4c0f-9f8d-ae3c951d0565"]},{"id":"ITEM-2","itemData":{"ISSN":"13552074","author":[{"dropping-particle":"","family":"Denton","given":"Fatma","non-dropping-particle":"","parse-names":false,"suffix":""}],"container-title":"Gender and Development","id":"ITEM-2","issue":"2","issued":{"date-parts":[["2002"]]},"note":"Accession Number: edsjsr.4030569; Publication Type: Academic Journal; Source: Gender and Development; Language: English; Publication Date: 20020701; Rights: Copyright 2002 Oxfam GB; Imprint: Oxfam, 2002.","page":"10","publisher":"Oxfam","title":"Climate Change Vulnerability, Impacts, and Adaptation: Why Does Gender Matter?","type":"article-journal","volume":"10"},"uris":["http://www.mendeley.com/documents/?uuid=29b0fb64-b63b-4f1c-b660-34dd02e8c0c1"]}],"mendeley":{"formattedCitation":"[53], [54]","plainTextFormattedCitation":"[53], [54]","previouslyFormattedCitation":"[52], [53]"},"properties":{"noteIndex":0},"schema":"https://github.com/citation-style-language/schema/raw/master/csl-citation.json"}</w:instrText>
      </w:r>
      <w:r w:rsidR="00C87B0E">
        <w:rPr>
          <w:sz w:val="24"/>
        </w:rPr>
        <w:fldChar w:fldCharType="separate"/>
      </w:r>
      <w:r w:rsidR="00FC52F5" w:rsidRPr="00FC52F5">
        <w:rPr>
          <w:noProof/>
          <w:sz w:val="24"/>
        </w:rPr>
        <w:t>[53], [54]</w:t>
      </w:r>
      <w:r w:rsidR="00C87B0E">
        <w:rPr>
          <w:sz w:val="24"/>
        </w:rPr>
        <w:fldChar w:fldCharType="end"/>
      </w:r>
      <w:r w:rsidR="00944A5E">
        <w:rPr>
          <w:sz w:val="24"/>
        </w:rPr>
        <w:t>.</w:t>
      </w:r>
      <w:r w:rsidR="00C167B8" w:rsidRPr="00074B2B">
        <w:rPr>
          <w:sz w:val="24"/>
        </w:rPr>
        <w:t xml:space="preserve"> </w:t>
      </w:r>
      <w:r w:rsidR="00944A5E">
        <w:rPr>
          <w:sz w:val="24"/>
        </w:rPr>
        <w:t>I</w:t>
      </w:r>
      <w:r w:rsidR="00C167B8" w:rsidRPr="00074B2B">
        <w:rPr>
          <w:sz w:val="24"/>
        </w:rPr>
        <w:t xml:space="preserve">t is equally necessary to </w:t>
      </w:r>
      <w:r w:rsidR="00C167B8">
        <w:rPr>
          <w:sz w:val="24"/>
        </w:rPr>
        <w:t>bolster</w:t>
      </w:r>
      <w:r w:rsidR="00C167B8" w:rsidRPr="00074B2B">
        <w:rPr>
          <w:sz w:val="24"/>
        </w:rPr>
        <w:t xml:space="preserve"> the ability of </w:t>
      </w:r>
      <w:r w:rsidR="00C167B8">
        <w:rPr>
          <w:sz w:val="24"/>
        </w:rPr>
        <w:t>the relatively wealthier</w:t>
      </w:r>
      <w:r w:rsidR="0070391A">
        <w:rPr>
          <w:sz w:val="24"/>
        </w:rPr>
        <w:t>,</w:t>
      </w:r>
      <w:r w:rsidR="00C167B8">
        <w:rPr>
          <w:sz w:val="24"/>
        </w:rPr>
        <w:t xml:space="preserve"> </w:t>
      </w:r>
      <w:r w:rsidR="00C167B8" w:rsidRPr="00074B2B">
        <w:rPr>
          <w:sz w:val="24"/>
        </w:rPr>
        <w:t xml:space="preserve">who </w:t>
      </w:r>
      <w:r w:rsidR="00C167B8">
        <w:rPr>
          <w:sz w:val="24"/>
        </w:rPr>
        <w:t xml:space="preserve">also often </w:t>
      </w:r>
      <w:r w:rsidR="00C167B8" w:rsidRPr="00074B2B">
        <w:rPr>
          <w:sz w:val="24"/>
        </w:rPr>
        <w:t>have bigger responsibilities of care</w:t>
      </w:r>
      <w:r w:rsidR="0070391A">
        <w:rPr>
          <w:sz w:val="24"/>
        </w:rPr>
        <w:t xml:space="preserve"> within the community</w:t>
      </w:r>
      <w:r w:rsidR="00C167B8">
        <w:rPr>
          <w:sz w:val="24"/>
        </w:rPr>
        <w:t xml:space="preserve">. </w:t>
      </w:r>
    </w:p>
    <w:p w14:paraId="60F71451" w14:textId="571643EA" w:rsidR="00ED1DC7" w:rsidRPr="00ED1DC7" w:rsidRDefault="00ED1DC7" w:rsidP="00ED1DC7">
      <w:pPr>
        <w:pStyle w:val="Caption"/>
        <w:keepNext/>
        <w:spacing w:after="0"/>
        <w:rPr>
          <w:sz w:val="24"/>
        </w:rPr>
      </w:pPr>
      <w:r w:rsidRPr="00ED1DC7">
        <w:rPr>
          <w:sz w:val="24"/>
        </w:rPr>
        <w:lastRenderedPageBreak/>
        <w:t xml:space="preserve">Table </w:t>
      </w:r>
      <w:r w:rsidRPr="00ED1DC7">
        <w:rPr>
          <w:sz w:val="24"/>
        </w:rPr>
        <w:fldChar w:fldCharType="begin"/>
      </w:r>
      <w:r w:rsidRPr="00ED1DC7">
        <w:rPr>
          <w:sz w:val="24"/>
        </w:rPr>
        <w:instrText xml:space="preserve"> SEQ Table \* ARABIC </w:instrText>
      </w:r>
      <w:r w:rsidRPr="00ED1DC7">
        <w:rPr>
          <w:sz w:val="24"/>
        </w:rPr>
        <w:fldChar w:fldCharType="separate"/>
      </w:r>
      <w:r w:rsidR="001E46DE">
        <w:rPr>
          <w:noProof/>
          <w:sz w:val="24"/>
        </w:rPr>
        <w:t>5</w:t>
      </w:r>
      <w:r w:rsidRPr="00ED1DC7">
        <w:rPr>
          <w:sz w:val="24"/>
        </w:rPr>
        <w:fldChar w:fldCharType="end"/>
      </w:r>
      <w:r w:rsidRPr="00ED1DC7">
        <w:rPr>
          <w:sz w:val="24"/>
        </w:rPr>
        <w:t>:</w:t>
      </w:r>
      <w:r w:rsidR="00DD2A48">
        <w:rPr>
          <w:sz w:val="24"/>
        </w:rPr>
        <w:t xml:space="preserve"> </w:t>
      </w:r>
      <w:r w:rsidR="00386161">
        <w:rPr>
          <w:sz w:val="24"/>
        </w:rPr>
        <w:t>Statistical d</w:t>
      </w:r>
      <w:r w:rsidRPr="00ED1DC7">
        <w:rPr>
          <w:sz w:val="24"/>
        </w:rPr>
        <w:t xml:space="preserve">ifferences in fishing household vulnerability </w:t>
      </w:r>
      <w:r w:rsidR="00386161">
        <w:rPr>
          <w:sz w:val="24"/>
        </w:rPr>
        <w:t xml:space="preserve">based on </w:t>
      </w:r>
      <w:r w:rsidR="003876DE">
        <w:rPr>
          <w:sz w:val="24"/>
        </w:rPr>
        <w:t xml:space="preserve">household </w:t>
      </w:r>
      <w:r w:rsidR="000D7EC5">
        <w:rPr>
          <w:sz w:val="24"/>
        </w:rPr>
        <w:t>categorisation</w:t>
      </w:r>
    </w:p>
    <w:tbl>
      <w:tblPr>
        <w:tblStyle w:val="ListTable6Colorful1"/>
        <w:tblW w:w="7371" w:type="dxa"/>
        <w:tblLayout w:type="fixed"/>
        <w:tblLook w:val="0000" w:firstRow="0" w:lastRow="0" w:firstColumn="0" w:lastColumn="0" w:noHBand="0" w:noVBand="0"/>
      </w:tblPr>
      <w:tblGrid>
        <w:gridCol w:w="1134"/>
        <w:gridCol w:w="448"/>
        <w:gridCol w:w="1742"/>
        <w:gridCol w:w="2205"/>
        <w:gridCol w:w="1842"/>
      </w:tblGrid>
      <w:tr w:rsidR="00022D3A" w:rsidRPr="000400EB" w14:paraId="103B6FFF" w14:textId="77777777" w:rsidTr="00565EA5">
        <w:trPr>
          <w:cnfStyle w:val="000000100000" w:firstRow="0" w:lastRow="0" w:firstColumn="0" w:lastColumn="0" w:oddVBand="0" w:evenVBand="0" w:oddHBand="1" w:evenHBand="0" w:firstRowFirstColumn="0" w:firstRowLastColumn="0" w:lastRowFirstColumn="0" w:lastRowLastColumn="0"/>
          <w:trHeight w:val="317"/>
        </w:trPr>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000000" w:themeColor="text1"/>
              <w:bottom w:val="single" w:sz="4" w:space="0" w:color="auto"/>
            </w:tcBorders>
            <w:shd w:val="clear" w:color="auto" w:fill="auto"/>
          </w:tcPr>
          <w:p w14:paraId="01D34949" w14:textId="0BC41CA1" w:rsidR="00022D3A" w:rsidRPr="00BA3D00" w:rsidRDefault="00022D3A" w:rsidP="00721F30">
            <w:pPr>
              <w:autoSpaceDE w:val="0"/>
              <w:autoSpaceDN w:val="0"/>
              <w:adjustRightInd w:val="0"/>
              <w:spacing w:line="320" w:lineRule="atLeast"/>
              <w:ind w:left="60" w:right="60"/>
              <w:jc w:val="center"/>
              <w:rPr>
                <w:rFonts w:cstheme="minorHAnsi"/>
                <w:sz w:val="24"/>
                <w:szCs w:val="24"/>
              </w:rPr>
            </w:pPr>
            <w:r w:rsidRPr="00BA3D00">
              <w:rPr>
                <w:rFonts w:cstheme="minorHAnsi"/>
                <w:sz w:val="24"/>
                <w:szCs w:val="24"/>
              </w:rPr>
              <w:t>Season</w:t>
            </w:r>
          </w:p>
        </w:tc>
        <w:tc>
          <w:tcPr>
            <w:tcW w:w="448" w:type="dxa"/>
            <w:tcBorders>
              <w:top w:val="single" w:sz="4" w:space="0" w:color="000000" w:themeColor="text1"/>
              <w:bottom w:val="nil"/>
            </w:tcBorders>
            <w:shd w:val="clear" w:color="auto" w:fill="auto"/>
          </w:tcPr>
          <w:p w14:paraId="21AF318A" w14:textId="77777777" w:rsidR="00022D3A" w:rsidRPr="000400EB" w:rsidRDefault="00022D3A" w:rsidP="00721F30">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cnfStyle w:val="000010000000" w:firstRow="0" w:lastRow="0" w:firstColumn="0" w:lastColumn="0" w:oddVBand="1" w:evenVBand="0" w:oddHBand="0" w:evenHBand="0" w:firstRowFirstColumn="0" w:firstRowLastColumn="0" w:lastRowFirstColumn="0" w:lastRowLastColumn="0"/>
            <w:tcW w:w="5789" w:type="dxa"/>
            <w:gridSpan w:val="3"/>
            <w:tcBorders>
              <w:top w:val="single" w:sz="4" w:space="0" w:color="000000" w:themeColor="text1"/>
              <w:bottom w:val="single" w:sz="4" w:space="0" w:color="auto"/>
            </w:tcBorders>
            <w:shd w:val="clear" w:color="auto" w:fill="auto"/>
          </w:tcPr>
          <w:p w14:paraId="463C3EA1" w14:textId="77777777" w:rsidR="00022D3A" w:rsidRPr="009F001F" w:rsidRDefault="00022D3A" w:rsidP="00721F30">
            <w:pPr>
              <w:autoSpaceDE w:val="0"/>
              <w:autoSpaceDN w:val="0"/>
              <w:adjustRightInd w:val="0"/>
              <w:spacing w:line="320" w:lineRule="atLeast"/>
              <w:ind w:left="60" w:right="60"/>
              <w:jc w:val="center"/>
              <w:rPr>
                <w:rFonts w:cstheme="minorHAnsi"/>
                <w:sz w:val="24"/>
                <w:szCs w:val="24"/>
              </w:rPr>
            </w:pPr>
            <w:r w:rsidRPr="009F001F">
              <w:rPr>
                <w:rFonts w:cstheme="minorHAnsi"/>
                <w:sz w:val="24"/>
                <w:szCs w:val="24"/>
              </w:rPr>
              <w:t>Vulnerability (p-value)</w:t>
            </w:r>
          </w:p>
        </w:tc>
      </w:tr>
      <w:tr w:rsidR="00DD0147" w:rsidRPr="000400EB" w14:paraId="44AAFF8A" w14:textId="77777777" w:rsidTr="00565EA5">
        <w:trPr>
          <w:trHeight w:val="317"/>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bottom w:val="nil"/>
            </w:tcBorders>
            <w:shd w:val="clear" w:color="auto" w:fill="auto"/>
          </w:tcPr>
          <w:p w14:paraId="53444461" w14:textId="77777777" w:rsidR="00022D3A" w:rsidRPr="000400EB" w:rsidRDefault="00022D3A" w:rsidP="00721F30">
            <w:pPr>
              <w:autoSpaceDE w:val="0"/>
              <w:autoSpaceDN w:val="0"/>
              <w:adjustRightInd w:val="0"/>
              <w:spacing w:line="320" w:lineRule="atLeast"/>
              <w:ind w:left="60" w:right="60"/>
              <w:jc w:val="center"/>
              <w:rPr>
                <w:rFonts w:cstheme="minorHAnsi"/>
                <w:sz w:val="24"/>
                <w:szCs w:val="24"/>
              </w:rPr>
            </w:pPr>
          </w:p>
        </w:tc>
        <w:tc>
          <w:tcPr>
            <w:tcW w:w="0" w:type="dxa"/>
            <w:tcBorders>
              <w:top w:val="nil"/>
              <w:bottom w:val="nil"/>
            </w:tcBorders>
            <w:shd w:val="clear" w:color="auto" w:fill="auto"/>
          </w:tcPr>
          <w:p w14:paraId="7D0026A9" w14:textId="77777777" w:rsidR="00022D3A" w:rsidRPr="000400EB" w:rsidRDefault="00022D3A" w:rsidP="00721F30">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bottom w:val="single" w:sz="4" w:space="0" w:color="auto"/>
            </w:tcBorders>
            <w:shd w:val="clear" w:color="auto" w:fill="auto"/>
          </w:tcPr>
          <w:p w14:paraId="411278FC" w14:textId="77777777" w:rsidR="00022D3A" w:rsidRPr="000400EB" w:rsidRDefault="00022D3A" w:rsidP="00721F30">
            <w:pPr>
              <w:autoSpaceDE w:val="0"/>
              <w:autoSpaceDN w:val="0"/>
              <w:adjustRightInd w:val="0"/>
              <w:spacing w:line="320" w:lineRule="atLeast"/>
              <w:ind w:left="60" w:right="60"/>
              <w:jc w:val="center"/>
              <w:rPr>
                <w:rFonts w:cstheme="minorHAnsi"/>
                <w:sz w:val="24"/>
                <w:szCs w:val="24"/>
              </w:rPr>
            </w:pPr>
            <w:r w:rsidRPr="000400EB">
              <w:rPr>
                <w:rFonts w:cstheme="minorHAnsi"/>
                <w:sz w:val="24"/>
                <w:szCs w:val="24"/>
              </w:rPr>
              <w:t>Economic classes</w:t>
            </w:r>
          </w:p>
        </w:tc>
        <w:tc>
          <w:tcPr>
            <w:tcW w:w="0" w:type="dxa"/>
            <w:tcBorders>
              <w:top w:val="single" w:sz="4" w:space="0" w:color="auto"/>
              <w:bottom w:val="single" w:sz="4" w:space="0" w:color="auto"/>
            </w:tcBorders>
            <w:shd w:val="clear" w:color="auto" w:fill="auto"/>
          </w:tcPr>
          <w:p w14:paraId="7CB838E7" w14:textId="64E78A9E" w:rsidR="00022D3A" w:rsidRPr="000400EB" w:rsidRDefault="00022D3A" w:rsidP="00721F30">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G</w:t>
            </w:r>
            <w:r w:rsidRPr="000400EB">
              <w:rPr>
                <w:rFonts w:cstheme="minorHAnsi"/>
                <w:sz w:val="24"/>
                <w:szCs w:val="24"/>
              </w:rPr>
              <w:t>ender</w:t>
            </w:r>
            <w:r>
              <w:rPr>
                <w:rFonts w:cstheme="minorHAnsi"/>
                <w:sz w:val="24"/>
                <w:szCs w:val="24"/>
              </w:rPr>
              <w:t xml:space="preserve"> of</w:t>
            </w:r>
            <w:r w:rsidRPr="000400EB">
              <w:rPr>
                <w:rFonts w:cstheme="minorHAnsi"/>
                <w:sz w:val="24"/>
                <w:szCs w:val="24"/>
              </w:rPr>
              <w:t xml:space="preserve"> Household-head</w:t>
            </w:r>
          </w:p>
        </w:tc>
        <w:tc>
          <w:tcPr>
            <w:cnfStyle w:val="000010000000" w:firstRow="0" w:lastRow="0" w:firstColumn="0" w:lastColumn="0" w:oddVBand="1" w:evenVBand="0" w:oddHBand="0" w:evenHBand="0" w:firstRowFirstColumn="0" w:firstRowLastColumn="0" w:lastRowFirstColumn="0" w:lastRowLastColumn="0"/>
            <w:tcW w:w="1842" w:type="dxa"/>
            <w:tcBorders>
              <w:top w:val="single" w:sz="4" w:space="0" w:color="auto"/>
              <w:bottom w:val="single" w:sz="4" w:space="0" w:color="auto"/>
            </w:tcBorders>
            <w:shd w:val="clear" w:color="auto" w:fill="auto"/>
          </w:tcPr>
          <w:p w14:paraId="426C028F" w14:textId="77777777" w:rsidR="00022D3A" w:rsidRPr="000400EB" w:rsidRDefault="00022D3A" w:rsidP="00721F30">
            <w:pPr>
              <w:autoSpaceDE w:val="0"/>
              <w:autoSpaceDN w:val="0"/>
              <w:adjustRightInd w:val="0"/>
              <w:spacing w:line="320" w:lineRule="atLeast"/>
              <w:ind w:left="60" w:right="60"/>
              <w:jc w:val="center"/>
              <w:rPr>
                <w:rFonts w:cstheme="minorHAnsi"/>
                <w:sz w:val="24"/>
                <w:szCs w:val="24"/>
              </w:rPr>
            </w:pPr>
            <w:r>
              <w:rPr>
                <w:rFonts w:cstheme="minorHAnsi"/>
                <w:sz w:val="24"/>
                <w:szCs w:val="24"/>
              </w:rPr>
              <w:t>Vulnerability group</w:t>
            </w:r>
          </w:p>
        </w:tc>
      </w:tr>
      <w:tr w:rsidR="00DD0147" w:rsidRPr="000400EB" w14:paraId="3B4F3CA7" w14:textId="77777777" w:rsidTr="00DD0147">
        <w:trPr>
          <w:cnfStyle w:val="000000100000" w:firstRow="0" w:lastRow="0" w:firstColumn="0" w:lastColumn="0" w:oddVBand="0" w:evenVBand="0" w:oddHBand="1" w:evenHBand="0" w:firstRowFirstColumn="0" w:firstRowLastColumn="0" w:lastRowFirstColumn="0" w:lastRowLastColumn="0"/>
          <w:trHeight w:val="317"/>
        </w:trPr>
        <w:tc>
          <w:tcPr>
            <w:cnfStyle w:val="000010000000" w:firstRow="0" w:lastRow="0" w:firstColumn="0" w:lastColumn="0" w:oddVBand="1" w:evenVBand="0" w:oddHBand="0" w:evenHBand="0" w:firstRowFirstColumn="0" w:firstRowLastColumn="0" w:lastRowFirstColumn="0" w:lastRowLastColumn="0"/>
            <w:tcW w:w="1134" w:type="dxa"/>
            <w:tcBorders>
              <w:top w:val="nil"/>
              <w:bottom w:val="nil"/>
            </w:tcBorders>
            <w:shd w:val="clear" w:color="auto" w:fill="auto"/>
          </w:tcPr>
          <w:p w14:paraId="6F1A37EF" w14:textId="77777777" w:rsidR="00022D3A" w:rsidRPr="000400EB" w:rsidRDefault="00022D3A" w:rsidP="00721F30">
            <w:pPr>
              <w:autoSpaceDE w:val="0"/>
              <w:autoSpaceDN w:val="0"/>
              <w:adjustRightInd w:val="0"/>
              <w:spacing w:line="320" w:lineRule="atLeast"/>
              <w:ind w:left="60" w:right="60"/>
              <w:jc w:val="center"/>
              <w:rPr>
                <w:rFonts w:cstheme="minorHAnsi"/>
                <w:sz w:val="24"/>
                <w:szCs w:val="24"/>
              </w:rPr>
            </w:pPr>
            <w:bookmarkStart w:id="10" w:name="_Hlk11771167"/>
            <w:r w:rsidRPr="000400EB">
              <w:rPr>
                <w:rFonts w:cstheme="minorHAnsi"/>
                <w:sz w:val="24"/>
                <w:szCs w:val="24"/>
              </w:rPr>
              <w:t>Good</w:t>
            </w:r>
          </w:p>
        </w:tc>
        <w:tc>
          <w:tcPr>
            <w:tcW w:w="448" w:type="dxa"/>
            <w:tcBorders>
              <w:top w:val="nil"/>
              <w:bottom w:val="nil"/>
            </w:tcBorders>
            <w:shd w:val="clear" w:color="auto" w:fill="auto"/>
          </w:tcPr>
          <w:p w14:paraId="5BE0ADC1" w14:textId="77777777" w:rsidR="00022D3A" w:rsidRPr="000400EB" w:rsidRDefault="00022D3A" w:rsidP="00721F30">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1742" w:type="dxa"/>
            <w:tcBorders>
              <w:top w:val="single" w:sz="4" w:space="0" w:color="auto"/>
              <w:bottom w:val="nil"/>
            </w:tcBorders>
            <w:shd w:val="clear" w:color="auto" w:fill="auto"/>
          </w:tcPr>
          <w:p w14:paraId="4512AD6A" w14:textId="77777777" w:rsidR="00022D3A" w:rsidRPr="000400EB" w:rsidRDefault="00022D3A" w:rsidP="00721F30">
            <w:pPr>
              <w:autoSpaceDE w:val="0"/>
              <w:autoSpaceDN w:val="0"/>
              <w:adjustRightInd w:val="0"/>
              <w:spacing w:line="320" w:lineRule="atLeast"/>
              <w:ind w:left="60" w:right="60"/>
              <w:jc w:val="center"/>
              <w:rPr>
                <w:rFonts w:cstheme="minorHAnsi"/>
                <w:sz w:val="24"/>
                <w:szCs w:val="24"/>
              </w:rPr>
            </w:pPr>
            <w:r w:rsidRPr="000400EB">
              <w:rPr>
                <w:rFonts w:cstheme="minorHAnsi"/>
                <w:sz w:val="24"/>
                <w:szCs w:val="24"/>
              </w:rPr>
              <w:t>.07</w:t>
            </w:r>
          </w:p>
        </w:tc>
        <w:tc>
          <w:tcPr>
            <w:tcW w:w="2205" w:type="dxa"/>
            <w:tcBorders>
              <w:top w:val="single" w:sz="4" w:space="0" w:color="auto"/>
              <w:bottom w:val="nil"/>
            </w:tcBorders>
            <w:shd w:val="clear" w:color="auto" w:fill="auto"/>
          </w:tcPr>
          <w:p w14:paraId="789387B5" w14:textId="77777777" w:rsidR="00022D3A" w:rsidRPr="000400EB" w:rsidRDefault="00022D3A" w:rsidP="00721F30">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400EB">
              <w:rPr>
                <w:rFonts w:cstheme="minorHAnsi"/>
                <w:sz w:val="24"/>
                <w:szCs w:val="24"/>
              </w:rPr>
              <w:t>.</w:t>
            </w:r>
            <w:r>
              <w:rPr>
                <w:rFonts w:cstheme="minorHAnsi"/>
                <w:sz w:val="24"/>
                <w:szCs w:val="24"/>
              </w:rPr>
              <w:t>40</w:t>
            </w:r>
          </w:p>
        </w:tc>
        <w:tc>
          <w:tcPr>
            <w:cnfStyle w:val="000010000000" w:firstRow="0" w:lastRow="0" w:firstColumn="0" w:lastColumn="0" w:oddVBand="1" w:evenVBand="0" w:oddHBand="0" w:evenHBand="0" w:firstRowFirstColumn="0" w:firstRowLastColumn="0" w:lastRowFirstColumn="0" w:lastRowLastColumn="0"/>
            <w:tcW w:w="1842" w:type="dxa"/>
            <w:tcBorders>
              <w:top w:val="single" w:sz="4" w:space="0" w:color="auto"/>
              <w:bottom w:val="nil"/>
            </w:tcBorders>
            <w:shd w:val="clear" w:color="auto" w:fill="auto"/>
          </w:tcPr>
          <w:p w14:paraId="4ECA208A" w14:textId="77777777" w:rsidR="00022D3A" w:rsidRPr="000400EB" w:rsidRDefault="00022D3A" w:rsidP="00721F30">
            <w:pPr>
              <w:autoSpaceDE w:val="0"/>
              <w:autoSpaceDN w:val="0"/>
              <w:adjustRightInd w:val="0"/>
              <w:spacing w:line="320" w:lineRule="atLeast"/>
              <w:ind w:left="60" w:right="60"/>
              <w:jc w:val="center"/>
              <w:rPr>
                <w:rFonts w:cstheme="minorHAnsi"/>
                <w:sz w:val="24"/>
                <w:szCs w:val="24"/>
              </w:rPr>
            </w:pPr>
            <w:r w:rsidRPr="000400EB">
              <w:rPr>
                <w:rFonts w:cstheme="minorHAnsi"/>
                <w:sz w:val="24"/>
                <w:szCs w:val="24"/>
              </w:rPr>
              <w:t>.</w:t>
            </w:r>
            <w:r>
              <w:rPr>
                <w:rFonts w:cstheme="minorHAnsi"/>
                <w:sz w:val="24"/>
                <w:szCs w:val="24"/>
              </w:rPr>
              <w:t>01</w:t>
            </w:r>
          </w:p>
        </w:tc>
      </w:tr>
      <w:bookmarkEnd w:id="10"/>
      <w:tr w:rsidR="00022D3A" w:rsidRPr="000400EB" w14:paraId="729D32E7" w14:textId="77777777" w:rsidTr="00565EA5">
        <w:trPr>
          <w:trHeight w:val="317"/>
        </w:trPr>
        <w:tc>
          <w:tcPr>
            <w:cnfStyle w:val="000010000000" w:firstRow="0" w:lastRow="0" w:firstColumn="0" w:lastColumn="0" w:oddVBand="1" w:evenVBand="0" w:oddHBand="0" w:evenHBand="0" w:firstRowFirstColumn="0" w:firstRowLastColumn="0" w:lastRowFirstColumn="0" w:lastRowLastColumn="0"/>
            <w:tcW w:w="1134" w:type="dxa"/>
            <w:tcBorders>
              <w:top w:val="nil"/>
            </w:tcBorders>
            <w:shd w:val="clear" w:color="auto" w:fill="auto"/>
          </w:tcPr>
          <w:p w14:paraId="69D6A96F" w14:textId="77777777" w:rsidR="00022D3A" w:rsidRPr="000400EB" w:rsidRDefault="00022D3A" w:rsidP="00721F30">
            <w:pPr>
              <w:autoSpaceDE w:val="0"/>
              <w:autoSpaceDN w:val="0"/>
              <w:adjustRightInd w:val="0"/>
              <w:spacing w:line="320" w:lineRule="atLeast"/>
              <w:ind w:left="60" w:right="60"/>
              <w:jc w:val="center"/>
              <w:rPr>
                <w:rFonts w:cstheme="minorHAnsi"/>
                <w:sz w:val="24"/>
                <w:szCs w:val="24"/>
              </w:rPr>
            </w:pPr>
            <w:r w:rsidRPr="000400EB">
              <w:rPr>
                <w:rFonts w:cstheme="minorHAnsi"/>
                <w:sz w:val="24"/>
                <w:szCs w:val="24"/>
              </w:rPr>
              <w:t>Bad</w:t>
            </w:r>
          </w:p>
        </w:tc>
        <w:tc>
          <w:tcPr>
            <w:tcW w:w="448" w:type="dxa"/>
            <w:tcBorders>
              <w:top w:val="nil"/>
            </w:tcBorders>
          </w:tcPr>
          <w:p w14:paraId="6B2EEE33" w14:textId="77777777" w:rsidR="00022D3A" w:rsidRPr="000400EB" w:rsidRDefault="00022D3A" w:rsidP="00721F30">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1742" w:type="dxa"/>
            <w:tcBorders>
              <w:top w:val="nil"/>
            </w:tcBorders>
            <w:shd w:val="clear" w:color="auto" w:fill="auto"/>
          </w:tcPr>
          <w:p w14:paraId="5E1151D3" w14:textId="77777777" w:rsidR="00022D3A" w:rsidRPr="000400EB" w:rsidRDefault="00022D3A" w:rsidP="00721F30">
            <w:pPr>
              <w:autoSpaceDE w:val="0"/>
              <w:autoSpaceDN w:val="0"/>
              <w:adjustRightInd w:val="0"/>
              <w:spacing w:line="320" w:lineRule="atLeast"/>
              <w:ind w:left="60" w:right="60"/>
              <w:jc w:val="center"/>
              <w:rPr>
                <w:rFonts w:cstheme="minorHAnsi"/>
                <w:sz w:val="24"/>
                <w:szCs w:val="24"/>
              </w:rPr>
            </w:pPr>
            <w:r w:rsidRPr="000400EB">
              <w:rPr>
                <w:rFonts w:cstheme="minorHAnsi"/>
                <w:sz w:val="24"/>
                <w:szCs w:val="24"/>
              </w:rPr>
              <w:t>.16</w:t>
            </w:r>
          </w:p>
        </w:tc>
        <w:tc>
          <w:tcPr>
            <w:tcW w:w="2205" w:type="dxa"/>
            <w:tcBorders>
              <w:top w:val="nil"/>
            </w:tcBorders>
            <w:shd w:val="clear" w:color="auto" w:fill="auto"/>
          </w:tcPr>
          <w:p w14:paraId="597CF4B4" w14:textId="77777777" w:rsidR="00022D3A" w:rsidRPr="000400EB" w:rsidRDefault="00022D3A" w:rsidP="00721F30">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400EB">
              <w:rPr>
                <w:rFonts w:cstheme="minorHAnsi"/>
                <w:sz w:val="24"/>
                <w:szCs w:val="24"/>
              </w:rPr>
              <w:t>.</w:t>
            </w:r>
            <w:r>
              <w:rPr>
                <w:rFonts w:cstheme="minorHAnsi"/>
                <w:sz w:val="24"/>
                <w:szCs w:val="24"/>
              </w:rPr>
              <w:t>50</w:t>
            </w:r>
          </w:p>
        </w:tc>
        <w:tc>
          <w:tcPr>
            <w:cnfStyle w:val="000010000000" w:firstRow="0" w:lastRow="0" w:firstColumn="0" w:lastColumn="0" w:oddVBand="1" w:evenVBand="0" w:oddHBand="0" w:evenHBand="0" w:firstRowFirstColumn="0" w:firstRowLastColumn="0" w:lastRowFirstColumn="0" w:lastRowLastColumn="0"/>
            <w:tcW w:w="1842" w:type="dxa"/>
            <w:tcBorders>
              <w:top w:val="nil"/>
            </w:tcBorders>
            <w:shd w:val="clear" w:color="auto" w:fill="auto"/>
          </w:tcPr>
          <w:p w14:paraId="29C48132" w14:textId="77777777" w:rsidR="00022D3A" w:rsidRPr="000400EB" w:rsidRDefault="00022D3A" w:rsidP="00721F30">
            <w:pPr>
              <w:autoSpaceDE w:val="0"/>
              <w:autoSpaceDN w:val="0"/>
              <w:adjustRightInd w:val="0"/>
              <w:spacing w:line="320" w:lineRule="atLeast"/>
              <w:ind w:left="60" w:right="60"/>
              <w:jc w:val="center"/>
              <w:rPr>
                <w:rFonts w:cstheme="minorHAnsi"/>
                <w:sz w:val="24"/>
                <w:szCs w:val="24"/>
              </w:rPr>
            </w:pPr>
            <w:r w:rsidRPr="000400EB">
              <w:rPr>
                <w:rFonts w:cstheme="minorHAnsi"/>
                <w:sz w:val="24"/>
                <w:szCs w:val="24"/>
              </w:rPr>
              <w:t>.</w:t>
            </w:r>
            <w:r>
              <w:rPr>
                <w:rFonts w:cstheme="minorHAnsi"/>
                <w:sz w:val="24"/>
                <w:szCs w:val="24"/>
              </w:rPr>
              <w:t>01</w:t>
            </w:r>
          </w:p>
        </w:tc>
      </w:tr>
    </w:tbl>
    <w:p w14:paraId="13B6BCA9" w14:textId="6C4B9A0D" w:rsidR="008826AC" w:rsidRDefault="008826AC" w:rsidP="008826AC">
      <w:pPr>
        <w:autoSpaceDE w:val="0"/>
        <w:autoSpaceDN w:val="0"/>
        <w:adjustRightInd w:val="0"/>
        <w:spacing w:line="240" w:lineRule="auto"/>
        <w:jc w:val="both"/>
        <w:rPr>
          <w:rFonts w:cstheme="minorHAnsi"/>
          <w:sz w:val="18"/>
          <w:szCs w:val="18"/>
        </w:rPr>
      </w:pPr>
      <w:r w:rsidRPr="0043740C">
        <w:rPr>
          <w:rFonts w:cstheme="minorHAnsi"/>
          <w:sz w:val="18"/>
          <w:szCs w:val="18"/>
        </w:rPr>
        <w:t>Economic classes (net owner, boat crew, net dragger, fish monger, petty trader, other occupation); Gender (male or female household-head)</w:t>
      </w:r>
      <w:r w:rsidR="00743A3D">
        <w:rPr>
          <w:rFonts w:cstheme="minorHAnsi"/>
          <w:sz w:val="18"/>
          <w:szCs w:val="18"/>
        </w:rPr>
        <w:t>; Vulnerability group (</w:t>
      </w:r>
      <w:r w:rsidR="00437247">
        <w:rPr>
          <w:rFonts w:cstheme="minorHAnsi"/>
          <w:sz w:val="18"/>
          <w:szCs w:val="18"/>
        </w:rPr>
        <w:t>L</w:t>
      </w:r>
      <w:r w:rsidR="008E342D">
        <w:rPr>
          <w:rFonts w:cstheme="minorHAnsi"/>
          <w:sz w:val="18"/>
          <w:szCs w:val="18"/>
        </w:rPr>
        <w:t xml:space="preserve">ow, </w:t>
      </w:r>
      <w:r w:rsidR="00437247">
        <w:rPr>
          <w:rFonts w:cstheme="minorHAnsi"/>
          <w:sz w:val="18"/>
          <w:szCs w:val="18"/>
        </w:rPr>
        <w:t>M</w:t>
      </w:r>
      <w:r w:rsidR="008E342D">
        <w:rPr>
          <w:rFonts w:cstheme="minorHAnsi"/>
          <w:sz w:val="18"/>
          <w:szCs w:val="18"/>
        </w:rPr>
        <w:t xml:space="preserve">oderate, </w:t>
      </w:r>
      <w:r w:rsidR="00437247">
        <w:rPr>
          <w:rFonts w:cstheme="minorHAnsi"/>
          <w:sz w:val="18"/>
          <w:szCs w:val="18"/>
        </w:rPr>
        <w:t>H</w:t>
      </w:r>
      <w:r w:rsidR="008E342D">
        <w:rPr>
          <w:rFonts w:cstheme="minorHAnsi"/>
          <w:sz w:val="18"/>
          <w:szCs w:val="18"/>
        </w:rPr>
        <w:t>igh</w:t>
      </w:r>
      <w:r w:rsidR="00743A3D">
        <w:rPr>
          <w:rFonts w:cstheme="minorHAnsi"/>
          <w:sz w:val="18"/>
          <w:szCs w:val="18"/>
        </w:rPr>
        <w:t>)</w:t>
      </w:r>
      <w:r w:rsidR="008E342D">
        <w:rPr>
          <w:rFonts w:cstheme="minorHAnsi"/>
          <w:b/>
          <w:i/>
          <w:sz w:val="18"/>
          <w:szCs w:val="18"/>
        </w:rPr>
        <w:t xml:space="preserve"> </w:t>
      </w:r>
      <w:r w:rsidRPr="0043740C">
        <w:rPr>
          <w:rFonts w:cstheme="minorHAnsi"/>
          <w:sz w:val="18"/>
          <w:szCs w:val="18"/>
        </w:rPr>
        <w:t>(α = 0.05).</w:t>
      </w:r>
    </w:p>
    <w:p w14:paraId="4EBEB272" w14:textId="74E6042B" w:rsidR="00DD2A48" w:rsidRPr="009F001F" w:rsidRDefault="00DD2A48" w:rsidP="00DD2A48">
      <w:pPr>
        <w:pStyle w:val="Caption"/>
        <w:keepNext/>
        <w:spacing w:after="0"/>
        <w:rPr>
          <w:sz w:val="24"/>
        </w:rPr>
      </w:pPr>
      <w:r w:rsidRPr="009F001F">
        <w:rPr>
          <w:sz w:val="24"/>
        </w:rPr>
        <w:t xml:space="preserve">Table </w:t>
      </w:r>
      <w:r w:rsidRPr="009F001F">
        <w:rPr>
          <w:sz w:val="24"/>
        </w:rPr>
        <w:fldChar w:fldCharType="begin"/>
      </w:r>
      <w:r w:rsidRPr="009F001F">
        <w:rPr>
          <w:sz w:val="24"/>
        </w:rPr>
        <w:instrText xml:space="preserve"> SEQ Table \* ARABIC </w:instrText>
      </w:r>
      <w:r w:rsidRPr="009F001F">
        <w:rPr>
          <w:sz w:val="24"/>
        </w:rPr>
        <w:fldChar w:fldCharType="separate"/>
      </w:r>
      <w:r w:rsidR="001E46DE">
        <w:rPr>
          <w:noProof/>
          <w:sz w:val="24"/>
        </w:rPr>
        <w:t>6</w:t>
      </w:r>
      <w:r w:rsidRPr="009F001F">
        <w:rPr>
          <w:sz w:val="24"/>
        </w:rPr>
        <w:fldChar w:fldCharType="end"/>
      </w:r>
      <w:r w:rsidRPr="009F001F">
        <w:rPr>
          <w:sz w:val="24"/>
        </w:rPr>
        <w:t>: Key household characteristics of vulnera</w:t>
      </w:r>
      <w:r>
        <w:rPr>
          <w:sz w:val="24"/>
        </w:rPr>
        <w:t>ble households in the current “bad” season</w:t>
      </w:r>
    </w:p>
    <w:tbl>
      <w:tblPr>
        <w:tblStyle w:val="ListTable21"/>
        <w:tblW w:w="9251" w:type="dxa"/>
        <w:tblInd w:w="0" w:type="dxa"/>
        <w:tblLook w:val="04A0" w:firstRow="1" w:lastRow="0" w:firstColumn="1" w:lastColumn="0" w:noHBand="0" w:noVBand="1"/>
      </w:tblPr>
      <w:tblGrid>
        <w:gridCol w:w="3969"/>
        <w:gridCol w:w="1842"/>
        <w:gridCol w:w="1979"/>
        <w:gridCol w:w="1461"/>
      </w:tblGrid>
      <w:tr w:rsidR="00DD2A48" w:rsidRPr="00785393" w14:paraId="5E94ED05" w14:textId="77777777" w:rsidTr="0072215C">
        <w:trPr>
          <w:cnfStyle w:val="100000000000" w:firstRow="1" w:lastRow="0" w:firstColumn="0" w:lastColumn="0" w:oddVBand="0" w:evenVBand="0" w:oddHBand="0"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666666" w:themeColor="text1" w:themeTint="99"/>
              <w:left w:val="nil"/>
              <w:bottom w:val="nil"/>
              <w:right w:val="nil"/>
            </w:tcBorders>
            <w:shd w:val="clear" w:color="auto" w:fill="auto"/>
          </w:tcPr>
          <w:p w14:paraId="04D09DFA" w14:textId="77777777" w:rsidR="00DD2A48" w:rsidRPr="00785393" w:rsidRDefault="00DD2A48" w:rsidP="00E24748">
            <w:pPr>
              <w:jc w:val="center"/>
              <w:rPr>
                <w:b w:val="0"/>
                <w:sz w:val="24"/>
              </w:rPr>
            </w:pPr>
          </w:p>
        </w:tc>
        <w:tc>
          <w:tcPr>
            <w:tcW w:w="5282" w:type="dxa"/>
            <w:gridSpan w:val="3"/>
            <w:tcBorders>
              <w:top w:val="single" w:sz="4" w:space="0" w:color="666666" w:themeColor="text1" w:themeTint="99"/>
              <w:left w:val="nil"/>
              <w:bottom w:val="single" w:sz="4" w:space="0" w:color="auto"/>
              <w:right w:val="nil"/>
            </w:tcBorders>
            <w:shd w:val="clear" w:color="auto" w:fill="auto"/>
            <w:hideMark/>
          </w:tcPr>
          <w:p w14:paraId="52493C23" w14:textId="77777777" w:rsidR="00DD2A48" w:rsidRPr="00785393" w:rsidRDefault="00DD2A48" w:rsidP="00E24748">
            <w:pPr>
              <w:jc w:val="center"/>
              <w:cnfStyle w:val="100000000000" w:firstRow="1" w:lastRow="0" w:firstColumn="0" w:lastColumn="0" w:oddVBand="0" w:evenVBand="0" w:oddHBand="0" w:evenHBand="0" w:firstRowFirstColumn="0" w:firstRowLastColumn="0" w:lastRowFirstColumn="0" w:lastRowLastColumn="0"/>
              <w:rPr>
                <w:b w:val="0"/>
                <w:sz w:val="24"/>
              </w:rPr>
            </w:pPr>
            <w:r w:rsidRPr="00785393">
              <w:rPr>
                <w:b w:val="0"/>
                <w:sz w:val="24"/>
              </w:rPr>
              <w:t>Vulnerability group</w:t>
            </w:r>
          </w:p>
        </w:tc>
      </w:tr>
      <w:tr w:rsidR="00DD2A48" w:rsidRPr="00785393" w14:paraId="20B63CD7" w14:textId="77777777" w:rsidTr="0072215C">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single" w:sz="4" w:space="0" w:color="auto"/>
              <w:right w:val="nil"/>
            </w:tcBorders>
            <w:shd w:val="clear" w:color="auto" w:fill="auto"/>
            <w:hideMark/>
          </w:tcPr>
          <w:p w14:paraId="1255BEA6" w14:textId="77777777" w:rsidR="00DD2A48" w:rsidRPr="00785393" w:rsidRDefault="00DD2A48" w:rsidP="00E24748">
            <w:pPr>
              <w:rPr>
                <w:b w:val="0"/>
                <w:sz w:val="24"/>
              </w:rPr>
            </w:pPr>
            <w:r w:rsidRPr="00785393">
              <w:rPr>
                <w:b w:val="0"/>
                <w:sz w:val="24"/>
              </w:rPr>
              <w:t>Characteristics</w:t>
            </w:r>
          </w:p>
        </w:tc>
        <w:tc>
          <w:tcPr>
            <w:tcW w:w="1842" w:type="dxa"/>
            <w:tcBorders>
              <w:top w:val="single" w:sz="4" w:space="0" w:color="auto"/>
              <w:left w:val="nil"/>
              <w:bottom w:val="single" w:sz="4" w:space="0" w:color="auto"/>
              <w:right w:val="nil"/>
            </w:tcBorders>
            <w:shd w:val="clear" w:color="auto" w:fill="auto"/>
            <w:hideMark/>
          </w:tcPr>
          <w:p w14:paraId="7E7F9402" w14:textId="77777777" w:rsidR="00DD2A48" w:rsidRPr="00785393" w:rsidRDefault="00DD2A48" w:rsidP="00E24748">
            <w:pPr>
              <w:cnfStyle w:val="000000100000" w:firstRow="0" w:lastRow="0" w:firstColumn="0" w:lastColumn="0" w:oddVBand="0" w:evenVBand="0" w:oddHBand="1" w:evenHBand="0" w:firstRowFirstColumn="0" w:firstRowLastColumn="0" w:lastRowFirstColumn="0" w:lastRowLastColumn="0"/>
              <w:rPr>
                <w:sz w:val="24"/>
              </w:rPr>
            </w:pPr>
            <w:r w:rsidRPr="00785393">
              <w:rPr>
                <w:sz w:val="24"/>
              </w:rPr>
              <w:t>Low</w:t>
            </w:r>
          </w:p>
        </w:tc>
        <w:tc>
          <w:tcPr>
            <w:tcW w:w="1979" w:type="dxa"/>
            <w:tcBorders>
              <w:top w:val="single" w:sz="4" w:space="0" w:color="auto"/>
              <w:left w:val="nil"/>
              <w:bottom w:val="single" w:sz="4" w:space="0" w:color="auto"/>
              <w:right w:val="nil"/>
            </w:tcBorders>
            <w:shd w:val="clear" w:color="auto" w:fill="auto"/>
            <w:hideMark/>
          </w:tcPr>
          <w:p w14:paraId="7F5E0948" w14:textId="77777777" w:rsidR="00DD2A48" w:rsidRPr="00785393" w:rsidRDefault="00DD2A48" w:rsidP="00E24748">
            <w:pPr>
              <w:cnfStyle w:val="000000100000" w:firstRow="0" w:lastRow="0" w:firstColumn="0" w:lastColumn="0" w:oddVBand="0" w:evenVBand="0" w:oddHBand="1" w:evenHBand="0" w:firstRowFirstColumn="0" w:firstRowLastColumn="0" w:lastRowFirstColumn="0" w:lastRowLastColumn="0"/>
              <w:rPr>
                <w:sz w:val="24"/>
              </w:rPr>
            </w:pPr>
            <w:r w:rsidRPr="00785393">
              <w:rPr>
                <w:sz w:val="24"/>
              </w:rPr>
              <w:t>M</w:t>
            </w:r>
            <w:r>
              <w:rPr>
                <w:sz w:val="24"/>
              </w:rPr>
              <w:t>oderate</w:t>
            </w:r>
          </w:p>
        </w:tc>
        <w:tc>
          <w:tcPr>
            <w:tcW w:w="1461" w:type="dxa"/>
            <w:tcBorders>
              <w:top w:val="single" w:sz="4" w:space="0" w:color="auto"/>
              <w:left w:val="nil"/>
              <w:bottom w:val="single" w:sz="4" w:space="0" w:color="auto"/>
              <w:right w:val="nil"/>
            </w:tcBorders>
            <w:shd w:val="clear" w:color="auto" w:fill="auto"/>
            <w:hideMark/>
          </w:tcPr>
          <w:p w14:paraId="55971966" w14:textId="77777777" w:rsidR="00DD2A48" w:rsidRPr="00785393" w:rsidRDefault="00DD2A48" w:rsidP="00E24748">
            <w:pPr>
              <w:cnfStyle w:val="000000100000" w:firstRow="0" w:lastRow="0" w:firstColumn="0" w:lastColumn="0" w:oddVBand="0" w:evenVBand="0" w:oddHBand="1" w:evenHBand="0" w:firstRowFirstColumn="0" w:firstRowLastColumn="0" w:lastRowFirstColumn="0" w:lastRowLastColumn="0"/>
              <w:rPr>
                <w:sz w:val="24"/>
              </w:rPr>
            </w:pPr>
            <w:r w:rsidRPr="00785393">
              <w:rPr>
                <w:sz w:val="24"/>
              </w:rPr>
              <w:t xml:space="preserve">High </w:t>
            </w:r>
          </w:p>
        </w:tc>
      </w:tr>
      <w:tr w:rsidR="00DD2A48" w:rsidRPr="00785393" w14:paraId="441D1FE9" w14:textId="77777777" w:rsidTr="0072215C">
        <w:trPr>
          <w:trHeight w:val="167"/>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left w:val="nil"/>
              <w:bottom w:val="nil"/>
              <w:right w:val="nil"/>
            </w:tcBorders>
            <w:shd w:val="clear" w:color="auto" w:fill="auto"/>
            <w:hideMark/>
          </w:tcPr>
          <w:p w14:paraId="0A48D555" w14:textId="77777777" w:rsidR="00DD2A48" w:rsidRPr="00785393" w:rsidRDefault="00DD2A48" w:rsidP="00E24748">
            <w:pPr>
              <w:rPr>
                <w:b w:val="0"/>
                <w:sz w:val="24"/>
              </w:rPr>
            </w:pPr>
            <w:r w:rsidRPr="00785393">
              <w:rPr>
                <w:b w:val="0"/>
                <w:sz w:val="24"/>
              </w:rPr>
              <w:t>Age range</w:t>
            </w:r>
            <w:r>
              <w:rPr>
                <w:b w:val="0"/>
                <w:sz w:val="24"/>
              </w:rPr>
              <w:t xml:space="preserve"> of household head</w:t>
            </w:r>
            <w:r w:rsidRPr="00785393">
              <w:rPr>
                <w:b w:val="0"/>
                <w:sz w:val="24"/>
              </w:rPr>
              <w:t xml:space="preserve"> (years)</w:t>
            </w:r>
          </w:p>
        </w:tc>
        <w:tc>
          <w:tcPr>
            <w:tcW w:w="1842" w:type="dxa"/>
            <w:tcBorders>
              <w:top w:val="single" w:sz="4" w:space="0" w:color="auto"/>
              <w:left w:val="nil"/>
              <w:bottom w:val="nil"/>
              <w:right w:val="nil"/>
            </w:tcBorders>
            <w:shd w:val="clear" w:color="auto" w:fill="auto"/>
            <w:hideMark/>
          </w:tcPr>
          <w:p w14:paraId="272CCD76" w14:textId="77777777" w:rsidR="00DD2A48" w:rsidRPr="00785393" w:rsidRDefault="00DD2A48" w:rsidP="00E24748">
            <w:pPr>
              <w:cnfStyle w:val="000000000000" w:firstRow="0" w:lastRow="0" w:firstColumn="0" w:lastColumn="0" w:oddVBand="0" w:evenVBand="0" w:oddHBand="0" w:evenHBand="0" w:firstRowFirstColumn="0" w:firstRowLastColumn="0" w:lastRowFirstColumn="0" w:lastRowLastColumn="0"/>
              <w:rPr>
                <w:sz w:val="24"/>
              </w:rPr>
            </w:pPr>
            <w:r w:rsidRPr="00785393">
              <w:rPr>
                <w:sz w:val="24"/>
              </w:rPr>
              <w:t>28 – 72</w:t>
            </w:r>
          </w:p>
        </w:tc>
        <w:tc>
          <w:tcPr>
            <w:tcW w:w="1979" w:type="dxa"/>
            <w:tcBorders>
              <w:top w:val="single" w:sz="4" w:space="0" w:color="auto"/>
              <w:left w:val="nil"/>
              <w:bottom w:val="nil"/>
              <w:right w:val="nil"/>
            </w:tcBorders>
            <w:shd w:val="clear" w:color="auto" w:fill="auto"/>
            <w:hideMark/>
          </w:tcPr>
          <w:p w14:paraId="7CD2E874" w14:textId="77777777" w:rsidR="00DD2A48" w:rsidRPr="00785393" w:rsidRDefault="00DD2A48" w:rsidP="00E24748">
            <w:pPr>
              <w:cnfStyle w:val="000000000000" w:firstRow="0" w:lastRow="0" w:firstColumn="0" w:lastColumn="0" w:oddVBand="0" w:evenVBand="0" w:oddHBand="0" w:evenHBand="0" w:firstRowFirstColumn="0" w:firstRowLastColumn="0" w:lastRowFirstColumn="0" w:lastRowLastColumn="0"/>
              <w:rPr>
                <w:sz w:val="24"/>
              </w:rPr>
            </w:pPr>
            <w:r w:rsidRPr="00785393">
              <w:rPr>
                <w:sz w:val="24"/>
              </w:rPr>
              <w:t xml:space="preserve">24 – 70 </w:t>
            </w:r>
          </w:p>
        </w:tc>
        <w:tc>
          <w:tcPr>
            <w:tcW w:w="1461" w:type="dxa"/>
            <w:tcBorders>
              <w:top w:val="single" w:sz="4" w:space="0" w:color="auto"/>
              <w:left w:val="nil"/>
              <w:bottom w:val="nil"/>
              <w:right w:val="nil"/>
            </w:tcBorders>
            <w:shd w:val="clear" w:color="auto" w:fill="auto"/>
            <w:hideMark/>
          </w:tcPr>
          <w:p w14:paraId="422C9A02" w14:textId="77777777" w:rsidR="00DD2A48" w:rsidRPr="00785393" w:rsidRDefault="00DD2A48" w:rsidP="00E24748">
            <w:pPr>
              <w:cnfStyle w:val="000000000000" w:firstRow="0" w:lastRow="0" w:firstColumn="0" w:lastColumn="0" w:oddVBand="0" w:evenVBand="0" w:oddHBand="0" w:evenHBand="0" w:firstRowFirstColumn="0" w:firstRowLastColumn="0" w:lastRowFirstColumn="0" w:lastRowLastColumn="0"/>
              <w:rPr>
                <w:sz w:val="24"/>
              </w:rPr>
            </w:pPr>
            <w:r w:rsidRPr="00785393">
              <w:rPr>
                <w:sz w:val="24"/>
              </w:rPr>
              <w:t xml:space="preserve">26 – 55 </w:t>
            </w:r>
          </w:p>
        </w:tc>
      </w:tr>
      <w:tr w:rsidR="00DD2A48" w:rsidRPr="00785393" w14:paraId="0509CC14" w14:textId="77777777" w:rsidTr="0072215C">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shd w:val="clear" w:color="auto" w:fill="auto"/>
            <w:hideMark/>
          </w:tcPr>
          <w:p w14:paraId="2C5DF7AD" w14:textId="77777777" w:rsidR="00DD2A48" w:rsidRPr="00785393" w:rsidRDefault="00DD2A48" w:rsidP="00E24748">
            <w:pPr>
              <w:rPr>
                <w:b w:val="0"/>
                <w:sz w:val="24"/>
              </w:rPr>
            </w:pPr>
            <w:r>
              <w:rPr>
                <w:b w:val="0"/>
                <w:sz w:val="24"/>
              </w:rPr>
              <w:t xml:space="preserve">Average </w:t>
            </w:r>
            <w:r w:rsidRPr="00785393">
              <w:rPr>
                <w:b w:val="0"/>
                <w:sz w:val="24"/>
              </w:rPr>
              <w:t>length</w:t>
            </w:r>
            <w:r>
              <w:rPr>
                <w:b w:val="0"/>
                <w:sz w:val="24"/>
              </w:rPr>
              <w:t xml:space="preserve"> of residence (years)</w:t>
            </w:r>
          </w:p>
        </w:tc>
        <w:tc>
          <w:tcPr>
            <w:tcW w:w="1842" w:type="dxa"/>
            <w:tcBorders>
              <w:top w:val="nil"/>
              <w:left w:val="nil"/>
              <w:bottom w:val="nil"/>
              <w:right w:val="nil"/>
            </w:tcBorders>
            <w:shd w:val="clear" w:color="auto" w:fill="auto"/>
            <w:hideMark/>
          </w:tcPr>
          <w:p w14:paraId="2BF36D02" w14:textId="77777777" w:rsidR="00DD2A48" w:rsidRPr="00785393" w:rsidRDefault="00DD2A48" w:rsidP="00E24748">
            <w:pPr>
              <w:cnfStyle w:val="000000100000" w:firstRow="0" w:lastRow="0" w:firstColumn="0" w:lastColumn="0" w:oddVBand="0" w:evenVBand="0" w:oddHBand="1" w:evenHBand="0" w:firstRowFirstColumn="0" w:firstRowLastColumn="0" w:lastRowFirstColumn="0" w:lastRowLastColumn="0"/>
              <w:rPr>
                <w:sz w:val="24"/>
              </w:rPr>
            </w:pPr>
            <w:r w:rsidRPr="00785393">
              <w:rPr>
                <w:sz w:val="24"/>
              </w:rPr>
              <w:t>33.6</w:t>
            </w:r>
          </w:p>
        </w:tc>
        <w:tc>
          <w:tcPr>
            <w:tcW w:w="1979" w:type="dxa"/>
            <w:tcBorders>
              <w:top w:val="nil"/>
              <w:left w:val="nil"/>
              <w:bottom w:val="nil"/>
              <w:right w:val="nil"/>
            </w:tcBorders>
            <w:shd w:val="clear" w:color="auto" w:fill="auto"/>
            <w:hideMark/>
          </w:tcPr>
          <w:p w14:paraId="34A9B24E" w14:textId="77777777" w:rsidR="00DD2A48" w:rsidRPr="00785393" w:rsidRDefault="00DD2A48" w:rsidP="00E24748">
            <w:pPr>
              <w:cnfStyle w:val="000000100000" w:firstRow="0" w:lastRow="0" w:firstColumn="0" w:lastColumn="0" w:oddVBand="0" w:evenVBand="0" w:oddHBand="1" w:evenHBand="0" w:firstRowFirstColumn="0" w:firstRowLastColumn="0" w:lastRowFirstColumn="0" w:lastRowLastColumn="0"/>
              <w:rPr>
                <w:sz w:val="24"/>
              </w:rPr>
            </w:pPr>
            <w:r w:rsidRPr="00785393">
              <w:rPr>
                <w:sz w:val="24"/>
              </w:rPr>
              <w:t>35.3</w:t>
            </w:r>
          </w:p>
        </w:tc>
        <w:tc>
          <w:tcPr>
            <w:tcW w:w="1461" w:type="dxa"/>
            <w:tcBorders>
              <w:top w:val="nil"/>
              <w:left w:val="nil"/>
              <w:bottom w:val="nil"/>
              <w:right w:val="nil"/>
            </w:tcBorders>
            <w:shd w:val="clear" w:color="auto" w:fill="auto"/>
            <w:hideMark/>
          </w:tcPr>
          <w:p w14:paraId="6D2A263C" w14:textId="77777777" w:rsidR="00DD2A48" w:rsidRPr="00785393" w:rsidRDefault="00DD2A48" w:rsidP="00E24748">
            <w:pPr>
              <w:cnfStyle w:val="000000100000" w:firstRow="0" w:lastRow="0" w:firstColumn="0" w:lastColumn="0" w:oddVBand="0" w:evenVBand="0" w:oddHBand="1" w:evenHBand="0" w:firstRowFirstColumn="0" w:firstRowLastColumn="0" w:lastRowFirstColumn="0" w:lastRowLastColumn="0"/>
              <w:rPr>
                <w:sz w:val="24"/>
              </w:rPr>
            </w:pPr>
            <w:r w:rsidRPr="00785393">
              <w:rPr>
                <w:sz w:val="24"/>
              </w:rPr>
              <w:t>30.0</w:t>
            </w:r>
          </w:p>
        </w:tc>
      </w:tr>
      <w:tr w:rsidR="00DD2A48" w:rsidRPr="00785393" w14:paraId="29A413EA" w14:textId="77777777" w:rsidTr="0072215C">
        <w:trPr>
          <w:trHeight w:val="167"/>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shd w:val="clear" w:color="auto" w:fill="auto"/>
            <w:hideMark/>
          </w:tcPr>
          <w:p w14:paraId="63E6CD8A" w14:textId="77777777" w:rsidR="00DD2A48" w:rsidRPr="00785393" w:rsidRDefault="00DD2A48" w:rsidP="00E24748">
            <w:pPr>
              <w:rPr>
                <w:b w:val="0"/>
                <w:sz w:val="24"/>
              </w:rPr>
            </w:pPr>
            <w:r w:rsidRPr="00785393">
              <w:rPr>
                <w:b w:val="0"/>
                <w:sz w:val="24"/>
              </w:rPr>
              <w:t>Mean number of children</w:t>
            </w:r>
          </w:p>
        </w:tc>
        <w:tc>
          <w:tcPr>
            <w:tcW w:w="1842" w:type="dxa"/>
            <w:tcBorders>
              <w:top w:val="nil"/>
              <w:left w:val="nil"/>
              <w:bottom w:val="nil"/>
              <w:right w:val="nil"/>
            </w:tcBorders>
            <w:shd w:val="clear" w:color="auto" w:fill="auto"/>
            <w:hideMark/>
          </w:tcPr>
          <w:p w14:paraId="286822C4" w14:textId="77777777" w:rsidR="00DD2A48" w:rsidRPr="00785393" w:rsidRDefault="00DD2A48" w:rsidP="00E24748">
            <w:pPr>
              <w:cnfStyle w:val="000000000000" w:firstRow="0" w:lastRow="0" w:firstColumn="0" w:lastColumn="0" w:oddVBand="0" w:evenVBand="0" w:oddHBand="0" w:evenHBand="0" w:firstRowFirstColumn="0" w:firstRowLastColumn="0" w:lastRowFirstColumn="0" w:lastRowLastColumn="0"/>
              <w:rPr>
                <w:sz w:val="24"/>
              </w:rPr>
            </w:pPr>
            <w:r w:rsidRPr="00785393">
              <w:rPr>
                <w:sz w:val="24"/>
              </w:rPr>
              <w:t>2</w:t>
            </w:r>
          </w:p>
        </w:tc>
        <w:tc>
          <w:tcPr>
            <w:tcW w:w="1979" w:type="dxa"/>
            <w:tcBorders>
              <w:top w:val="nil"/>
              <w:left w:val="nil"/>
              <w:bottom w:val="nil"/>
              <w:right w:val="nil"/>
            </w:tcBorders>
            <w:shd w:val="clear" w:color="auto" w:fill="auto"/>
            <w:hideMark/>
          </w:tcPr>
          <w:p w14:paraId="3E0A87CE" w14:textId="77777777" w:rsidR="00DD2A48" w:rsidRPr="00785393" w:rsidRDefault="00DD2A48" w:rsidP="00E24748">
            <w:pPr>
              <w:cnfStyle w:val="000000000000" w:firstRow="0" w:lastRow="0" w:firstColumn="0" w:lastColumn="0" w:oddVBand="0" w:evenVBand="0" w:oddHBand="0" w:evenHBand="0" w:firstRowFirstColumn="0" w:firstRowLastColumn="0" w:lastRowFirstColumn="0" w:lastRowLastColumn="0"/>
              <w:rPr>
                <w:sz w:val="24"/>
              </w:rPr>
            </w:pPr>
            <w:r w:rsidRPr="00785393">
              <w:rPr>
                <w:sz w:val="24"/>
              </w:rPr>
              <w:t>3</w:t>
            </w:r>
          </w:p>
        </w:tc>
        <w:tc>
          <w:tcPr>
            <w:tcW w:w="1461" w:type="dxa"/>
            <w:tcBorders>
              <w:top w:val="nil"/>
              <w:left w:val="nil"/>
              <w:bottom w:val="nil"/>
              <w:right w:val="nil"/>
            </w:tcBorders>
            <w:shd w:val="clear" w:color="auto" w:fill="auto"/>
            <w:hideMark/>
          </w:tcPr>
          <w:p w14:paraId="3508B211" w14:textId="77777777" w:rsidR="00DD2A48" w:rsidRPr="00785393" w:rsidRDefault="00DD2A48" w:rsidP="00E24748">
            <w:pPr>
              <w:cnfStyle w:val="000000000000" w:firstRow="0" w:lastRow="0" w:firstColumn="0" w:lastColumn="0" w:oddVBand="0" w:evenVBand="0" w:oddHBand="0" w:evenHBand="0" w:firstRowFirstColumn="0" w:firstRowLastColumn="0" w:lastRowFirstColumn="0" w:lastRowLastColumn="0"/>
              <w:rPr>
                <w:sz w:val="24"/>
              </w:rPr>
            </w:pPr>
            <w:r w:rsidRPr="00785393">
              <w:rPr>
                <w:sz w:val="24"/>
              </w:rPr>
              <w:t>3</w:t>
            </w:r>
          </w:p>
        </w:tc>
      </w:tr>
      <w:tr w:rsidR="00DD2A48" w:rsidRPr="00785393" w14:paraId="017F4FD9" w14:textId="77777777" w:rsidTr="0072215C">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shd w:val="clear" w:color="auto" w:fill="auto"/>
            <w:hideMark/>
          </w:tcPr>
          <w:p w14:paraId="169CB467" w14:textId="0FF9FF5B" w:rsidR="00DD2A48" w:rsidRPr="00785393" w:rsidRDefault="00923A94" w:rsidP="00E24748">
            <w:pPr>
              <w:rPr>
                <w:b w:val="0"/>
                <w:sz w:val="24"/>
              </w:rPr>
            </w:pPr>
            <w:r>
              <w:rPr>
                <w:b w:val="0"/>
                <w:sz w:val="24"/>
              </w:rPr>
              <w:t xml:space="preserve">Average </w:t>
            </w:r>
            <w:r w:rsidR="0072215C">
              <w:rPr>
                <w:b w:val="0"/>
                <w:sz w:val="24"/>
              </w:rPr>
              <w:t>m</w:t>
            </w:r>
            <w:r w:rsidR="00DD2A48" w:rsidRPr="00785393">
              <w:rPr>
                <w:b w:val="0"/>
                <w:sz w:val="24"/>
              </w:rPr>
              <w:t>onthly income – GS (</w:t>
            </w:r>
            <w:r w:rsidR="00CA23F0">
              <w:rPr>
                <w:b w:val="0"/>
                <w:sz w:val="24"/>
              </w:rPr>
              <w:t>US</w:t>
            </w:r>
            <w:r w:rsidR="00D80FEA">
              <w:rPr>
                <w:b w:val="0"/>
                <w:sz w:val="24"/>
              </w:rPr>
              <w:t>$</w:t>
            </w:r>
            <w:r w:rsidR="00D80FEA" w:rsidRPr="00785393">
              <w:rPr>
                <w:b w:val="0"/>
                <w:sz w:val="24"/>
              </w:rPr>
              <w:t>)</w:t>
            </w:r>
            <w:r w:rsidR="00D80FEA">
              <w:rPr>
                <w:b w:val="0"/>
                <w:sz w:val="24"/>
              </w:rPr>
              <w:t xml:space="preserve"> *</w:t>
            </w:r>
          </w:p>
        </w:tc>
        <w:tc>
          <w:tcPr>
            <w:tcW w:w="1842" w:type="dxa"/>
            <w:tcBorders>
              <w:top w:val="nil"/>
              <w:left w:val="nil"/>
              <w:bottom w:val="nil"/>
              <w:right w:val="nil"/>
            </w:tcBorders>
            <w:shd w:val="clear" w:color="auto" w:fill="auto"/>
            <w:hideMark/>
          </w:tcPr>
          <w:p w14:paraId="14C19655" w14:textId="65B0FD66" w:rsidR="00DD2A48" w:rsidRPr="00785393" w:rsidRDefault="007F5D2F" w:rsidP="00E24748">
            <w:pPr>
              <w:cnfStyle w:val="000000100000" w:firstRow="0" w:lastRow="0" w:firstColumn="0" w:lastColumn="0" w:oddVBand="0" w:evenVBand="0" w:oddHBand="1" w:evenHBand="0" w:firstRowFirstColumn="0" w:firstRowLastColumn="0" w:lastRowFirstColumn="0" w:lastRowLastColumn="0"/>
              <w:rPr>
                <w:sz w:val="24"/>
              </w:rPr>
            </w:pPr>
            <w:r>
              <w:rPr>
                <w:sz w:val="24"/>
              </w:rPr>
              <w:t>932.84</w:t>
            </w:r>
            <w:r w:rsidR="00DD2A48" w:rsidRPr="00785393">
              <w:rPr>
                <w:sz w:val="24"/>
              </w:rPr>
              <w:t xml:space="preserve"> </w:t>
            </w:r>
          </w:p>
        </w:tc>
        <w:tc>
          <w:tcPr>
            <w:tcW w:w="1979" w:type="dxa"/>
            <w:tcBorders>
              <w:top w:val="nil"/>
              <w:left w:val="nil"/>
              <w:bottom w:val="nil"/>
              <w:right w:val="nil"/>
            </w:tcBorders>
            <w:shd w:val="clear" w:color="auto" w:fill="auto"/>
            <w:hideMark/>
          </w:tcPr>
          <w:p w14:paraId="61B0F638" w14:textId="500DBCEC" w:rsidR="00DD2A48" w:rsidRPr="00785393" w:rsidRDefault="007F5D2F" w:rsidP="00E24748">
            <w:pPr>
              <w:cnfStyle w:val="000000100000" w:firstRow="0" w:lastRow="0" w:firstColumn="0" w:lastColumn="0" w:oddVBand="0" w:evenVBand="0" w:oddHBand="1" w:evenHBand="0" w:firstRowFirstColumn="0" w:firstRowLastColumn="0" w:lastRowFirstColumn="0" w:lastRowLastColumn="0"/>
              <w:rPr>
                <w:sz w:val="24"/>
              </w:rPr>
            </w:pPr>
            <w:r>
              <w:rPr>
                <w:sz w:val="24"/>
              </w:rPr>
              <w:t>410.01</w:t>
            </w:r>
          </w:p>
        </w:tc>
        <w:tc>
          <w:tcPr>
            <w:tcW w:w="1461" w:type="dxa"/>
            <w:tcBorders>
              <w:top w:val="nil"/>
              <w:left w:val="nil"/>
              <w:bottom w:val="nil"/>
              <w:right w:val="nil"/>
            </w:tcBorders>
            <w:shd w:val="clear" w:color="auto" w:fill="auto"/>
            <w:hideMark/>
          </w:tcPr>
          <w:p w14:paraId="5CE2BD26" w14:textId="0FB42F9E" w:rsidR="00DD2A48" w:rsidRPr="00785393" w:rsidRDefault="00427FB0" w:rsidP="00E24748">
            <w:pPr>
              <w:cnfStyle w:val="000000100000" w:firstRow="0" w:lastRow="0" w:firstColumn="0" w:lastColumn="0" w:oddVBand="0" w:evenVBand="0" w:oddHBand="1" w:evenHBand="0" w:firstRowFirstColumn="0" w:firstRowLastColumn="0" w:lastRowFirstColumn="0" w:lastRowLastColumn="0"/>
              <w:rPr>
                <w:sz w:val="24"/>
              </w:rPr>
            </w:pPr>
            <w:r>
              <w:rPr>
                <w:sz w:val="24"/>
              </w:rPr>
              <w:t>368.26</w:t>
            </w:r>
          </w:p>
        </w:tc>
      </w:tr>
      <w:tr w:rsidR="00DD2A48" w:rsidRPr="00785393" w14:paraId="2029AAF3" w14:textId="77777777" w:rsidTr="0072215C">
        <w:trPr>
          <w:trHeight w:val="87"/>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single" w:sz="4" w:space="0" w:color="666666" w:themeColor="text1" w:themeTint="99"/>
              <w:right w:val="nil"/>
            </w:tcBorders>
            <w:shd w:val="clear" w:color="auto" w:fill="auto"/>
            <w:hideMark/>
          </w:tcPr>
          <w:p w14:paraId="0C26E0AC" w14:textId="7F591BA9" w:rsidR="00DD2A48" w:rsidRPr="00785393" w:rsidRDefault="0072215C" w:rsidP="00E24748">
            <w:pPr>
              <w:rPr>
                <w:b w:val="0"/>
                <w:sz w:val="24"/>
              </w:rPr>
            </w:pPr>
            <w:r>
              <w:rPr>
                <w:b w:val="0"/>
                <w:sz w:val="24"/>
              </w:rPr>
              <w:t>Average m</w:t>
            </w:r>
            <w:r w:rsidR="00DD2A48" w:rsidRPr="00785393">
              <w:rPr>
                <w:b w:val="0"/>
                <w:sz w:val="24"/>
              </w:rPr>
              <w:t>onthly income – BS (</w:t>
            </w:r>
            <w:r w:rsidR="00CA23F0">
              <w:rPr>
                <w:b w:val="0"/>
                <w:sz w:val="24"/>
              </w:rPr>
              <w:t>US</w:t>
            </w:r>
            <w:r w:rsidR="00D80FEA">
              <w:rPr>
                <w:b w:val="0"/>
                <w:sz w:val="24"/>
              </w:rPr>
              <w:t>$</w:t>
            </w:r>
            <w:r w:rsidR="00D80FEA" w:rsidRPr="00785393">
              <w:rPr>
                <w:b w:val="0"/>
                <w:sz w:val="24"/>
              </w:rPr>
              <w:t>)</w:t>
            </w:r>
            <w:r w:rsidR="00D80FEA">
              <w:rPr>
                <w:b w:val="0"/>
                <w:sz w:val="24"/>
              </w:rPr>
              <w:t xml:space="preserve"> *</w:t>
            </w:r>
          </w:p>
        </w:tc>
        <w:tc>
          <w:tcPr>
            <w:tcW w:w="1842" w:type="dxa"/>
            <w:tcBorders>
              <w:top w:val="nil"/>
              <w:left w:val="nil"/>
              <w:bottom w:val="single" w:sz="4" w:space="0" w:color="666666" w:themeColor="text1" w:themeTint="99"/>
              <w:right w:val="nil"/>
            </w:tcBorders>
            <w:shd w:val="clear" w:color="auto" w:fill="auto"/>
            <w:hideMark/>
          </w:tcPr>
          <w:p w14:paraId="4A85D9BC" w14:textId="2282774E" w:rsidR="00DD2A48" w:rsidRPr="00785393" w:rsidRDefault="007F5D2F" w:rsidP="00E24748">
            <w:pPr>
              <w:cnfStyle w:val="000000000000" w:firstRow="0" w:lastRow="0" w:firstColumn="0" w:lastColumn="0" w:oddVBand="0" w:evenVBand="0" w:oddHBand="0" w:evenHBand="0" w:firstRowFirstColumn="0" w:firstRowLastColumn="0" w:lastRowFirstColumn="0" w:lastRowLastColumn="0"/>
              <w:rPr>
                <w:sz w:val="24"/>
              </w:rPr>
            </w:pPr>
            <w:r>
              <w:rPr>
                <w:sz w:val="24"/>
              </w:rPr>
              <w:t>89.17</w:t>
            </w:r>
          </w:p>
        </w:tc>
        <w:tc>
          <w:tcPr>
            <w:tcW w:w="1979" w:type="dxa"/>
            <w:tcBorders>
              <w:top w:val="nil"/>
              <w:left w:val="nil"/>
              <w:bottom w:val="single" w:sz="4" w:space="0" w:color="666666" w:themeColor="text1" w:themeTint="99"/>
              <w:right w:val="nil"/>
            </w:tcBorders>
            <w:shd w:val="clear" w:color="auto" w:fill="auto"/>
            <w:hideMark/>
          </w:tcPr>
          <w:p w14:paraId="0BFEEFEF" w14:textId="6F8A8646" w:rsidR="00DD2A48" w:rsidRPr="00785393" w:rsidRDefault="007F5D2F" w:rsidP="00E24748">
            <w:pPr>
              <w:cnfStyle w:val="000000000000" w:firstRow="0" w:lastRow="0" w:firstColumn="0" w:lastColumn="0" w:oddVBand="0" w:evenVBand="0" w:oddHBand="0" w:evenHBand="0" w:firstRowFirstColumn="0" w:firstRowLastColumn="0" w:lastRowFirstColumn="0" w:lastRowLastColumn="0"/>
              <w:rPr>
                <w:sz w:val="24"/>
              </w:rPr>
            </w:pPr>
            <w:r>
              <w:rPr>
                <w:sz w:val="24"/>
              </w:rPr>
              <w:t>45.95</w:t>
            </w:r>
            <w:r w:rsidR="00DD2A48" w:rsidRPr="00785393">
              <w:rPr>
                <w:sz w:val="24"/>
              </w:rPr>
              <w:t xml:space="preserve"> </w:t>
            </w:r>
          </w:p>
        </w:tc>
        <w:tc>
          <w:tcPr>
            <w:tcW w:w="1461" w:type="dxa"/>
            <w:tcBorders>
              <w:top w:val="nil"/>
              <w:left w:val="nil"/>
              <w:bottom w:val="single" w:sz="4" w:space="0" w:color="666666" w:themeColor="text1" w:themeTint="99"/>
              <w:right w:val="nil"/>
            </w:tcBorders>
            <w:shd w:val="clear" w:color="auto" w:fill="auto"/>
            <w:hideMark/>
          </w:tcPr>
          <w:p w14:paraId="4E474B89" w14:textId="7081D1DB" w:rsidR="00DD2A48" w:rsidRPr="00785393" w:rsidRDefault="00427FB0" w:rsidP="00E24748">
            <w:pPr>
              <w:cnfStyle w:val="000000000000" w:firstRow="0" w:lastRow="0" w:firstColumn="0" w:lastColumn="0" w:oddVBand="0" w:evenVBand="0" w:oddHBand="0" w:evenHBand="0" w:firstRowFirstColumn="0" w:firstRowLastColumn="0" w:lastRowFirstColumn="0" w:lastRowLastColumn="0"/>
              <w:rPr>
                <w:sz w:val="24"/>
              </w:rPr>
            </w:pPr>
            <w:r>
              <w:rPr>
                <w:sz w:val="24"/>
              </w:rPr>
              <w:t>41.48</w:t>
            </w:r>
          </w:p>
        </w:tc>
      </w:tr>
    </w:tbl>
    <w:p w14:paraId="7990007E" w14:textId="306D7DA1" w:rsidR="00DD2A48" w:rsidRDefault="00264EF8" w:rsidP="00DD2A48">
      <w:pPr>
        <w:spacing w:after="0"/>
        <w:rPr>
          <w:rFonts w:cstheme="minorHAnsi"/>
          <w:sz w:val="18"/>
          <w:szCs w:val="24"/>
        </w:rPr>
      </w:pPr>
      <w:r w:rsidRPr="00C4731F">
        <w:rPr>
          <w:rFonts w:cstheme="minorHAnsi"/>
          <w:sz w:val="18"/>
          <w:szCs w:val="24"/>
        </w:rPr>
        <w:t xml:space="preserve">* At the time of writing this paper </w:t>
      </w:r>
      <w:r w:rsidR="00C4731F" w:rsidRPr="00C4731F">
        <w:rPr>
          <w:rFonts w:cstheme="minorHAnsi"/>
          <w:sz w:val="18"/>
          <w:szCs w:val="24"/>
        </w:rPr>
        <w:t>US$ 1.00</w:t>
      </w:r>
      <w:r w:rsidR="00AF3ED6" w:rsidRPr="00AF3ED6">
        <w:rPr>
          <w:rFonts w:cstheme="minorHAnsi"/>
          <w:sz w:val="18"/>
          <w:szCs w:val="24"/>
        </w:rPr>
        <w:t xml:space="preserve"> </w:t>
      </w:r>
      <w:r w:rsidR="00AF3ED6">
        <w:rPr>
          <w:rFonts w:cstheme="minorHAnsi"/>
          <w:sz w:val="18"/>
          <w:szCs w:val="24"/>
        </w:rPr>
        <w:t xml:space="preserve">= </w:t>
      </w:r>
      <w:r w:rsidR="00AF3ED6" w:rsidRPr="00C4731F">
        <w:rPr>
          <w:rFonts w:cstheme="minorHAnsi"/>
          <w:sz w:val="18"/>
          <w:szCs w:val="24"/>
        </w:rPr>
        <w:t>GHS 5.</w:t>
      </w:r>
      <w:r w:rsidR="00927EC9">
        <w:rPr>
          <w:rFonts w:cstheme="minorHAnsi"/>
          <w:sz w:val="18"/>
          <w:szCs w:val="24"/>
        </w:rPr>
        <w:t>5</w:t>
      </w:r>
      <w:r w:rsidR="00AF3ED6" w:rsidRPr="00C4731F">
        <w:rPr>
          <w:rFonts w:cstheme="minorHAnsi"/>
          <w:sz w:val="18"/>
          <w:szCs w:val="24"/>
        </w:rPr>
        <w:t>0</w:t>
      </w:r>
      <w:r w:rsidR="00427FB0">
        <w:rPr>
          <w:rFonts w:cstheme="minorHAnsi"/>
          <w:sz w:val="18"/>
          <w:szCs w:val="24"/>
        </w:rPr>
        <w:t xml:space="preserve"> (</w:t>
      </w:r>
      <w:hyperlink r:id="rId13" w:history="1">
        <w:r w:rsidR="00427FB0" w:rsidRPr="002961EF">
          <w:rPr>
            <w:rStyle w:val="Hyperlink"/>
            <w:rFonts w:cstheme="minorHAnsi"/>
            <w:sz w:val="18"/>
            <w:szCs w:val="24"/>
          </w:rPr>
          <w:t>www.xe.com</w:t>
        </w:r>
      </w:hyperlink>
      <w:r w:rsidR="00427FB0">
        <w:rPr>
          <w:rFonts w:cstheme="minorHAnsi"/>
          <w:sz w:val="18"/>
          <w:szCs w:val="24"/>
        </w:rPr>
        <w:t>)</w:t>
      </w:r>
      <w:r w:rsidR="006D3B52">
        <w:rPr>
          <w:rFonts w:cstheme="minorHAnsi"/>
          <w:sz w:val="18"/>
          <w:szCs w:val="24"/>
        </w:rPr>
        <w:t>.</w:t>
      </w:r>
      <w:r w:rsidR="00427FB0">
        <w:rPr>
          <w:rFonts w:cstheme="minorHAnsi"/>
          <w:sz w:val="18"/>
          <w:szCs w:val="24"/>
        </w:rPr>
        <w:t xml:space="preserve"> </w:t>
      </w:r>
      <w:r w:rsidR="006D3B52">
        <w:rPr>
          <w:rFonts w:cstheme="minorHAnsi"/>
          <w:sz w:val="18"/>
          <w:szCs w:val="24"/>
        </w:rPr>
        <w:t xml:space="preserve">GS – </w:t>
      </w:r>
      <w:r w:rsidR="009F18F1">
        <w:rPr>
          <w:rFonts w:cstheme="minorHAnsi"/>
          <w:sz w:val="18"/>
          <w:szCs w:val="24"/>
        </w:rPr>
        <w:t>‘g</w:t>
      </w:r>
      <w:r w:rsidR="006D3B52">
        <w:rPr>
          <w:rFonts w:cstheme="minorHAnsi"/>
          <w:sz w:val="18"/>
          <w:szCs w:val="24"/>
        </w:rPr>
        <w:t>ood</w:t>
      </w:r>
      <w:r w:rsidR="009F18F1">
        <w:rPr>
          <w:rFonts w:cstheme="minorHAnsi"/>
          <w:sz w:val="18"/>
          <w:szCs w:val="24"/>
        </w:rPr>
        <w:t>’</w:t>
      </w:r>
      <w:r w:rsidR="006D3B52">
        <w:rPr>
          <w:rFonts w:cstheme="minorHAnsi"/>
          <w:sz w:val="18"/>
          <w:szCs w:val="24"/>
        </w:rPr>
        <w:t xml:space="preserve"> season</w:t>
      </w:r>
      <w:r w:rsidR="009F18F1">
        <w:rPr>
          <w:rFonts w:cstheme="minorHAnsi"/>
          <w:sz w:val="18"/>
          <w:szCs w:val="24"/>
        </w:rPr>
        <w:t>; BS – ‘bad’ season</w:t>
      </w:r>
      <w:r w:rsidR="0080705B">
        <w:rPr>
          <w:rFonts w:cstheme="minorHAnsi"/>
          <w:sz w:val="18"/>
          <w:szCs w:val="24"/>
        </w:rPr>
        <w:t>.</w:t>
      </w:r>
    </w:p>
    <w:p w14:paraId="4CA86D9C" w14:textId="77777777" w:rsidR="00C4731F" w:rsidRPr="00C4731F" w:rsidRDefault="00C4731F" w:rsidP="00DD2A48">
      <w:pPr>
        <w:spacing w:after="0"/>
        <w:rPr>
          <w:rFonts w:cstheme="minorHAnsi"/>
          <w:sz w:val="18"/>
          <w:szCs w:val="24"/>
        </w:rPr>
      </w:pPr>
    </w:p>
    <w:p w14:paraId="60143985" w14:textId="5B13EB09" w:rsidR="0077053A" w:rsidRDefault="0038319F" w:rsidP="00C56CF7">
      <w:pPr>
        <w:jc w:val="both"/>
        <w:rPr>
          <w:rFonts w:cstheme="minorHAnsi"/>
          <w:sz w:val="24"/>
          <w:szCs w:val="24"/>
        </w:rPr>
      </w:pPr>
      <w:r>
        <w:rPr>
          <w:rFonts w:cstheme="minorHAnsi"/>
          <w:sz w:val="24"/>
          <w:szCs w:val="18"/>
        </w:rPr>
        <w:t>Results in Table 6 shows that the most vulnerable households</w:t>
      </w:r>
      <w:r w:rsidR="00DC15ED">
        <w:rPr>
          <w:rFonts w:cstheme="minorHAnsi"/>
          <w:sz w:val="24"/>
          <w:szCs w:val="18"/>
        </w:rPr>
        <w:t xml:space="preserve"> </w:t>
      </w:r>
      <w:r w:rsidR="00FE1E4C">
        <w:rPr>
          <w:rFonts w:cstheme="minorHAnsi"/>
          <w:sz w:val="24"/>
          <w:szCs w:val="18"/>
        </w:rPr>
        <w:t>are those whose head</w:t>
      </w:r>
      <w:r w:rsidR="0070391A">
        <w:rPr>
          <w:rFonts w:cstheme="minorHAnsi"/>
          <w:sz w:val="24"/>
          <w:szCs w:val="18"/>
        </w:rPr>
        <w:t>s</w:t>
      </w:r>
      <w:r w:rsidR="00FE1E4C">
        <w:rPr>
          <w:rFonts w:cstheme="minorHAnsi"/>
          <w:sz w:val="24"/>
          <w:szCs w:val="18"/>
        </w:rPr>
        <w:t xml:space="preserve"> are the youngest,</w:t>
      </w:r>
      <w:r w:rsidR="00E06589">
        <w:rPr>
          <w:rFonts w:cstheme="minorHAnsi"/>
          <w:sz w:val="24"/>
          <w:szCs w:val="18"/>
        </w:rPr>
        <w:t xml:space="preserve"> have </w:t>
      </w:r>
      <w:r w:rsidR="00083368">
        <w:rPr>
          <w:rFonts w:cstheme="minorHAnsi"/>
          <w:sz w:val="24"/>
          <w:szCs w:val="18"/>
        </w:rPr>
        <w:t>lived</w:t>
      </w:r>
      <w:r w:rsidR="009F5783">
        <w:rPr>
          <w:rFonts w:cstheme="minorHAnsi"/>
          <w:sz w:val="24"/>
          <w:szCs w:val="18"/>
        </w:rPr>
        <w:t xml:space="preserve"> </w:t>
      </w:r>
      <w:r w:rsidR="00D258A3">
        <w:rPr>
          <w:rFonts w:cstheme="minorHAnsi"/>
          <w:sz w:val="24"/>
          <w:szCs w:val="18"/>
        </w:rPr>
        <w:t xml:space="preserve">relatively </w:t>
      </w:r>
      <w:r w:rsidR="009F5783">
        <w:rPr>
          <w:rFonts w:cstheme="minorHAnsi"/>
          <w:sz w:val="24"/>
          <w:szCs w:val="18"/>
        </w:rPr>
        <w:t xml:space="preserve">less longer in the community, have </w:t>
      </w:r>
      <w:r w:rsidR="0070391A">
        <w:rPr>
          <w:rFonts w:cstheme="minorHAnsi"/>
          <w:sz w:val="24"/>
          <w:szCs w:val="18"/>
        </w:rPr>
        <w:t>three</w:t>
      </w:r>
      <w:r w:rsidR="009F5783">
        <w:rPr>
          <w:rFonts w:cstheme="minorHAnsi"/>
          <w:sz w:val="24"/>
          <w:szCs w:val="18"/>
        </w:rPr>
        <w:t xml:space="preserve"> children and </w:t>
      </w:r>
      <w:r w:rsidR="00961365">
        <w:rPr>
          <w:rFonts w:cstheme="minorHAnsi"/>
          <w:sz w:val="24"/>
          <w:szCs w:val="18"/>
        </w:rPr>
        <w:t xml:space="preserve">earn </w:t>
      </w:r>
      <w:r w:rsidR="00555162">
        <w:rPr>
          <w:rFonts w:cstheme="minorHAnsi"/>
          <w:sz w:val="24"/>
          <w:szCs w:val="18"/>
        </w:rPr>
        <w:t xml:space="preserve">on average </w:t>
      </w:r>
      <w:r w:rsidR="00344B93">
        <w:rPr>
          <w:rFonts w:cstheme="minorHAnsi"/>
          <w:sz w:val="24"/>
          <w:szCs w:val="18"/>
        </w:rPr>
        <w:t xml:space="preserve">less than </w:t>
      </w:r>
      <w:r w:rsidR="00555162">
        <w:rPr>
          <w:rFonts w:cstheme="minorHAnsi"/>
          <w:sz w:val="24"/>
          <w:szCs w:val="18"/>
        </w:rPr>
        <w:t>US$</w:t>
      </w:r>
      <w:r w:rsidR="006D0E6F">
        <w:rPr>
          <w:rFonts w:cstheme="minorHAnsi"/>
          <w:sz w:val="24"/>
          <w:szCs w:val="18"/>
        </w:rPr>
        <w:t xml:space="preserve"> </w:t>
      </w:r>
      <w:r w:rsidR="00344B93">
        <w:rPr>
          <w:rFonts w:cstheme="minorHAnsi"/>
          <w:sz w:val="24"/>
          <w:szCs w:val="18"/>
        </w:rPr>
        <w:t>400</w:t>
      </w:r>
      <w:r w:rsidR="00A82371">
        <w:rPr>
          <w:rFonts w:cstheme="minorHAnsi"/>
          <w:sz w:val="24"/>
          <w:szCs w:val="18"/>
        </w:rPr>
        <w:t>.00</w:t>
      </w:r>
      <w:r w:rsidR="00344B93">
        <w:rPr>
          <w:rFonts w:cstheme="minorHAnsi"/>
          <w:sz w:val="24"/>
          <w:szCs w:val="18"/>
        </w:rPr>
        <w:t xml:space="preserve"> </w:t>
      </w:r>
      <w:r w:rsidR="00961365">
        <w:rPr>
          <w:rFonts w:cstheme="minorHAnsi"/>
          <w:sz w:val="24"/>
          <w:szCs w:val="18"/>
        </w:rPr>
        <w:t xml:space="preserve">and </w:t>
      </w:r>
      <w:r w:rsidR="00344B93">
        <w:rPr>
          <w:rFonts w:cstheme="minorHAnsi"/>
          <w:sz w:val="24"/>
          <w:szCs w:val="18"/>
        </w:rPr>
        <w:t>45</w:t>
      </w:r>
      <w:r w:rsidR="00A82371">
        <w:rPr>
          <w:rFonts w:cstheme="minorHAnsi"/>
          <w:sz w:val="24"/>
          <w:szCs w:val="18"/>
        </w:rPr>
        <w:t xml:space="preserve">.00/month </w:t>
      </w:r>
      <w:r w:rsidR="00B03694">
        <w:rPr>
          <w:rFonts w:cstheme="minorHAnsi"/>
          <w:sz w:val="24"/>
          <w:szCs w:val="18"/>
        </w:rPr>
        <w:t xml:space="preserve">in </w:t>
      </w:r>
      <w:r w:rsidR="00B05391">
        <w:rPr>
          <w:rFonts w:cstheme="minorHAnsi"/>
          <w:sz w:val="24"/>
          <w:szCs w:val="18"/>
        </w:rPr>
        <w:t xml:space="preserve">‘good’ and </w:t>
      </w:r>
      <w:r w:rsidR="006B1554">
        <w:rPr>
          <w:rFonts w:cstheme="minorHAnsi"/>
          <w:sz w:val="24"/>
          <w:szCs w:val="18"/>
        </w:rPr>
        <w:t>‘</w:t>
      </w:r>
      <w:r w:rsidR="00B03694">
        <w:rPr>
          <w:rFonts w:cstheme="minorHAnsi"/>
          <w:sz w:val="24"/>
          <w:szCs w:val="18"/>
        </w:rPr>
        <w:t>bad</w:t>
      </w:r>
      <w:r w:rsidR="006B1554">
        <w:rPr>
          <w:rFonts w:cstheme="minorHAnsi"/>
          <w:sz w:val="24"/>
          <w:szCs w:val="18"/>
        </w:rPr>
        <w:t>’</w:t>
      </w:r>
      <w:r w:rsidR="00B03694">
        <w:rPr>
          <w:rFonts w:cstheme="minorHAnsi"/>
          <w:sz w:val="24"/>
          <w:szCs w:val="18"/>
        </w:rPr>
        <w:t xml:space="preserve"> seasons</w:t>
      </w:r>
      <w:r w:rsidR="00B05391">
        <w:rPr>
          <w:rFonts w:cstheme="minorHAnsi"/>
          <w:sz w:val="24"/>
          <w:szCs w:val="18"/>
        </w:rPr>
        <w:t xml:space="preserve"> respectively</w:t>
      </w:r>
      <w:r w:rsidR="00B03694">
        <w:rPr>
          <w:rFonts w:cstheme="minorHAnsi"/>
          <w:sz w:val="24"/>
          <w:szCs w:val="18"/>
        </w:rPr>
        <w:t>.</w:t>
      </w:r>
      <w:r w:rsidR="005645BC">
        <w:rPr>
          <w:rFonts w:cstheme="minorHAnsi"/>
          <w:sz w:val="24"/>
          <w:szCs w:val="18"/>
        </w:rPr>
        <w:t xml:space="preserve"> </w:t>
      </w:r>
      <w:r w:rsidR="008952A1">
        <w:rPr>
          <w:rFonts w:cstheme="minorHAnsi"/>
          <w:sz w:val="24"/>
          <w:szCs w:val="18"/>
        </w:rPr>
        <w:t>Tables 7 and 8</w:t>
      </w:r>
      <w:r w:rsidR="00E34344">
        <w:rPr>
          <w:rFonts w:cstheme="minorHAnsi"/>
          <w:sz w:val="24"/>
          <w:szCs w:val="18"/>
        </w:rPr>
        <w:t xml:space="preserve"> show</w:t>
      </w:r>
      <w:r w:rsidR="0009285D">
        <w:rPr>
          <w:rFonts w:cstheme="minorHAnsi"/>
          <w:sz w:val="24"/>
          <w:szCs w:val="18"/>
        </w:rPr>
        <w:t xml:space="preserve"> furthermore</w:t>
      </w:r>
      <w:r w:rsidR="008C15FA">
        <w:rPr>
          <w:rFonts w:cstheme="minorHAnsi"/>
          <w:sz w:val="24"/>
          <w:szCs w:val="18"/>
        </w:rPr>
        <w:t>,</w:t>
      </w:r>
      <w:r w:rsidR="008952A1">
        <w:rPr>
          <w:rFonts w:cstheme="minorHAnsi"/>
          <w:sz w:val="24"/>
          <w:szCs w:val="18"/>
        </w:rPr>
        <w:t xml:space="preserve"> </w:t>
      </w:r>
      <w:r w:rsidR="003353EC">
        <w:rPr>
          <w:rFonts w:cstheme="minorHAnsi"/>
          <w:sz w:val="24"/>
          <w:szCs w:val="18"/>
        </w:rPr>
        <w:t xml:space="preserve">that </w:t>
      </w:r>
      <w:r w:rsidR="008952A1">
        <w:rPr>
          <w:rFonts w:cstheme="minorHAnsi"/>
          <w:sz w:val="24"/>
          <w:szCs w:val="18"/>
        </w:rPr>
        <w:t>th</w:t>
      </w:r>
      <w:r w:rsidR="0009285D">
        <w:rPr>
          <w:rFonts w:cstheme="minorHAnsi"/>
          <w:sz w:val="24"/>
          <w:szCs w:val="18"/>
        </w:rPr>
        <w:t xml:space="preserve">e most vulnerable household </w:t>
      </w:r>
      <w:r w:rsidR="008C15FA">
        <w:rPr>
          <w:rFonts w:cstheme="minorHAnsi"/>
          <w:sz w:val="24"/>
          <w:szCs w:val="18"/>
        </w:rPr>
        <w:t xml:space="preserve">group </w:t>
      </w:r>
      <w:r w:rsidR="00223BD0">
        <w:rPr>
          <w:rFonts w:cstheme="minorHAnsi"/>
          <w:sz w:val="24"/>
          <w:szCs w:val="18"/>
        </w:rPr>
        <w:t>includes</w:t>
      </w:r>
      <w:r w:rsidR="008952A1">
        <w:rPr>
          <w:rFonts w:cstheme="minorHAnsi"/>
          <w:sz w:val="24"/>
          <w:szCs w:val="18"/>
        </w:rPr>
        <w:t xml:space="preserve"> both male and female-headed households and all economic classes</w:t>
      </w:r>
      <w:r w:rsidR="00967EF2">
        <w:rPr>
          <w:rFonts w:cstheme="minorHAnsi"/>
          <w:sz w:val="24"/>
          <w:szCs w:val="18"/>
        </w:rPr>
        <w:t>.</w:t>
      </w:r>
      <w:r w:rsidR="00850809">
        <w:rPr>
          <w:rFonts w:cstheme="minorHAnsi"/>
          <w:sz w:val="24"/>
          <w:szCs w:val="18"/>
        </w:rPr>
        <w:t xml:space="preserve"> </w:t>
      </w:r>
      <w:r w:rsidR="00967EF2">
        <w:rPr>
          <w:rFonts w:cstheme="minorHAnsi"/>
          <w:sz w:val="24"/>
          <w:szCs w:val="18"/>
        </w:rPr>
        <w:t xml:space="preserve">This demonstrates that the most vulnerable are not always women and the poorest as </w:t>
      </w:r>
      <w:r w:rsidR="00CD477C">
        <w:rPr>
          <w:rFonts w:cstheme="minorHAnsi"/>
          <w:sz w:val="24"/>
          <w:szCs w:val="18"/>
        </w:rPr>
        <w:t xml:space="preserve">argued by some </w:t>
      </w:r>
      <w:r w:rsidR="00CD477C">
        <w:rPr>
          <w:rFonts w:cstheme="minorHAnsi"/>
          <w:sz w:val="24"/>
          <w:szCs w:val="18"/>
        </w:rPr>
        <w:fldChar w:fldCharType="begin" w:fldLock="1"/>
      </w:r>
      <w:r w:rsidR="00FC52F5">
        <w:rPr>
          <w:rFonts w:cstheme="minorHAnsi"/>
          <w:sz w:val="24"/>
          <w:szCs w:val="18"/>
        </w:rPr>
        <w:instrText>ADDIN CSL_CITATION {"citationItems":[{"id":"ITEM-1","itemData":{"DOI":"10.1038/d41586-019-01497-9","ISSN":"0028-0836","author":[{"dropping-particle":"","family":"Pelling","given":"Mark","non-dropping-particle":"","parse-names":false,"suffix":""},{"dropping-particle":"","family":"Garschagen","given":"Matthias","non-dropping-particle":"","parse-names":false,"suffix":""}],"container-title":"Nature","id":"ITEM-1","issue":"7756","issued":{"date-parts":[["2019","5","14"]]},"page":"327-329","title":"Put equity first in climate adaptation","type":"article-journal","volume":"569"},"uris":["http://www.mendeley.com/documents/?uuid=99a5e705-a606-4c0f-9f8d-ae3c951d0565"]},{"id":"ITEM-2","itemData":{"ISSN":"13552074","author":[{"dropping-particle":"","family":"Denton","given":"Fatma","non-dropping-particle":"","parse-names":false,"suffix":""}],"container-title":"Gender and Development","id":"ITEM-2","issue":"2","issued":{"date-parts":[["2002"]]},"note":"Accession Number: edsjsr.4030569; Publication Type: Academic Journal; Source: Gender and Development; Language: English; Publication Date: 20020701; Rights: Copyright 2002 Oxfam GB; Imprint: Oxfam, 2002.","page":"10","publisher":"Oxfam","title":"Climate Change Vulnerability, Impacts, and Adaptation: Why Does Gender Matter?","type":"article-journal","volume":"10"},"uris":["http://www.mendeley.com/documents/?uuid=29b0fb64-b63b-4f1c-b660-34dd02e8c0c1"]},{"id":"ITEM-3","itemData":{"ISSN":"13552074","author":[{"dropping-particle":"","family":"Nelson","given":"Valerie","non-dropping-particle":"","parse-names":false,"suffix":""},{"dropping-particle":"","family":"Meadows","given":"Kate","non-dropping-particle":"","parse-names":false,"suffix":""},{"dropping-particle":"","family":"Cannon","given":"Terry","non-dropping-particle":"","parse-names":false,"suffix":""},{"dropping-particle":"","family":"Morton","given":"John","non-dropping-particle":"","parse-names":false,"suffix":""},{"dropping-particle":"","family":"Martin","given":"Adrienne","non-dropping-particle":"","parse-names":false,"suffix":""}],"container-title":"Gender and Development","id":"ITEM-3","issue":"2","issued":{"date-parts":[["2002"]]},"note":"Accession Number: edsjsr.4030574; Publication Type: Academic Journal; Source: Gender and Development; Language: English; Publication Date: 20020701; Rights: Copyright 2002 Oxfam GB; Imprint: Oxfam, 2002.","page":"51","publisher":"Oxfam","title":"Uncertain Predictions, Invisible Impacts, and the Need to Mainstream Gender in Climate Change Adaptations","type":"article-journal","volume":"10"},"uris":["http://www.mendeley.com/documents/?uuid=accd9bc6-db5f-4fbd-85a2-0b61d48f8225"]},{"id":"ITEM-4","itemData":{"DOI":"10.1007/978-94-007-1582-0","ISBN":"978-94-007-1581-3","abstract":"In this chapter, we argue that poverty in small-scale fisheries needs to be examined within the context of the fisheries chain which links the aquatic environ- ment with the natural and social systems at the harvest and post-harvest processes. It is within this context that the factors and conditions underlying poverty may be found and resolved. Such an examination widens the considerations about external and internal sources and drivers of poverty. Poverty in small-scale fisheries extends beyond local communities to regional and national levels. For this reason, we begin by presenting small-scale fisheries globally, with an emphasis on the 15 countries included in this volume. Next, we investigate causes of the vulnerability of small- scale fishing communities to poverty, based on several indices. With some refer- ences to the case studies that follow in later chapters, we suggest how the drivers and consequences of poverty in small-scale fisheries may be examined from the chain","author":[{"dropping-particle":"","family":"Islam","given":"M Mahmudul","non-dropping-particle":"","parse-names":false,"suffix":""}],"container-title":"Poverty Mosaics: Realities and Prospects in Small-Scale Fisheries","editor":[{"dropping-particle":"","family":"Jentoft","given":"Svein","non-dropping-particle":"","parse-names":false,"suffix":""},{"dropping-particle":"","family":"Eide","given":"Arne","non-dropping-particle":"","parse-names":false,"suffix":""}],"id":"ITEM-4","issue":"December 2010","issued":{"date-parts":[["2011"]]},"publisher":"Springer Netherlands","publisher-place":"Dordrecht","title":"Poverty Mosaics: Realities and Prospects in Small-Scale Fisheries","type":"book"},"uris":["http://www.mendeley.com/documents/?uuid=8528d67b-0ec7-451f-b071-ca538f309933"]}],"mendeley":{"formattedCitation":"[53]–[56]","plainTextFormattedCitation":"[53]–[56]","previouslyFormattedCitation":"[52]–[55]"},"properties":{"noteIndex":0},"schema":"https://github.com/citation-style-language/schema/raw/master/csl-citation.json"}</w:instrText>
      </w:r>
      <w:r w:rsidR="00CD477C">
        <w:rPr>
          <w:rFonts w:cstheme="minorHAnsi"/>
          <w:sz w:val="24"/>
          <w:szCs w:val="18"/>
        </w:rPr>
        <w:fldChar w:fldCharType="separate"/>
      </w:r>
      <w:r w:rsidR="00FC52F5" w:rsidRPr="00FC52F5">
        <w:rPr>
          <w:rFonts w:cstheme="minorHAnsi"/>
          <w:noProof/>
          <w:sz w:val="24"/>
          <w:szCs w:val="18"/>
        </w:rPr>
        <w:t>[53]–[56]</w:t>
      </w:r>
      <w:r w:rsidR="00CD477C">
        <w:rPr>
          <w:rFonts w:cstheme="minorHAnsi"/>
          <w:sz w:val="24"/>
          <w:szCs w:val="18"/>
        </w:rPr>
        <w:fldChar w:fldCharType="end"/>
      </w:r>
      <w:r w:rsidR="00CD477C">
        <w:rPr>
          <w:rFonts w:cstheme="minorHAnsi"/>
          <w:sz w:val="24"/>
          <w:szCs w:val="18"/>
        </w:rPr>
        <w:t>.</w:t>
      </w:r>
      <w:r w:rsidR="00FC0664">
        <w:rPr>
          <w:rFonts w:cstheme="minorHAnsi"/>
          <w:sz w:val="24"/>
          <w:szCs w:val="18"/>
        </w:rPr>
        <w:t xml:space="preserve"> </w:t>
      </w:r>
      <w:r w:rsidR="00A03FFE" w:rsidRPr="000400EB">
        <w:rPr>
          <w:rFonts w:cstheme="minorHAnsi"/>
          <w:sz w:val="24"/>
          <w:szCs w:val="24"/>
        </w:rPr>
        <w:t xml:space="preserve">Table </w:t>
      </w:r>
      <w:r w:rsidR="009D1DD7">
        <w:rPr>
          <w:rFonts w:cstheme="minorHAnsi"/>
          <w:sz w:val="24"/>
          <w:szCs w:val="24"/>
        </w:rPr>
        <w:t>7</w:t>
      </w:r>
      <w:r w:rsidR="00A03FFE" w:rsidRPr="000400EB">
        <w:rPr>
          <w:rFonts w:cstheme="minorHAnsi"/>
          <w:sz w:val="24"/>
          <w:szCs w:val="24"/>
        </w:rPr>
        <w:t xml:space="preserve"> show</w:t>
      </w:r>
      <w:r w:rsidR="003F4038">
        <w:rPr>
          <w:rFonts w:cstheme="minorHAnsi"/>
          <w:sz w:val="24"/>
          <w:szCs w:val="24"/>
        </w:rPr>
        <w:t>s</w:t>
      </w:r>
      <w:r w:rsidR="00A03FFE" w:rsidRPr="000400EB">
        <w:rPr>
          <w:rFonts w:cstheme="minorHAnsi"/>
          <w:sz w:val="24"/>
          <w:szCs w:val="24"/>
        </w:rPr>
        <w:t xml:space="preserve"> that the majority of female-headed households (66.7%) </w:t>
      </w:r>
      <w:r w:rsidR="00857BB4">
        <w:rPr>
          <w:rFonts w:cstheme="minorHAnsi"/>
          <w:sz w:val="24"/>
          <w:szCs w:val="24"/>
        </w:rPr>
        <w:t>we</w:t>
      </w:r>
      <w:r w:rsidR="00A03FFE" w:rsidRPr="000400EB">
        <w:rPr>
          <w:rFonts w:cstheme="minorHAnsi"/>
          <w:sz w:val="24"/>
          <w:szCs w:val="24"/>
        </w:rPr>
        <w:t xml:space="preserve">re in the high vulnerability group during </w:t>
      </w:r>
      <w:r w:rsidR="000E6F75">
        <w:rPr>
          <w:rFonts w:cstheme="minorHAnsi"/>
          <w:sz w:val="24"/>
          <w:szCs w:val="24"/>
        </w:rPr>
        <w:t>‘</w:t>
      </w:r>
      <w:r w:rsidR="00A03FFE" w:rsidRPr="000400EB">
        <w:rPr>
          <w:rFonts w:cstheme="minorHAnsi"/>
          <w:sz w:val="24"/>
          <w:szCs w:val="24"/>
        </w:rPr>
        <w:t>good</w:t>
      </w:r>
      <w:r w:rsidR="000E6F75">
        <w:rPr>
          <w:rFonts w:cstheme="minorHAnsi"/>
          <w:sz w:val="24"/>
          <w:szCs w:val="24"/>
        </w:rPr>
        <w:t>’</w:t>
      </w:r>
      <w:r w:rsidR="00A03FFE" w:rsidRPr="000400EB">
        <w:rPr>
          <w:rFonts w:cstheme="minorHAnsi"/>
          <w:sz w:val="24"/>
          <w:szCs w:val="24"/>
        </w:rPr>
        <w:t xml:space="preserve"> seasons</w:t>
      </w:r>
      <w:r w:rsidR="00B62758">
        <w:rPr>
          <w:rFonts w:cstheme="minorHAnsi"/>
          <w:sz w:val="24"/>
          <w:szCs w:val="24"/>
        </w:rPr>
        <w:t xml:space="preserve">. </w:t>
      </w:r>
      <w:r w:rsidR="00FE5DDB">
        <w:rPr>
          <w:rFonts w:cstheme="minorHAnsi"/>
          <w:sz w:val="24"/>
          <w:szCs w:val="24"/>
        </w:rPr>
        <w:t>I</w:t>
      </w:r>
      <w:r w:rsidR="00AA0C85">
        <w:rPr>
          <w:rFonts w:cstheme="minorHAnsi"/>
          <w:sz w:val="24"/>
          <w:szCs w:val="24"/>
        </w:rPr>
        <w:t>n the same season</w:t>
      </w:r>
      <w:r w:rsidR="009C79EB">
        <w:rPr>
          <w:rFonts w:cstheme="minorHAnsi"/>
          <w:sz w:val="24"/>
          <w:szCs w:val="24"/>
        </w:rPr>
        <w:t>, in</w:t>
      </w:r>
      <w:r w:rsidR="00FE5DDB">
        <w:rPr>
          <w:rFonts w:cstheme="minorHAnsi"/>
          <w:sz w:val="24"/>
          <w:szCs w:val="24"/>
        </w:rPr>
        <w:t xml:space="preserve"> terms of economic classification, </w:t>
      </w:r>
      <w:r w:rsidR="00A03FFE" w:rsidRPr="000400EB">
        <w:rPr>
          <w:rFonts w:cstheme="minorHAnsi"/>
          <w:sz w:val="24"/>
          <w:szCs w:val="24"/>
        </w:rPr>
        <w:t xml:space="preserve">Table </w:t>
      </w:r>
      <w:r w:rsidR="003A67DA">
        <w:rPr>
          <w:rFonts w:cstheme="minorHAnsi"/>
          <w:sz w:val="24"/>
          <w:szCs w:val="24"/>
        </w:rPr>
        <w:t>8</w:t>
      </w:r>
      <w:r w:rsidR="00A03FFE" w:rsidRPr="000400EB">
        <w:rPr>
          <w:rFonts w:cstheme="minorHAnsi"/>
          <w:sz w:val="24"/>
          <w:szCs w:val="24"/>
        </w:rPr>
        <w:t xml:space="preserve"> shows that all petty traders and up to half of the fish mongers (all women) </w:t>
      </w:r>
      <w:r w:rsidR="00857BB4">
        <w:rPr>
          <w:rFonts w:cstheme="minorHAnsi"/>
          <w:sz w:val="24"/>
          <w:szCs w:val="24"/>
        </w:rPr>
        <w:t>we</w:t>
      </w:r>
      <w:r w:rsidR="00A03FFE" w:rsidRPr="000400EB">
        <w:rPr>
          <w:rFonts w:cstheme="minorHAnsi"/>
          <w:sz w:val="24"/>
          <w:szCs w:val="24"/>
        </w:rPr>
        <w:t xml:space="preserve">re in the </w:t>
      </w:r>
      <w:proofErr w:type="gramStart"/>
      <w:r w:rsidR="00AF3C88">
        <w:rPr>
          <w:rFonts w:cstheme="minorHAnsi"/>
          <w:sz w:val="24"/>
          <w:szCs w:val="24"/>
        </w:rPr>
        <w:t>h</w:t>
      </w:r>
      <w:r w:rsidR="00A03FFE" w:rsidRPr="000400EB">
        <w:rPr>
          <w:rFonts w:cstheme="minorHAnsi"/>
          <w:sz w:val="24"/>
          <w:szCs w:val="24"/>
        </w:rPr>
        <w:t>igh</w:t>
      </w:r>
      <w:proofErr w:type="gramEnd"/>
      <w:r w:rsidR="00A03FFE" w:rsidRPr="000400EB">
        <w:rPr>
          <w:rFonts w:cstheme="minorHAnsi"/>
          <w:sz w:val="24"/>
          <w:szCs w:val="24"/>
        </w:rPr>
        <w:t xml:space="preserve"> vulnerable group.</w:t>
      </w:r>
      <w:r w:rsidR="00192591">
        <w:rPr>
          <w:rFonts w:cstheme="minorHAnsi"/>
          <w:sz w:val="24"/>
          <w:szCs w:val="24"/>
        </w:rPr>
        <w:t xml:space="preserve"> </w:t>
      </w:r>
      <w:r w:rsidR="00192591" w:rsidRPr="000400EB">
        <w:rPr>
          <w:rFonts w:cstheme="minorHAnsi"/>
          <w:sz w:val="24"/>
          <w:szCs w:val="24"/>
        </w:rPr>
        <w:t xml:space="preserve">In the </w:t>
      </w:r>
      <w:r w:rsidR="009C79EB">
        <w:rPr>
          <w:rFonts w:cstheme="minorHAnsi"/>
          <w:sz w:val="24"/>
          <w:szCs w:val="24"/>
        </w:rPr>
        <w:t>‘</w:t>
      </w:r>
      <w:r w:rsidR="00192591" w:rsidRPr="000400EB">
        <w:rPr>
          <w:rFonts w:cstheme="minorHAnsi"/>
          <w:sz w:val="24"/>
          <w:szCs w:val="24"/>
        </w:rPr>
        <w:t>bad</w:t>
      </w:r>
      <w:r w:rsidR="009C79EB">
        <w:rPr>
          <w:rFonts w:cstheme="minorHAnsi"/>
          <w:sz w:val="24"/>
          <w:szCs w:val="24"/>
        </w:rPr>
        <w:t>’</w:t>
      </w:r>
      <w:r w:rsidR="00192591" w:rsidRPr="000400EB">
        <w:rPr>
          <w:rFonts w:cstheme="minorHAnsi"/>
          <w:sz w:val="24"/>
          <w:szCs w:val="24"/>
        </w:rPr>
        <w:t xml:space="preserve"> season however, the proportion of female-headed household</w:t>
      </w:r>
      <w:r w:rsidR="008B065C">
        <w:rPr>
          <w:rFonts w:cstheme="minorHAnsi"/>
          <w:sz w:val="24"/>
          <w:szCs w:val="24"/>
        </w:rPr>
        <w:t>s</w:t>
      </w:r>
      <w:r w:rsidR="00344DAD">
        <w:rPr>
          <w:rFonts w:cstheme="minorHAnsi"/>
          <w:sz w:val="24"/>
          <w:szCs w:val="24"/>
        </w:rPr>
        <w:t xml:space="preserve"> and petty traders</w:t>
      </w:r>
      <w:r w:rsidR="00192591" w:rsidRPr="000400EB">
        <w:rPr>
          <w:rFonts w:cstheme="minorHAnsi"/>
          <w:sz w:val="24"/>
          <w:szCs w:val="24"/>
        </w:rPr>
        <w:t xml:space="preserve"> i</w:t>
      </w:r>
      <w:r w:rsidR="00192591" w:rsidRPr="00763635">
        <w:rPr>
          <w:rFonts w:cstheme="minorHAnsi"/>
          <w:sz w:val="24"/>
          <w:szCs w:val="24"/>
        </w:rPr>
        <w:t>n the high vulnerability group reduce</w:t>
      </w:r>
      <w:r w:rsidR="00503112">
        <w:rPr>
          <w:rFonts w:cstheme="minorHAnsi"/>
          <w:sz w:val="24"/>
          <w:szCs w:val="24"/>
        </w:rPr>
        <w:t>d</w:t>
      </w:r>
      <w:r w:rsidR="00192591" w:rsidRPr="00763635">
        <w:rPr>
          <w:rFonts w:cstheme="minorHAnsi"/>
          <w:sz w:val="24"/>
          <w:szCs w:val="24"/>
        </w:rPr>
        <w:t xml:space="preserve"> by about 10</w:t>
      </w:r>
      <w:r w:rsidR="00344DAD" w:rsidRPr="00763635">
        <w:rPr>
          <w:rFonts w:cstheme="minorHAnsi"/>
          <w:sz w:val="24"/>
          <w:szCs w:val="24"/>
        </w:rPr>
        <w:t>%</w:t>
      </w:r>
      <w:r w:rsidR="00192591" w:rsidRPr="00763635">
        <w:rPr>
          <w:rFonts w:cstheme="minorHAnsi"/>
          <w:sz w:val="24"/>
          <w:szCs w:val="24"/>
        </w:rPr>
        <w:t xml:space="preserve"> (Table </w:t>
      </w:r>
      <w:r w:rsidR="00152469" w:rsidRPr="00763635">
        <w:rPr>
          <w:rFonts w:cstheme="minorHAnsi"/>
          <w:sz w:val="24"/>
          <w:szCs w:val="24"/>
        </w:rPr>
        <w:t>7</w:t>
      </w:r>
      <w:r w:rsidR="00192591" w:rsidRPr="00763635">
        <w:rPr>
          <w:rFonts w:cstheme="minorHAnsi"/>
          <w:sz w:val="24"/>
          <w:szCs w:val="24"/>
        </w:rPr>
        <w:t>)</w:t>
      </w:r>
      <w:r w:rsidR="00344DAD" w:rsidRPr="00763635">
        <w:rPr>
          <w:rFonts w:cstheme="minorHAnsi"/>
          <w:sz w:val="24"/>
          <w:szCs w:val="24"/>
        </w:rPr>
        <w:t xml:space="preserve"> and 50% (Table 8) respectively.</w:t>
      </w:r>
      <w:r w:rsidR="00192591" w:rsidRPr="00763635">
        <w:rPr>
          <w:rFonts w:cstheme="minorHAnsi"/>
          <w:sz w:val="24"/>
          <w:szCs w:val="24"/>
        </w:rPr>
        <w:t xml:space="preserve"> </w:t>
      </w:r>
      <w:r w:rsidR="00AA6935">
        <w:rPr>
          <w:rFonts w:cstheme="minorHAnsi"/>
          <w:sz w:val="24"/>
          <w:szCs w:val="24"/>
        </w:rPr>
        <w:t>Conversely</w:t>
      </w:r>
      <w:r w:rsidR="002176B1">
        <w:rPr>
          <w:rFonts w:cstheme="minorHAnsi"/>
          <w:sz w:val="24"/>
          <w:szCs w:val="24"/>
        </w:rPr>
        <w:t>, Table</w:t>
      </w:r>
      <w:r w:rsidR="002176B1" w:rsidRPr="000400EB">
        <w:rPr>
          <w:rFonts w:cstheme="minorHAnsi"/>
          <w:sz w:val="24"/>
          <w:szCs w:val="24"/>
        </w:rPr>
        <w:t xml:space="preserve"> </w:t>
      </w:r>
      <w:r w:rsidR="002176B1">
        <w:rPr>
          <w:rFonts w:cstheme="minorHAnsi"/>
          <w:sz w:val="24"/>
          <w:szCs w:val="24"/>
        </w:rPr>
        <w:t>8</w:t>
      </w:r>
      <w:r w:rsidR="002176B1" w:rsidRPr="000400EB">
        <w:rPr>
          <w:rFonts w:cstheme="minorHAnsi"/>
          <w:sz w:val="24"/>
          <w:szCs w:val="24"/>
        </w:rPr>
        <w:t xml:space="preserve"> shows that the proportion of net owners and boat crew </w:t>
      </w:r>
      <w:r w:rsidR="00503112">
        <w:rPr>
          <w:rFonts w:cstheme="minorHAnsi"/>
          <w:sz w:val="24"/>
          <w:szCs w:val="24"/>
        </w:rPr>
        <w:t xml:space="preserve">(all men) </w:t>
      </w:r>
      <w:r w:rsidR="002176B1" w:rsidRPr="000400EB">
        <w:rPr>
          <w:rFonts w:cstheme="minorHAnsi"/>
          <w:sz w:val="24"/>
          <w:szCs w:val="24"/>
        </w:rPr>
        <w:t>in the low and m</w:t>
      </w:r>
      <w:r w:rsidR="00F9488D">
        <w:rPr>
          <w:rFonts w:cstheme="minorHAnsi"/>
          <w:sz w:val="24"/>
          <w:szCs w:val="24"/>
        </w:rPr>
        <w:t>oderate</w:t>
      </w:r>
      <w:r w:rsidR="002176B1" w:rsidRPr="000400EB">
        <w:rPr>
          <w:rFonts w:cstheme="minorHAnsi"/>
          <w:sz w:val="24"/>
          <w:szCs w:val="24"/>
        </w:rPr>
        <w:t xml:space="preserve"> vulnerability groups </w:t>
      </w:r>
      <w:r w:rsidR="008B5C73">
        <w:rPr>
          <w:rFonts w:cstheme="minorHAnsi"/>
          <w:sz w:val="24"/>
          <w:szCs w:val="24"/>
        </w:rPr>
        <w:t xml:space="preserve">respectively </w:t>
      </w:r>
      <w:r w:rsidR="002176B1" w:rsidRPr="000400EB">
        <w:rPr>
          <w:rFonts w:cstheme="minorHAnsi"/>
          <w:sz w:val="24"/>
          <w:szCs w:val="24"/>
        </w:rPr>
        <w:t xml:space="preserve">in the </w:t>
      </w:r>
      <w:r w:rsidR="00226F4D">
        <w:rPr>
          <w:rFonts w:cstheme="minorHAnsi"/>
          <w:sz w:val="24"/>
          <w:szCs w:val="24"/>
        </w:rPr>
        <w:t>‘</w:t>
      </w:r>
      <w:r w:rsidR="002176B1" w:rsidRPr="000400EB">
        <w:rPr>
          <w:rFonts w:cstheme="minorHAnsi"/>
          <w:sz w:val="24"/>
          <w:szCs w:val="24"/>
        </w:rPr>
        <w:t>good</w:t>
      </w:r>
      <w:r w:rsidR="00226F4D">
        <w:rPr>
          <w:rFonts w:cstheme="minorHAnsi"/>
          <w:sz w:val="24"/>
          <w:szCs w:val="24"/>
        </w:rPr>
        <w:t>’</w:t>
      </w:r>
      <w:r w:rsidR="002176B1" w:rsidRPr="000400EB">
        <w:rPr>
          <w:rFonts w:cstheme="minorHAnsi"/>
          <w:sz w:val="24"/>
          <w:szCs w:val="24"/>
        </w:rPr>
        <w:t xml:space="preserve"> season reduce</w:t>
      </w:r>
      <w:r w:rsidR="002176B1">
        <w:rPr>
          <w:rFonts w:cstheme="minorHAnsi"/>
          <w:sz w:val="24"/>
          <w:szCs w:val="24"/>
        </w:rPr>
        <w:t>d</w:t>
      </w:r>
      <w:r w:rsidR="002176B1" w:rsidRPr="000400EB">
        <w:rPr>
          <w:rFonts w:cstheme="minorHAnsi"/>
          <w:sz w:val="24"/>
          <w:szCs w:val="24"/>
        </w:rPr>
        <w:t xml:space="preserve"> in the </w:t>
      </w:r>
      <w:r w:rsidR="00226F4D">
        <w:rPr>
          <w:rFonts w:cstheme="minorHAnsi"/>
          <w:sz w:val="24"/>
          <w:szCs w:val="24"/>
        </w:rPr>
        <w:t>‘</w:t>
      </w:r>
      <w:r w:rsidR="002176B1" w:rsidRPr="000400EB">
        <w:rPr>
          <w:rFonts w:cstheme="minorHAnsi"/>
          <w:sz w:val="24"/>
          <w:szCs w:val="24"/>
        </w:rPr>
        <w:t>bad</w:t>
      </w:r>
      <w:r w:rsidR="00226F4D">
        <w:rPr>
          <w:rFonts w:cstheme="minorHAnsi"/>
          <w:sz w:val="24"/>
          <w:szCs w:val="24"/>
        </w:rPr>
        <w:t>’</w:t>
      </w:r>
      <w:r w:rsidR="002176B1">
        <w:rPr>
          <w:rFonts w:cstheme="minorHAnsi"/>
          <w:sz w:val="24"/>
          <w:szCs w:val="24"/>
        </w:rPr>
        <w:t xml:space="preserve"> season</w:t>
      </w:r>
      <w:r w:rsidR="00AF658D">
        <w:rPr>
          <w:rFonts w:cstheme="minorHAnsi"/>
          <w:sz w:val="24"/>
          <w:szCs w:val="24"/>
        </w:rPr>
        <w:t xml:space="preserve">. </w:t>
      </w:r>
      <w:r w:rsidR="004C126F">
        <w:rPr>
          <w:rFonts w:cstheme="minorHAnsi"/>
          <w:sz w:val="24"/>
          <w:szCs w:val="24"/>
        </w:rPr>
        <w:t xml:space="preserve">This increased </w:t>
      </w:r>
      <w:r w:rsidR="002176B1" w:rsidRPr="000400EB">
        <w:rPr>
          <w:rFonts w:cstheme="minorHAnsi"/>
          <w:sz w:val="24"/>
          <w:szCs w:val="24"/>
        </w:rPr>
        <w:t>their proportion</w:t>
      </w:r>
      <w:r w:rsidR="004C126F">
        <w:rPr>
          <w:rFonts w:cstheme="minorHAnsi"/>
          <w:sz w:val="24"/>
          <w:szCs w:val="24"/>
        </w:rPr>
        <w:t>s</w:t>
      </w:r>
      <w:r w:rsidR="002176B1" w:rsidRPr="000400EB">
        <w:rPr>
          <w:rFonts w:cstheme="minorHAnsi"/>
          <w:sz w:val="24"/>
          <w:szCs w:val="24"/>
        </w:rPr>
        <w:t xml:space="preserve"> in the </w:t>
      </w:r>
      <w:r w:rsidR="00D62B54">
        <w:rPr>
          <w:rFonts w:cstheme="minorHAnsi"/>
          <w:sz w:val="24"/>
          <w:szCs w:val="24"/>
        </w:rPr>
        <w:t>moderate</w:t>
      </w:r>
      <w:r w:rsidR="002176B1" w:rsidRPr="000400EB">
        <w:rPr>
          <w:rFonts w:cstheme="minorHAnsi"/>
          <w:sz w:val="24"/>
          <w:szCs w:val="24"/>
        </w:rPr>
        <w:t xml:space="preserve"> and high vulnerability groups respectively. </w:t>
      </w:r>
      <w:r w:rsidR="00633A39">
        <w:rPr>
          <w:rFonts w:cstheme="minorHAnsi"/>
          <w:sz w:val="24"/>
          <w:szCs w:val="24"/>
        </w:rPr>
        <w:t>In effect,</w:t>
      </w:r>
      <w:r w:rsidR="00633A39" w:rsidRPr="00763635">
        <w:rPr>
          <w:rFonts w:cstheme="minorHAnsi"/>
          <w:sz w:val="24"/>
          <w:szCs w:val="24"/>
        </w:rPr>
        <w:t xml:space="preserve"> female-headed households </w:t>
      </w:r>
      <w:r w:rsidR="00633A39">
        <w:rPr>
          <w:rFonts w:cstheme="minorHAnsi"/>
          <w:sz w:val="24"/>
          <w:szCs w:val="24"/>
        </w:rPr>
        <w:t>were</w:t>
      </w:r>
      <w:r w:rsidR="00633A39" w:rsidRPr="00763635">
        <w:rPr>
          <w:rFonts w:cstheme="minorHAnsi"/>
          <w:sz w:val="24"/>
          <w:szCs w:val="24"/>
        </w:rPr>
        <w:t xml:space="preserve"> relatively better off in the </w:t>
      </w:r>
      <w:r w:rsidR="00633A39">
        <w:rPr>
          <w:rFonts w:cstheme="minorHAnsi"/>
          <w:sz w:val="24"/>
          <w:szCs w:val="24"/>
        </w:rPr>
        <w:t>‘</w:t>
      </w:r>
      <w:r w:rsidR="00633A39" w:rsidRPr="00763635">
        <w:rPr>
          <w:rFonts w:cstheme="minorHAnsi"/>
          <w:sz w:val="24"/>
          <w:szCs w:val="24"/>
        </w:rPr>
        <w:t>bad</w:t>
      </w:r>
      <w:r w:rsidR="00633A39">
        <w:rPr>
          <w:rFonts w:cstheme="minorHAnsi"/>
          <w:sz w:val="24"/>
          <w:szCs w:val="24"/>
        </w:rPr>
        <w:t>’</w:t>
      </w:r>
      <w:r w:rsidR="00633A39" w:rsidRPr="00763635">
        <w:rPr>
          <w:rFonts w:cstheme="minorHAnsi"/>
          <w:sz w:val="24"/>
          <w:szCs w:val="24"/>
        </w:rPr>
        <w:t xml:space="preserve"> season.</w:t>
      </w:r>
      <w:r w:rsidR="00633A39">
        <w:rPr>
          <w:rFonts w:cstheme="minorHAnsi"/>
          <w:sz w:val="24"/>
          <w:szCs w:val="24"/>
        </w:rPr>
        <w:t xml:space="preserve"> </w:t>
      </w:r>
      <w:r w:rsidR="00E24748">
        <w:rPr>
          <w:rFonts w:cstheme="minorHAnsi"/>
          <w:sz w:val="24"/>
          <w:szCs w:val="24"/>
        </w:rPr>
        <w:t xml:space="preserve">To find an explanation </w:t>
      </w:r>
      <w:r w:rsidR="005031A2">
        <w:rPr>
          <w:rFonts w:cstheme="minorHAnsi"/>
          <w:sz w:val="24"/>
          <w:szCs w:val="24"/>
        </w:rPr>
        <w:t xml:space="preserve">for </w:t>
      </w:r>
      <w:r w:rsidR="00E24748">
        <w:rPr>
          <w:rFonts w:cstheme="minorHAnsi"/>
          <w:sz w:val="24"/>
          <w:szCs w:val="24"/>
        </w:rPr>
        <w:t xml:space="preserve">this, households’ involvement in alternative livelihoods </w:t>
      </w:r>
      <w:r w:rsidR="00EA2DC4">
        <w:rPr>
          <w:rFonts w:cstheme="minorHAnsi"/>
          <w:sz w:val="24"/>
          <w:szCs w:val="24"/>
        </w:rPr>
        <w:t xml:space="preserve">(management approach, Table 3) </w:t>
      </w:r>
      <w:r w:rsidR="00E24748">
        <w:rPr>
          <w:rFonts w:cstheme="minorHAnsi"/>
          <w:sz w:val="24"/>
          <w:szCs w:val="24"/>
        </w:rPr>
        <w:t xml:space="preserve">was analysed. </w:t>
      </w:r>
      <w:r w:rsidR="00305D42">
        <w:rPr>
          <w:rFonts w:cstheme="minorHAnsi"/>
          <w:sz w:val="24"/>
          <w:szCs w:val="24"/>
        </w:rPr>
        <w:t>Th</w:t>
      </w:r>
      <w:r w:rsidR="003D7162">
        <w:rPr>
          <w:rFonts w:cstheme="minorHAnsi"/>
          <w:sz w:val="24"/>
          <w:szCs w:val="24"/>
        </w:rPr>
        <w:t>is approach was based on the theory that alternative livelihoods</w:t>
      </w:r>
      <w:r w:rsidR="00F6156E">
        <w:rPr>
          <w:rFonts w:cstheme="minorHAnsi"/>
          <w:sz w:val="24"/>
          <w:szCs w:val="24"/>
        </w:rPr>
        <w:t xml:space="preserve"> are a risk-reduction strategy for resource-dependent households </w:t>
      </w:r>
      <w:r w:rsidR="00305D42">
        <w:rPr>
          <w:rFonts w:cstheme="minorHAnsi"/>
          <w:sz w:val="24"/>
          <w:szCs w:val="24"/>
        </w:rPr>
        <w:fldChar w:fldCharType="begin" w:fldLock="1"/>
      </w:r>
      <w:r w:rsidR="00FC52F5">
        <w:rPr>
          <w:rFonts w:cstheme="minorHAnsi"/>
          <w:sz w:val="24"/>
          <w:szCs w:val="24"/>
        </w:rPr>
        <w:instrText>ADDIN CSL_CITATION {"citationItems":[{"id":"ITEM-1","itemData":{"DOI":"10.1007/s40152-019-00142-5","ISSN":"1872-7859","abstract":"In recent decades, there have been considerable efforts to enhance, diversify, or implement alternative livelihood activities in marginalized coastal communities, to ease reliance on deteriorating coastal resources, reduce poverty and improve well-being outcomes. To date, gender has been notably absent from the literature on small-scale fisheries and associated livelihood improvement programs, despite increasing evidence of the importance of gender equality and women's empowerment in achieving such outcomes in other contexts. In this paper, drawing from an evaluation of the effectiveness of 20 livelihood development projects implemented in coastal communities in Indonesia since 1998, we report on how gender was considered in these projects. We assessed whether and how gender was included in project rationales, and how men and women were included in project activities. We found that, despite the women being reached by many project activities, particularly efforts to increase women's productive capacity through training and group-based livelihoods enterprises, 40% of the projects had no discernible gender approach and only two of the 20 projects (10%) applied a gender transformative approach that sought to challenge local gender norms and gender relations and empower women beneficiaries. Our assessment suggests the need for greater understanding of the role of gender in reducing poverty and increasing well-being outcomes in coastal communities. Lessons from comparable agricultural settings suggest that this may be facilitated by locally situated gender social relations analysis, integration of gender throughout livelihood improvement project cycles, gendered capacity building activities and shared learning from the evaluation of the gendered outcomes of project activities.","author":[{"dropping-particle":"","family":"Stacey","given":"Natasha","non-dropping-particle":"","parse-names":false,"suffix":""},{"dropping-particle":"","family":"Gibson","given":"Emily","non-dropping-particle":"","parse-names":false,"suffix":""},{"dropping-particle":"","family":"Loneragan","given":"Neil R.","non-dropping-particle":"","parse-names":false,"suffix":""},{"dropping-particle":"","family":"Warren","given":"Carol","non-dropping-particle":"","parse-names":false,"suffix":""},{"dropping-particle":"","family":"Wiryawan","given":"Budy","non-dropping-particle":"","parse-names":false,"suffix":""},{"dropping-particle":"","family":"Adhuri","given":"Dedi","non-dropping-particle":"","parse-names":false,"suffix":""},{"dropping-particle":"","family":"Fitriana","given":"Ria","non-dropping-particle":"","parse-names":false,"suffix":""}],"container-title":"Maritime Studies","id":"ITEM-1","issued":{"date-parts":[["2019"]]},"publisher":"Maritime Studies","title":"Enhancing coastal livelihoods in Indonesia: an evaluation of recent initiatives on gender, women and sustainable livelihoods in small-scale fisheries","type":"article-journal"},"uris":["http://www.mendeley.com/documents/?uuid=8cdc918b-0f01-48fb-a478-74a9af404a58"]},{"id":"ITEM-2","itemData":{"author":[{"dropping-particle":"","family":"Wicander","given":"S","non-dropping-particle":"","parse-names":false,"suffix":""},{"dropping-particle":"","family":"Coad","given":"L","non-dropping-particle":"","parse-names":false,"suffix":""}],"id":"ITEM-2","issued":{"date-parts":[["2015"]]},"publisher":"Oxford, UK","publisher-place":"Switzerland","title":"Learning Our Lessons: A Review of Alternative Livelihoods Projects in Central Africa. ECI, University of Oxford and Gland, Switzerland: IUCN","type":"book"},"uris":["http://www.mendeley.com/documents/?uuid=2c1b3e0d-56f4-4ffb-bb33-d21e9d0dacfc"]}],"mendeley":{"formattedCitation":"[57], [58]","plainTextFormattedCitation":"[57], [58]","previouslyFormattedCitation":"[56], [57]"},"properties":{"noteIndex":0},"schema":"https://github.com/citation-style-language/schema/raw/master/csl-citation.json"}</w:instrText>
      </w:r>
      <w:r w:rsidR="00305D42">
        <w:rPr>
          <w:rFonts w:cstheme="minorHAnsi"/>
          <w:sz w:val="24"/>
          <w:szCs w:val="24"/>
        </w:rPr>
        <w:fldChar w:fldCharType="separate"/>
      </w:r>
      <w:r w:rsidR="00FC52F5" w:rsidRPr="00FC52F5">
        <w:rPr>
          <w:rFonts w:cstheme="minorHAnsi"/>
          <w:noProof/>
          <w:sz w:val="24"/>
          <w:szCs w:val="24"/>
        </w:rPr>
        <w:t>[57], [58]</w:t>
      </w:r>
      <w:r w:rsidR="00305D42">
        <w:rPr>
          <w:rFonts w:cstheme="minorHAnsi"/>
          <w:sz w:val="24"/>
          <w:szCs w:val="24"/>
        </w:rPr>
        <w:fldChar w:fldCharType="end"/>
      </w:r>
      <w:r w:rsidR="00F6156E">
        <w:rPr>
          <w:rFonts w:cstheme="minorHAnsi"/>
          <w:sz w:val="24"/>
          <w:szCs w:val="24"/>
        </w:rPr>
        <w:t>.</w:t>
      </w:r>
      <w:r w:rsidR="00E17523">
        <w:rPr>
          <w:rFonts w:cstheme="minorHAnsi"/>
          <w:sz w:val="24"/>
          <w:szCs w:val="24"/>
        </w:rPr>
        <w:t xml:space="preserve"> The results (Table 7) </w:t>
      </w:r>
      <w:r w:rsidR="00BD7AD4">
        <w:rPr>
          <w:rFonts w:cstheme="minorHAnsi"/>
          <w:sz w:val="24"/>
          <w:szCs w:val="24"/>
        </w:rPr>
        <w:t xml:space="preserve">showed </w:t>
      </w:r>
      <w:r w:rsidR="00305D42">
        <w:rPr>
          <w:rFonts w:cstheme="minorHAnsi"/>
          <w:sz w:val="24"/>
          <w:szCs w:val="24"/>
        </w:rPr>
        <w:t>that indeed</w:t>
      </w:r>
      <w:r w:rsidR="00AB0808">
        <w:rPr>
          <w:rFonts w:cstheme="minorHAnsi"/>
          <w:sz w:val="24"/>
          <w:szCs w:val="24"/>
        </w:rPr>
        <w:t>,</w:t>
      </w:r>
      <w:r w:rsidR="00305D42">
        <w:rPr>
          <w:rFonts w:cstheme="minorHAnsi"/>
          <w:sz w:val="24"/>
          <w:szCs w:val="24"/>
        </w:rPr>
        <w:t xml:space="preserve"> more women were involved in alternative livelihoods than men</w:t>
      </w:r>
      <w:r w:rsidR="00E17523">
        <w:rPr>
          <w:rFonts w:cstheme="minorHAnsi"/>
          <w:sz w:val="24"/>
          <w:szCs w:val="24"/>
        </w:rPr>
        <w:t xml:space="preserve">, confirming </w:t>
      </w:r>
      <w:r w:rsidR="007370AB">
        <w:rPr>
          <w:rFonts w:cstheme="minorHAnsi"/>
          <w:sz w:val="24"/>
          <w:szCs w:val="24"/>
        </w:rPr>
        <w:t xml:space="preserve">the fact </w:t>
      </w:r>
      <w:r w:rsidR="00305D42">
        <w:rPr>
          <w:rFonts w:cstheme="minorHAnsi"/>
          <w:sz w:val="24"/>
          <w:szCs w:val="24"/>
        </w:rPr>
        <w:t xml:space="preserve">that </w:t>
      </w:r>
      <w:r w:rsidR="001C4894">
        <w:rPr>
          <w:rFonts w:cstheme="minorHAnsi"/>
          <w:sz w:val="24"/>
          <w:szCs w:val="24"/>
        </w:rPr>
        <w:t xml:space="preserve">livelihood </w:t>
      </w:r>
      <w:r w:rsidR="00305D42">
        <w:rPr>
          <w:rFonts w:cstheme="minorHAnsi"/>
          <w:sz w:val="24"/>
          <w:szCs w:val="24"/>
        </w:rPr>
        <w:t>diversif</w:t>
      </w:r>
      <w:r w:rsidR="001C4894">
        <w:rPr>
          <w:rFonts w:cstheme="minorHAnsi"/>
          <w:sz w:val="24"/>
          <w:szCs w:val="24"/>
        </w:rPr>
        <w:t>ication</w:t>
      </w:r>
      <w:r w:rsidR="00305D42">
        <w:rPr>
          <w:rFonts w:cstheme="minorHAnsi"/>
          <w:sz w:val="24"/>
          <w:szCs w:val="24"/>
        </w:rPr>
        <w:t xml:space="preserve"> is a</w:t>
      </w:r>
      <w:r w:rsidR="00BB42A4">
        <w:rPr>
          <w:rFonts w:cstheme="minorHAnsi"/>
          <w:sz w:val="24"/>
          <w:szCs w:val="24"/>
        </w:rPr>
        <w:t>n effective</w:t>
      </w:r>
      <w:r w:rsidR="00305D42">
        <w:rPr>
          <w:rFonts w:cstheme="minorHAnsi"/>
          <w:sz w:val="24"/>
          <w:szCs w:val="24"/>
        </w:rPr>
        <w:t xml:space="preserve"> strategy for reducing vulnerability </w:t>
      </w:r>
      <w:r w:rsidR="00305D42">
        <w:rPr>
          <w:rFonts w:cstheme="minorHAnsi"/>
          <w:sz w:val="24"/>
          <w:szCs w:val="24"/>
        </w:rPr>
        <w:fldChar w:fldCharType="begin" w:fldLock="1"/>
      </w:r>
      <w:r w:rsidR="00FC52F5">
        <w:rPr>
          <w:rFonts w:cstheme="minorHAnsi"/>
          <w:sz w:val="24"/>
          <w:szCs w:val="24"/>
        </w:rPr>
        <w:instrText>ADDIN CSL_CITATION {"citationItems":[{"id":"ITEM-1","itemData":{"DOI":"10.1016/S0308-597X(01)00023-9","ISSN":"0308597X","abstract":"An approach to poverty reduction in low-income countries known as the 'sustainable livelihoods approach' is applied to understanding the strategies of artisanal fisherfolk confronted by fluctuating fisheries resources. The livelihood approach is explained, and the insights it provides into conventional fisheries management policies in developing countries are explored. It is argued that both state-led management and some of the newer, community or territorial use-rights approaches, if predicated on an incomplete understanding of livelihoods, can result in management directives incompatible with both resource conservation and the social and economic goals of management. © 2001 Elsevier Science Ltd. All rights reserved.","author":[{"dropping-particle":"","family":"Allison","given":"Edward H.","non-dropping-particle":"","parse-names":false,"suffix":""},{"dropping-particle":"","family":"Ellis","given":"Frank","non-dropping-particle":"","parse-names":false,"suffix":""}],"container-title":"Marine Policy","id":"ITEM-1","issue":"5","issued":{"date-parts":[["2001"]]},"page":"377-388","title":"The livelihoods approach and management of small-scale fisheries","type":"article-journal","volume":"25"},"uris":["http://www.mendeley.com/documents/?uuid=3bda1c7f-dc87-46e1-8f88-baa265cf72ec"]},{"id":"ITEM-2","itemData":{"DOI":"10.1057/palgrave.development.1110037","ISBN":"1858642248","ISSN":"00278424","PMID":"60101040","abstract":"The concept of sustainable livelihoods is increasingly important in the development debate. This paper outlines a framework for analysing sustainable livelihoods, defined here in relation to five key indicators. The framework shows how, in different contexts, sustainable livelihoods are achieved through access to a range of livelihood resources (natural, economic, human and social capitals) which are combined in the pursuit of different livelihood strategies (agricultural intensification or extensification, livelihood diversification and migration). Central to the framework is the analysis of the range of formal and informal organisational and institutional factors that influence sustainable livelihood outcomes. In conclusion, the paper briefly considers some of the practical, methodological and operational implications of a sustainable livelihoods approach.","author":[{"dropping-particle":"","family":"Scoones","given":"Ian","non-dropping-particle":"","parse-names":false,"suffix":""}],"container-title":"IDS Working Paper","id":"ITEM-2","issue":"May","issued":{"date-parts":[["1998"]]},"page":"1-22","title":"Sustainable Rural Livelihoods: A Framework for Analysis, IDS Working Paper 72","type":"article-journal","volume":"72"},"uris":["http://www.mendeley.com/documents/?uuid=a55c58d0-69e5-4054-9924-2d502fcbd614"]},{"id":"ITEM-3","itemData":{"author":[{"dropping-particle":"","family":"Hussein","given":"K","non-dropping-particle":"","parse-names":false,"suffix":""},{"dropping-particle":"","family":"Nelson","given":"J","non-dropping-particle":"","parse-names":false,"suffix":""}],"container-title":"Brighton: IDS","id":"ITEM-3","issued":{"date-parts":[["1998"]]},"title":"Sustainable livelihoods and livelihood diversification (No. IDS Working Paper 69)","type":"article-journal"},"uris":["http://www.mendeley.com/documents/?uuid=98c340eb-38d0-48ab-bba6-643728a5f2c4"]}],"mendeley":{"formattedCitation":"[25], [26], [43]","plainTextFormattedCitation":"[25], [26], [43]","previouslyFormattedCitation":"[25], [26], [42]"},"properties":{"noteIndex":0},"schema":"https://github.com/citation-style-language/schema/raw/master/csl-citation.json"}</w:instrText>
      </w:r>
      <w:r w:rsidR="00305D42">
        <w:rPr>
          <w:rFonts w:cstheme="minorHAnsi"/>
          <w:sz w:val="24"/>
          <w:szCs w:val="24"/>
        </w:rPr>
        <w:fldChar w:fldCharType="separate"/>
      </w:r>
      <w:r w:rsidR="00FC52F5" w:rsidRPr="00FC52F5">
        <w:rPr>
          <w:rFonts w:cstheme="minorHAnsi"/>
          <w:noProof/>
          <w:sz w:val="24"/>
          <w:szCs w:val="24"/>
        </w:rPr>
        <w:t>[25], [26], [43]</w:t>
      </w:r>
      <w:r w:rsidR="00305D42">
        <w:rPr>
          <w:rFonts w:cstheme="minorHAnsi"/>
          <w:sz w:val="24"/>
          <w:szCs w:val="24"/>
        </w:rPr>
        <w:fldChar w:fldCharType="end"/>
      </w:r>
      <w:r w:rsidR="00305D42">
        <w:rPr>
          <w:rFonts w:cstheme="minorHAnsi"/>
          <w:sz w:val="24"/>
          <w:szCs w:val="24"/>
        </w:rPr>
        <w:t>.</w:t>
      </w:r>
      <w:r w:rsidR="003E439B">
        <w:rPr>
          <w:rFonts w:cstheme="minorHAnsi"/>
          <w:sz w:val="24"/>
          <w:szCs w:val="24"/>
        </w:rPr>
        <w:t xml:space="preserve"> </w:t>
      </w:r>
    </w:p>
    <w:p w14:paraId="32D464F5" w14:textId="48C89C97" w:rsidR="005741C2" w:rsidRDefault="00DA13B9" w:rsidP="00A33BD4">
      <w:pPr>
        <w:spacing w:before="240"/>
        <w:jc w:val="both"/>
        <w:rPr>
          <w:rFonts w:cstheme="minorHAnsi"/>
          <w:sz w:val="24"/>
          <w:szCs w:val="24"/>
        </w:rPr>
      </w:pPr>
      <w:r>
        <w:rPr>
          <w:rFonts w:cstheme="minorHAnsi"/>
          <w:sz w:val="24"/>
          <w:szCs w:val="24"/>
        </w:rPr>
        <w:t>T</w:t>
      </w:r>
      <w:r w:rsidR="00C56F3C">
        <w:rPr>
          <w:rFonts w:cstheme="minorHAnsi"/>
          <w:sz w:val="24"/>
          <w:szCs w:val="24"/>
        </w:rPr>
        <w:t>he observed</w:t>
      </w:r>
      <w:r w:rsidR="00535239">
        <w:rPr>
          <w:rFonts w:cstheme="minorHAnsi"/>
          <w:sz w:val="24"/>
          <w:szCs w:val="24"/>
        </w:rPr>
        <w:t xml:space="preserve"> </w:t>
      </w:r>
      <w:r w:rsidR="00741883">
        <w:rPr>
          <w:rFonts w:cstheme="minorHAnsi"/>
          <w:sz w:val="24"/>
          <w:szCs w:val="24"/>
        </w:rPr>
        <w:t xml:space="preserve">seasonal </w:t>
      </w:r>
      <w:r w:rsidR="00535239">
        <w:rPr>
          <w:rFonts w:cstheme="minorHAnsi"/>
          <w:sz w:val="24"/>
          <w:szCs w:val="24"/>
        </w:rPr>
        <w:t xml:space="preserve">dynamics in </w:t>
      </w:r>
      <w:r w:rsidR="00FC0CF2">
        <w:rPr>
          <w:rFonts w:cstheme="minorHAnsi"/>
          <w:sz w:val="24"/>
          <w:szCs w:val="24"/>
        </w:rPr>
        <w:t>vulnerability</w:t>
      </w:r>
      <w:r w:rsidR="00D74389">
        <w:rPr>
          <w:rFonts w:cstheme="minorHAnsi"/>
          <w:sz w:val="24"/>
          <w:szCs w:val="24"/>
        </w:rPr>
        <w:t>,</w:t>
      </w:r>
      <w:r w:rsidR="00FC0CF2">
        <w:rPr>
          <w:rFonts w:cstheme="minorHAnsi"/>
          <w:sz w:val="24"/>
          <w:szCs w:val="24"/>
        </w:rPr>
        <w:t xml:space="preserve"> in relation to gender and economic class classification</w:t>
      </w:r>
      <w:r w:rsidR="00D74389">
        <w:rPr>
          <w:rFonts w:cstheme="minorHAnsi"/>
          <w:sz w:val="24"/>
          <w:szCs w:val="24"/>
        </w:rPr>
        <w:t>,</w:t>
      </w:r>
      <w:r w:rsidR="00741883">
        <w:rPr>
          <w:rFonts w:cstheme="minorHAnsi"/>
          <w:sz w:val="24"/>
          <w:szCs w:val="24"/>
        </w:rPr>
        <w:t xml:space="preserve"> </w:t>
      </w:r>
      <w:r w:rsidR="00535239">
        <w:rPr>
          <w:rFonts w:cstheme="minorHAnsi"/>
          <w:sz w:val="24"/>
          <w:szCs w:val="18"/>
        </w:rPr>
        <w:t xml:space="preserve">highlights the importance </w:t>
      </w:r>
      <w:r w:rsidR="007B4AAC">
        <w:rPr>
          <w:rFonts w:cstheme="minorHAnsi"/>
          <w:sz w:val="24"/>
          <w:szCs w:val="18"/>
        </w:rPr>
        <w:t xml:space="preserve">of </w:t>
      </w:r>
      <w:r w:rsidR="00D41F1D">
        <w:rPr>
          <w:rFonts w:cstheme="minorHAnsi"/>
          <w:sz w:val="24"/>
          <w:szCs w:val="18"/>
        </w:rPr>
        <w:t>looking beyond gender</w:t>
      </w:r>
      <w:r w:rsidR="002B19B8">
        <w:rPr>
          <w:rFonts w:cstheme="minorHAnsi"/>
          <w:sz w:val="24"/>
          <w:szCs w:val="18"/>
        </w:rPr>
        <w:t xml:space="preserve"> </w:t>
      </w:r>
      <w:r w:rsidR="00D41F1D">
        <w:rPr>
          <w:rFonts w:cstheme="minorHAnsi"/>
          <w:sz w:val="24"/>
          <w:szCs w:val="18"/>
        </w:rPr>
        <w:t xml:space="preserve">and </w:t>
      </w:r>
      <w:r w:rsidR="00535239">
        <w:rPr>
          <w:rFonts w:cstheme="minorHAnsi"/>
          <w:sz w:val="24"/>
          <w:szCs w:val="18"/>
        </w:rPr>
        <w:t xml:space="preserve">adopting an intersectional perspective </w:t>
      </w:r>
      <w:r w:rsidR="00535239">
        <w:rPr>
          <w:rFonts w:cstheme="minorHAnsi"/>
          <w:sz w:val="24"/>
          <w:szCs w:val="18"/>
        </w:rPr>
        <w:fldChar w:fldCharType="begin" w:fldLock="1"/>
      </w:r>
      <w:r w:rsidR="00FC52F5">
        <w:rPr>
          <w:rFonts w:cstheme="minorHAnsi"/>
          <w:sz w:val="24"/>
          <w:szCs w:val="18"/>
        </w:rPr>
        <w:instrText>ADDIN CSL_CITATION {"citationItems":[{"id":"ITEM-1","itemData":{"DOI":"10.1007/s13280-016-0827-0","ISSN":"0044-7447","abstract":"Most current approaches focused on vulnerability, resilience, and adaptation to climate change frame gender and its influence in a manner out-of-step with contemporary academic and international development research. The tendency to rely on analyses of the sex-disaggregated gender categories of ‘men’ and ‘women’ as sole or principal divisions explaining the abilities of different people within a group to adapt to climate change, illustrates this problem. This framing of gender persists in spite of established bodies of knowledge that show how roles and responsibilities that influence a person´s ability to deal with climate-induced and other stressors emerge at the intersection of diverse identity categories, including but not limited to gender, age, seniority, ethnicity, marital status, and livelihoods. Here, we provide a review of relevant literature on this topic and argue that approaching vulnerability to climate change through intersectional understandings of identity can help improve adaptation programming, project design, implementation, and outcomes.","author":[{"dropping-particle":"","family":"Thompson-Hall","given":"Mary","non-dropping-particle":"","parse-names":false,"suffix":""},{"dropping-particle":"","family":"Carr","given":"Edward R.","non-dropping-particle":"","parse-names":false,"suffix":""},{"dropping-particle":"","family":"Pascual","given":"Unai","non-dropping-particle":"","parse-names":false,"suffix":""}],"container-title":"Ambio","id":"ITEM-1","issue":"S3","issued":{"date-parts":[["2016","12","22"]]},"page":"373-382","publisher":"Springer Netherlands","title":"Enhancing and expanding intersectional research for climate change adaptation in agrarian settings","type":"article-journal","volume":"45"},"uris":["http://www.mendeley.com/documents/?uuid=c4ad775a-857b-48d8-a8bc-ad67cf23deaf"]},{"id":"ITEM-2","itemData":{"ISSN":"0964-4016","author":[{"dropping-particle":"","family":"Kaijser","given":"A","non-dropping-particle":"","parse-names":false,"suffix":""},{"dropping-particle":"","family":"Kronsell","given":"A","non-dropping-particle":"","parse-names":false,"suffix":""}],"container-title":"ENVIRONMENTAL POLITICS VO - 23","id":"ITEM-2","issue":"3","issued":{"date-parts":[["2014"]]},"note":"Accession Number: RN351585102; Publication Type: Periodical; Source: ENVIRONMENTAL POLITICS; Language: English; Publication Date: 20140101; Rights: © COPYRIGHT THE BRITISH LIBRARY BOARD AND OTHER CONTRIBUTORS. ALL RIGHTS RESERVED.; Imprint: Great Britain: Taylor &amp;amp; Francis, 2014.","page":"417","publisher":"Taylor &amp; Francis","publisher-place":"Great Britain","title":"Climate change through the lens of intersectionality","type":"article-journal"},"uris":["http://www.mendeley.com/documents/?uuid=f63c564a-2b9b-448f-aa04-807954d640b7"]}],"mendeley":{"formattedCitation":"[59], [60]","plainTextFormattedCitation":"[59], [60]","previouslyFormattedCitation":"[58], [59]"},"properties":{"noteIndex":0},"schema":"https://github.com/citation-style-language/schema/raw/master/csl-citation.json"}</w:instrText>
      </w:r>
      <w:r w:rsidR="00535239">
        <w:rPr>
          <w:rFonts w:cstheme="minorHAnsi"/>
          <w:sz w:val="24"/>
          <w:szCs w:val="18"/>
        </w:rPr>
        <w:fldChar w:fldCharType="separate"/>
      </w:r>
      <w:r w:rsidR="00FC52F5" w:rsidRPr="00FC52F5">
        <w:rPr>
          <w:rFonts w:cstheme="minorHAnsi"/>
          <w:noProof/>
          <w:sz w:val="24"/>
          <w:szCs w:val="18"/>
        </w:rPr>
        <w:t>[59], [60]</w:t>
      </w:r>
      <w:r w:rsidR="00535239">
        <w:rPr>
          <w:rFonts w:cstheme="minorHAnsi"/>
          <w:sz w:val="24"/>
          <w:szCs w:val="18"/>
        </w:rPr>
        <w:fldChar w:fldCharType="end"/>
      </w:r>
      <w:r w:rsidR="00535239">
        <w:rPr>
          <w:rFonts w:cstheme="minorHAnsi"/>
          <w:sz w:val="24"/>
          <w:szCs w:val="18"/>
        </w:rPr>
        <w:t xml:space="preserve"> when searching for and prioritizing vulnerable households. </w:t>
      </w:r>
      <w:r w:rsidR="002B19B8">
        <w:rPr>
          <w:rFonts w:cstheme="minorHAnsi"/>
          <w:sz w:val="24"/>
          <w:szCs w:val="18"/>
        </w:rPr>
        <w:t xml:space="preserve">This is because, as the results </w:t>
      </w:r>
      <w:r w:rsidR="00154018">
        <w:rPr>
          <w:rFonts w:cstheme="minorHAnsi"/>
          <w:sz w:val="24"/>
          <w:szCs w:val="18"/>
        </w:rPr>
        <w:t>demonstrate</w:t>
      </w:r>
      <w:r w:rsidR="002B19B8">
        <w:rPr>
          <w:rFonts w:cstheme="minorHAnsi"/>
          <w:sz w:val="24"/>
          <w:szCs w:val="18"/>
        </w:rPr>
        <w:t xml:space="preserve">, men </w:t>
      </w:r>
      <w:r w:rsidR="000D364A">
        <w:rPr>
          <w:rFonts w:cstheme="minorHAnsi"/>
          <w:sz w:val="24"/>
          <w:szCs w:val="18"/>
        </w:rPr>
        <w:t xml:space="preserve">and even richer households </w:t>
      </w:r>
      <w:r w:rsidR="002B19B8">
        <w:rPr>
          <w:rFonts w:cstheme="minorHAnsi"/>
          <w:sz w:val="24"/>
          <w:szCs w:val="18"/>
        </w:rPr>
        <w:lastRenderedPageBreak/>
        <w:t>could</w:t>
      </w:r>
      <w:r w:rsidR="000D364A">
        <w:rPr>
          <w:rFonts w:cstheme="minorHAnsi"/>
          <w:sz w:val="24"/>
          <w:szCs w:val="18"/>
        </w:rPr>
        <w:t xml:space="preserve"> </w:t>
      </w:r>
      <w:r w:rsidR="002F5C80">
        <w:rPr>
          <w:rFonts w:cstheme="minorHAnsi"/>
          <w:sz w:val="24"/>
          <w:szCs w:val="18"/>
        </w:rPr>
        <w:t xml:space="preserve">at times </w:t>
      </w:r>
      <w:r w:rsidR="000D364A">
        <w:rPr>
          <w:rFonts w:cstheme="minorHAnsi"/>
          <w:sz w:val="24"/>
          <w:szCs w:val="18"/>
        </w:rPr>
        <w:t xml:space="preserve">be relatively more vulnerable. </w:t>
      </w:r>
      <w:r>
        <w:rPr>
          <w:rFonts w:cstheme="minorHAnsi"/>
          <w:sz w:val="24"/>
          <w:szCs w:val="18"/>
        </w:rPr>
        <w:t>W</w:t>
      </w:r>
      <w:r w:rsidR="000A6A9C" w:rsidRPr="000400EB">
        <w:rPr>
          <w:rFonts w:cstheme="minorHAnsi"/>
          <w:sz w:val="24"/>
          <w:szCs w:val="24"/>
        </w:rPr>
        <w:t>hile pre-existing social identities like gender, economic class</w:t>
      </w:r>
      <w:r w:rsidR="00106F8D">
        <w:rPr>
          <w:rFonts w:cstheme="minorHAnsi"/>
          <w:sz w:val="24"/>
          <w:szCs w:val="24"/>
        </w:rPr>
        <w:t xml:space="preserve"> and</w:t>
      </w:r>
      <w:r w:rsidR="000A6A9C" w:rsidRPr="000400EB">
        <w:rPr>
          <w:rFonts w:cstheme="minorHAnsi"/>
          <w:sz w:val="24"/>
          <w:szCs w:val="24"/>
        </w:rPr>
        <w:t xml:space="preserve"> ethnicity are good starting points for identifying</w:t>
      </w:r>
      <w:r w:rsidR="00B860E9">
        <w:rPr>
          <w:rFonts w:cstheme="minorHAnsi"/>
          <w:sz w:val="24"/>
          <w:szCs w:val="24"/>
        </w:rPr>
        <w:t xml:space="preserve"> </w:t>
      </w:r>
      <w:r w:rsidR="00306723">
        <w:rPr>
          <w:rFonts w:cstheme="minorHAnsi"/>
          <w:sz w:val="24"/>
          <w:szCs w:val="24"/>
        </w:rPr>
        <w:t>and prioritizing</w:t>
      </w:r>
      <w:r w:rsidR="000A6A9C" w:rsidRPr="000400EB">
        <w:rPr>
          <w:rFonts w:cstheme="minorHAnsi"/>
          <w:sz w:val="24"/>
          <w:szCs w:val="24"/>
        </w:rPr>
        <w:t xml:space="preserve"> </w:t>
      </w:r>
      <w:r w:rsidR="00306723">
        <w:rPr>
          <w:rFonts w:cstheme="minorHAnsi"/>
          <w:sz w:val="24"/>
          <w:szCs w:val="24"/>
        </w:rPr>
        <w:t xml:space="preserve">critically </w:t>
      </w:r>
      <w:r w:rsidR="000A6A9C" w:rsidRPr="000400EB">
        <w:rPr>
          <w:rFonts w:cstheme="minorHAnsi"/>
          <w:sz w:val="24"/>
          <w:szCs w:val="24"/>
        </w:rPr>
        <w:t>vulnerable household</w:t>
      </w:r>
      <w:r w:rsidR="005031A2">
        <w:rPr>
          <w:rFonts w:cstheme="minorHAnsi"/>
          <w:sz w:val="24"/>
          <w:szCs w:val="24"/>
        </w:rPr>
        <w:t>s</w:t>
      </w:r>
      <w:r w:rsidR="000A6A9C" w:rsidRPr="000400EB">
        <w:rPr>
          <w:rFonts w:cstheme="minorHAnsi"/>
          <w:sz w:val="24"/>
          <w:szCs w:val="24"/>
        </w:rPr>
        <w:t xml:space="preserve">, the </w:t>
      </w:r>
      <w:r w:rsidR="00106F8D">
        <w:rPr>
          <w:rFonts w:cstheme="minorHAnsi"/>
          <w:sz w:val="24"/>
          <w:szCs w:val="24"/>
        </w:rPr>
        <w:t xml:space="preserve">target </w:t>
      </w:r>
      <w:r w:rsidR="000A6A9C" w:rsidRPr="000400EB">
        <w:rPr>
          <w:rFonts w:cstheme="minorHAnsi"/>
          <w:sz w:val="24"/>
          <w:szCs w:val="24"/>
        </w:rPr>
        <w:t xml:space="preserve">group may not lie within the </w:t>
      </w:r>
      <w:r w:rsidR="00D10EC0">
        <w:rPr>
          <w:rFonts w:cstheme="minorHAnsi"/>
          <w:sz w:val="24"/>
          <w:szCs w:val="24"/>
        </w:rPr>
        <w:t>categories</w:t>
      </w:r>
      <w:r w:rsidR="000A6A9C" w:rsidRPr="000400EB">
        <w:rPr>
          <w:rFonts w:cstheme="minorHAnsi"/>
          <w:sz w:val="24"/>
          <w:szCs w:val="24"/>
        </w:rPr>
        <w:t xml:space="preserve"> that these social identities </w:t>
      </w:r>
      <w:r w:rsidR="009B6ABD">
        <w:rPr>
          <w:rFonts w:cstheme="minorHAnsi"/>
          <w:sz w:val="24"/>
          <w:szCs w:val="24"/>
        </w:rPr>
        <w:t xml:space="preserve">singularly </w:t>
      </w:r>
      <w:r w:rsidR="000A6A9C" w:rsidRPr="000400EB">
        <w:rPr>
          <w:rFonts w:cstheme="minorHAnsi"/>
          <w:sz w:val="24"/>
          <w:szCs w:val="24"/>
        </w:rPr>
        <w:t>characterize.</w:t>
      </w:r>
      <w:r w:rsidR="00696E72">
        <w:rPr>
          <w:rFonts w:cstheme="minorHAnsi"/>
          <w:sz w:val="24"/>
          <w:szCs w:val="24"/>
        </w:rPr>
        <w:t xml:space="preserve"> Rather, it may be</w:t>
      </w:r>
      <w:r w:rsidR="000A6A9C" w:rsidRPr="000400EB">
        <w:rPr>
          <w:rFonts w:cstheme="minorHAnsi"/>
          <w:sz w:val="24"/>
          <w:szCs w:val="24"/>
        </w:rPr>
        <w:t xml:space="preserve"> </w:t>
      </w:r>
      <w:r w:rsidR="00D10EC0">
        <w:rPr>
          <w:rFonts w:cstheme="minorHAnsi"/>
          <w:sz w:val="24"/>
          <w:szCs w:val="24"/>
        </w:rPr>
        <w:t xml:space="preserve">a </w:t>
      </w:r>
      <w:r w:rsidR="00D606DC">
        <w:rPr>
          <w:rFonts w:cstheme="minorHAnsi"/>
          <w:sz w:val="24"/>
          <w:szCs w:val="24"/>
        </w:rPr>
        <w:t xml:space="preserve">unique </w:t>
      </w:r>
      <w:r w:rsidR="00117BC3">
        <w:rPr>
          <w:rFonts w:cstheme="minorHAnsi"/>
          <w:sz w:val="24"/>
          <w:szCs w:val="24"/>
        </w:rPr>
        <w:t>configuration</w:t>
      </w:r>
      <w:r w:rsidR="00D10EC0">
        <w:rPr>
          <w:rFonts w:cstheme="minorHAnsi"/>
          <w:sz w:val="24"/>
          <w:szCs w:val="24"/>
        </w:rPr>
        <w:t xml:space="preserve"> o</w:t>
      </w:r>
      <w:r w:rsidR="00C238E7">
        <w:rPr>
          <w:rFonts w:cstheme="minorHAnsi"/>
          <w:sz w:val="24"/>
          <w:szCs w:val="24"/>
        </w:rPr>
        <w:t>f</w:t>
      </w:r>
      <w:r w:rsidR="000A6A9C" w:rsidRPr="000400EB">
        <w:rPr>
          <w:rFonts w:cstheme="minorHAnsi"/>
          <w:sz w:val="24"/>
          <w:szCs w:val="24"/>
        </w:rPr>
        <w:t xml:space="preserve"> </w:t>
      </w:r>
      <w:r w:rsidR="000A6B51">
        <w:rPr>
          <w:rFonts w:cstheme="minorHAnsi"/>
          <w:sz w:val="24"/>
          <w:szCs w:val="24"/>
        </w:rPr>
        <w:t xml:space="preserve">households from </w:t>
      </w:r>
      <w:r w:rsidR="000A6A9C" w:rsidRPr="000400EB">
        <w:rPr>
          <w:rFonts w:cstheme="minorHAnsi"/>
          <w:sz w:val="24"/>
          <w:szCs w:val="24"/>
        </w:rPr>
        <w:t xml:space="preserve">all </w:t>
      </w:r>
      <w:r w:rsidR="00D10EC0">
        <w:rPr>
          <w:rFonts w:cstheme="minorHAnsi"/>
          <w:sz w:val="24"/>
          <w:szCs w:val="24"/>
        </w:rPr>
        <w:t>cate</w:t>
      </w:r>
      <w:r w:rsidR="00C570C5">
        <w:rPr>
          <w:rFonts w:cstheme="minorHAnsi"/>
          <w:sz w:val="24"/>
          <w:szCs w:val="24"/>
        </w:rPr>
        <w:t>gories</w:t>
      </w:r>
      <w:r w:rsidR="000A6A9C" w:rsidRPr="000400EB">
        <w:rPr>
          <w:rFonts w:cstheme="minorHAnsi"/>
          <w:sz w:val="24"/>
          <w:szCs w:val="24"/>
        </w:rPr>
        <w:t xml:space="preserve"> of </w:t>
      </w:r>
      <w:r w:rsidR="00117BC3">
        <w:rPr>
          <w:rFonts w:cstheme="minorHAnsi"/>
          <w:sz w:val="24"/>
          <w:szCs w:val="24"/>
        </w:rPr>
        <w:t>the chosen</w:t>
      </w:r>
      <w:r w:rsidR="00C570C5">
        <w:rPr>
          <w:rFonts w:cstheme="minorHAnsi"/>
          <w:sz w:val="24"/>
          <w:szCs w:val="24"/>
        </w:rPr>
        <w:t xml:space="preserve"> </w:t>
      </w:r>
      <w:r w:rsidR="000A6A9C" w:rsidRPr="000400EB">
        <w:rPr>
          <w:rFonts w:cstheme="minorHAnsi"/>
          <w:sz w:val="24"/>
          <w:szCs w:val="24"/>
        </w:rPr>
        <w:t xml:space="preserve">social </w:t>
      </w:r>
      <w:r w:rsidR="00C570C5">
        <w:rPr>
          <w:rFonts w:cstheme="minorHAnsi"/>
          <w:sz w:val="24"/>
          <w:szCs w:val="24"/>
        </w:rPr>
        <w:t>identities. As</w:t>
      </w:r>
      <w:r w:rsidR="000A6A9C" w:rsidRPr="000400EB">
        <w:rPr>
          <w:rFonts w:cstheme="minorHAnsi"/>
          <w:sz w:val="24"/>
          <w:szCs w:val="24"/>
        </w:rPr>
        <w:t xml:space="preserve"> </w:t>
      </w:r>
      <w:r w:rsidR="00D606DC">
        <w:rPr>
          <w:rFonts w:cstheme="minorHAnsi"/>
          <w:sz w:val="24"/>
          <w:szCs w:val="24"/>
        </w:rPr>
        <w:t>such,</w:t>
      </w:r>
      <w:r w:rsidR="000A6A9C" w:rsidRPr="000400EB">
        <w:rPr>
          <w:rFonts w:cstheme="minorHAnsi"/>
          <w:sz w:val="24"/>
          <w:szCs w:val="24"/>
        </w:rPr>
        <w:t xml:space="preserve"> this unique group must be </w:t>
      </w:r>
      <w:r w:rsidR="00C570C5">
        <w:rPr>
          <w:rFonts w:cstheme="minorHAnsi"/>
          <w:sz w:val="24"/>
          <w:szCs w:val="24"/>
        </w:rPr>
        <w:t xml:space="preserve">analytically </w:t>
      </w:r>
      <w:r w:rsidR="003E32B9">
        <w:rPr>
          <w:rFonts w:cstheme="minorHAnsi"/>
          <w:sz w:val="24"/>
          <w:szCs w:val="24"/>
        </w:rPr>
        <w:t>sought</w:t>
      </w:r>
      <w:r w:rsidR="00C570C5">
        <w:rPr>
          <w:rFonts w:cstheme="minorHAnsi"/>
          <w:sz w:val="24"/>
          <w:szCs w:val="24"/>
        </w:rPr>
        <w:t>,</w:t>
      </w:r>
      <w:r w:rsidR="000A6A9C" w:rsidRPr="000400EB">
        <w:rPr>
          <w:rFonts w:cstheme="minorHAnsi"/>
          <w:sz w:val="24"/>
          <w:szCs w:val="24"/>
        </w:rPr>
        <w:t xml:space="preserve"> if adaptation or devel</w:t>
      </w:r>
      <w:r w:rsidR="00D606DC">
        <w:rPr>
          <w:rFonts w:cstheme="minorHAnsi"/>
          <w:sz w:val="24"/>
          <w:szCs w:val="24"/>
        </w:rPr>
        <w:t xml:space="preserve">opment </w:t>
      </w:r>
      <w:r w:rsidR="000A6A9C" w:rsidRPr="000400EB">
        <w:rPr>
          <w:rFonts w:cstheme="minorHAnsi"/>
          <w:sz w:val="24"/>
          <w:szCs w:val="24"/>
        </w:rPr>
        <w:t xml:space="preserve">interventions will be equitably </w:t>
      </w:r>
      <w:r w:rsidR="00FF632C">
        <w:rPr>
          <w:rFonts w:cstheme="minorHAnsi"/>
          <w:sz w:val="24"/>
          <w:szCs w:val="24"/>
        </w:rPr>
        <w:t xml:space="preserve">and efficiently </w:t>
      </w:r>
      <w:r w:rsidR="000A6A9C" w:rsidRPr="000400EB">
        <w:rPr>
          <w:rFonts w:cstheme="minorHAnsi"/>
          <w:sz w:val="24"/>
          <w:szCs w:val="24"/>
        </w:rPr>
        <w:t>distributed. For example,</w:t>
      </w:r>
      <w:r w:rsidR="007506A5">
        <w:rPr>
          <w:rFonts w:cstheme="minorHAnsi"/>
          <w:sz w:val="24"/>
          <w:szCs w:val="24"/>
        </w:rPr>
        <w:t xml:space="preserve"> </w:t>
      </w:r>
      <w:r w:rsidR="000A6A9C" w:rsidRPr="000400EB">
        <w:rPr>
          <w:rFonts w:cstheme="minorHAnsi"/>
          <w:sz w:val="24"/>
          <w:szCs w:val="24"/>
        </w:rPr>
        <w:t xml:space="preserve">there is a 100% probability that a woman who is also a petty trader chosen at random is in the </w:t>
      </w:r>
      <w:proofErr w:type="gramStart"/>
      <w:r w:rsidR="00DD44DC">
        <w:rPr>
          <w:rFonts w:cstheme="minorHAnsi"/>
          <w:sz w:val="24"/>
          <w:szCs w:val="24"/>
        </w:rPr>
        <w:t>high</w:t>
      </w:r>
      <w:proofErr w:type="gramEnd"/>
      <w:r w:rsidR="000A6A9C" w:rsidRPr="000400EB">
        <w:rPr>
          <w:rFonts w:cstheme="minorHAnsi"/>
          <w:sz w:val="24"/>
          <w:szCs w:val="24"/>
        </w:rPr>
        <w:t xml:space="preserve"> vulnerable </w:t>
      </w:r>
      <w:r w:rsidR="00DD44DC">
        <w:rPr>
          <w:rFonts w:cstheme="minorHAnsi"/>
          <w:sz w:val="24"/>
          <w:szCs w:val="24"/>
        </w:rPr>
        <w:t>group</w:t>
      </w:r>
      <w:r w:rsidR="007506A5">
        <w:rPr>
          <w:rFonts w:cstheme="minorHAnsi"/>
          <w:sz w:val="24"/>
          <w:szCs w:val="24"/>
        </w:rPr>
        <w:t xml:space="preserve"> in the good season</w:t>
      </w:r>
      <w:r w:rsidR="00545C02">
        <w:rPr>
          <w:rFonts w:cstheme="minorHAnsi"/>
          <w:sz w:val="24"/>
          <w:szCs w:val="24"/>
        </w:rPr>
        <w:t>,</w:t>
      </w:r>
      <w:r w:rsidR="000A6A9C" w:rsidRPr="000400EB">
        <w:rPr>
          <w:rFonts w:cstheme="minorHAnsi"/>
          <w:sz w:val="24"/>
          <w:szCs w:val="24"/>
        </w:rPr>
        <w:t xml:space="preserve"> while there is only </w:t>
      </w:r>
      <w:r w:rsidR="005031A2">
        <w:rPr>
          <w:rFonts w:cstheme="minorHAnsi"/>
          <w:sz w:val="24"/>
          <w:szCs w:val="24"/>
        </w:rPr>
        <w:t xml:space="preserve">a </w:t>
      </w:r>
      <w:r w:rsidR="000A6A9C" w:rsidRPr="000400EB">
        <w:rPr>
          <w:rFonts w:cstheme="minorHAnsi"/>
          <w:sz w:val="24"/>
          <w:szCs w:val="24"/>
        </w:rPr>
        <w:t xml:space="preserve">50% chance that a fish monger will be in that </w:t>
      </w:r>
      <w:r w:rsidR="00DD44DC">
        <w:rPr>
          <w:rFonts w:cstheme="minorHAnsi"/>
          <w:sz w:val="24"/>
          <w:szCs w:val="24"/>
        </w:rPr>
        <w:t>group</w:t>
      </w:r>
      <w:r w:rsidR="003E32B9">
        <w:rPr>
          <w:rFonts w:cstheme="minorHAnsi"/>
          <w:sz w:val="24"/>
          <w:szCs w:val="24"/>
        </w:rPr>
        <w:t xml:space="preserve"> (</w:t>
      </w:r>
      <w:r w:rsidR="003E32B9" w:rsidRPr="000400EB">
        <w:rPr>
          <w:rFonts w:cstheme="minorHAnsi"/>
          <w:sz w:val="24"/>
          <w:szCs w:val="24"/>
        </w:rPr>
        <w:t xml:space="preserve">Table </w:t>
      </w:r>
      <w:r w:rsidR="003E32B9">
        <w:rPr>
          <w:rFonts w:cstheme="minorHAnsi"/>
          <w:sz w:val="24"/>
          <w:szCs w:val="24"/>
        </w:rPr>
        <w:t>8)</w:t>
      </w:r>
      <w:r w:rsidR="000A6A9C" w:rsidRPr="000400EB">
        <w:rPr>
          <w:rFonts w:cstheme="minorHAnsi"/>
          <w:sz w:val="24"/>
          <w:szCs w:val="24"/>
        </w:rPr>
        <w:t>. An intervention that is fisher</w:t>
      </w:r>
      <w:r w:rsidR="004C4491">
        <w:rPr>
          <w:rFonts w:cstheme="minorHAnsi"/>
          <w:sz w:val="24"/>
          <w:szCs w:val="24"/>
        </w:rPr>
        <w:t>ies</w:t>
      </w:r>
      <w:r w:rsidR="000A6A9C" w:rsidRPr="000400EB">
        <w:rPr>
          <w:rFonts w:cstheme="minorHAnsi"/>
          <w:sz w:val="24"/>
          <w:szCs w:val="24"/>
        </w:rPr>
        <w:t xml:space="preserve">-biased therefore will miss the most vulnerable women. </w:t>
      </w:r>
      <w:bookmarkStart w:id="11" w:name="_Hlk43134097"/>
      <w:r w:rsidR="002B26CA">
        <w:rPr>
          <w:rFonts w:cstheme="minorHAnsi"/>
          <w:sz w:val="24"/>
          <w:szCs w:val="24"/>
        </w:rPr>
        <w:t>Similarly</w:t>
      </w:r>
      <w:r w:rsidR="000A6A9C" w:rsidRPr="000400EB">
        <w:rPr>
          <w:rFonts w:cstheme="minorHAnsi"/>
          <w:sz w:val="24"/>
          <w:szCs w:val="24"/>
        </w:rPr>
        <w:t xml:space="preserve">, while net draggers are a lower economic </w:t>
      </w:r>
      <w:r w:rsidR="00604797">
        <w:rPr>
          <w:rFonts w:cstheme="minorHAnsi"/>
          <w:sz w:val="24"/>
          <w:szCs w:val="24"/>
        </w:rPr>
        <w:t>class</w:t>
      </w:r>
      <w:r w:rsidR="000A6A9C" w:rsidRPr="000400EB">
        <w:rPr>
          <w:rFonts w:cstheme="minorHAnsi"/>
          <w:sz w:val="24"/>
          <w:szCs w:val="24"/>
        </w:rPr>
        <w:t xml:space="preserve"> compared to boat crew, the latter have </w:t>
      </w:r>
      <w:r w:rsidR="00E326A3">
        <w:rPr>
          <w:rFonts w:cstheme="minorHAnsi"/>
          <w:sz w:val="24"/>
          <w:szCs w:val="24"/>
        </w:rPr>
        <w:t>5</w:t>
      </w:r>
      <w:r w:rsidR="00CD1A8A">
        <w:rPr>
          <w:rFonts w:cstheme="minorHAnsi"/>
          <w:sz w:val="24"/>
          <w:szCs w:val="24"/>
        </w:rPr>
        <w:t>0</w:t>
      </w:r>
      <w:r w:rsidR="000A6A9C" w:rsidRPr="000400EB">
        <w:rPr>
          <w:rFonts w:cstheme="minorHAnsi"/>
          <w:sz w:val="24"/>
          <w:szCs w:val="24"/>
        </w:rPr>
        <w:t xml:space="preserve">% probability </w:t>
      </w:r>
      <w:r w:rsidR="00E326A3">
        <w:rPr>
          <w:rFonts w:cstheme="minorHAnsi"/>
          <w:sz w:val="24"/>
          <w:szCs w:val="24"/>
        </w:rPr>
        <w:t xml:space="preserve">of being in the high vulnerability group in the bad season, </w:t>
      </w:r>
      <w:r w:rsidR="003500DA">
        <w:rPr>
          <w:rFonts w:cstheme="minorHAnsi"/>
          <w:sz w:val="24"/>
          <w:szCs w:val="24"/>
        </w:rPr>
        <w:t>while the former have 35% of being in the same group</w:t>
      </w:r>
      <w:r w:rsidR="00241B21">
        <w:rPr>
          <w:rFonts w:cstheme="minorHAnsi"/>
          <w:sz w:val="24"/>
          <w:szCs w:val="24"/>
        </w:rPr>
        <w:t xml:space="preserve"> (Table 8)</w:t>
      </w:r>
      <w:r w:rsidR="003500DA">
        <w:rPr>
          <w:rFonts w:cstheme="minorHAnsi"/>
          <w:sz w:val="24"/>
          <w:szCs w:val="24"/>
        </w:rPr>
        <w:t>.</w:t>
      </w:r>
      <w:bookmarkEnd w:id="11"/>
    </w:p>
    <w:p w14:paraId="01516989" w14:textId="77777777" w:rsidR="00A33BD4" w:rsidRDefault="005741C2" w:rsidP="00A33BD4">
      <w:pPr>
        <w:spacing w:before="240"/>
        <w:jc w:val="both"/>
        <w:rPr>
          <w:rFonts w:cstheme="minorHAnsi"/>
          <w:b/>
          <w:sz w:val="24"/>
          <w:szCs w:val="24"/>
        </w:rPr>
      </w:pPr>
      <w:r w:rsidRPr="005741C2">
        <w:rPr>
          <w:rFonts w:cstheme="minorHAnsi"/>
          <w:b/>
          <w:sz w:val="24"/>
          <w:szCs w:val="24"/>
        </w:rPr>
        <w:t xml:space="preserve">4.4 Entry points for adaptive capacity enhancement </w:t>
      </w:r>
    </w:p>
    <w:p w14:paraId="51DB9EF9" w14:textId="691F0280" w:rsidR="00017EBA" w:rsidRDefault="00BC0B01" w:rsidP="0025373D">
      <w:pPr>
        <w:jc w:val="both"/>
        <w:rPr>
          <w:rFonts w:cstheme="minorHAnsi"/>
          <w:sz w:val="24"/>
          <w:szCs w:val="24"/>
        </w:rPr>
      </w:pPr>
      <w:r>
        <w:rPr>
          <w:rFonts w:cstheme="minorHAnsi"/>
          <w:sz w:val="24"/>
          <w:szCs w:val="24"/>
        </w:rPr>
        <w:t xml:space="preserve">Table </w:t>
      </w:r>
      <w:r w:rsidR="00124D7A">
        <w:rPr>
          <w:rFonts w:cstheme="minorHAnsi"/>
          <w:sz w:val="24"/>
          <w:szCs w:val="24"/>
        </w:rPr>
        <w:t xml:space="preserve">9 </w:t>
      </w:r>
      <w:r w:rsidR="004010C0">
        <w:rPr>
          <w:rFonts w:cstheme="minorHAnsi"/>
          <w:sz w:val="24"/>
          <w:szCs w:val="24"/>
        </w:rPr>
        <w:t>s</w:t>
      </w:r>
      <w:r w:rsidR="00EA2361">
        <w:rPr>
          <w:rFonts w:cstheme="minorHAnsi"/>
          <w:sz w:val="24"/>
          <w:szCs w:val="24"/>
        </w:rPr>
        <w:t>ummarises</w:t>
      </w:r>
      <w:r w:rsidR="007C42E7">
        <w:rPr>
          <w:rFonts w:cstheme="minorHAnsi"/>
          <w:sz w:val="24"/>
          <w:szCs w:val="24"/>
        </w:rPr>
        <w:t xml:space="preserve"> th</w:t>
      </w:r>
      <w:r w:rsidR="00EA2361">
        <w:rPr>
          <w:rFonts w:cstheme="minorHAnsi"/>
          <w:sz w:val="24"/>
          <w:szCs w:val="24"/>
        </w:rPr>
        <w:t xml:space="preserve">e </w:t>
      </w:r>
      <w:r w:rsidR="00823A8A">
        <w:rPr>
          <w:rFonts w:cstheme="minorHAnsi"/>
          <w:sz w:val="24"/>
          <w:szCs w:val="24"/>
        </w:rPr>
        <w:t>factor</w:t>
      </w:r>
      <w:r w:rsidR="007C42E7">
        <w:rPr>
          <w:rFonts w:cstheme="minorHAnsi"/>
          <w:sz w:val="24"/>
          <w:szCs w:val="24"/>
        </w:rPr>
        <w:t>s</w:t>
      </w:r>
      <w:r w:rsidR="00823A8A">
        <w:rPr>
          <w:rFonts w:cstheme="minorHAnsi"/>
          <w:sz w:val="24"/>
          <w:szCs w:val="24"/>
        </w:rPr>
        <w:t xml:space="preserve"> </w:t>
      </w:r>
      <w:r w:rsidR="007C42E7">
        <w:rPr>
          <w:rFonts w:cstheme="minorHAnsi"/>
          <w:sz w:val="24"/>
          <w:szCs w:val="24"/>
        </w:rPr>
        <w:t xml:space="preserve">that </w:t>
      </w:r>
      <w:r w:rsidR="00D518A6">
        <w:rPr>
          <w:rFonts w:cstheme="minorHAnsi"/>
          <w:sz w:val="24"/>
          <w:szCs w:val="24"/>
        </w:rPr>
        <w:t xml:space="preserve">significantly </w:t>
      </w:r>
      <w:r w:rsidR="00823A8A">
        <w:rPr>
          <w:rFonts w:cstheme="minorHAnsi"/>
          <w:sz w:val="24"/>
          <w:szCs w:val="24"/>
        </w:rPr>
        <w:t>differ</w:t>
      </w:r>
      <w:r w:rsidR="00F75B5E">
        <w:rPr>
          <w:rFonts w:cstheme="minorHAnsi"/>
          <w:sz w:val="24"/>
          <w:szCs w:val="24"/>
        </w:rPr>
        <w:t>ed</w:t>
      </w:r>
      <w:r w:rsidR="00D518A6">
        <w:rPr>
          <w:rFonts w:cstheme="minorHAnsi"/>
          <w:sz w:val="24"/>
          <w:szCs w:val="24"/>
        </w:rPr>
        <w:t xml:space="preserve"> amongst</w:t>
      </w:r>
      <w:r w:rsidR="00823A8A">
        <w:rPr>
          <w:rFonts w:cstheme="minorHAnsi"/>
          <w:sz w:val="24"/>
          <w:szCs w:val="24"/>
        </w:rPr>
        <w:t xml:space="preserve"> household</w:t>
      </w:r>
      <w:r w:rsidR="00F75B5E">
        <w:rPr>
          <w:rFonts w:cstheme="minorHAnsi"/>
          <w:sz w:val="24"/>
          <w:szCs w:val="24"/>
        </w:rPr>
        <w:t>s</w:t>
      </w:r>
      <w:r w:rsidR="00823A8A">
        <w:rPr>
          <w:rFonts w:cstheme="minorHAnsi"/>
          <w:sz w:val="24"/>
          <w:szCs w:val="24"/>
        </w:rPr>
        <w:t xml:space="preserve"> </w:t>
      </w:r>
      <w:r w:rsidR="00D518A6">
        <w:rPr>
          <w:rFonts w:cstheme="minorHAnsi"/>
          <w:sz w:val="24"/>
          <w:szCs w:val="24"/>
        </w:rPr>
        <w:t xml:space="preserve">depending on </w:t>
      </w:r>
      <w:r w:rsidR="000672A2">
        <w:rPr>
          <w:rFonts w:cstheme="minorHAnsi"/>
          <w:sz w:val="24"/>
          <w:szCs w:val="24"/>
        </w:rPr>
        <w:t>which</w:t>
      </w:r>
      <w:r w:rsidR="00C93D5F">
        <w:rPr>
          <w:rFonts w:cstheme="minorHAnsi"/>
          <w:sz w:val="24"/>
          <w:szCs w:val="24"/>
        </w:rPr>
        <w:t xml:space="preserve"> </w:t>
      </w:r>
      <w:r w:rsidR="00F75B5E">
        <w:rPr>
          <w:rFonts w:cstheme="minorHAnsi"/>
          <w:sz w:val="24"/>
          <w:szCs w:val="24"/>
        </w:rPr>
        <w:t xml:space="preserve">household </w:t>
      </w:r>
      <w:r w:rsidR="00C93D5F">
        <w:rPr>
          <w:rFonts w:cstheme="minorHAnsi"/>
          <w:sz w:val="24"/>
          <w:szCs w:val="24"/>
        </w:rPr>
        <w:t>categori</w:t>
      </w:r>
      <w:r w:rsidR="005A3FFB">
        <w:rPr>
          <w:rFonts w:cstheme="minorHAnsi"/>
          <w:sz w:val="24"/>
          <w:szCs w:val="24"/>
        </w:rPr>
        <w:t>s</w:t>
      </w:r>
      <w:r w:rsidR="00C93D5F">
        <w:rPr>
          <w:rFonts w:cstheme="minorHAnsi"/>
          <w:sz w:val="24"/>
          <w:szCs w:val="24"/>
        </w:rPr>
        <w:t>ation is</w:t>
      </w:r>
      <w:r w:rsidR="00857035">
        <w:rPr>
          <w:rFonts w:cstheme="minorHAnsi"/>
          <w:sz w:val="24"/>
          <w:szCs w:val="24"/>
        </w:rPr>
        <w:t xml:space="preserve"> </w:t>
      </w:r>
      <w:r w:rsidR="00C93D5F">
        <w:rPr>
          <w:rFonts w:cstheme="minorHAnsi"/>
          <w:sz w:val="24"/>
          <w:szCs w:val="24"/>
        </w:rPr>
        <w:t>adopted.</w:t>
      </w:r>
      <w:r w:rsidR="003957A2">
        <w:rPr>
          <w:rFonts w:cstheme="minorHAnsi"/>
          <w:sz w:val="24"/>
          <w:szCs w:val="24"/>
        </w:rPr>
        <w:t xml:space="preserve"> </w:t>
      </w:r>
      <w:r w:rsidR="00914596">
        <w:rPr>
          <w:rFonts w:cstheme="minorHAnsi"/>
          <w:sz w:val="24"/>
          <w:szCs w:val="24"/>
        </w:rPr>
        <w:t>It shows summarily</w:t>
      </w:r>
      <w:r w:rsidR="00E2273C">
        <w:rPr>
          <w:rFonts w:cstheme="minorHAnsi"/>
          <w:sz w:val="24"/>
          <w:szCs w:val="24"/>
        </w:rPr>
        <w:t>,</w:t>
      </w:r>
      <w:r w:rsidR="00914596">
        <w:rPr>
          <w:rFonts w:cstheme="minorHAnsi"/>
          <w:sz w:val="24"/>
          <w:szCs w:val="24"/>
        </w:rPr>
        <w:t xml:space="preserve"> that the socioeconomic factors that significantly differentiates households’ vulnerability </w:t>
      </w:r>
      <w:r w:rsidR="00E07BB4">
        <w:rPr>
          <w:rFonts w:cstheme="minorHAnsi"/>
          <w:sz w:val="24"/>
          <w:szCs w:val="24"/>
        </w:rPr>
        <w:t xml:space="preserve">to climate change </w:t>
      </w:r>
      <w:r w:rsidR="00914596">
        <w:rPr>
          <w:rFonts w:cstheme="minorHAnsi"/>
          <w:sz w:val="24"/>
          <w:szCs w:val="24"/>
        </w:rPr>
        <w:t>are</w:t>
      </w:r>
      <w:r w:rsidR="00D62FD7">
        <w:rPr>
          <w:rFonts w:cstheme="minorHAnsi"/>
          <w:sz w:val="24"/>
          <w:szCs w:val="24"/>
        </w:rPr>
        <w:t>:</w:t>
      </w:r>
      <w:r w:rsidR="00914596">
        <w:rPr>
          <w:rFonts w:cstheme="minorHAnsi"/>
          <w:sz w:val="24"/>
          <w:szCs w:val="24"/>
        </w:rPr>
        <w:t xml:space="preserve"> quality of hous</w:t>
      </w:r>
      <w:r w:rsidR="002E2E65">
        <w:rPr>
          <w:rFonts w:cstheme="minorHAnsi"/>
          <w:sz w:val="24"/>
          <w:szCs w:val="24"/>
        </w:rPr>
        <w:t>e</w:t>
      </w:r>
      <w:r w:rsidR="0014457B">
        <w:rPr>
          <w:rFonts w:cstheme="minorHAnsi"/>
          <w:sz w:val="24"/>
          <w:szCs w:val="24"/>
        </w:rPr>
        <w:t xml:space="preserve"> (sensitivity indicator)</w:t>
      </w:r>
      <w:r w:rsidR="002E2E65">
        <w:rPr>
          <w:rFonts w:cstheme="minorHAnsi"/>
          <w:sz w:val="24"/>
          <w:szCs w:val="24"/>
        </w:rPr>
        <w:t>;</w:t>
      </w:r>
      <w:r w:rsidR="00914596">
        <w:rPr>
          <w:rFonts w:cstheme="minorHAnsi"/>
          <w:sz w:val="24"/>
          <w:szCs w:val="24"/>
        </w:rPr>
        <w:t xml:space="preserve"> </w:t>
      </w:r>
      <w:r w:rsidR="0014457B">
        <w:rPr>
          <w:rFonts w:cstheme="minorHAnsi"/>
          <w:sz w:val="24"/>
          <w:szCs w:val="24"/>
        </w:rPr>
        <w:t xml:space="preserve">and </w:t>
      </w:r>
      <w:r w:rsidR="00914596">
        <w:rPr>
          <w:rFonts w:cstheme="minorHAnsi"/>
          <w:sz w:val="24"/>
          <w:szCs w:val="24"/>
        </w:rPr>
        <w:t>social, financial, human</w:t>
      </w:r>
      <w:r w:rsidR="00D62FD7">
        <w:rPr>
          <w:rFonts w:cstheme="minorHAnsi"/>
          <w:sz w:val="24"/>
          <w:szCs w:val="24"/>
        </w:rPr>
        <w:t xml:space="preserve"> and</w:t>
      </w:r>
      <w:r w:rsidR="00914596">
        <w:rPr>
          <w:rFonts w:cstheme="minorHAnsi"/>
          <w:sz w:val="24"/>
          <w:szCs w:val="24"/>
        </w:rPr>
        <w:t xml:space="preserve"> natural capitals</w:t>
      </w:r>
      <w:r w:rsidR="003A335A">
        <w:rPr>
          <w:rFonts w:cstheme="minorHAnsi"/>
          <w:sz w:val="24"/>
          <w:szCs w:val="24"/>
        </w:rPr>
        <w:t xml:space="preserve"> (adaptive capacity indicators)</w:t>
      </w:r>
      <w:r w:rsidR="00914596">
        <w:rPr>
          <w:rFonts w:cstheme="minorHAnsi"/>
          <w:sz w:val="24"/>
          <w:szCs w:val="24"/>
        </w:rPr>
        <w:t>.</w:t>
      </w:r>
      <w:r w:rsidR="002E2E65">
        <w:rPr>
          <w:rFonts w:cstheme="minorHAnsi"/>
          <w:sz w:val="24"/>
          <w:szCs w:val="24"/>
        </w:rPr>
        <w:t xml:space="preserve"> </w:t>
      </w:r>
      <w:r w:rsidR="00684B89">
        <w:rPr>
          <w:rFonts w:cstheme="minorHAnsi"/>
          <w:sz w:val="24"/>
          <w:szCs w:val="24"/>
        </w:rPr>
        <w:t>Th</w:t>
      </w:r>
      <w:r w:rsidR="00276C8D">
        <w:rPr>
          <w:rFonts w:cstheme="minorHAnsi"/>
          <w:sz w:val="24"/>
          <w:szCs w:val="24"/>
        </w:rPr>
        <w:t>ese</w:t>
      </w:r>
      <w:r w:rsidR="00B16F43">
        <w:rPr>
          <w:rFonts w:cstheme="minorHAnsi"/>
          <w:sz w:val="24"/>
          <w:szCs w:val="24"/>
        </w:rPr>
        <w:t xml:space="preserve"> </w:t>
      </w:r>
      <w:r w:rsidR="00B5122E">
        <w:rPr>
          <w:rFonts w:cstheme="minorHAnsi"/>
          <w:sz w:val="24"/>
          <w:szCs w:val="24"/>
        </w:rPr>
        <w:t>can be considered</w:t>
      </w:r>
      <w:r w:rsidR="00E15383">
        <w:rPr>
          <w:rFonts w:cstheme="minorHAnsi"/>
          <w:sz w:val="24"/>
          <w:szCs w:val="24"/>
        </w:rPr>
        <w:t xml:space="preserve"> </w:t>
      </w:r>
      <w:r w:rsidR="00684B89">
        <w:rPr>
          <w:rFonts w:cstheme="minorHAnsi"/>
          <w:sz w:val="24"/>
          <w:szCs w:val="24"/>
        </w:rPr>
        <w:t xml:space="preserve">the important entry points </w:t>
      </w:r>
      <w:r w:rsidR="0010253B">
        <w:rPr>
          <w:rFonts w:cstheme="minorHAnsi"/>
          <w:sz w:val="24"/>
          <w:szCs w:val="24"/>
        </w:rPr>
        <w:t>through</w:t>
      </w:r>
      <w:r w:rsidR="00684B89">
        <w:rPr>
          <w:rFonts w:cstheme="minorHAnsi"/>
          <w:sz w:val="24"/>
          <w:szCs w:val="24"/>
        </w:rPr>
        <w:t xml:space="preserve"> which </w:t>
      </w:r>
      <w:r w:rsidR="00E15383">
        <w:rPr>
          <w:rFonts w:cstheme="minorHAnsi"/>
          <w:sz w:val="24"/>
          <w:szCs w:val="24"/>
        </w:rPr>
        <w:t xml:space="preserve">investment, as </w:t>
      </w:r>
      <w:r w:rsidR="00756545">
        <w:rPr>
          <w:rFonts w:cstheme="minorHAnsi"/>
          <w:sz w:val="24"/>
          <w:szCs w:val="24"/>
        </w:rPr>
        <w:t xml:space="preserve">noted by </w:t>
      </w:r>
      <w:r w:rsidR="00DC25ED">
        <w:rPr>
          <w:sz w:val="24"/>
        </w:rPr>
        <w:t xml:space="preserve">Chambers and Conway </w:t>
      </w:r>
      <w:r w:rsidR="00DC25ED">
        <w:rPr>
          <w:sz w:val="24"/>
        </w:rPr>
        <w:fldChar w:fldCharType="begin" w:fldLock="1"/>
      </w:r>
      <w:r w:rsidR="00DD609E">
        <w:rPr>
          <w:sz w:val="24"/>
        </w:rPr>
        <w:instrText>ADDIN CSL_CITATION {"citationItems":[{"id":"ITEM-1","itemData":{"ISSN":"03085864","abstract":"The purpose of this paper is to provoke discussion by exploring and elaborating the concept of sustainable livelihoods. It is based normatively on the ideas of capability, equity, and sustainability, each of which is both end and means. In the 21st century livelihoods will be needed by perhaps two or three times the present human population. A livelihood comprises people, their capabilities and their means of living, including food, income and assets. Tangible assets are resources and stores, and intangible assets are claims and access. A livelihood is environmentally sustainable when it maintains or enhances the local and global assets on which livelihoods depend, and has net beneficial effects on other livelihoods. A livelihood is socially sustainable which can cope with and recover from stress and shocks, and provide for future generations. For policy and practice, new concepts and analysis are needed. Future generations will vastly outnumber us but are not represented in our decision-making. Current and conventional analysis both undervalues future livelihoods and is pessimistic. Ways can be sought to multiply livelihoods by increasing resource-use intensity and the diversity and complexity of small-farming livelihood systems, and by small-scale economic synergy. Net sustainable livelihood effects and intensity are concepts which deserve to be tested. They entail weighing factors which include environmental and social sustainability, and net effects through competition and externalities. The objective of sustainable livelihoods for all provides a focus for anticipating the 21st century, and points to priorities for policy and research. For policy, implications include personal environmental balance sheets for the better off, and for the poorer, policies and actions to enhance capabilities, improve equity, and increase social sustainability. For research, key questions are better understanding of (a) conditions for low human fertility, (b) intensity, complexity and diversity in small-farming systems, the livelihood-intensity of local economies, and (d) factors influencing migration. Practical development and testing of concepts and methods are indicated. For the reader, there is a challenge to examine this paper from the perspective of a person alive in a hundred years time, and then to do better than the authors have done. Gordon Conway is Representative for the Ford Foundation in India, Nepal and Sri Lanka. He was previously Professor and Chairman …","author":[{"dropping-particle":"","family":"Chambers","given":"R.","non-dropping-particle":"","parse-names":false,"suffix":""},{"dropping-particle":"","family":"Conway","given":"G. R.","non-dropping-particle":"","parse-names":false,"suffix":""}],"container-title":"IDS Discussion Paper","id":"ITEM-1","issued":{"date-parts":[["1992"]]},"title":"Sustainable rural livelihoods: practical concepts for the 21st century","type":"article-journal","volume":"296"},"uris":["http://www.mendeley.com/documents/?uuid=ffe85719-14a7-4e40-bab4-cd29e6ce47ae"]}],"mendeley":{"formattedCitation":"[24]","plainTextFormattedCitation":"[24]","previouslyFormattedCitation":"[24]"},"properties":{"noteIndex":0},"schema":"https://github.com/citation-style-language/schema/raw/master/csl-citation.json"}</w:instrText>
      </w:r>
      <w:r w:rsidR="00DC25ED">
        <w:rPr>
          <w:sz w:val="24"/>
        </w:rPr>
        <w:fldChar w:fldCharType="separate"/>
      </w:r>
      <w:r w:rsidR="00DC25ED" w:rsidRPr="00DC25ED">
        <w:rPr>
          <w:noProof/>
          <w:sz w:val="24"/>
        </w:rPr>
        <w:t>[24]</w:t>
      </w:r>
      <w:r w:rsidR="00DC25ED">
        <w:rPr>
          <w:sz w:val="24"/>
        </w:rPr>
        <w:fldChar w:fldCharType="end"/>
      </w:r>
      <w:r w:rsidR="00DC25ED">
        <w:rPr>
          <w:sz w:val="24"/>
        </w:rPr>
        <w:t>, could</w:t>
      </w:r>
      <w:r w:rsidR="002E226E">
        <w:rPr>
          <w:sz w:val="24"/>
        </w:rPr>
        <w:t xml:space="preserve"> be made to enhance</w:t>
      </w:r>
      <w:r w:rsidR="00E92ACA">
        <w:rPr>
          <w:sz w:val="24"/>
        </w:rPr>
        <w:t xml:space="preserve"> the community’s</w:t>
      </w:r>
      <w:r w:rsidR="002E226E">
        <w:rPr>
          <w:sz w:val="24"/>
        </w:rPr>
        <w:t xml:space="preserve"> adaptive capacity</w:t>
      </w:r>
      <w:r w:rsidR="00D1009C">
        <w:rPr>
          <w:sz w:val="24"/>
        </w:rPr>
        <w:t xml:space="preserve"> </w:t>
      </w:r>
      <w:r w:rsidR="00D1009C">
        <w:rPr>
          <w:rFonts w:cstheme="minorHAnsi"/>
          <w:sz w:val="24"/>
          <w:szCs w:val="24"/>
        </w:rPr>
        <w:t>[48]</w:t>
      </w:r>
      <w:r w:rsidR="00F17048">
        <w:rPr>
          <w:rFonts w:cstheme="minorHAnsi"/>
          <w:sz w:val="24"/>
          <w:szCs w:val="24"/>
        </w:rPr>
        <w:t>. In fact, a</w:t>
      </w:r>
      <w:r w:rsidR="00DA276E">
        <w:rPr>
          <w:rFonts w:cstheme="minorHAnsi"/>
          <w:sz w:val="24"/>
          <w:szCs w:val="24"/>
        </w:rPr>
        <w:t>ccording to FAO</w:t>
      </w:r>
      <w:r w:rsidR="00581C47">
        <w:rPr>
          <w:rFonts w:cstheme="minorHAnsi"/>
          <w:sz w:val="24"/>
          <w:szCs w:val="24"/>
        </w:rPr>
        <w:t xml:space="preserve"> </w:t>
      </w:r>
      <w:r w:rsidR="00581C47">
        <w:rPr>
          <w:rFonts w:cstheme="minorHAnsi"/>
          <w:sz w:val="24"/>
          <w:szCs w:val="24"/>
        </w:rPr>
        <w:fldChar w:fldCharType="begin" w:fldLock="1"/>
      </w:r>
      <w:r w:rsidR="00FC52F5">
        <w:rPr>
          <w:rFonts w:cstheme="minorHAnsi"/>
          <w:sz w:val="24"/>
          <w:szCs w:val="24"/>
        </w:rPr>
        <w:instrText>ADDIN CSL_CITATION {"citationItems":[{"id":"ITEM-1","itemData":{"ISBN":"9780620644426","author":[{"dropping-particle":"","family":"Tietze, U. Lee, R. Siar, S. Moth-Poulsen, T. Båge, H.E.","given":"Eds.","non-dropping-particle":"","parse-names":false,"suffix":""}],"id":"ITEM-1","issued":{"date-parts":[["2011"]]},"number-of-pages":"165","publisher-place":"Rome","title":"Fishing with beach seines. FAO Fisheries and Aquaculture Technical Paper, (562), I","type":"report"},"uris":["http://www.mendeley.com/documents/?uuid=8c8005b4-dc46-455d-b648-5eed4740cd2b"]}],"mendeley":{"formattedCitation":"[61]","plainTextFormattedCitation":"[61]","previouslyFormattedCitation":"[60]"},"properties":{"noteIndex":0},"schema":"https://github.com/citation-style-language/schema/raw/master/csl-citation.json"}</w:instrText>
      </w:r>
      <w:r w:rsidR="00581C47">
        <w:rPr>
          <w:rFonts w:cstheme="minorHAnsi"/>
          <w:sz w:val="24"/>
          <w:szCs w:val="24"/>
        </w:rPr>
        <w:fldChar w:fldCharType="separate"/>
      </w:r>
      <w:r w:rsidR="00FC52F5" w:rsidRPr="00FC52F5">
        <w:rPr>
          <w:rFonts w:cstheme="minorHAnsi"/>
          <w:noProof/>
          <w:sz w:val="24"/>
          <w:szCs w:val="24"/>
        </w:rPr>
        <w:t>[61]</w:t>
      </w:r>
      <w:r w:rsidR="00581C47">
        <w:rPr>
          <w:rFonts w:cstheme="minorHAnsi"/>
          <w:sz w:val="24"/>
          <w:szCs w:val="24"/>
        </w:rPr>
        <w:fldChar w:fldCharType="end"/>
      </w:r>
      <w:r w:rsidR="005031A2">
        <w:rPr>
          <w:rFonts w:cstheme="minorHAnsi"/>
          <w:sz w:val="24"/>
          <w:szCs w:val="24"/>
        </w:rPr>
        <w:t>,</w:t>
      </w:r>
      <w:r w:rsidR="00C54A8B">
        <w:rPr>
          <w:rFonts w:cstheme="minorHAnsi"/>
          <w:sz w:val="24"/>
          <w:szCs w:val="24"/>
        </w:rPr>
        <w:t xml:space="preserve"> </w:t>
      </w:r>
      <w:r w:rsidR="0076668B">
        <w:rPr>
          <w:rFonts w:cstheme="minorHAnsi"/>
          <w:sz w:val="24"/>
          <w:szCs w:val="24"/>
        </w:rPr>
        <w:t xml:space="preserve">there are </w:t>
      </w:r>
      <w:r w:rsidR="00C54A8B">
        <w:rPr>
          <w:rFonts w:cstheme="minorHAnsi"/>
          <w:sz w:val="24"/>
          <w:szCs w:val="24"/>
        </w:rPr>
        <w:t xml:space="preserve">similar </w:t>
      </w:r>
      <w:r w:rsidR="00EF67D7">
        <w:rPr>
          <w:rFonts w:cstheme="minorHAnsi"/>
          <w:sz w:val="24"/>
          <w:szCs w:val="24"/>
        </w:rPr>
        <w:t xml:space="preserve">communities involved in </w:t>
      </w:r>
      <w:r w:rsidR="00C54A8B">
        <w:rPr>
          <w:rFonts w:cstheme="minorHAnsi"/>
          <w:sz w:val="24"/>
          <w:szCs w:val="24"/>
        </w:rPr>
        <w:t xml:space="preserve">beach seining </w:t>
      </w:r>
      <w:r w:rsidR="00EF67D7">
        <w:rPr>
          <w:rFonts w:cstheme="minorHAnsi"/>
          <w:sz w:val="24"/>
          <w:szCs w:val="24"/>
        </w:rPr>
        <w:t>along the West African coastline, particu</w:t>
      </w:r>
      <w:r w:rsidR="00486A31">
        <w:rPr>
          <w:rFonts w:cstheme="minorHAnsi"/>
          <w:sz w:val="24"/>
          <w:szCs w:val="24"/>
        </w:rPr>
        <w:t>larly in Togo and Benin</w:t>
      </w:r>
      <w:r w:rsidR="00C21913">
        <w:rPr>
          <w:rFonts w:cstheme="minorHAnsi"/>
          <w:sz w:val="24"/>
          <w:szCs w:val="24"/>
        </w:rPr>
        <w:t xml:space="preserve"> (Figure 1)</w:t>
      </w:r>
      <w:r w:rsidR="00486A31">
        <w:rPr>
          <w:rFonts w:cstheme="minorHAnsi"/>
          <w:sz w:val="24"/>
          <w:szCs w:val="24"/>
        </w:rPr>
        <w:t xml:space="preserve">, where </w:t>
      </w:r>
      <w:r w:rsidR="00AD6117">
        <w:rPr>
          <w:rFonts w:cstheme="minorHAnsi"/>
          <w:sz w:val="24"/>
          <w:szCs w:val="24"/>
        </w:rPr>
        <w:t>seining</w:t>
      </w:r>
      <w:r w:rsidR="00486A31">
        <w:rPr>
          <w:rFonts w:cstheme="minorHAnsi"/>
          <w:sz w:val="24"/>
          <w:szCs w:val="24"/>
        </w:rPr>
        <w:t xml:space="preserve"> contribute</w:t>
      </w:r>
      <w:r w:rsidR="00AD6117">
        <w:rPr>
          <w:rFonts w:cstheme="minorHAnsi"/>
          <w:sz w:val="24"/>
          <w:szCs w:val="24"/>
        </w:rPr>
        <w:t>s</w:t>
      </w:r>
      <w:r w:rsidR="00486A31">
        <w:rPr>
          <w:rFonts w:cstheme="minorHAnsi"/>
          <w:sz w:val="24"/>
          <w:szCs w:val="24"/>
        </w:rPr>
        <w:t xml:space="preserve"> </w:t>
      </w:r>
      <w:r w:rsidR="001C30EF">
        <w:rPr>
          <w:rFonts w:cstheme="minorHAnsi"/>
          <w:sz w:val="24"/>
          <w:szCs w:val="24"/>
        </w:rPr>
        <w:t>70</w:t>
      </w:r>
      <w:r w:rsidR="000C1EFD">
        <w:rPr>
          <w:rFonts w:cstheme="minorHAnsi"/>
          <w:sz w:val="24"/>
          <w:szCs w:val="24"/>
        </w:rPr>
        <w:t xml:space="preserve"> –</w:t>
      </w:r>
      <w:r w:rsidR="001C30EF">
        <w:rPr>
          <w:rFonts w:cstheme="minorHAnsi"/>
          <w:sz w:val="24"/>
          <w:szCs w:val="24"/>
        </w:rPr>
        <w:t xml:space="preserve"> 80 percent of </w:t>
      </w:r>
      <w:r w:rsidR="004B4E88">
        <w:rPr>
          <w:rFonts w:cstheme="minorHAnsi"/>
          <w:sz w:val="24"/>
          <w:szCs w:val="24"/>
        </w:rPr>
        <w:t xml:space="preserve">total </w:t>
      </w:r>
      <w:r w:rsidR="001C30EF">
        <w:rPr>
          <w:rFonts w:cstheme="minorHAnsi"/>
          <w:sz w:val="24"/>
          <w:szCs w:val="24"/>
        </w:rPr>
        <w:t>marine catc</w:t>
      </w:r>
      <w:r w:rsidR="004B4E88">
        <w:rPr>
          <w:rFonts w:cstheme="minorHAnsi"/>
          <w:sz w:val="24"/>
          <w:szCs w:val="24"/>
        </w:rPr>
        <w:t>h</w:t>
      </w:r>
      <w:r w:rsidR="008B2BA1">
        <w:rPr>
          <w:rFonts w:cstheme="minorHAnsi"/>
          <w:sz w:val="24"/>
          <w:szCs w:val="24"/>
        </w:rPr>
        <w:t>es</w:t>
      </w:r>
      <w:r w:rsidR="004B4E88">
        <w:rPr>
          <w:rFonts w:cstheme="minorHAnsi"/>
          <w:sz w:val="24"/>
          <w:szCs w:val="24"/>
        </w:rPr>
        <w:t>.</w:t>
      </w:r>
      <w:r w:rsidR="00A204A9">
        <w:rPr>
          <w:rFonts w:cstheme="minorHAnsi"/>
          <w:sz w:val="24"/>
          <w:szCs w:val="24"/>
        </w:rPr>
        <w:t xml:space="preserve"> Since</w:t>
      </w:r>
      <w:r w:rsidR="00124FA9">
        <w:rPr>
          <w:rFonts w:cstheme="minorHAnsi"/>
          <w:sz w:val="24"/>
          <w:szCs w:val="24"/>
        </w:rPr>
        <w:t xml:space="preserve"> </w:t>
      </w:r>
      <w:r w:rsidR="00A64BDE">
        <w:rPr>
          <w:rFonts w:cstheme="minorHAnsi"/>
          <w:sz w:val="24"/>
          <w:szCs w:val="24"/>
        </w:rPr>
        <w:t xml:space="preserve">the </w:t>
      </w:r>
      <w:r w:rsidR="00F25B9D">
        <w:rPr>
          <w:rFonts w:cstheme="minorHAnsi"/>
          <w:sz w:val="24"/>
          <w:szCs w:val="24"/>
        </w:rPr>
        <w:t xml:space="preserve">social organisation </w:t>
      </w:r>
      <w:r w:rsidR="00EF3308">
        <w:rPr>
          <w:rFonts w:cstheme="minorHAnsi"/>
          <w:sz w:val="24"/>
          <w:szCs w:val="24"/>
        </w:rPr>
        <w:t xml:space="preserve">of </w:t>
      </w:r>
      <w:r w:rsidR="00F25B9D">
        <w:rPr>
          <w:rFonts w:cstheme="minorHAnsi"/>
          <w:sz w:val="24"/>
          <w:szCs w:val="24"/>
        </w:rPr>
        <w:t xml:space="preserve">beach seining communities </w:t>
      </w:r>
      <w:r w:rsidR="007A0215">
        <w:rPr>
          <w:rFonts w:cstheme="minorHAnsi"/>
          <w:sz w:val="24"/>
          <w:szCs w:val="24"/>
        </w:rPr>
        <w:t xml:space="preserve">in West Africa and even in </w:t>
      </w:r>
      <w:r w:rsidR="0023011B">
        <w:rPr>
          <w:rFonts w:cstheme="minorHAnsi"/>
          <w:sz w:val="24"/>
          <w:szCs w:val="24"/>
        </w:rPr>
        <w:t xml:space="preserve">some East African countries like Mozambique </w:t>
      </w:r>
      <w:r w:rsidR="00F25B9D">
        <w:rPr>
          <w:rFonts w:cstheme="minorHAnsi"/>
          <w:sz w:val="24"/>
          <w:szCs w:val="24"/>
        </w:rPr>
        <w:t>[59]</w:t>
      </w:r>
      <w:r w:rsidR="00A64BDE">
        <w:rPr>
          <w:rFonts w:cstheme="minorHAnsi"/>
          <w:sz w:val="24"/>
          <w:szCs w:val="24"/>
        </w:rPr>
        <w:t xml:space="preserve"> are similar</w:t>
      </w:r>
      <w:bookmarkStart w:id="12" w:name="_Hlk43136543"/>
      <w:r w:rsidR="00F25B9D">
        <w:rPr>
          <w:rFonts w:cstheme="minorHAnsi"/>
          <w:sz w:val="24"/>
          <w:szCs w:val="24"/>
        </w:rPr>
        <w:t>,</w:t>
      </w:r>
      <w:r w:rsidR="00DE548B">
        <w:rPr>
          <w:rFonts w:cstheme="minorHAnsi"/>
          <w:sz w:val="24"/>
          <w:szCs w:val="24"/>
        </w:rPr>
        <w:t xml:space="preserve"> </w:t>
      </w:r>
      <w:bookmarkStart w:id="13" w:name="_Hlk43136335"/>
      <w:r w:rsidR="00124FA9">
        <w:rPr>
          <w:rFonts w:cstheme="minorHAnsi"/>
          <w:sz w:val="24"/>
          <w:szCs w:val="24"/>
        </w:rPr>
        <w:t>t</w:t>
      </w:r>
      <w:r w:rsidR="000C16C5">
        <w:rPr>
          <w:rFonts w:cstheme="minorHAnsi"/>
          <w:sz w:val="24"/>
          <w:szCs w:val="24"/>
        </w:rPr>
        <w:t xml:space="preserve">he suggested entry points could be used as </w:t>
      </w:r>
      <w:r w:rsidR="009D3676">
        <w:rPr>
          <w:rFonts w:cstheme="minorHAnsi"/>
          <w:sz w:val="24"/>
          <w:szCs w:val="24"/>
        </w:rPr>
        <w:t xml:space="preserve">starting </w:t>
      </w:r>
      <w:r w:rsidR="00124FA9">
        <w:rPr>
          <w:rFonts w:cstheme="minorHAnsi"/>
          <w:sz w:val="24"/>
          <w:szCs w:val="24"/>
        </w:rPr>
        <w:t xml:space="preserve">points for </w:t>
      </w:r>
      <w:r w:rsidR="00F1552E">
        <w:rPr>
          <w:rFonts w:cstheme="minorHAnsi"/>
          <w:sz w:val="24"/>
          <w:szCs w:val="24"/>
        </w:rPr>
        <w:t xml:space="preserve">identifying </w:t>
      </w:r>
      <w:r w:rsidR="00DA06DE">
        <w:rPr>
          <w:rFonts w:cstheme="minorHAnsi"/>
          <w:sz w:val="24"/>
          <w:szCs w:val="24"/>
        </w:rPr>
        <w:t>which aspects of the lives of fishing communities</w:t>
      </w:r>
      <w:r w:rsidR="00F1552E">
        <w:rPr>
          <w:rFonts w:cstheme="minorHAnsi"/>
          <w:sz w:val="24"/>
          <w:szCs w:val="24"/>
        </w:rPr>
        <w:t xml:space="preserve"> </w:t>
      </w:r>
      <w:r w:rsidR="00206D44">
        <w:rPr>
          <w:rFonts w:cstheme="minorHAnsi"/>
          <w:sz w:val="24"/>
          <w:szCs w:val="24"/>
        </w:rPr>
        <w:t xml:space="preserve">that </w:t>
      </w:r>
      <w:r w:rsidR="00B448E2">
        <w:rPr>
          <w:rFonts w:cstheme="minorHAnsi"/>
          <w:sz w:val="24"/>
          <w:szCs w:val="24"/>
        </w:rPr>
        <w:t xml:space="preserve">interventions should be </w:t>
      </w:r>
      <w:r w:rsidR="00944487">
        <w:rPr>
          <w:rFonts w:cstheme="minorHAnsi"/>
          <w:sz w:val="24"/>
          <w:szCs w:val="24"/>
        </w:rPr>
        <w:t>targeted</w:t>
      </w:r>
      <w:r w:rsidR="00F4381D">
        <w:rPr>
          <w:rFonts w:cstheme="minorHAnsi"/>
          <w:sz w:val="24"/>
          <w:szCs w:val="24"/>
        </w:rPr>
        <w:t xml:space="preserve"> during adaptation planning</w:t>
      </w:r>
      <w:bookmarkEnd w:id="12"/>
      <w:r w:rsidR="00F828A6">
        <w:rPr>
          <w:rFonts w:cstheme="minorHAnsi"/>
          <w:sz w:val="24"/>
          <w:szCs w:val="24"/>
        </w:rPr>
        <w:t>.</w:t>
      </w:r>
      <w:r w:rsidR="00E92ACA">
        <w:rPr>
          <w:rFonts w:cstheme="minorHAnsi"/>
          <w:sz w:val="24"/>
          <w:szCs w:val="24"/>
        </w:rPr>
        <w:t xml:space="preserve"> </w:t>
      </w:r>
      <w:r w:rsidR="00684B89">
        <w:rPr>
          <w:rFonts w:cstheme="minorHAnsi"/>
          <w:sz w:val="24"/>
          <w:szCs w:val="24"/>
        </w:rPr>
        <w:t xml:space="preserve"> </w:t>
      </w:r>
      <w:bookmarkEnd w:id="13"/>
      <w:r w:rsidR="00B33319">
        <w:rPr>
          <w:sz w:val="24"/>
        </w:rPr>
        <w:t>Overall, although the results may be considered as being only a snapshot of what is a highly dynamic socioecological and economic system, they do provide fairly generalizable insights into the factors that characterise the vulnerability of rural coastal fishing communities along the Ghanaian and, indeed, the West African coastline.</w:t>
      </w:r>
    </w:p>
    <w:p w14:paraId="66D1B908" w14:textId="77777777" w:rsidR="0083043A" w:rsidRDefault="0083043A" w:rsidP="0083043A">
      <w:pPr>
        <w:spacing w:after="0"/>
        <w:rPr>
          <w:b/>
          <w:sz w:val="24"/>
        </w:rPr>
      </w:pPr>
      <w:r>
        <w:rPr>
          <w:b/>
          <w:sz w:val="24"/>
        </w:rPr>
        <w:t xml:space="preserve">5. Conclusion </w:t>
      </w:r>
    </w:p>
    <w:p w14:paraId="68CADD4A" w14:textId="0630D0F0" w:rsidR="00DD566B" w:rsidRDefault="0083043A" w:rsidP="00DD566B">
      <w:pPr>
        <w:jc w:val="both"/>
        <w:rPr>
          <w:sz w:val="24"/>
        </w:rPr>
      </w:pPr>
      <w:r>
        <w:rPr>
          <w:sz w:val="24"/>
          <w:szCs w:val="24"/>
        </w:rPr>
        <w:t xml:space="preserve">The climatic data analysis </w:t>
      </w:r>
      <w:r w:rsidR="00CF5DD1">
        <w:rPr>
          <w:sz w:val="24"/>
          <w:szCs w:val="24"/>
        </w:rPr>
        <w:t xml:space="preserve">shows an overall increase in rainfall in the last decade, </w:t>
      </w:r>
      <w:r w:rsidR="00BD7B6A">
        <w:rPr>
          <w:sz w:val="24"/>
          <w:szCs w:val="24"/>
        </w:rPr>
        <w:t>which</w:t>
      </w:r>
      <w:r w:rsidR="00CF5DD1">
        <w:rPr>
          <w:sz w:val="24"/>
          <w:szCs w:val="24"/>
        </w:rPr>
        <w:t xml:space="preserve"> does not corroborate local perceptions</w:t>
      </w:r>
      <w:r w:rsidR="00BD7B6A">
        <w:rPr>
          <w:sz w:val="24"/>
          <w:szCs w:val="24"/>
        </w:rPr>
        <w:t xml:space="preserve"> of reduced rainfall</w:t>
      </w:r>
      <w:r>
        <w:rPr>
          <w:sz w:val="24"/>
          <w:szCs w:val="24"/>
        </w:rPr>
        <w:t xml:space="preserve">. In addition, the data shows evidence of rainfall intensification and a </w:t>
      </w:r>
      <w:r w:rsidRPr="007214B2">
        <w:rPr>
          <w:sz w:val="24"/>
        </w:rPr>
        <w:t>0.65°C</w:t>
      </w:r>
      <w:r>
        <w:rPr>
          <w:sz w:val="24"/>
        </w:rPr>
        <w:t xml:space="preserve"> increase in minimum temperatures over the last three decades. In terms of economic impact, the findings suggest that household incomes have reduced by about 90% in the last 4 years, attributable to an interaction of climatic and non-climatic factors. The findings show that generally, the most vulnerable households are not necessarily women or poorer households. Rather, they are from all gender and economic group categories, depending on whether a fishing season, according to the community, </w:t>
      </w:r>
      <w:r w:rsidR="00576216">
        <w:rPr>
          <w:sz w:val="24"/>
        </w:rPr>
        <w:t xml:space="preserve">is </w:t>
      </w:r>
      <w:r>
        <w:rPr>
          <w:sz w:val="24"/>
        </w:rPr>
        <w:t xml:space="preserve">‘good’ (big catches, more income) or ‘bad’ (meagre catches, less incomes). Finally, the findings show that the factors that contribute to shaping the vulnerability of fishing households differ </w:t>
      </w:r>
      <w:r>
        <w:rPr>
          <w:sz w:val="24"/>
        </w:rPr>
        <w:lastRenderedPageBreak/>
        <w:t xml:space="preserve">depending on which household categorisation is used. </w:t>
      </w:r>
      <w:r w:rsidR="00576216">
        <w:rPr>
          <w:sz w:val="24"/>
        </w:rPr>
        <w:t>It</w:t>
      </w:r>
      <w:r>
        <w:rPr>
          <w:sz w:val="24"/>
        </w:rPr>
        <w:t xml:space="preserve"> demonstrate</w:t>
      </w:r>
      <w:r w:rsidR="00576216">
        <w:rPr>
          <w:sz w:val="24"/>
        </w:rPr>
        <w:t>s</w:t>
      </w:r>
      <w:r>
        <w:rPr>
          <w:sz w:val="24"/>
        </w:rPr>
        <w:t xml:space="preserve"> that an intersectional understanding of climate change vulnerability is essential for improving adaptation project design, planning and implementation.</w:t>
      </w:r>
      <w:r w:rsidR="00DD566B">
        <w:rPr>
          <w:sz w:val="24"/>
        </w:rPr>
        <w:t xml:space="preserve"> </w:t>
      </w:r>
    </w:p>
    <w:p w14:paraId="5A1617B4" w14:textId="215F998C" w:rsidR="0083043A" w:rsidRPr="000A6A9C" w:rsidRDefault="0083043A" w:rsidP="0025373D">
      <w:pPr>
        <w:jc w:val="both"/>
        <w:sectPr w:rsidR="0083043A" w:rsidRPr="000A6A9C" w:rsidSect="000B3BB1">
          <w:footerReference w:type="default" r:id="rId14"/>
          <w:pgSz w:w="11906" w:h="16838"/>
          <w:pgMar w:top="1440" w:right="1440" w:bottom="1440" w:left="1440" w:header="709" w:footer="709" w:gutter="0"/>
          <w:cols w:space="708"/>
          <w:docGrid w:linePitch="360"/>
        </w:sectPr>
      </w:pPr>
    </w:p>
    <w:p w14:paraId="1C9835CD" w14:textId="0EE3C287" w:rsidR="009F27C1" w:rsidRPr="008D7427" w:rsidRDefault="009F27C1" w:rsidP="008D7427">
      <w:pPr>
        <w:pStyle w:val="Caption"/>
        <w:keepNext/>
        <w:spacing w:after="0"/>
        <w:rPr>
          <w:sz w:val="24"/>
        </w:rPr>
      </w:pPr>
      <w:r w:rsidRPr="008D7427">
        <w:rPr>
          <w:sz w:val="24"/>
        </w:rPr>
        <w:lastRenderedPageBreak/>
        <w:t xml:space="preserve">Table </w:t>
      </w:r>
      <w:r w:rsidRPr="008D7427">
        <w:rPr>
          <w:sz w:val="24"/>
        </w:rPr>
        <w:fldChar w:fldCharType="begin"/>
      </w:r>
      <w:r w:rsidRPr="008D7427">
        <w:rPr>
          <w:sz w:val="24"/>
        </w:rPr>
        <w:instrText xml:space="preserve"> SEQ Table \* ARABIC </w:instrText>
      </w:r>
      <w:r w:rsidRPr="008D7427">
        <w:rPr>
          <w:sz w:val="24"/>
        </w:rPr>
        <w:fldChar w:fldCharType="separate"/>
      </w:r>
      <w:r w:rsidR="001E46DE">
        <w:rPr>
          <w:noProof/>
          <w:sz w:val="24"/>
        </w:rPr>
        <w:t>7</w:t>
      </w:r>
      <w:r w:rsidRPr="008D7427">
        <w:rPr>
          <w:sz w:val="24"/>
        </w:rPr>
        <w:fldChar w:fldCharType="end"/>
      </w:r>
      <w:r w:rsidRPr="008D7427">
        <w:rPr>
          <w:sz w:val="24"/>
        </w:rPr>
        <w:t>: Gender composition of household vulnerability classes in good (GS) and bad (BS) seasons</w:t>
      </w:r>
    </w:p>
    <w:tbl>
      <w:tblPr>
        <w:tblpPr w:leftFromText="180" w:rightFromText="180" w:bottomFromText="160" w:vertAnchor="text" w:horzAnchor="page" w:tblpX="1423" w:tblpY="181"/>
        <w:tblOverlap w:val="never"/>
        <w:tblW w:w="7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
        <w:gridCol w:w="23"/>
        <w:gridCol w:w="2486"/>
        <w:gridCol w:w="201"/>
        <w:gridCol w:w="6"/>
        <w:gridCol w:w="803"/>
        <w:gridCol w:w="6"/>
        <w:gridCol w:w="1398"/>
        <w:gridCol w:w="12"/>
        <w:gridCol w:w="246"/>
        <w:gridCol w:w="939"/>
        <w:gridCol w:w="1511"/>
      </w:tblGrid>
      <w:tr w:rsidR="004C357F" w:rsidRPr="004C357F" w14:paraId="34164B9C" w14:textId="77777777" w:rsidTr="0086600D">
        <w:trPr>
          <w:cantSplit/>
          <w:trHeight w:val="295"/>
        </w:trPr>
        <w:tc>
          <w:tcPr>
            <w:tcW w:w="2533" w:type="dxa"/>
            <w:gridSpan w:val="3"/>
            <w:vMerge w:val="restart"/>
            <w:tcBorders>
              <w:top w:val="single" w:sz="4" w:space="0" w:color="auto"/>
              <w:left w:val="nil"/>
              <w:bottom w:val="single" w:sz="4" w:space="0" w:color="auto"/>
              <w:right w:val="nil"/>
            </w:tcBorders>
            <w:vAlign w:val="center"/>
            <w:hideMark/>
          </w:tcPr>
          <w:p w14:paraId="1654B20C" w14:textId="77777777" w:rsidR="004C357F" w:rsidRPr="00BA3D00" w:rsidRDefault="004C357F" w:rsidP="008D7427">
            <w:pPr>
              <w:autoSpaceDE w:val="0"/>
              <w:autoSpaceDN w:val="0"/>
              <w:adjustRightInd w:val="0"/>
              <w:spacing w:after="0" w:line="240" w:lineRule="auto"/>
              <w:rPr>
                <w:rFonts w:cstheme="minorHAnsi"/>
                <w:color w:val="000000" w:themeColor="text1"/>
                <w:sz w:val="24"/>
              </w:rPr>
            </w:pPr>
            <w:r w:rsidRPr="00BA3D00">
              <w:rPr>
                <w:rFonts w:cstheme="minorHAnsi"/>
                <w:color w:val="000000" w:themeColor="text1"/>
                <w:sz w:val="24"/>
              </w:rPr>
              <w:t>Vulnerability class</w:t>
            </w:r>
          </w:p>
        </w:tc>
        <w:tc>
          <w:tcPr>
            <w:tcW w:w="207" w:type="dxa"/>
            <w:gridSpan w:val="2"/>
            <w:tcBorders>
              <w:top w:val="single" w:sz="4" w:space="0" w:color="auto"/>
              <w:left w:val="nil"/>
              <w:bottom w:val="nil"/>
              <w:right w:val="nil"/>
            </w:tcBorders>
          </w:tcPr>
          <w:p w14:paraId="4A3F2F28" w14:textId="77777777" w:rsidR="004C357F" w:rsidRPr="00BA3D00" w:rsidRDefault="004C357F" w:rsidP="008D7427">
            <w:pPr>
              <w:autoSpaceDE w:val="0"/>
              <w:autoSpaceDN w:val="0"/>
              <w:adjustRightInd w:val="0"/>
              <w:spacing w:after="0" w:line="240" w:lineRule="auto"/>
              <w:ind w:left="60" w:right="60"/>
              <w:jc w:val="center"/>
              <w:rPr>
                <w:rFonts w:cstheme="minorHAnsi"/>
                <w:color w:val="000000" w:themeColor="text1"/>
                <w:sz w:val="24"/>
              </w:rPr>
            </w:pPr>
          </w:p>
        </w:tc>
        <w:tc>
          <w:tcPr>
            <w:tcW w:w="2219" w:type="dxa"/>
            <w:gridSpan w:val="4"/>
            <w:tcBorders>
              <w:top w:val="single" w:sz="4" w:space="0" w:color="auto"/>
              <w:left w:val="nil"/>
              <w:bottom w:val="single" w:sz="4" w:space="0" w:color="auto"/>
              <w:right w:val="nil"/>
            </w:tcBorders>
            <w:vAlign w:val="center"/>
            <w:hideMark/>
          </w:tcPr>
          <w:p w14:paraId="7500DF3B" w14:textId="77777777" w:rsidR="004C357F" w:rsidRPr="00BA3D00" w:rsidRDefault="004C357F" w:rsidP="008D7427">
            <w:pPr>
              <w:autoSpaceDE w:val="0"/>
              <w:autoSpaceDN w:val="0"/>
              <w:adjustRightInd w:val="0"/>
              <w:spacing w:after="0" w:line="240" w:lineRule="auto"/>
              <w:ind w:left="60" w:right="60"/>
              <w:jc w:val="center"/>
              <w:rPr>
                <w:rFonts w:cstheme="minorHAnsi"/>
                <w:color w:val="000000" w:themeColor="text1"/>
                <w:sz w:val="24"/>
              </w:rPr>
            </w:pPr>
            <w:r w:rsidRPr="00BA3D00">
              <w:rPr>
                <w:rFonts w:cstheme="minorHAnsi"/>
                <w:color w:val="000000" w:themeColor="text1"/>
                <w:sz w:val="24"/>
              </w:rPr>
              <w:t>Male-headed HH (%)</w:t>
            </w:r>
          </w:p>
        </w:tc>
        <w:tc>
          <w:tcPr>
            <w:tcW w:w="246" w:type="dxa"/>
            <w:tcBorders>
              <w:top w:val="single" w:sz="4" w:space="0" w:color="auto"/>
              <w:left w:val="nil"/>
              <w:bottom w:val="nil"/>
              <w:right w:val="nil"/>
            </w:tcBorders>
          </w:tcPr>
          <w:p w14:paraId="3D80C223" w14:textId="77777777" w:rsidR="004C357F" w:rsidRPr="00BA3D00" w:rsidRDefault="004C357F" w:rsidP="008D7427">
            <w:pPr>
              <w:autoSpaceDE w:val="0"/>
              <w:autoSpaceDN w:val="0"/>
              <w:adjustRightInd w:val="0"/>
              <w:spacing w:after="0" w:line="240" w:lineRule="auto"/>
              <w:ind w:left="60" w:right="60"/>
              <w:jc w:val="center"/>
              <w:rPr>
                <w:rFonts w:cstheme="minorHAnsi"/>
                <w:color w:val="000000" w:themeColor="text1"/>
                <w:sz w:val="24"/>
              </w:rPr>
            </w:pPr>
          </w:p>
        </w:tc>
        <w:tc>
          <w:tcPr>
            <w:tcW w:w="2450" w:type="dxa"/>
            <w:gridSpan w:val="2"/>
            <w:tcBorders>
              <w:top w:val="single" w:sz="4" w:space="0" w:color="auto"/>
              <w:left w:val="nil"/>
              <w:bottom w:val="single" w:sz="4" w:space="0" w:color="auto"/>
              <w:right w:val="nil"/>
            </w:tcBorders>
            <w:hideMark/>
          </w:tcPr>
          <w:p w14:paraId="0FA47B2E" w14:textId="77777777" w:rsidR="004C357F" w:rsidRPr="00BA3D00" w:rsidRDefault="004C357F" w:rsidP="008D7427">
            <w:pPr>
              <w:autoSpaceDE w:val="0"/>
              <w:autoSpaceDN w:val="0"/>
              <w:adjustRightInd w:val="0"/>
              <w:spacing w:after="0" w:line="240" w:lineRule="auto"/>
              <w:ind w:left="60" w:right="60"/>
              <w:jc w:val="center"/>
              <w:rPr>
                <w:rFonts w:cstheme="minorHAnsi"/>
                <w:color w:val="000000" w:themeColor="text1"/>
                <w:sz w:val="24"/>
              </w:rPr>
            </w:pPr>
            <w:r w:rsidRPr="00BA3D00">
              <w:rPr>
                <w:rFonts w:cstheme="minorHAnsi"/>
                <w:color w:val="000000" w:themeColor="text1"/>
                <w:sz w:val="24"/>
              </w:rPr>
              <w:t>Female-headed HH (%)</w:t>
            </w:r>
          </w:p>
        </w:tc>
      </w:tr>
      <w:tr w:rsidR="004C357F" w:rsidRPr="004C357F" w14:paraId="2FCFA02A" w14:textId="77777777" w:rsidTr="0086600D">
        <w:trPr>
          <w:cantSplit/>
          <w:trHeight w:val="103"/>
        </w:trPr>
        <w:tc>
          <w:tcPr>
            <w:tcW w:w="2533" w:type="dxa"/>
            <w:gridSpan w:val="3"/>
            <w:vMerge/>
            <w:tcBorders>
              <w:top w:val="single" w:sz="4" w:space="0" w:color="auto"/>
              <w:left w:val="nil"/>
              <w:bottom w:val="single" w:sz="4" w:space="0" w:color="auto"/>
              <w:right w:val="nil"/>
            </w:tcBorders>
            <w:vAlign w:val="center"/>
            <w:hideMark/>
          </w:tcPr>
          <w:p w14:paraId="565F667A" w14:textId="77777777" w:rsidR="004C357F" w:rsidRPr="00BA3D00" w:rsidRDefault="004C357F" w:rsidP="008D7427">
            <w:pPr>
              <w:spacing w:after="0" w:line="240" w:lineRule="auto"/>
              <w:rPr>
                <w:rFonts w:cstheme="minorHAnsi"/>
                <w:color w:val="000000" w:themeColor="text1"/>
                <w:sz w:val="24"/>
              </w:rPr>
            </w:pPr>
          </w:p>
        </w:tc>
        <w:tc>
          <w:tcPr>
            <w:tcW w:w="207" w:type="dxa"/>
            <w:gridSpan w:val="2"/>
            <w:tcBorders>
              <w:top w:val="nil"/>
              <w:left w:val="nil"/>
              <w:bottom w:val="nil"/>
              <w:right w:val="nil"/>
            </w:tcBorders>
          </w:tcPr>
          <w:p w14:paraId="24EB491D" w14:textId="77777777" w:rsidR="004C357F" w:rsidRPr="00BA3D00" w:rsidRDefault="004C357F" w:rsidP="008D7427">
            <w:pPr>
              <w:autoSpaceDE w:val="0"/>
              <w:autoSpaceDN w:val="0"/>
              <w:adjustRightInd w:val="0"/>
              <w:spacing w:after="0" w:line="240" w:lineRule="auto"/>
              <w:ind w:left="60" w:right="60"/>
              <w:jc w:val="center"/>
              <w:rPr>
                <w:rFonts w:cstheme="minorHAnsi"/>
                <w:color w:val="000000" w:themeColor="text1"/>
                <w:sz w:val="24"/>
              </w:rPr>
            </w:pPr>
          </w:p>
        </w:tc>
        <w:tc>
          <w:tcPr>
            <w:tcW w:w="809" w:type="dxa"/>
            <w:gridSpan w:val="2"/>
            <w:tcBorders>
              <w:top w:val="single" w:sz="4" w:space="0" w:color="auto"/>
              <w:left w:val="nil"/>
              <w:bottom w:val="single" w:sz="4" w:space="0" w:color="auto"/>
              <w:right w:val="nil"/>
            </w:tcBorders>
            <w:vAlign w:val="bottom"/>
            <w:hideMark/>
          </w:tcPr>
          <w:p w14:paraId="71609B80" w14:textId="77777777" w:rsidR="004C357F" w:rsidRPr="00BA3D00" w:rsidRDefault="004C357F" w:rsidP="008D7427">
            <w:pPr>
              <w:autoSpaceDE w:val="0"/>
              <w:autoSpaceDN w:val="0"/>
              <w:adjustRightInd w:val="0"/>
              <w:spacing w:after="0" w:line="240" w:lineRule="auto"/>
              <w:ind w:left="60" w:right="60"/>
              <w:jc w:val="center"/>
              <w:rPr>
                <w:rFonts w:cstheme="minorHAnsi"/>
                <w:color w:val="000000" w:themeColor="text1"/>
                <w:sz w:val="24"/>
              </w:rPr>
            </w:pPr>
            <w:r w:rsidRPr="00BA3D00">
              <w:rPr>
                <w:rFonts w:cstheme="minorHAnsi"/>
                <w:color w:val="000000" w:themeColor="text1"/>
                <w:sz w:val="24"/>
              </w:rPr>
              <w:t>GS</w:t>
            </w:r>
          </w:p>
        </w:tc>
        <w:tc>
          <w:tcPr>
            <w:tcW w:w="1410" w:type="dxa"/>
            <w:gridSpan w:val="2"/>
            <w:tcBorders>
              <w:top w:val="single" w:sz="4" w:space="0" w:color="auto"/>
              <w:left w:val="nil"/>
              <w:bottom w:val="single" w:sz="4" w:space="0" w:color="auto"/>
              <w:right w:val="nil"/>
            </w:tcBorders>
            <w:vAlign w:val="bottom"/>
            <w:hideMark/>
          </w:tcPr>
          <w:p w14:paraId="223A5FA9" w14:textId="77777777" w:rsidR="004C357F" w:rsidRPr="00BA3D00" w:rsidRDefault="004C357F" w:rsidP="008D7427">
            <w:pPr>
              <w:autoSpaceDE w:val="0"/>
              <w:autoSpaceDN w:val="0"/>
              <w:adjustRightInd w:val="0"/>
              <w:spacing w:after="0" w:line="240" w:lineRule="auto"/>
              <w:ind w:left="60" w:right="60"/>
              <w:jc w:val="center"/>
              <w:rPr>
                <w:rFonts w:cstheme="minorHAnsi"/>
                <w:color w:val="000000" w:themeColor="text1"/>
                <w:sz w:val="24"/>
              </w:rPr>
            </w:pPr>
            <w:r w:rsidRPr="00BA3D00">
              <w:rPr>
                <w:rFonts w:cstheme="minorHAnsi"/>
                <w:color w:val="000000" w:themeColor="text1"/>
                <w:sz w:val="24"/>
              </w:rPr>
              <w:t>BS</w:t>
            </w:r>
          </w:p>
        </w:tc>
        <w:tc>
          <w:tcPr>
            <w:tcW w:w="246" w:type="dxa"/>
            <w:tcBorders>
              <w:top w:val="nil"/>
              <w:left w:val="nil"/>
              <w:bottom w:val="nil"/>
              <w:right w:val="nil"/>
            </w:tcBorders>
          </w:tcPr>
          <w:p w14:paraId="34748813" w14:textId="77777777" w:rsidR="004C357F" w:rsidRPr="00BA3D00" w:rsidRDefault="004C357F" w:rsidP="008D7427">
            <w:pPr>
              <w:autoSpaceDE w:val="0"/>
              <w:autoSpaceDN w:val="0"/>
              <w:adjustRightInd w:val="0"/>
              <w:spacing w:after="0" w:line="240" w:lineRule="auto"/>
              <w:ind w:left="60" w:right="60"/>
              <w:jc w:val="center"/>
              <w:rPr>
                <w:rFonts w:cstheme="minorHAnsi"/>
                <w:color w:val="000000" w:themeColor="text1"/>
                <w:sz w:val="24"/>
              </w:rPr>
            </w:pPr>
          </w:p>
        </w:tc>
        <w:tc>
          <w:tcPr>
            <w:tcW w:w="939" w:type="dxa"/>
            <w:tcBorders>
              <w:top w:val="single" w:sz="4" w:space="0" w:color="auto"/>
              <w:left w:val="nil"/>
              <w:bottom w:val="single" w:sz="4" w:space="0" w:color="auto"/>
              <w:right w:val="nil"/>
            </w:tcBorders>
            <w:hideMark/>
          </w:tcPr>
          <w:p w14:paraId="759504C9" w14:textId="77777777" w:rsidR="004C357F" w:rsidRPr="00BA3D00" w:rsidRDefault="004C357F" w:rsidP="008D7427">
            <w:pPr>
              <w:autoSpaceDE w:val="0"/>
              <w:autoSpaceDN w:val="0"/>
              <w:adjustRightInd w:val="0"/>
              <w:spacing w:after="0" w:line="240" w:lineRule="auto"/>
              <w:ind w:left="60" w:right="60"/>
              <w:jc w:val="center"/>
              <w:rPr>
                <w:rFonts w:cstheme="minorHAnsi"/>
                <w:color w:val="000000" w:themeColor="text1"/>
                <w:sz w:val="24"/>
              </w:rPr>
            </w:pPr>
            <w:r w:rsidRPr="00BA3D00">
              <w:rPr>
                <w:rFonts w:cstheme="minorHAnsi"/>
                <w:color w:val="000000" w:themeColor="text1"/>
                <w:sz w:val="24"/>
              </w:rPr>
              <w:t>GS</w:t>
            </w:r>
          </w:p>
        </w:tc>
        <w:tc>
          <w:tcPr>
            <w:tcW w:w="1511" w:type="dxa"/>
            <w:tcBorders>
              <w:top w:val="single" w:sz="4" w:space="0" w:color="auto"/>
              <w:left w:val="nil"/>
              <w:bottom w:val="single" w:sz="4" w:space="0" w:color="auto"/>
              <w:right w:val="nil"/>
            </w:tcBorders>
            <w:hideMark/>
          </w:tcPr>
          <w:p w14:paraId="70E58296" w14:textId="77777777" w:rsidR="004C357F" w:rsidRPr="00BA3D00" w:rsidRDefault="004C357F" w:rsidP="008D7427">
            <w:pPr>
              <w:autoSpaceDE w:val="0"/>
              <w:autoSpaceDN w:val="0"/>
              <w:adjustRightInd w:val="0"/>
              <w:spacing w:after="0" w:line="240" w:lineRule="auto"/>
              <w:ind w:left="60" w:right="60"/>
              <w:jc w:val="center"/>
              <w:rPr>
                <w:rFonts w:cstheme="minorHAnsi"/>
                <w:color w:val="000000" w:themeColor="text1"/>
                <w:sz w:val="24"/>
              </w:rPr>
            </w:pPr>
            <w:r w:rsidRPr="00BA3D00">
              <w:rPr>
                <w:rFonts w:cstheme="minorHAnsi"/>
                <w:color w:val="000000" w:themeColor="text1"/>
                <w:sz w:val="24"/>
              </w:rPr>
              <w:t>BS</w:t>
            </w:r>
          </w:p>
        </w:tc>
      </w:tr>
      <w:tr w:rsidR="00E53955" w:rsidRPr="004C357F" w14:paraId="5304A6CA" w14:textId="77777777" w:rsidTr="00565EA5">
        <w:trPr>
          <w:cantSplit/>
          <w:trHeight w:val="113"/>
        </w:trPr>
        <w:tc>
          <w:tcPr>
            <w:tcW w:w="24" w:type="dxa"/>
            <w:vMerge w:val="restart"/>
            <w:tcBorders>
              <w:top w:val="single" w:sz="8" w:space="0" w:color="152935"/>
              <w:left w:val="nil"/>
              <w:bottom w:val="single" w:sz="4" w:space="0" w:color="auto"/>
              <w:right w:val="nil"/>
            </w:tcBorders>
          </w:tcPr>
          <w:p w14:paraId="4B4045D9" w14:textId="77777777" w:rsidR="004C357F" w:rsidRPr="004C357F" w:rsidRDefault="004C357F" w:rsidP="008D7427">
            <w:pPr>
              <w:autoSpaceDE w:val="0"/>
              <w:autoSpaceDN w:val="0"/>
              <w:adjustRightInd w:val="0"/>
              <w:spacing w:after="0" w:line="240" w:lineRule="auto"/>
              <w:rPr>
                <w:rFonts w:cstheme="minorHAnsi"/>
                <w:color w:val="000000" w:themeColor="text1"/>
                <w:sz w:val="24"/>
              </w:rPr>
            </w:pPr>
          </w:p>
        </w:tc>
        <w:tc>
          <w:tcPr>
            <w:tcW w:w="23" w:type="dxa"/>
            <w:tcBorders>
              <w:top w:val="single" w:sz="8" w:space="0" w:color="152935"/>
              <w:left w:val="nil"/>
              <w:bottom w:val="nil"/>
              <w:right w:val="nil"/>
            </w:tcBorders>
            <w:vAlign w:val="center"/>
          </w:tcPr>
          <w:p w14:paraId="7BC46075" w14:textId="77777777" w:rsidR="004C357F" w:rsidRPr="004C357F" w:rsidRDefault="004C357F" w:rsidP="008D7427">
            <w:pPr>
              <w:autoSpaceDE w:val="0"/>
              <w:autoSpaceDN w:val="0"/>
              <w:adjustRightInd w:val="0"/>
              <w:spacing w:after="0" w:line="240" w:lineRule="auto"/>
              <w:jc w:val="center"/>
              <w:rPr>
                <w:rFonts w:cstheme="minorHAnsi"/>
                <w:color w:val="000000" w:themeColor="text1"/>
                <w:sz w:val="24"/>
              </w:rPr>
            </w:pPr>
          </w:p>
        </w:tc>
        <w:tc>
          <w:tcPr>
            <w:tcW w:w="2486" w:type="dxa"/>
            <w:tcBorders>
              <w:top w:val="nil"/>
              <w:left w:val="nil"/>
              <w:bottom w:val="nil"/>
              <w:right w:val="nil"/>
            </w:tcBorders>
            <w:hideMark/>
          </w:tcPr>
          <w:p w14:paraId="37B56569" w14:textId="77777777" w:rsidR="004C357F" w:rsidRPr="004C357F" w:rsidRDefault="004C357F" w:rsidP="008D7427">
            <w:pPr>
              <w:autoSpaceDE w:val="0"/>
              <w:autoSpaceDN w:val="0"/>
              <w:adjustRightInd w:val="0"/>
              <w:spacing w:after="0" w:line="240" w:lineRule="auto"/>
              <w:ind w:left="60" w:right="60"/>
              <w:jc w:val="center"/>
              <w:rPr>
                <w:rFonts w:cstheme="minorHAnsi"/>
                <w:color w:val="000000" w:themeColor="text1"/>
                <w:sz w:val="24"/>
              </w:rPr>
            </w:pPr>
            <w:r w:rsidRPr="004C357F">
              <w:rPr>
                <w:rFonts w:cstheme="minorHAnsi"/>
                <w:color w:val="000000" w:themeColor="text1"/>
                <w:sz w:val="24"/>
              </w:rPr>
              <w:t>Low</w:t>
            </w:r>
          </w:p>
        </w:tc>
        <w:tc>
          <w:tcPr>
            <w:tcW w:w="201" w:type="dxa"/>
            <w:tcBorders>
              <w:top w:val="nil"/>
              <w:left w:val="nil"/>
              <w:bottom w:val="nil"/>
              <w:right w:val="nil"/>
            </w:tcBorders>
          </w:tcPr>
          <w:p w14:paraId="45003F31" w14:textId="77777777" w:rsidR="004C357F" w:rsidRPr="004C357F" w:rsidRDefault="004C357F" w:rsidP="008D7427">
            <w:pPr>
              <w:autoSpaceDE w:val="0"/>
              <w:autoSpaceDN w:val="0"/>
              <w:adjustRightInd w:val="0"/>
              <w:spacing w:after="0" w:line="240" w:lineRule="auto"/>
              <w:ind w:left="60" w:right="60"/>
              <w:jc w:val="center"/>
              <w:rPr>
                <w:rFonts w:cstheme="minorHAnsi"/>
                <w:color w:val="000000" w:themeColor="text1"/>
                <w:sz w:val="24"/>
              </w:rPr>
            </w:pPr>
          </w:p>
        </w:tc>
        <w:tc>
          <w:tcPr>
            <w:tcW w:w="809" w:type="dxa"/>
            <w:gridSpan w:val="2"/>
            <w:tcBorders>
              <w:top w:val="nil"/>
              <w:left w:val="nil"/>
              <w:bottom w:val="nil"/>
              <w:right w:val="nil"/>
            </w:tcBorders>
            <w:shd w:val="clear" w:color="auto" w:fill="auto"/>
            <w:hideMark/>
          </w:tcPr>
          <w:p w14:paraId="358510AB" w14:textId="77777777" w:rsidR="004C357F" w:rsidRPr="004C357F" w:rsidRDefault="004C357F" w:rsidP="008D7427">
            <w:pPr>
              <w:autoSpaceDE w:val="0"/>
              <w:autoSpaceDN w:val="0"/>
              <w:adjustRightInd w:val="0"/>
              <w:spacing w:after="0" w:line="240" w:lineRule="auto"/>
              <w:ind w:left="60" w:right="60"/>
              <w:jc w:val="center"/>
              <w:rPr>
                <w:rFonts w:cstheme="minorHAnsi"/>
                <w:color w:val="000000" w:themeColor="text1"/>
                <w:sz w:val="24"/>
              </w:rPr>
            </w:pPr>
            <w:r w:rsidRPr="004C357F">
              <w:rPr>
                <w:rFonts w:cstheme="minorHAnsi"/>
                <w:color w:val="000000" w:themeColor="text1"/>
                <w:sz w:val="24"/>
              </w:rPr>
              <w:t>34.0</w:t>
            </w:r>
          </w:p>
        </w:tc>
        <w:tc>
          <w:tcPr>
            <w:tcW w:w="1404" w:type="dxa"/>
            <w:gridSpan w:val="2"/>
            <w:tcBorders>
              <w:top w:val="nil"/>
              <w:left w:val="nil"/>
              <w:bottom w:val="nil"/>
              <w:right w:val="nil"/>
            </w:tcBorders>
            <w:shd w:val="clear" w:color="auto" w:fill="auto"/>
            <w:hideMark/>
          </w:tcPr>
          <w:p w14:paraId="4CDD501B" w14:textId="77777777" w:rsidR="004C357F" w:rsidRPr="004C357F" w:rsidRDefault="004C357F" w:rsidP="008D7427">
            <w:pPr>
              <w:autoSpaceDE w:val="0"/>
              <w:autoSpaceDN w:val="0"/>
              <w:adjustRightInd w:val="0"/>
              <w:spacing w:after="0" w:line="240" w:lineRule="auto"/>
              <w:ind w:left="60" w:right="60"/>
              <w:jc w:val="center"/>
              <w:rPr>
                <w:rFonts w:cstheme="minorHAnsi"/>
                <w:color w:val="000000" w:themeColor="text1"/>
                <w:sz w:val="24"/>
              </w:rPr>
            </w:pPr>
            <w:r w:rsidRPr="004C357F">
              <w:rPr>
                <w:rFonts w:cstheme="minorHAnsi"/>
                <w:color w:val="000000" w:themeColor="text1"/>
                <w:sz w:val="24"/>
              </w:rPr>
              <w:t>34.0</w:t>
            </w:r>
          </w:p>
        </w:tc>
        <w:tc>
          <w:tcPr>
            <w:tcW w:w="258" w:type="dxa"/>
            <w:gridSpan w:val="2"/>
            <w:tcBorders>
              <w:top w:val="nil"/>
              <w:left w:val="nil"/>
              <w:bottom w:val="nil"/>
              <w:right w:val="nil"/>
            </w:tcBorders>
            <w:shd w:val="clear" w:color="auto" w:fill="auto"/>
          </w:tcPr>
          <w:p w14:paraId="6156E96F" w14:textId="77777777" w:rsidR="004C357F" w:rsidRPr="004C357F" w:rsidRDefault="004C357F" w:rsidP="008D7427">
            <w:pPr>
              <w:autoSpaceDE w:val="0"/>
              <w:autoSpaceDN w:val="0"/>
              <w:adjustRightInd w:val="0"/>
              <w:spacing w:after="0" w:line="240" w:lineRule="auto"/>
              <w:ind w:left="60" w:right="60"/>
              <w:jc w:val="center"/>
              <w:rPr>
                <w:rFonts w:cstheme="minorHAnsi"/>
                <w:color w:val="000000" w:themeColor="text1"/>
                <w:sz w:val="24"/>
              </w:rPr>
            </w:pPr>
          </w:p>
        </w:tc>
        <w:tc>
          <w:tcPr>
            <w:tcW w:w="939" w:type="dxa"/>
            <w:tcBorders>
              <w:top w:val="nil"/>
              <w:left w:val="nil"/>
              <w:bottom w:val="nil"/>
              <w:right w:val="nil"/>
            </w:tcBorders>
            <w:shd w:val="clear" w:color="auto" w:fill="auto"/>
            <w:hideMark/>
          </w:tcPr>
          <w:p w14:paraId="5E46280E" w14:textId="77777777" w:rsidR="004C357F" w:rsidRPr="004C357F" w:rsidRDefault="004C357F" w:rsidP="008D7427">
            <w:pPr>
              <w:autoSpaceDE w:val="0"/>
              <w:autoSpaceDN w:val="0"/>
              <w:adjustRightInd w:val="0"/>
              <w:spacing w:after="0" w:line="240" w:lineRule="auto"/>
              <w:ind w:left="60" w:right="60"/>
              <w:jc w:val="center"/>
              <w:rPr>
                <w:rFonts w:cstheme="minorHAnsi"/>
                <w:color w:val="000000" w:themeColor="text1"/>
                <w:sz w:val="24"/>
              </w:rPr>
            </w:pPr>
            <w:r w:rsidRPr="004C357F">
              <w:rPr>
                <w:rFonts w:cstheme="minorHAnsi"/>
                <w:color w:val="000000" w:themeColor="text1"/>
                <w:sz w:val="24"/>
              </w:rPr>
              <w:t>22.2</w:t>
            </w:r>
          </w:p>
        </w:tc>
        <w:tc>
          <w:tcPr>
            <w:tcW w:w="1511" w:type="dxa"/>
            <w:tcBorders>
              <w:top w:val="nil"/>
              <w:left w:val="nil"/>
              <w:bottom w:val="nil"/>
              <w:right w:val="nil"/>
            </w:tcBorders>
            <w:shd w:val="clear" w:color="auto" w:fill="auto"/>
            <w:hideMark/>
          </w:tcPr>
          <w:p w14:paraId="447B8E08" w14:textId="77777777" w:rsidR="004C357F" w:rsidRPr="004C357F" w:rsidRDefault="004C357F" w:rsidP="008D7427">
            <w:pPr>
              <w:autoSpaceDE w:val="0"/>
              <w:autoSpaceDN w:val="0"/>
              <w:adjustRightInd w:val="0"/>
              <w:spacing w:after="0" w:line="240" w:lineRule="auto"/>
              <w:ind w:left="60" w:right="60"/>
              <w:jc w:val="center"/>
              <w:rPr>
                <w:rFonts w:cstheme="minorHAnsi"/>
                <w:color w:val="000000" w:themeColor="text1"/>
                <w:sz w:val="24"/>
              </w:rPr>
            </w:pPr>
            <w:r w:rsidRPr="004C357F">
              <w:rPr>
                <w:rFonts w:cstheme="minorHAnsi"/>
                <w:color w:val="000000" w:themeColor="text1"/>
                <w:sz w:val="24"/>
              </w:rPr>
              <w:t>22.2</w:t>
            </w:r>
          </w:p>
        </w:tc>
      </w:tr>
      <w:tr w:rsidR="008D7427" w:rsidRPr="004C357F" w14:paraId="0A51CB6F" w14:textId="77777777" w:rsidTr="00565EA5">
        <w:trPr>
          <w:cantSplit/>
          <w:trHeight w:val="113"/>
        </w:trPr>
        <w:tc>
          <w:tcPr>
            <w:tcW w:w="24" w:type="dxa"/>
            <w:vMerge/>
            <w:tcBorders>
              <w:top w:val="single" w:sz="8" w:space="0" w:color="152935"/>
              <w:left w:val="nil"/>
              <w:bottom w:val="single" w:sz="4" w:space="0" w:color="auto"/>
              <w:right w:val="nil"/>
            </w:tcBorders>
            <w:vAlign w:val="center"/>
            <w:hideMark/>
          </w:tcPr>
          <w:p w14:paraId="747F8412" w14:textId="77777777" w:rsidR="004C357F" w:rsidRPr="004C357F" w:rsidRDefault="004C357F" w:rsidP="008D7427">
            <w:pPr>
              <w:spacing w:after="0" w:line="240" w:lineRule="auto"/>
              <w:rPr>
                <w:rFonts w:cstheme="minorHAnsi"/>
                <w:color w:val="000000" w:themeColor="text1"/>
                <w:sz w:val="24"/>
              </w:rPr>
            </w:pPr>
          </w:p>
        </w:tc>
        <w:tc>
          <w:tcPr>
            <w:tcW w:w="23" w:type="dxa"/>
            <w:tcBorders>
              <w:top w:val="single" w:sz="8" w:space="0" w:color="AEAEAE"/>
              <w:left w:val="nil"/>
              <w:bottom w:val="nil"/>
              <w:right w:val="nil"/>
            </w:tcBorders>
            <w:vAlign w:val="center"/>
          </w:tcPr>
          <w:p w14:paraId="5AFAADEF" w14:textId="77777777" w:rsidR="004C357F" w:rsidRPr="004C357F" w:rsidRDefault="004C357F" w:rsidP="008D7427">
            <w:pPr>
              <w:autoSpaceDE w:val="0"/>
              <w:autoSpaceDN w:val="0"/>
              <w:adjustRightInd w:val="0"/>
              <w:spacing w:after="0" w:line="240" w:lineRule="auto"/>
              <w:jc w:val="center"/>
              <w:rPr>
                <w:rFonts w:cstheme="minorHAnsi"/>
                <w:color w:val="000000" w:themeColor="text1"/>
                <w:sz w:val="24"/>
              </w:rPr>
            </w:pPr>
          </w:p>
        </w:tc>
        <w:tc>
          <w:tcPr>
            <w:tcW w:w="2486" w:type="dxa"/>
            <w:tcBorders>
              <w:top w:val="nil"/>
              <w:left w:val="nil"/>
              <w:bottom w:val="nil"/>
              <w:right w:val="nil"/>
            </w:tcBorders>
            <w:hideMark/>
          </w:tcPr>
          <w:p w14:paraId="5DEF8C5A" w14:textId="77777777" w:rsidR="004C357F" w:rsidRPr="004C357F" w:rsidRDefault="00251C0D" w:rsidP="008D7427">
            <w:pPr>
              <w:autoSpaceDE w:val="0"/>
              <w:autoSpaceDN w:val="0"/>
              <w:adjustRightInd w:val="0"/>
              <w:spacing w:after="0" w:line="240" w:lineRule="auto"/>
              <w:ind w:right="60"/>
              <w:jc w:val="center"/>
              <w:rPr>
                <w:rFonts w:cstheme="minorHAnsi"/>
                <w:color w:val="000000" w:themeColor="text1"/>
                <w:sz w:val="24"/>
              </w:rPr>
            </w:pPr>
            <w:r w:rsidRPr="004C357F">
              <w:rPr>
                <w:rFonts w:cstheme="minorHAnsi"/>
                <w:color w:val="000000" w:themeColor="text1"/>
                <w:sz w:val="24"/>
              </w:rPr>
              <w:t>Mo</w:t>
            </w:r>
            <w:r>
              <w:rPr>
                <w:rFonts w:cstheme="minorHAnsi"/>
                <w:color w:val="000000" w:themeColor="text1"/>
                <w:sz w:val="24"/>
              </w:rPr>
              <w:t>derate</w:t>
            </w:r>
          </w:p>
        </w:tc>
        <w:tc>
          <w:tcPr>
            <w:tcW w:w="201" w:type="dxa"/>
            <w:tcBorders>
              <w:top w:val="nil"/>
              <w:left w:val="nil"/>
              <w:bottom w:val="nil"/>
              <w:right w:val="nil"/>
            </w:tcBorders>
          </w:tcPr>
          <w:p w14:paraId="49E8536D" w14:textId="77777777" w:rsidR="004C357F" w:rsidRPr="004C357F" w:rsidRDefault="004C357F" w:rsidP="008D7427">
            <w:pPr>
              <w:autoSpaceDE w:val="0"/>
              <w:autoSpaceDN w:val="0"/>
              <w:adjustRightInd w:val="0"/>
              <w:spacing w:after="0" w:line="240" w:lineRule="auto"/>
              <w:ind w:left="60" w:right="60"/>
              <w:jc w:val="center"/>
              <w:rPr>
                <w:rFonts w:cstheme="minorHAnsi"/>
                <w:color w:val="000000" w:themeColor="text1"/>
                <w:sz w:val="24"/>
              </w:rPr>
            </w:pPr>
          </w:p>
        </w:tc>
        <w:tc>
          <w:tcPr>
            <w:tcW w:w="809" w:type="dxa"/>
            <w:gridSpan w:val="2"/>
            <w:tcBorders>
              <w:top w:val="nil"/>
              <w:left w:val="nil"/>
              <w:bottom w:val="nil"/>
              <w:right w:val="nil"/>
            </w:tcBorders>
            <w:shd w:val="clear" w:color="auto" w:fill="auto"/>
            <w:hideMark/>
          </w:tcPr>
          <w:p w14:paraId="70D56AAA" w14:textId="77777777" w:rsidR="004C357F" w:rsidRPr="004C357F" w:rsidRDefault="004C357F" w:rsidP="008D7427">
            <w:pPr>
              <w:autoSpaceDE w:val="0"/>
              <w:autoSpaceDN w:val="0"/>
              <w:adjustRightInd w:val="0"/>
              <w:spacing w:after="0" w:line="240" w:lineRule="auto"/>
              <w:ind w:left="60" w:right="60"/>
              <w:jc w:val="center"/>
              <w:rPr>
                <w:rFonts w:cstheme="minorHAnsi"/>
                <w:color w:val="000000" w:themeColor="text1"/>
                <w:sz w:val="24"/>
              </w:rPr>
            </w:pPr>
            <w:r w:rsidRPr="004C357F">
              <w:rPr>
                <w:rFonts w:cstheme="minorHAnsi"/>
                <w:color w:val="000000" w:themeColor="text1"/>
                <w:sz w:val="24"/>
              </w:rPr>
              <w:t>38.0</w:t>
            </w:r>
          </w:p>
        </w:tc>
        <w:tc>
          <w:tcPr>
            <w:tcW w:w="1404" w:type="dxa"/>
            <w:gridSpan w:val="2"/>
            <w:tcBorders>
              <w:top w:val="nil"/>
              <w:left w:val="nil"/>
              <w:bottom w:val="nil"/>
              <w:right w:val="nil"/>
            </w:tcBorders>
            <w:shd w:val="clear" w:color="auto" w:fill="auto"/>
            <w:hideMark/>
          </w:tcPr>
          <w:p w14:paraId="4669F571" w14:textId="77777777" w:rsidR="004C357F" w:rsidRPr="004C357F" w:rsidRDefault="004C357F" w:rsidP="008D7427">
            <w:pPr>
              <w:autoSpaceDE w:val="0"/>
              <w:autoSpaceDN w:val="0"/>
              <w:adjustRightInd w:val="0"/>
              <w:spacing w:after="0" w:line="240" w:lineRule="auto"/>
              <w:ind w:left="60" w:right="60"/>
              <w:jc w:val="center"/>
              <w:rPr>
                <w:rFonts w:cstheme="minorHAnsi"/>
                <w:color w:val="000000" w:themeColor="text1"/>
                <w:sz w:val="24"/>
              </w:rPr>
            </w:pPr>
            <w:r w:rsidRPr="004C357F">
              <w:rPr>
                <w:rFonts w:cstheme="minorHAnsi"/>
                <w:color w:val="000000" w:themeColor="text1"/>
                <w:sz w:val="24"/>
              </w:rPr>
              <w:t>36.0</w:t>
            </w:r>
          </w:p>
        </w:tc>
        <w:tc>
          <w:tcPr>
            <w:tcW w:w="258" w:type="dxa"/>
            <w:gridSpan w:val="2"/>
            <w:tcBorders>
              <w:top w:val="nil"/>
              <w:left w:val="nil"/>
              <w:bottom w:val="nil"/>
              <w:right w:val="nil"/>
            </w:tcBorders>
            <w:shd w:val="clear" w:color="auto" w:fill="auto"/>
          </w:tcPr>
          <w:p w14:paraId="69F9C94A" w14:textId="77777777" w:rsidR="004C357F" w:rsidRPr="004C357F" w:rsidRDefault="004C357F" w:rsidP="008D7427">
            <w:pPr>
              <w:autoSpaceDE w:val="0"/>
              <w:autoSpaceDN w:val="0"/>
              <w:adjustRightInd w:val="0"/>
              <w:spacing w:after="0" w:line="240" w:lineRule="auto"/>
              <w:ind w:left="60" w:right="60"/>
              <w:jc w:val="center"/>
              <w:rPr>
                <w:rFonts w:cstheme="minorHAnsi"/>
                <w:color w:val="000000" w:themeColor="text1"/>
                <w:sz w:val="24"/>
              </w:rPr>
            </w:pPr>
          </w:p>
        </w:tc>
        <w:tc>
          <w:tcPr>
            <w:tcW w:w="939" w:type="dxa"/>
            <w:tcBorders>
              <w:top w:val="nil"/>
              <w:left w:val="nil"/>
              <w:bottom w:val="nil"/>
              <w:right w:val="nil"/>
            </w:tcBorders>
            <w:shd w:val="clear" w:color="auto" w:fill="auto"/>
            <w:hideMark/>
          </w:tcPr>
          <w:p w14:paraId="2EAC0289" w14:textId="77777777" w:rsidR="004C357F" w:rsidRPr="004C357F" w:rsidRDefault="004C357F" w:rsidP="008D7427">
            <w:pPr>
              <w:autoSpaceDE w:val="0"/>
              <w:autoSpaceDN w:val="0"/>
              <w:adjustRightInd w:val="0"/>
              <w:spacing w:after="0" w:line="240" w:lineRule="auto"/>
              <w:ind w:left="60" w:right="60"/>
              <w:jc w:val="center"/>
              <w:rPr>
                <w:rFonts w:cstheme="minorHAnsi"/>
                <w:color w:val="000000" w:themeColor="text1"/>
                <w:sz w:val="24"/>
              </w:rPr>
            </w:pPr>
            <w:r w:rsidRPr="004C357F">
              <w:rPr>
                <w:rFonts w:cstheme="minorHAnsi"/>
                <w:color w:val="000000" w:themeColor="text1"/>
                <w:sz w:val="24"/>
              </w:rPr>
              <w:t>11.1</w:t>
            </w:r>
          </w:p>
        </w:tc>
        <w:tc>
          <w:tcPr>
            <w:tcW w:w="1511" w:type="dxa"/>
            <w:tcBorders>
              <w:top w:val="nil"/>
              <w:left w:val="nil"/>
              <w:bottom w:val="nil"/>
              <w:right w:val="nil"/>
            </w:tcBorders>
            <w:shd w:val="clear" w:color="auto" w:fill="auto"/>
            <w:hideMark/>
          </w:tcPr>
          <w:p w14:paraId="17EA15C4" w14:textId="77777777" w:rsidR="004C357F" w:rsidRPr="004C357F" w:rsidRDefault="004C357F" w:rsidP="008D7427">
            <w:pPr>
              <w:autoSpaceDE w:val="0"/>
              <w:autoSpaceDN w:val="0"/>
              <w:adjustRightInd w:val="0"/>
              <w:spacing w:after="0" w:line="240" w:lineRule="auto"/>
              <w:ind w:left="60" w:right="60"/>
              <w:jc w:val="center"/>
              <w:rPr>
                <w:rFonts w:cstheme="minorHAnsi"/>
                <w:color w:val="000000" w:themeColor="text1"/>
                <w:sz w:val="24"/>
              </w:rPr>
            </w:pPr>
            <w:r w:rsidRPr="004C357F">
              <w:rPr>
                <w:rFonts w:cstheme="minorHAnsi"/>
                <w:color w:val="000000" w:themeColor="text1"/>
                <w:sz w:val="24"/>
              </w:rPr>
              <w:t>22.2</w:t>
            </w:r>
          </w:p>
        </w:tc>
      </w:tr>
      <w:tr w:rsidR="008D7427" w:rsidRPr="004C357F" w14:paraId="5971F425" w14:textId="77777777" w:rsidTr="00565EA5">
        <w:trPr>
          <w:cantSplit/>
          <w:trHeight w:val="113"/>
        </w:trPr>
        <w:tc>
          <w:tcPr>
            <w:tcW w:w="24" w:type="dxa"/>
            <w:vMerge/>
            <w:tcBorders>
              <w:top w:val="single" w:sz="8" w:space="0" w:color="152935"/>
              <w:left w:val="nil"/>
              <w:bottom w:val="single" w:sz="8" w:space="0" w:color="152935"/>
              <w:right w:val="nil"/>
            </w:tcBorders>
            <w:vAlign w:val="center"/>
            <w:hideMark/>
          </w:tcPr>
          <w:p w14:paraId="7EF622E2" w14:textId="77777777" w:rsidR="004C357F" w:rsidRPr="004C357F" w:rsidRDefault="004C357F" w:rsidP="008D7427">
            <w:pPr>
              <w:spacing w:after="0" w:line="240" w:lineRule="auto"/>
              <w:rPr>
                <w:rFonts w:cstheme="minorHAnsi"/>
                <w:color w:val="000000" w:themeColor="text1"/>
                <w:sz w:val="24"/>
              </w:rPr>
            </w:pPr>
          </w:p>
        </w:tc>
        <w:tc>
          <w:tcPr>
            <w:tcW w:w="23" w:type="dxa"/>
            <w:tcBorders>
              <w:top w:val="single" w:sz="8" w:space="0" w:color="AEAEAE"/>
              <w:left w:val="nil"/>
              <w:bottom w:val="single" w:sz="8" w:space="0" w:color="AEAEAE"/>
              <w:right w:val="nil"/>
            </w:tcBorders>
          </w:tcPr>
          <w:p w14:paraId="43A535D5" w14:textId="77777777" w:rsidR="004C357F" w:rsidRPr="004C357F" w:rsidRDefault="004C357F" w:rsidP="008D7427">
            <w:pPr>
              <w:autoSpaceDE w:val="0"/>
              <w:autoSpaceDN w:val="0"/>
              <w:adjustRightInd w:val="0"/>
              <w:spacing w:after="0" w:line="240" w:lineRule="auto"/>
              <w:rPr>
                <w:rFonts w:cstheme="minorHAnsi"/>
                <w:color w:val="000000" w:themeColor="text1"/>
                <w:sz w:val="24"/>
              </w:rPr>
            </w:pPr>
          </w:p>
        </w:tc>
        <w:tc>
          <w:tcPr>
            <w:tcW w:w="2486" w:type="dxa"/>
            <w:tcBorders>
              <w:top w:val="nil"/>
              <w:left w:val="nil"/>
              <w:bottom w:val="single" w:sz="4" w:space="0" w:color="auto"/>
              <w:right w:val="nil"/>
            </w:tcBorders>
            <w:hideMark/>
          </w:tcPr>
          <w:p w14:paraId="340EFE6D" w14:textId="77777777" w:rsidR="004C357F" w:rsidRPr="004C357F" w:rsidRDefault="004C357F" w:rsidP="008D7427">
            <w:pPr>
              <w:autoSpaceDE w:val="0"/>
              <w:autoSpaceDN w:val="0"/>
              <w:adjustRightInd w:val="0"/>
              <w:spacing w:after="0" w:line="240" w:lineRule="auto"/>
              <w:ind w:right="60"/>
              <w:jc w:val="center"/>
              <w:rPr>
                <w:rFonts w:cstheme="minorHAnsi"/>
                <w:color w:val="000000" w:themeColor="text1"/>
                <w:sz w:val="24"/>
              </w:rPr>
            </w:pPr>
            <w:r w:rsidRPr="004C357F">
              <w:rPr>
                <w:rFonts w:cstheme="minorHAnsi"/>
                <w:color w:val="000000" w:themeColor="text1"/>
                <w:sz w:val="24"/>
              </w:rPr>
              <w:t>High</w:t>
            </w:r>
          </w:p>
        </w:tc>
        <w:tc>
          <w:tcPr>
            <w:tcW w:w="201" w:type="dxa"/>
            <w:tcBorders>
              <w:top w:val="nil"/>
              <w:left w:val="nil"/>
              <w:bottom w:val="single" w:sz="4" w:space="0" w:color="auto"/>
              <w:right w:val="nil"/>
            </w:tcBorders>
          </w:tcPr>
          <w:p w14:paraId="3E437177" w14:textId="77777777" w:rsidR="004C357F" w:rsidRPr="004C357F" w:rsidRDefault="004C357F" w:rsidP="008D7427">
            <w:pPr>
              <w:autoSpaceDE w:val="0"/>
              <w:autoSpaceDN w:val="0"/>
              <w:adjustRightInd w:val="0"/>
              <w:spacing w:after="0" w:line="240" w:lineRule="auto"/>
              <w:ind w:left="60" w:right="60"/>
              <w:jc w:val="center"/>
              <w:rPr>
                <w:rFonts w:cstheme="minorHAnsi"/>
                <w:color w:val="000000" w:themeColor="text1"/>
                <w:sz w:val="24"/>
              </w:rPr>
            </w:pPr>
          </w:p>
        </w:tc>
        <w:tc>
          <w:tcPr>
            <w:tcW w:w="809" w:type="dxa"/>
            <w:gridSpan w:val="2"/>
            <w:tcBorders>
              <w:top w:val="nil"/>
              <w:left w:val="nil"/>
              <w:bottom w:val="single" w:sz="4" w:space="0" w:color="auto"/>
              <w:right w:val="nil"/>
            </w:tcBorders>
            <w:shd w:val="clear" w:color="auto" w:fill="auto"/>
            <w:hideMark/>
          </w:tcPr>
          <w:p w14:paraId="3C64C237" w14:textId="77777777" w:rsidR="004C357F" w:rsidRPr="004C357F" w:rsidRDefault="004C357F" w:rsidP="008D7427">
            <w:pPr>
              <w:autoSpaceDE w:val="0"/>
              <w:autoSpaceDN w:val="0"/>
              <w:adjustRightInd w:val="0"/>
              <w:spacing w:after="0" w:line="240" w:lineRule="auto"/>
              <w:ind w:left="60" w:right="60"/>
              <w:jc w:val="center"/>
              <w:rPr>
                <w:rFonts w:cstheme="minorHAnsi"/>
                <w:color w:val="000000" w:themeColor="text1"/>
                <w:sz w:val="24"/>
              </w:rPr>
            </w:pPr>
            <w:r w:rsidRPr="004C357F">
              <w:rPr>
                <w:rFonts w:cstheme="minorHAnsi"/>
                <w:color w:val="000000" w:themeColor="text1"/>
                <w:sz w:val="24"/>
              </w:rPr>
              <w:t>28.0</w:t>
            </w:r>
          </w:p>
        </w:tc>
        <w:tc>
          <w:tcPr>
            <w:tcW w:w="1404" w:type="dxa"/>
            <w:gridSpan w:val="2"/>
            <w:tcBorders>
              <w:top w:val="nil"/>
              <w:left w:val="nil"/>
              <w:bottom w:val="single" w:sz="4" w:space="0" w:color="auto"/>
              <w:right w:val="nil"/>
            </w:tcBorders>
            <w:shd w:val="clear" w:color="auto" w:fill="auto"/>
            <w:hideMark/>
          </w:tcPr>
          <w:p w14:paraId="007B859C" w14:textId="77777777" w:rsidR="004C357F" w:rsidRPr="004C357F" w:rsidRDefault="004C357F" w:rsidP="008D7427">
            <w:pPr>
              <w:autoSpaceDE w:val="0"/>
              <w:autoSpaceDN w:val="0"/>
              <w:adjustRightInd w:val="0"/>
              <w:spacing w:after="0" w:line="240" w:lineRule="auto"/>
              <w:ind w:left="60" w:right="60"/>
              <w:jc w:val="center"/>
              <w:rPr>
                <w:rFonts w:cstheme="minorHAnsi"/>
                <w:color w:val="000000" w:themeColor="text1"/>
                <w:sz w:val="24"/>
              </w:rPr>
            </w:pPr>
            <w:r w:rsidRPr="004C357F">
              <w:rPr>
                <w:rFonts w:cstheme="minorHAnsi"/>
                <w:color w:val="000000" w:themeColor="text1"/>
                <w:sz w:val="24"/>
              </w:rPr>
              <w:t>30.0</w:t>
            </w:r>
          </w:p>
        </w:tc>
        <w:tc>
          <w:tcPr>
            <w:tcW w:w="258" w:type="dxa"/>
            <w:gridSpan w:val="2"/>
            <w:tcBorders>
              <w:top w:val="nil"/>
              <w:left w:val="nil"/>
              <w:bottom w:val="single" w:sz="4" w:space="0" w:color="auto"/>
              <w:right w:val="nil"/>
            </w:tcBorders>
            <w:shd w:val="clear" w:color="auto" w:fill="auto"/>
          </w:tcPr>
          <w:p w14:paraId="1DC16C0B" w14:textId="77777777" w:rsidR="004C357F" w:rsidRPr="004C357F" w:rsidRDefault="004C357F" w:rsidP="008D7427">
            <w:pPr>
              <w:autoSpaceDE w:val="0"/>
              <w:autoSpaceDN w:val="0"/>
              <w:adjustRightInd w:val="0"/>
              <w:spacing w:after="0" w:line="240" w:lineRule="auto"/>
              <w:ind w:left="60" w:right="60"/>
              <w:jc w:val="center"/>
              <w:rPr>
                <w:rFonts w:cstheme="minorHAnsi"/>
                <w:color w:val="000000" w:themeColor="text1"/>
                <w:sz w:val="24"/>
              </w:rPr>
            </w:pPr>
          </w:p>
        </w:tc>
        <w:tc>
          <w:tcPr>
            <w:tcW w:w="939" w:type="dxa"/>
            <w:tcBorders>
              <w:top w:val="nil"/>
              <w:left w:val="nil"/>
              <w:bottom w:val="single" w:sz="4" w:space="0" w:color="auto"/>
              <w:right w:val="nil"/>
            </w:tcBorders>
            <w:shd w:val="clear" w:color="auto" w:fill="auto"/>
            <w:hideMark/>
          </w:tcPr>
          <w:p w14:paraId="205AA895" w14:textId="77777777" w:rsidR="004C357F" w:rsidRPr="004C357F" w:rsidRDefault="004C357F" w:rsidP="008D7427">
            <w:pPr>
              <w:autoSpaceDE w:val="0"/>
              <w:autoSpaceDN w:val="0"/>
              <w:adjustRightInd w:val="0"/>
              <w:spacing w:after="0" w:line="240" w:lineRule="auto"/>
              <w:ind w:left="60" w:right="60"/>
              <w:jc w:val="center"/>
              <w:rPr>
                <w:rFonts w:cstheme="minorHAnsi"/>
                <w:color w:val="000000" w:themeColor="text1"/>
                <w:sz w:val="24"/>
              </w:rPr>
            </w:pPr>
            <w:r w:rsidRPr="004C357F">
              <w:rPr>
                <w:rFonts w:cstheme="minorHAnsi"/>
                <w:color w:val="000000" w:themeColor="text1"/>
                <w:sz w:val="24"/>
              </w:rPr>
              <w:t>66.7</w:t>
            </w:r>
          </w:p>
        </w:tc>
        <w:tc>
          <w:tcPr>
            <w:tcW w:w="1511" w:type="dxa"/>
            <w:tcBorders>
              <w:top w:val="nil"/>
              <w:left w:val="nil"/>
              <w:bottom w:val="single" w:sz="4" w:space="0" w:color="auto"/>
              <w:right w:val="nil"/>
            </w:tcBorders>
            <w:shd w:val="clear" w:color="auto" w:fill="auto"/>
            <w:hideMark/>
          </w:tcPr>
          <w:p w14:paraId="51021F27" w14:textId="77777777" w:rsidR="004C357F" w:rsidRPr="004C357F" w:rsidRDefault="004C357F" w:rsidP="008D7427">
            <w:pPr>
              <w:autoSpaceDE w:val="0"/>
              <w:autoSpaceDN w:val="0"/>
              <w:adjustRightInd w:val="0"/>
              <w:spacing w:after="0" w:line="240" w:lineRule="auto"/>
              <w:ind w:left="60" w:right="60"/>
              <w:jc w:val="center"/>
              <w:rPr>
                <w:rFonts w:cstheme="minorHAnsi"/>
                <w:color w:val="000000" w:themeColor="text1"/>
                <w:sz w:val="24"/>
              </w:rPr>
            </w:pPr>
            <w:r w:rsidRPr="004C357F">
              <w:rPr>
                <w:rFonts w:cstheme="minorHAnsi"/>
                <w:color w:val="000000" w:themeColor="text1"/>
                <w:sz w:val="24"/>
              </w:rPr>
              <w:t>55.6</w:t>
            </w:r>
          </w:p>
        </w:tc>
      </w:tr>
      <w:tr w:rsidR="00913D74" w:rsidRPr="004C357F" w14:paraId="56440449" w14:textId="77777777" w:rsidTr="0086600D">
        <w:trPr>
          <w:cantSplit/>
          <w:trHeight w:val="113"/>
        </w:trPr>
        <w:tc>
          <w:tcPr>
            <w:tcW w:w="24" w:type="dxa"/>
            <w:tcBorders>
              <w:top w:val="single" w:sz="8" w:space="0" w:color="152935"/>
              <w:left w:val="nil"/>
              <w:bottom w:val="single" w:sz="8" w:space="0" w:color="152935"/>
              <w:right w:val="nil"/>
            </w:tcBorders>
            <w:vAlign w:val="center"/>
          </w:tcPr>
          <w:p w14:paraId="03B010DA" w14:textId="77777777" w:rsidR="00913D74" w:rsidRPr="00CF37BA" w:rsidRDefault="00913D74" w:rsidP="008D7427">
            <w:pPr>
              <w:spacing w:after="0" w:line="240" w:lineRule="auto"/>
              <w:rPr>
                <w:rFonts w:cstheme="minorHAnsi"/>
                <w:b/>
                <w:color w:val="000000" w:themeColor="text1"/>
                <w:sz w:val="24"/>
              </w:rPr>
            </w:pPr>
          </w:p>
        </w:tc>
        <w:tc>
          <w:tcPr>
            <w:tcW w:w="23" w:type="dxa"/>
            <w:tcBorders>
              <w:top w:val="single" w:sz="8" w:space="0" w:color="AEAEAE"/>
              <w:left w:val="nil"/>
              <w:bottom w:val="single" w:sz="8" w:space="0" w:color="AEAEAE"/>
              <w:right w:val="nil"/>
            </w:tcBorders>
          </w:tcPr>
          <w:p w14:paraId="148333C5" w14:textId="77777777" w:rsidR="00913D74" w:rsidRPr="00CF37BA" w:rsidRDefault="00913D74" w:rsidP="008D7427">
            <w:pPr>
              <w:autoSpaceDE w:val="0"/>
              <w:autoSpaceDN w:val="0"/>
              <w:adjustRightInd w:val="0"/>
              <w:spacing w:after="0" w:line="240" w:lineRule="auto"/>
              <w:rPr>
                <w:rFonts w:cstheme="minorHAnsi"/>
                <w:b/>
                <w:color w:val="000000" w:themeColor="text1"/>
                <w:sz w:val="24"/>
              </w:rPr>
            </w:pPr>
          </w:p>
        </w:tc>
        <w:tc>
          <w:tcPr>
            <w:tcW w:w="2486" w:type="dxa"/>
            <w:tcBorders>
              <w:top w:val="single" w:sz="4" w:space="0" w:color="auto"/>
              <w:left w:val="nil"/>
              <w:bottom w:val="single" w:sz="4" w:space="0" w:color="auto"/>
              <w:right w:val="nil"/>
            </w:tcBorders>
          </w:tcPr>
          <w:p w14:paraId="0865C55E" w14:textId="77777777" w:rsidR="00913D74" w:rsidRPr="00BA3D00" w:rsidRDefault="00913D74" w:rsidP="008E6F85">
            <w:pPr>
              <w:autoSpaceDE w:val="0"/>
              <w:autoSpaceDN w:val="0"/>
              <w:adjustRightInd w:val="0"/>
              <w:spacing w:after="0" w:line="240" w:lineRule="auto"/>
              <w:ind w:right="60"/>
              <w:rPr>
                <w:rFonts w:cstheme="minorHAnsi"/>
                <w:color w:val="000000" w:themeColor="text1"/>
                <w:sz w:val="24"/>
              </w:rPr>
            </w:pPr>
            <w:r w:rsidRPr="00BA3D00">
              <w:rPr>
                <w:rFonts w:cstheme="minorHAnsi"/>
                <w:color w:val="000000" w:themeColor="text1"/>
                <w:sz w:val="24"/>
              </w:rPr>
              <w:t>Involv</w:t>
            </w:r>
            <w:r w:rsidR="008331CA" w:rsidRPr="00BA3D00">
              <w:rPr>
                <w:rFonts w:cstheme="minorHAnsi"/>
                <w:color w:val="000000" w:themeColor="text1"/>
                <w:sz w:val="24"/>
              </w:rPr>
              <w:t>ed</w:t>
            </w:r>
            <w:r w:rsidRPr="00BA3D00">
              <w:rPr>
                <w:rFonts w:cstheme="minorHAnsi"/>
                <w:color w:val="000000" w:themeColor="text1"/>
                <w:sz w:val="24"/>
              </w:rPr>
              <w:t xml:space="preserve"> in alternative livelihood</w:t>
            </w:r>
            <w:r w:rsidR="0066150E" w:rsidRPr="00BA3D00">
              <w:rPr>
                <w:rFonts w:cstheme="minorHAnsi"/>
                <w:color w:val="000000" w:themeColor="text1"/>
                <w:sz w:val="24"/>
              </w:rPr>
              <w:t>(s)</w:t>
            </w:r>
            <w:r w:rsidR="005E5BE1" w:rsidRPr="00BA3D00">
              <w:rPr>
                <w:rFonts w:cstheme="minorHAnsi"/>
                <w:color w:val="000000" w:themeColor="text1"/>
                <w:sz w:val="24"/>
              </w:rPr>
              <w:t>*</w:t>
            </w:r>
          </w:p>
        </w:tc>
        <w:tc>
          <w:tcPr>
            <w:tcW w:w="201" w:type="dxa"/>
            <w:tcBorders>
              <w:top w:val="single" w:sz="4" w:space="0" w:color="auto"/>
              <w:left w:val="nil"/>
              <w:bottom w:val="single" w:sz="4" w:space="0" w:color="auto"/>
              <w:right w:val="nil"/>
            </w:tcBorders>
          </w:tcPr>
          <w:p w14:paraId="43514E7C" w14:textId="77777777" w:rsidR="00913D74" w:rsidRPr="004C357F" w:rsidRDefault="00913D74" w:rsidP="008D7427">
            <w:pPr>
              <w:autoSpaceDE w:val="0"/>
              <w:autoSpaceDN w:val="0"/>
              <w:adjustRightInd w:val="0"/>
              <w:spacing w:after="0" w:line="240" w:lineRule="auto"/>
              <w:ind w:left="60" w:right="60"/>
              <w:jc w:val="center"/>
              <w:rPr>
                <w:rFonts w:cstheme="minorHAnsi"/>
                <w:color w:val="000000" w:themeColor="text1"/>
                <w:sz w:val="24"/>
              </w:rPr>
            </w:pPr>
          </w:p>
        </w:tc>
        <w:tc>
          <w:tcPr>
            <w:tcW w:w="2213" w:type="dxa"/>
            <w:gridSpan w:val="4"/>
            <w:tcBorders>
              <w:top w:val="single" w:sz="4" w:space="0" w:color="auto"/>
              <w:left w:val="nil"/>
              <w:bottom w:val="single" w:sz="4" w:space="0" w:color="auto"/>
              <w:right w:val="nil"/>
            </w:tcBorders>
            <w:vAlign w:val="center"/>
          </w:tcPr>
          <w:p w14:paraId="213CD2C0" w14:textId="77777777" w:rsidR="00913D74" w:rsidRPr="004C357F" w:rsidRDefault="0066150E" w:rsidP="00913D74">
            <w:pPr>
              <w:autoSpaceDE w:val="0"/>
              <w:autoSpaceDN w:val="0"/>
              <w:adjustRightInd w:val="0"/>
              <w:spacing w:after="0" w:line="240" w:lineRule="auto"/>
              <w:ind w:left="60" w:right="60"/>
              <w:jc w:val="center"/>
              <w:rPr>
                <w:rFonts w:cstheme="minorHAnsi"/>
                <w:color w:val="000000" w:themeColor="text1"/>
                <w:sz w:val="24"/>
              </w:rPr>
            </w:pPr>
            <w:r>
              <w:rPr>
                <w:rFonts w:cstheme="minorHAnsi"/>
                <w:color w:val="000000" w:themeColor="text1"/>
                <w:sz w:val="24"/>
              </w:rPr>
              <w:t>30.0</w:t>
            </w:r>
          </w:p>
        </w:tc>
        <w:tc>
          <w:tcPr>
            <w:tcW w:w="258" w:type="dxa"/>
            <w:gridSpan w:val="2"/>
            <w:tcBorders>
              <w:top w:val="single" w:sz="4" w:space="0" w:color="auto"/>
              <w:left w:val="nil"/>
              <w:bottom w:val="single" w:sz="4" w:space="0" w:color="auto"/>
              <w:right w:val="nil"/>
            </w:tcBorders>
            <w:vAlign w:val="center"/>
          </w:tcPr>
          <w:p w14:paraId="356DD236" w14:textId="77777777" w:rsidR="00913D74" w:rsidRPr="004C357F" w:rsidRDefault="00913D74" w:rsidP="00913D74">
            <w:pPr>
              <w:autoSpaceDE w:val="0"/>
              <w:autoSpaceDN w:val="0"/>
              <w:adjustRightInd w:val="0"/>
              <w:spacing w:after="0" w:line="240" w:lineRule="auto"/>
              <w:ind w:left="60" w:right="60"/>
              <w:jc w:val="center"/>
              <w:rPr>
                <w:rFonts w:cstheme="minorHAnsi"/>
                <w:color w:val="000000" w:themeColor="text1"/>
                <w:sz w:val="24"/>
              </w:rPr>
            </w:pPr>
          </w:p>
        </w:tc>
        <w:tc>
          <w:tcPr>
            <w:tcW w:w="939" w:type="dxa"/>
            <w:tcBorders>
              <w:top w:val="single" w:sz="4" w:space="0" w:color="auto"/>
              <w:left w:val="nil"/>
              <w:bottom w:val="single" w:sz="4" w:space="0" w:color="auto"/>
              <w:right w:val="nil"/>
            </w:tcBorders>
            <w:vAlign w:val="center"/>
          </w:tcPr>
          <w:p w14:paraId="51263FE0" w14:textId="77777777" w:rsidR="00913D74" w:rsidRPr="004C357F" w:rsidRDefault="00913D74" w:rsidP="00913D74">
            <w:pPr>
              <w:autoSpaceDE w:val="0"/>
              <w:autoSpaceDN w:val="0"/>
              <w:adjustRightInd w:val="0"/>
              <w:spacing w:after="0" w:line="240" w:lineRule="auto"/>
              <w:ind w:left="60" w:right="60"/>
              <w:jc w:val="center"/>
              <w:rPr>
                <w:rFonts w:cstheme="minorHAnsi"/>
                <w:color w:val="000000" w:themeColor="text1"/>
                <w:sz w:val="24"/>
              </w:rPr>
            </w:pPr>
          </w:p>
        </w:tc>
        <w:tc>
          <w:tcPr>
            <w:tcW w:w="1511" w:type="dxa"/>
            <w:tcBorders>
              <w:top w:val="single" w:sz="4" w:space="0" w:color="auto"/>
              <w:left w:val="nil"/>
              <w:bottom w:val="single" w:sz="4" w:space="0" w:color="auto"/>
              <w:right w:val="nil"/>
            </w:tcBorders>
            <w:vAlign w:val="center"/>
          </w:tcPr>
          <w:p w14:paraId="436D618C" w14:textId="77777777" w:rsidR="00913D74" w:rsidRPr="004C357F" w:rsidRDefault="0066150E" w:rsidP="0066150E">
            <w:pPr>
              <w:autoSpaceDE w:val="0"/>
              <w:autoSpaceDN w:val="0"/>
              <w:adjustRightInd w:val="0"/>
              <w:spacing w:after="0" w:line="240" w:lineRule="auto"/>
              <w:ind w:left="60" w:right="60"/>
              <w:rPr>
                <w:rFonts w:cstheme="minorHAnsi"/>
                <w:color w:val="000000" w:themeColor="text1"/>
                <w:sz w:val="24"/>
              </w:rPr>
            </w:pPr>
            <w:r>
              <w:rPr>
                <w:rFonts w:cstheme="minorHAnsi"/>
                <w:color w:val="000000" w:themeColor="text1"/>
                <w:sz w:val="24"/>
              </w:rPr>
              <w:t>55.6</w:t>
            </w:r>
          </w:p>
        </w:tc>
      </w:tr>
      <w:tr w:rsidR="00CF6EE3" w:rsidRPr="004C357F" w14:paraId="266F2FC9" w14:textId="77777777" w:rsidTr="0086600D">
        <w:trPr>
          <w:cantSplit/>
          <w:trHeight w:val="113"/>
        </w:trPr>
        <w:tc>
          <w:tcPr>
            <w:tcW w:w="24" w:type="dxa"/>
            <w:tcBorders>
              <w:top w:val="single" w:sz="8" w:space="0" w:color="152935"/>
              <w:left w:val="nil"/>
              <w:bottom w:val="nil"/>
              <w:right w:val="nil"/>
            </w:tcBorders>
            <w:vAlign w:val="center"/>
          </w:tcPr>
          <w:p w14:paraId="0A6548DA" w14:textId="77777777" w:rsidR="00CF6EE3" w:rsidRPr="00CF37BA" w:rsidRDefault="00CF6EE3" w:rsidP="008D7427">
            <w:pPr>
              <w:spacing w:after="0" w:line="240" w:lineRule="auto"/>
              <w:rPr>
                <w:rFonts w:cstheme="minorHAnsi"/>
                <w:b/>
                <w:color w:val="000000" w:themeColor="text1"/>
                <w:sz w:val="24"/>
              </w:rPr>
            </w:pPr>
          </w:p>
        </w:tc>
        <w:tc>
          <w:tcPr>
            <w:tcW w:w="23" w:type="dxa"/>
            <w:tcBorders>
              <w:top w:val="single" w:sz="8" w:space="0" w:color="AEAEAE"/>
              <w:left w:val="nil"/>
              <w:bottom w:val="nil"/>
              <w:right w:val="nil"/>
            </w:tcBorders>
          </w:tcPr>
          <w:p w14:paraId="6AA88EFC" w14:textId="77777777" w:rsidR="00CF6EE3" w:rsidRPr="00CF37BA" w:rsidRDefault="00CF6EE3" w:rsidP="008D7427">
            <w:pPr>
              <w:autoSpaceDE w:val="0"/>
              <w:autoSpaceDN w:val="0"/>
              <w:adjustRightInd w:val="0"/>
              <w:spacing w:after="0" w:line="240" w:lineRule="auto"/>
              <w:rPr>
                <w:rFonts w:cstheme="minorHAnsi"/>
                <w:b/>
                <w:color w:val="000000" w:themeColor="text1"/>
                <w:sz w:val="24"/>
              </w:rPr>
            </w:pPr>
          </w:p>
        </w:tc>
        <w:tc>
          <w:tcPr>
            <w:tcW w:w="7608" w:type="dxa"/>
            <w:gridSpan w:val="10"/>
            <w:tcBorders>
              <w:top w:val="single" w:sz="4" w:space="0" w:color="auto"/>
              <w:left w:val="nil"/>
              <w:bottom w:val="nil"/>
              <w:right w:val="nil"/>
            </w:tcBorders>
          </w:tcPr>
          <w:p w14:paraId="5F8257CD" w14:textId="77777777" w:rsidR="00CF6EE3" w:rsidRDefault="005E5BE1" w:rsidP="0066150E">
            <w:pPr>
              <w:autoSpaceDE w:val="0"/>
              <w:autoSpaceDN w:val="0"/>
              <w:adjustRightInd w:val="0"/>
              <w:spacing w:after="0" w:line="240" w:lineRule="auto"/>
              <w:ind w:left="60" w:right="60"/>
              <w:rPr>
                <w:rFonts w:cstheme="minorHAnsi"/>
                <w:color w:val="000000" w:themeColor="text1"/>
                <w:sz w:val="24"/>
              </w:rPr>
            </w:pPr>
            <w:r w:rsidRPr="0086600D">
              <w:rPr>
                <w:rFonts w:cstheme="minorHAnsi"/>
                <w:sz w:val="18"/>
                <w:szCs w:val="23"/>
              </w:rPr>
              <w:t>* is</w:t>
            </w:r>
            <w:r w:rsidR="00DD7CA1">
              <w:rPr>
                <w:rFonts w:cstheme="minorHAnsi"/>
                <w:sz w:val="18"/>
                <w:szCs w:val="23"/>
              </w:rPr>
              <w:t xml:space="preserve"> a</w:t>
            </w:r>
            <w:r w:rsidR="00364C88">
              <w:rPr>
                <w:rFonts w:cstheme="minorHAnsi"/>
                <w:sz w:val="18"/>
                <w:szCs w:val="23"/>
              </w:rPr>
              <w:t xml:space="preserve"> sub-</w:t>
            </w:r>
            <w:r w:rsidR="00DD7CA1">
              <w:rPr>
                <w:rFonts w:cstheme="minorHAnsi"/>
                <w:sz w:val="18"/>
                <w:szCs w:val="23"/>
              </w:rPr>
              <w:t>indicator</w:t>
            </w:r>
            <w:r w:rsidRPr="0086600D">
              <w:rPr>
                <w:rFonts w:cstheme="minorHAnsi"/>
                <w:sz w:val="18"/>
                <w:szCs w:val="23"/>
              </w:rPr>
              <w:t xml:space="preserve"> of management approach</w:t>
            </w:r>
            <w:r w:rsidR="002E3B33" w:rsidRPr="0086600D">
              <w:rPr>
                <w:rFonts w:cstheme="minorHAnsi"/>
                <w:sz w:val="18"/>
                <w:szCs w:val="23"/>
              </w:rPr>
              <w:t xml:space="preserve"> </w:t>
            </w:r>
            <w:r w:rsidR="0001018D">
              <w:rPr>
                <w:rFonts w:cstheme="minorHAnsi"/>
                <w:sz w:val="18"/>
                <w:szCs w:val="23"/>
              </w:rPr>
              <w:t>(r</w:t>
            </w:r>
            <w:r w:rsidR="0001018D" w:rsidRPr="0086600D">
              <w:rPr>
                <w:rFonts w:cstheme="minorHAnsi"/>
                <w:sz w:val="18"/>
                <w:szCs w:val="23"/>
              </w:rPr>
              <w:t>isk behaviour,</w:t>
            </w:r>
            <w:r w:rsidR="0001018D">
              <w:rPr>
                <w:rFonts w:cstheme="minorHAnsi"/>
                <w:sz w:val="18"/>
                <w:szCs w:val="23"/>
              </w:rPr>
              <w:t xml:space="preserve"> </w:t>
            </w:r>
            <w:r w:rsidR="0001018D" w:rsidRPr="0086600D">
              <w:rPr>
                <w:rFonts w:cstheme="minorHAnsi"/>
                <w:sz w:val="18"/>
                <w:szCs w:val="23"/>
              </w:rPr>
              <w:t>innovation</w:t>
            </w:r>
            <w:r w:rsidR="0001018D">
              <w:rPr>
                <w:rFonts w:cstheme="minorHAnsi"/>
                <w:sz w:val="18"/>
                <w:szCs w:val="23"/>
              </w:rPr>
              <w:t xml:space="preserve"> </w:t>
            </w:r>
            <w:r w:rsidR="0001018D" w:rsidRPr="0086600D">
              <w:rPr>
                <w:rFonts w:cstheme="minorHAnsi"/>
                <w:sz w:val="18"/>
                <w:szCs w:val="23"/>
              </w:rPr>
              <w:t>and involvement alternative livelihood</w:t>
            </w:r>
            <w:r w:rsidR="0001018D">
              <w:rPr>
                <w:rFonts w:cstheme="minorHAnsi"/>
                <w:sz w:val="18"/>
                <w:szCs w:val="23"/>
              </w:rPr>
              <w:t>)</w:t>
            </w:r>
            <w:r w:rsidR="0001018D" w:rsidRPr="0086600D">
              <w:rPr>
                <w:rFonts w:cstheme="minorHAnsi"/>
                <w:sz w:val="18"/>
                <w:szCs w:val="23"/>
              </w:rPr>
              <w:t xml:space="preserve"> </w:t>
            </w:r>
            <w:r w:rsidR="002E3B33" w:rsidRPr="0086600D">
              <w:rPr>
                <w:rFonts w:cstheme="minorHAnsi"/>
                <w:sz w:val="18"/>
                <w:szCs w:val="23"/>
              </w:rPr>
              <w:t>which differed significantly between male and female-headed households (HH)</w:t>
            </w:r>
            <w:r w:rsidR="00DD7CA1">
              <w:rPr>
                <w:rFonts w:cstheme="minorHAnsi"/>
                <w:sz w:val="18"/>
                <w:szCs w:val="23"/>
              </w:rPr>
              <w:t xml:space="preserve"> (ANOVA</w:t>
            </w:r>
            <w:r w:rsidR="00C33A97">
              <w:rPr>
                <w:rFonts w:cstheme="minorHAnsi"/>
                <w:sz w:val="18"/>
                <w:szCs w:val="23"/>
              </w:rPr>
              <w:t>; p = 0.03; α = 0.05</w:t>
            </w:r>
            <w:r w:rsidR="00DD7CA1">
              <w:rPr>
                <w:rFonts w:cstheme="minorHAnsi"/>
                <w:sz w:val="18"/>
                <w:szCs w:val="23"/>
              </w:rPr>
              <w:t>)</w:t>
            </w:r>
            <w:r w:rsidR="002E3B33" w:rsidRPr="0086600D">
              <w:rPr>
                <w:rFonts w:cstheme="minorHAnsi"/>
                <w:sz w:val="18"/>
                <w:szCs w:val="23"/>
              </w:rPr>
              <w:t>.</w:t>
            </w:r>
            <w:r w:rsidR="0086600D" w:rsidRPr="0086600D">
              <w:rPr>
                <w:rFonts w:cstheme="minorHAnsi"/>
                <w:sz w:val="18"/>
                <w:szCs w:val="23"/>
              </w:rPr>
              <w:t xml:space="preserve"> </w:t>
            </w:r>
            <w:r w:rsidR="0001018D">
              <w:rPr>
                <w:rFonts w:cstheme="minorHAnsi"/>
                <w:sz w:val="18"/>
                <w:szCs w:val="23"/>
              </w:rPr>
              <w:t>See Table 9.</w:t>
            </w:r>
          </w:p>
        </w:tc>
      </w:tr>
    </w:tbl>
    <w:p w14:paraId="12890378" w14:textId="77777777" w:rsidR="004C357F" w:rsidRDefault="004C357F" w:rsidP="008D7427">
      <w:pPr>
        <w:spacing w:after="0"/>
        <w:rPr>
          <w:b/>
          <w:sz w:val="24"/>
        </w:rPr>
      </w:pPr>
    </w:p>
    <w:p w14:paraId="2D56D714" w14:textId="77777777" w:rsidR="004C357F" w:rsidRDefault="004C357F" w:rsidP="004257F3">
      <w:pPr>
        <w:rPr>
          <w:b/>
          <w:sz w:val="24"/>
        </w:rPr>
      </w:pPr>
    </w:p>
    <w:p w14:paraId="7785F4DA" w14:textId="77777777" w:rsidR="004C357F" w:rsidRDefault="004C357F" w:rsidP="004257F3">
      <w:pPr>
        <w:rPr>
          <w:b/>
          <w:sz w:val="24"/>
        </w:rPr>
      </w:pPr>
    </w:p>
    <w:p w14:paraId="690F402F" w14:textId="77777777" w:rsidR="004C357F" w:rsidRDefault="004C357F" w:rsidP="004257F3">
      <w:pPr>
        <w:rPr>
          <w:b/>
          <w:sz w:val="24"/>
        </w:rPr>
      </w:pPr>
    </w:p>
    <w:p w14:paraId="091E47FC" w14:textId="77777777" w:rsidR="004C357F" w:rsidRDefault="004C357F" w:rsidP="004257F3">
      <w:pPr>
        <w:rPr>
          <w:b/>
          <w:sz w:val="24"/>
        </w:rPr>
      </w:pPr>
    </w:p>
    <w:p w14:paraId="69BC3A27" w14:textId="77777777" w:rsidR="00F43A09" w:rsidRPr="00F80389" w:rsidRDefault="00F43A09" w:rsidP="00B618D1">
      <w:pPr>
        <w:spacing w:after="0"/>
        <w:rPr>
          <w:b/>
          <w:sz w:val="36"/>
        </w:rPr>
      </w:pPr>
    </w:p>
    <w:p w14:paraId="750FDF6E" w14:textId="77777777" w:rsidR="001F4112" w:rsidRDefault="001F4112" w:rsidP="00F80389">
      <w:pPr>
        <w:pStyle w:val="Caption"/>
        <w:keepNext/>
        <w:spacing w:after="0"/>
        <w:rPr>
          <w:sz w:val="24"/>
        </w:rPr>
      </w:pPr>
    </w:p>
    <w:p w14:paraId="7CFB6310" w14:textId="77777777" w:rsidR="0086600D" w:rsidRDefault="0086600D" w:rsidP="00F80389">
      <w:pPr>
        <w:pStyle w:val="Caption"/>
        <w:keepNext/>
        <w:spacing w:after="0"/>
        <w:rPr>
          <w:sz w:val="24"/>
        </w:rPr>
      </w:pPr>
    </w:p>
    <w:p w14:paraId="5314506D" w14:textId="77777777" w:rsidR="0086600D" w:rsidRDefault="0086600D" w:rsidP="00F80389">
      <w:pPr>
        <w:pStyle w:val="Caption"/>
        <w:keepNext/>
        <w:spacing w:after="0"/>
        <w:rPr>
          <w:sz w:val="24"/>
        </w:rPr>
      </w:pPr>
    </w:p>
    <w:p w14:paraId="4D5E49ED" w14:textId="4F02F3B4" w:rsidR="00181BED" w:rsidRPr="00F80389" w:rsidRDefault="00181BED" w:rsidP="00F80389">
      <w:pPr>
        <w:pStyle w:val="Caption"/>
        <w:keepNext/>
        <w:spacing w:after="0"/>
        <w:rPr>
          <w:sz w:val="24"/>
        </w:rPr>
      </w:pPr>
      <w:bookmarkStart w:id="14" w:name="_Hlk35997525"/>
      <w:r w:rsidRPr="00F80389">
        <w:rPr>
          <w:sz w:val="24"/>
        </w:rPr>
        <w:t xml:space="preserve">Table </w:t>
      </w:r>
      <w:r w:rsidRPr="00F80389">
        <w:rPr>
          <w:sz w:val="24"/>
        </w:rPr>
        <w:fldChar w:fldCharType="begin"/>
      </w:r>
      <w:r w:rsidRPr="00F80389">
        <w:rPr>
          <w:sz w:val="24"/>
        </w:rPr>
        <w:instrText xml:space="preserve"> SEQ Table \* ARABIC </w:instrText>
      </w:r>
      <w:r w:rsidRPr="00F80389">
        <w:rPr>
          <w:sz w:val="24"/>
        </w:rPr>
        <w:fldChar w:fldCharType="separate"/>
      </w:r>
      <w:r w:rsidR="001E46DE">
        <w:rPr>
          <w:noProof/>
          <w:sz w:val="24"/>
        </w:rPr>
        <w:t>8</w:t>
      </w:r>
      <w:r w:rsidRPr="00F80389">
        <w:rPr>
          <w:sz w:val="24"/>
        </w:rPr>
        <w:fldChar w:fldCharType="end"/>
      </w:r>
      <w:r w:rsidRPr="00F80389">
        <w:rPr>
          <w:sz w:val="24"/>
        </w:rPr>
        <w:t xml:space="preserve">: Economic class composition of household vulnerability group in </w:t>
      </w:r>
      <w:r w:rsidR="001E0DD0">
        <w:rPr>
          <w:sz w:val="24"/>
        </w:rPr>
        <w:t>‘</w:t>
      </w:r>
      <w:r w:rsidRPr="00F80389">
        <w:rPr>
          <w:sz w:val="24"/>
        </w:rPr>
        <w:t>good</w:t>
      </w:r>
      <w:r w:rsidR="001E0DD0">
        <w:rPr>
          <w:sz w:val="24"/>
        </w:rPr>
        <w:t>’</w:t>
      </w:r>
      <w:r w:rsidRPr="00F80389">
        <w:rPr>
          <w:sz w:val="24"/>
        </w:rPr>
        <w:t xml:space="preserve"> and </w:t>
      </w:r>
      <w:r w:rsidR="001E0DD0">
        <w:rPr>
          <w:sz w:val="24"/>
        </w:rPr>
        <w:t>‘</w:t>
      </w:r>
      <w:r w:rsidRPr="00F80389">
        <w:rPr>
          <w:sz w:val="24"/>
        </w:rPr>
        <w:t>bad</w:t>
      </w:r>
      <w:r w:rsidR="001E0DD0">
        <w:rPr>
          <w:sz w:val="24"/>
        </w:rPr>
        <w:t>’</w:t>
      </w:r>
      <w:r w:rsidRPr="00F80389">
        <w:rPr>
          <w:sz w:val="24"/>
        </w:rPr>
        <w:t xml:space="preserve"> seasons.</w:t>
      </w:r>
    </w:p>
    <w:tbl>
      <w:tblPr>
        <w:tblStyle w:val="ListTable21"/>
        <w:tblW w:w="14003" w:type="dxa"/>
        <w:tblInd w:w="0" w:type="dxa"/>
        <w:tblLayout w:type="fixed"/>
        <w:tblLook w:val="04A0" w:firstRow="1" w:lastRow="0" w:firstColumn="1" w:lastColumn="0" w:noHBand="0" w:noVBand="1"/>
      </w:tblPr>
      <w:tblGrid>
        <w:gridCol w:w="1276"/>
        <w:gridCol w:w="2410"/>
        <w:gridCol w:w="864"/>
        <w:gridCol w:w="829"/>
        <w:gridCol w:w="861"/>
        <w:gridCol w:w="862"/>
        <w:gridCol w:w="861"/>
        <w:gridCol w:w="862"/>
        <w:gridCol w:w="861"/>
        <w:gridCol w:w="862"/>
        <w:gridCol w:w="956"/>
        <w:gridCol w:w="772"/>
        <w:gridCol w:w="865"/>
        <w:gridCol w:w="862"/>
      </w:tblGrid>
      <w:tr w:rsidR="00080B27" w:rsidRPr="001A4F59" w14:paraId="465BDB3E" w14:textId="77777777" w:rsidTr="00565EA5">
        <w:trPr>
          <w:cnfStyle w:val="100000000000" w:firstRow="1" w:lastRow="0" w:firstColumn="0" w:lastColumn="0" w:oddVBand="0" w:evenVBand="0" w:oddHBand="0"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3686" w:type="dxa"/>
            <w:gridSpan w:val="2"/>
            <w:vMerge w:val="restart"/>
            <w:tcBorders>
              <w:top w:val="single" w:sz="4" w:space="0" w:color="666666" w:themeColor="text1" w:themeTint="99"/>
              <w:left w:val="nil"/>
              <w:bottom w:val="single" w:sz="4" w:space="0" w:color="666666" w:themeColor="text1" w:themeTint="99"/>
              <w:right w:val="nil"/>
            </w:tcBorders>
            <w:shd w:val="clear" w:color="auto" w:fill="auto"/>
          </w:tcPr>
          <w:p w14:paraId="3546EB41" w14:textId="77777777" w:rsidR="00080B27" w:rsidRPr="001A4F59" w:rsidRDefault="00080B27">
            <w:pPr>
              <w:autoSpaceDE w:val="0"/>
              <w:autoSpaceDN w:val="0"/>
              <w:adjustRightInd w:val="0"/>
              <w:spacing w:line="276" w:lineRule="auto"/>
              <w:rPr>
                <w:rFonts w:cstheme="minorHAnsi"/>
                <w:color w:val="000000" w:themeColor="text1"/>
                <w:sz w:val="24"/>
                <w:szCs w:val="24"/>
              </w:rPr>
            </w:pPr>
          </w:p>
          <w:p w14:paraId="7CBBF480" w14:textId="33791D9B" w:rsidR="00E30269" w:rsidRDefault="00080B27">
            <w:pPr>
              <w:autoSpaceDE w:val="0"/>
              <w:autoSpaceDN w:val="0"/>
              <w:adjustRightInd w:val="0"/>
              <w:spacing w:line="276" w:lineRule="auto"/>
              <w:rPr>
                <w:rFonts w:cstheme="minorHAnsi"/>
                <w:bCs w:val="0"/>
                <w:color w:val="000000" w:themeColor="text1"/>
                <w:sz w:val="24"/>
                <w:szCs w:val="24"/>
              </w:rPr>
            </w:pPr>
            <w:r w:rsidRPr="001A4F59">
              <w:rPr>
                <w:rFonts w:cstheme="minorHAnsi"/>
                <w:b w:val="0"/>
                <w:color w:val="000000" w:themeColor="text1"/>
                <w:sz w:val="24"/>
                <w:szCs w:val="24"/>
              </w:rPr>
              <w:t>Vulnerability</w:t>
            </w:r>
            <w:r w:rsidR="0017631C">
              <w:rPr>
                <w:rFonts w:cstheme="minorHAnsi"/>
                <w:b w:val="0"/>
                <w:color w:val="000000" w:themeColor="text1"/>
                <w:sz w:val="24"/>
                <w:szCs w:val="24"/>
              </w:rPr>
              <w:t xml:space="preserve"> (V)</w:t>
            </w:r>
          </w:p>
          <w:p w14:paraId="519FD52D" w14:textId="77777777" w:rsidR="00080B27" w:rsidRPr="001A4F59" w:rsidRDefault="00C95327">
            <w:pPr>
              <w:autoSpaceDE w:val="0"/>
              <w:autoSpaceDN w:val="0"/>
              <w:adjustRightInd w:val="0"/>
              <w:spacing w:line="276" w:lineRule="auto"/>
              <w:rPr>
                <w:rFonts w:cstheme="minorHAnsi"/>
                <w:b w:val="0"/>
                <w:color w:val="000000" w:themeColor="text1"/>
                <w:sz w:val="24"/>
                <w:szCs w:val="24"/>
              </w:rPr>
            </w:pPr>
            <w:r w:rsidRPr="001A4F59">
              <w:rPr>
                <w:rFonts w:cstheme="minorHAnsi"/>
                <w:b w:val="0"/>
                <w:color w:val="000000" w:themeColor="text1"/>
                <w:sz w:val="24"/>
                <w:szCs w:val="24"/>
              </w:rPr>
              <w:t>G</w:t>
            </w:r>
            <w:r w:rsidR="00080B27" w:rsidRPr="001A4F59">
              <w:rPr>
                <w:rFonts w:cstheme="minorHAnsi"/>
                <w:b w:val="0"/>
                <w:color w:val="000000" w:themeColor="text1"/>
                <w:sz w:val="24"/>
                <w:szCs w:val="24"/>
              </w:rPr>
              <w:t>roup</w:t>
            </w:r>
          </w:p>
        </w:tc>
        <w:tc>
          <w:tcPr>
            <w:tcW w:w="1693" w:type="dxa"/>
            <w:gridSpan w:val="2"/>
            <w:tcBorders>
              <w:top w:val="single" w:sz="4" w:space="0" w:color="666666" w:themeColor="text1" w:themeTint="99"/>
              <w:left w:val="nil"/>
              <w:bottom w:val="single" w:sz="4" w:space="0" w:color="666666" w:themeColor="text1" w:themeTint="99"/>
              <w:right w:val="nil"/>
            </w:tcBorders>
            <w:shd w:val="clear" w:color="auto" w:fill="auto"/>
            <w:hideMark/>
          </w:tcPr>
          <w:p w14:paraId="7BC1F0CB" w14:textId="77777777" w:rsidR="00080B27" w:rsidRPr="001A4F59" w:rsidRDefault="00080B27">
            <w:pPr>
              <w:autoSpaceDE w:val="0"/>
              <w:autoSpaceDN w:val="0"/>
              <w:adjustRightInd w:val="0"/>
              <w:spacing w:line="276" w:lineRule="auto"/>
              <w:ind w:right="60"/>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4"/>
                <w:szCs w:val="24"/>
              </w:rPr>
            </w:pPr>
            <w:r w:rsidRPr="001A4F59">
              <w:rPr>
                <w:rFonts w:cstheme="minorHAnsi"/>
                <w:b w:val="0"/>
                <w:color w:val="000000" w:themeColor="text1"/>
                <w:sz w:val="24"/>
                <w:szCs w:val="24"/>
              </w:rPr>
              <w:t>Net owner</w:t>
            </w:r>
          </w:p>
        </w:tc>
        <w:tc>
          <w:tcPr>
            <w:tcW w:w="1723" w:type="dxa"/>
            <w:gridSpan w:val="2"/>
            <w:tcBorders>
              <w:top w:val="single" w:sz="4" w:space="0" w:color="666666" w:themeColor="text1" w:themeTint="99"/>
              <w:left w:val="nil"/>
              <w:bottom w:val="single" w:sz="4" w:space="0" w:color="666666" w:themeColor="text1" w:themeTint="99"/>
              <w:right w:val="nil"/>
            </w:tcBorders>
            <w:shd w:val="clear" w:color="auto" w:fill="auto"/>
            <w:hideMark/>
          </w:tcPr>
          <w:p w14:paraId="5A3F8698" w14:textId="77777777" w:rsidR="00080B27" w:rsidRPr="001A4F59" w:rsidRDefault="00080B27">
            <w:pPr>
              <w:autoSpaceDE w:val="0"/>
              <w:autoSpaceDN w:val="0"/>
              <w:adjustRightInd w:val="0"/>
              <w:spacing w:line="276" w:lineRule="auto"/>
              <w:ind w:right="60"/>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4"/>
                <w:szCs w:val="24"/>
              </w:rPr>
            </w:pPr>
            <w:r w:rsidRPr="001A4F59">
              <w:rPr>
                <w:rFonts w:cstheme="minorHAnsi"/>
                <w:b w:val="0"/>
                <w:color w:val="000000" w:themeColor="text1"/>
                <w:sz w:val="24"/>
                <w:szCs w:val="24"/>
              </w:rPr>
              <w:t>Boat crew</w:t>
            </w:r>
          </w:p>
        </w:tc>
        <w:tc>
          <w:tcPr>
            <w:tcW w:w="1723" w:type="dxa"/>
            <w:gridSpan w:val="2"/>
            <w:tcBorders>
              <w:top w:val="single" w:sz="4" w:space="0" w:color="666666" w:themeColor="text1" w:themeTint="99"/>
              <w:left w:val="nil"/>
              <w:bottom w:val="single" w:sz="4" w:space="0" w:color="666666" w:themeColor="text1" w:themeTint="99"/>
              <w:right w:val="nil"/>
            </w:tcBorders>
            <w:shd w:val="clear" w:color="auto" w:fill="auto"/>
            <w:hideMark/>
          </w:tcPr>
          <w:p w14:paraId="521B4FF5" w14:textId="77777777" w:rsidR="00080B27" w:rsidRPr="001A4F59" w:rsidRDefault="00080B27">
            <w:pPr>
              <w:autoSpaceDE w:val="0"/>
              <w:autoSpaceDN w:val="0"/>
              <w:adjustRightInd w:val="0"/>
              <w:spacing w:line="276" w:lineRule="auto"/>
              <w:ind w:right="60"/>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4"/>
                <w:szCs w:val="24"/>
              </w:rPr>
            </w:pPr>
            <w:r w:rsidRPr="001A4F59">
              <w:rPr>
                <w:rFonts w:cstheme="minorHAnsi"/>
                <w:b w:val="0"/>
                <w:color w:val="000000" w:themeColor="text1"/>
                <w:sz w:val="24"/>
                <w:szCs w:val="24"/>
              </w:rPr>
              <w:t>Net dragger</w:t>
            </w:r>
          </w:p>
        </w:tc>
        <w:tc>
          <w:tcPr>
            <w:tcW w:w="1723" w:type="dxa"/>
            <w:gridSpan w:val="2"/>
            <w:tcBorders>
              <w:top w:val="single" w:sz="4" w:space="0" w:color="666666" w:themeColor="text1" w:themeTint="99"/>
              <w:left w:val="nil"/>
              <w:bottom w:val="single" w:sz="4" w:space="0" w:color="666666" w:themeColor="text1" w:themeTint="99"/>
              <w:right w:val="nil"/>
            </w:tcBorders>
            <w:shd w:val="clear" w:color="auto" w:fill="auto"/>
            <w:hideMark/>
          </w:tcPr>
          <w:p w14:paraId="7CD74291" w14:textId="77777777" w:rsidR="00080B27" w:rsidRPr="001A4F59" w:rsidRDefault="00080B27">
            <w:pPr>
              <w:autoSpaceDE w:val="0"/>
              <w:autoSpaceDN w:val="0"/>
              <w:adjustRightInd w:val="0"/>
              <w:spacing w:line="276" w:lineRule="auto"/>
              <w:ind w:right="60"/>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4"/>
                <w:szCs w:val="24"/>
              </w:rPr>
            </w:pPr>
            <w:r w:rsidRPr="001A4F59">
              <w:rPr>
                <w:rFonts w:cstheme="minorHAnsi"/>
                <w:b w:val="0"/>
                <w:color w:val="000000" w:themeColor="text1"/>
                <w:sz w:val="24"/>
                <w:szCs w:val="24"/>
              </w:rPr>
              <w:t>Fish monger</w:t>
            </w:r>
          </w:p>
        </w:tc>
        <w:tc>
          <w:tcPr>
            <w:tcW w:w="1728" w:type="dxa"/>
            <w:gridSpan w:val="2"/>
            <w:tcBorders>
              <w:top w:val="single" w:sz="4" w:space="0" w:color="666666" w:themeColor="text1" w:themeTint="99"/>
              <w:left w:val="nil"/>
              <w:bottom w:val="single" w:sz="4" w:space="0" w:color="666666" w:themeColor="text1" w:themeTint="99"/>
              <w:right w:val="nil"/>
            </w:tcBorders>
            <w:shd w:val="clear" w:color="auto" w:fill="auto"/>
            <w:hideMark/>
          </w:tcPr>
          <w:p w14:paraId="6921A956" w14:textId="77777777" w:rsidR="00080B27" w:rsidRPr="001A4F59" w:rsidRDefault="00080B27">
            <w:pPr>
              <w:autoSpaceDE w:val="0"/>
              <w:autoSpaceDN w:val="0"/>
              <w:adjustRightInd w:val="0"/>
              <w:spacing w:line="276" w:lineRule="auto"/>
              <w:ind w:right="60"/>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4"/>
                <w:szCs w:val="24"/>
              </w:rPr>
            </w:pPr>
            <w:r w:rsidRPr="001A4F59">
              <w:rPr>
                <w:rFonts w:cstheme="minorHAnsi"/>
                <w:b w:val="0"/>
                <w:color w:val="000000" w:themeColor="text1"/>
                <w:sz w:val="24"/>
                <w:szCs w:val="24"/>
              </w:rPr>
              <w:t>Petty trader</w:t>
            </w:r>
          </w:p>
        </w:tc>
        <w:tc>
          <w:tcPr>
            <w:tcW w:w="1727" w:type="dxa"/>
            <w:gridSpan w:val="2"/>
            <w:tcBorders>
              <w:top w:val="single" w:sz="4" w:space="0" w:color="666666" w:themeColor="text1" w:themeTint="99"/>
              <w:left w:val="nil"/>
              <w:bottom w:val="single" w:sz="4" w:space="0" w:color="666666" w:themeColor="text1" w:themeTint="99"/>
              <w:right w:val="nil"/>
            </w:tcBorders>
            <w:shd w:val="clear" w:color="auto" w:fill="auto"/>
            <w:hideMark/>
          </w:tcPr>
          <w:p w14:paraId="4B6A4167" w14:textId="77777777" w:rsidR="00080B27" w:rsidRPr="001A4F59" w:rsidRDefault="00080B27">
            <w:pPr>
              <w:autoSpaceDE w:val="0"/>
              <w:autoSpaceDN w:val="0"/>
              <w:adjustRightInd w:val="0"/>
              <w:spacing w:line="276" w:lineRule="auto"/>
              <w:ind w:right="60"/>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4"/>
                <w:szCs w:val="24"/>
              </w:rPr>
            </w:pPr>
            <w:r w:rsidRPr="001A4F59">
              <w:rPr>
                <w:rFonts w:cstheme="minorHAnsi"/>
                <w:b w:val="0"/>
                <w:color w:val="000000" w:themeColor="text1"/>
                <w:sz w:val="24"/>
                <w:szCs w:val="24"/>
              </w:rPr>
              <w:t>Other occupation</w:t>
            </w:r>
          </w:p>
        </w:tc>
      </w:tr>
      <w:tr w:rsidR="00565EA5" w:rsidRPr="001A4F59" w14:paraId="6CEB6574" w14:textId="77777777" w:rsidTr="00FB735E">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686" w:type="dxa"/>
            <w:gridSpan w:val="2"/>
            <w:vMerge/>
            <w:tcBorders>
              <w:top w:val="single" w:sz="4" w:space="0" w:color="666666" w:themeColor="text1" w:themeTint="99"/>
              <w:left w:val="nil"/>
              <w:bottom w:val="single" w:sz="4" w:space="0" w:color="666666" w:themeColor="text1" w:themeTint="99"/>
              <w:right w:val="nil"/>
            </w:tcBorders>
            <w:shd w:val="clear" w:color="auto" w:fill="auto"/>
            <w:vAlign w:val="center"/>
            <w:hideMark/>
          </w:tcPr>
          <w:p w14:paraId="4CF6B6A9" w14:textId="77777777" w:rsidR="00080B27" w:rsidRPr="001A4F59" w:rsidRDefault="00080B27">
            <w:pPr>
              <w:rPr>
                <w:rFonts w:cstheme="minorHAnsi"/>
                <w:color w:val="000000" w:themeColor="text1"/>
                <w:sz w:val="24"/>
                <w:szCs w:val="24"/>
              </w:rPr>
            </w:pPr>
          </w:p>
        </w:tc>
        <w:tc>
          <w:tcPr>
            <w:tcW w:w="864" w:type="dxa"/>
            <w:tcBorders>
              <w:top w:val="single" w:sz="4" w:space="0" w:color="666666" w:themeColor="text1" w:themeTint="99"/>
              <w:left w:val="nil"/>
              <w:bottom w:val="single" w:sz="4" w:space="0" w:color="666666" w:themeColor="text1" w:themeTint="99"/>
              <w:right w:val="nil"/>
            </w:tcBorders>
            <w:shd w:val="clear" w:color="auto" w:fill="auto"/>
            <w:hideMark/>
          </w:tcPr>
          <w:p w14:paraId="2FCA42C5" w14:textId="77777777" w:rsidR="00080B27" w:rsidRPr="000907D4" w:rsidRDefault="00080B27">
            <w:pPr>
              <w:autoSpaceDE w:val="0"/>
              <w:autoSpaceDN w:val="0"/>
              <w:adjustRightInd w:val="0"/>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0907D4">
              <w:rPr>
                <w:rFonts w:cstheme="minorHAnsi"/>
                <w:color w:val="000000" w:themeColor="text1"/>
                <w:sz w:val="24"/>
                <w:szCs w:val="24"/>
              </w:rPr>
              <w:t xml:space="preserve">Good </w:t>
            </w:r>
          </w:p>
        </w:tc>
        <w:tc>
          <w:tcPr>
            <w:tcW w:w="829" w:type="dxa"/>
            <w:tcBorders>
              <w:top w:val="single" w:sz="4" w:space="0" w:color="666666" w:themeColor="text1" w:themeTint="99"/>
              <w:left w:val="nil"/>
              <w:bottom w:val="single" w:sz="4" w:space="0" w:color="666666" w:themeColor="text1" w:themeTint="99"/>
              <w:right w:val="nil"/>
            </w:tcBorders>
            <w:shd w:val="clear" w:color="auto" w:fill="auto"/>
            <w:hideMark/>
          </w:tcPr>
          <w:p w14:paraId="7D703D14" w14:textId="77777777" w:rsidR="00080B27" w:rsidRPr="000907D4" w:rsidRDefault="00080B27">
            <w:pPr>
              <w:autoSpaceDE w:val="0"/>
              <w:autoSpaceDN w:val="0"/>
              <w:adjustRightInd w:val="0"/>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0907D4">
              <w:rPr>
                <w:rFonts w:cstheme="minorHAnsi"/>
                <w:color w:val="000000" w:themeColor="text1"/>
                <w:sz w:val="24"/>
                <w:szCs w:val="24"/>
              </w:rPr>
              <w:t>Bad</w:t>
            </w:r>
          </w:p>
        </w:tc>
        <w:tc>
          <w:tcPr>
            <w:tcW w:w="861" w:type="dxa"/>
            <w:tcBorders>
              <w:top w:val="single" w:sz="4" w:space="0" w:color="666666" w:themeColor="text1" w:themeTint="99"/>
              <w:left w:val="nil"/>
              <w:bottom w:val="single" w:sz="4" w:space="0" w:color="666666" w:themeColor="text1" w:themeTint="99"/>
              <w:right w:val="nil"/>
            </w:tcBorders>
            <w:shd w:val="clear" w:color="auto" w:fill="auto"/>
            <w:hideMark/>
          </w:tcPr>
          <w:p w14:paraId="55E42D56" w14:textId="77777777" w:rsidR="00080B27" w:rsidRPr="000907D4" w:rsidRDefault="00080B27">
            <w:pPr>
              <w:autoSpaceDE w:val="0"/>
              <w:autoSpaceDN w:val="0"/>
              <w:adjustRightInd w:val="0"/>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0907D4">
              <w:rPr>
                <w:rFonts w:cstheme="minorHAnsi"/>
                <w:color w:val="000000" w:themeColor="text1"/>
                <w:sz w:val="24"/>
                <w:szCs w:val="24"/>
              </w:rPr>
              <w:t>Good</w:t>
            </w:r>
          </w:p>
        </w:tc>
        <w:tc>
          <w:tcPr>
            <w:tcW w:w="862" w:type="dxa"/>
            <w:tcBorders>
              <w:top w:val="single" w:sz="4" w:space="0" w:color="666666" w:themeColor="text1" w:themeTint="99"/>
              <w:left w:val="nil"/>
              <w:bottom w:val="single" w:sz="4" w:space="0" w:color="666666" w:themeColor="text1" w:themeTint="99"/>
              <w:right w:val="nil"/>
            </w:tcBorders>
            <w:shd w:val="clear" w:color="auto" w:fill="auto"/>
            <w:hideMark/>
          </w:tcPr>
          <w:p w14:paraId="2DAC2CDC" w14:textId="77777777" w:rsidR="00080B27" w:rsidRPr="000907D4" w:rsidRDefault="00080B27">
            <w:pPr>
              <w:autoSpaceDE w:val="0"/>
              <w:autoSpaceDN w:val="0"/>
              <w:adjustRightInd w:val="0"/>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0907D4">
              <w:rPr>
                <w:rFonts w:cstheme="minorHAnsi"/>
                <w:color w:val="000000" w:themeColor="text1"/>
                <w:sz w:val="24"/>
                <w:szCs w:val="24"/>
              </w:rPr>
              <w:t>Bad</w:t>
            </w:r>
          </w:p>
        </w:tc>
        <w:tc>
          <w:tcPr>
            <w:tcW w:w="861" w:type="dxa"/>
            <w:tcBorders>
              <w:top w:val="single" w:sz="4" w:space="0" w:color="666666" w:themeColor="text1" w:themeTint="99"/>
              <w:left w:val="nil"/>
              <w:bottom w:val="single" w:sz="4" w:space="0" w:color="666666" w:themeColor="text1" w:themeTint="99"/>
              <w:right w:val="nil"/>
            </w:tcBorders>
            <w:shd w:val="clear" w:color="auto" w:fill="auto"/>
            <w:hideMark/>
          </w:tcPr>
          <w:p w14:paraId="4141CDFC" w14:textId="77777777" w:rsidR="00080B27" w:rsidRPr="000907D4" w:rsidRDefault="00080B27">
            <w:pPr>
              <w:autoSpaceDE w:val="0"/>
              <w:autoSpaceDN w:val="0"/>
              <w:adjustRightInd w:val="0"/>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0907D4">
              <w:rPr>
                <w:rFonts w:cstheme="minorHAnsi"/>
                <w:color w:val="000000" w:themeColor="text1"/>
                <w:sz w:val="24"/>
                <w:szCs w:val="24"/>
              </w:rPr>
              <w:t xml:space="preserve">Good </w:t>
            </w:r>
          </w:p>
        </w:tc>
        <w:tc>
          <w:tcPr>
            <w:tcW w:w="862" w:type="dxa"/>
            <w:tcBorders>
              <w:top w:val="single" w:sz="4" w:space="0" w:color="666666" w:themeColor="text1" w:themeTint="99"/>
              <w:left w:val="nil"/>
              <w:bottom w:val="single" w:sz="4" w:space="0" w:color="666666" w:themeColor="text1" w:themeTint="99"/>
              <w:right w:val="nil"/>
            </w:tcBorders>
            <w:shd w:val="clear" w:color="auto" w:fill="auto"/>
            <w:hideMark/>
          </w:tcPr>
          <w:p w14:paraId="14882320" w14:textId="77777777" w:rsidR="00080B27" w:rsidRPr="000907D4" w:rsidRDefault="00080B27">
            <w:pPr>
              <w:autoSpaceDE w:val="0"/>
              <w:autoSpaceDN w:val="0"/>
              <w:adjustRightInd w:val="0"/>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0907D4">
              <w:rPr>
                <w:rFonts w:cstheme="minorHAnsi"/>
                <w:color w:val="000000" w:themeColor="text1"/>
                <w:sz w:val="24"/>
                <w:szCs w:val="24"/>
              </w:rPr>
              <w:t>Bad</w:t>
            </w:r>
          </w:p>
        </w:tc>
        <w:tc>
          <w:tcPr>
            <w:tcW w:w="861" w:type="dxa"/>
            <w:tcBorders>
              <w:top w:val="single" w:sz="4" w:space="0" w:color="666666" w:themeColor="text1" w:themeTint="99"/>
              <w:left w:val="nil"/>
              <w:bottom w:val="single" w:sz="4" w:space="0" w:color="666666" w:themeColor="text1" w:themeTint="99"/>
              <w:right w:val="nil"/>
            </w:tcBorders>
            <w:shd w:val="clear" w:color="auto" w:fill="auto"/>
            <w:hideMark/>
          </w:tcPr>
          <w:p w14:paraId="45B84FA7" w14:textId="77777777" w:rsidR="00080B27" w:rsidRPr="000907D4" w:rsidRDefault="00080B27">
            <w:pPr>
              <w:autoSpaceDE w:val="0"/>
              <w:autoSpaceDN w:val="0"/>
              <w:adjustRightInd w:val="0"/>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0907D4">
              <w:rPr>
                <w:rFonts w:cstheme="minorHAnsi"/>
                <w:color w:val="000000" w:themeColor="text1"/>
                <w:sz w:val="24"/>
                <w:szCs w:val="24"/>
              </w:rPr>
              <w:t xml:space="preserve">Good </w:t>
            </w:r>
          </w:p>
        </w:tc>
        <w:tc>
          <w:tcPr>
            <w:tcW w:w="862" w:type="dxa"/>
            <w:tcBorders>
              <w:top w:val="single" w:sz="4" w:space="0" w:color="666666" w:themeColor="text1" w:themeTint="99"/>
              <w:left w:val="nil"/>
              <w:bottom w:val="single" w:sz="4" w:space="0" w:color="666666" w:themeColor="text1" w:themeTint="99"/>
              <w:right w:val="nil"/>
            </w:tcBorders>
            <w:shd w:val="clear" w:color="auto" w:fill="auto"/>
            <w:hideMark/>
          </w:tcPr>
          <w:p w14:paraId="4AD48904" w14:textId="77777777" w:rsidR="00080B27" w:rsidRPr="000907D4" w:rsidRDefault="00080B27">
            <w:pPr>
              <w:autoSpaceDE w:val="0"/>
              <w:autoSpaceDN w:val="0"/>
              <w:adjustRightInd w:val="0"/>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0907D4">
              <w:rPr>
                <w:rFonts w:cstheme="minorHAnsi"/>
                <w:color w:val="000000" w:themeColor="text1"/>
                <w:sz w:val="24"/>
                <w:szCs w:val="24"/>
              </w:rPr>
              <w:t>Bad</w:t>
            </w:r>
          </w:p>
        </w:tc>
        <w:tc>
          <w:tcPr>
            <w:tcW w:w="956" w:type="dxa"/>
            <w:tcBorders>
              <w:top w:val="single" w:sz="4" w:space="0" w:color="666666" w:themeColor="text1" w:themeTint="99"/>
              <w:left w:val="nil"/>
              <w:bottom w:val="single" w:sz="4" w:space="0" w:color="666666" w:themeColor="text1" w:themeTint="99"/>
              <w:right w:val="nil"/>
            </w:tcBorders>
            <w:shd w:val="clear" w:color="auto" w:fill="auto"/>
            <w:hideMark/>
          </w:tcPr>
          <w:p w14:paraId="56994601" w14:textId="77777777" w:rsidR="00080B27" w:rsidRPr="000907D4" w:rsidRDefault="00080B27">
            <w:pPr>
              <w:autoSpaceDE w:val="0"/>
              <w:autoSpaceDN w:val="0"/>
              <w:adjustRightInd w:val="0"/>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0907D4">
              <w:rPr>
                <w:rFonts w:cstheme="minorHAnsi"/>
                <w:color w:val="000000" w:themeColor="text1"/>
                <w:sz w:val="24"/>
                <w:szCs w:val="24"/>
              </w:rPr>
              <w:t xml:space="preserve">Good </w:t>
            </w:r>
          </w:p>
        </w:tc>
        <w:tc>
          <w:tcPr>
            <w:tcW w:w="772" w:type="dxa"/>
            <w:tcBorders>
              <w:top w:val="single" w:sz="4" w:space="0" w:color="666666" w:themeColor="text1" w:themeTint="99"/>
              <w:left w:val="nil"/>
              <w:bottom w:val="single" w:sz="4" w:space="0" w:color="666666" w:themeColor="text1" w:themeTint="99"/>
              <w:right w:val="nil"/>
            </w:tcBorders>
            <w:shd w:val="clear" w:color="auto" w:fill="auto"/>
            <w:hideMark/>
          </w:tcPr>
          <w:p w14:paraId="511F6F40" w14:textId="77777777" w:rsidR="00080B27" w:rsidRPr="000907D4" w:rsidRDefault="00080B27">
            <w:pPr>
              <w:autoSpaceDE w:val="0"/>
              <w:autoSpaceDN w:val="0"/>
              <w:adjustRightInd w:val="0"/>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0907D4">
              <w:rPr>
                <w:rFonts w:cstheme="minorHAnsi"/>
                <w:color w:val="000000" w:themeColor="text1"/>
                <w:sz w:val="24"/>
                <w:szCs w:val="24"/>
              </w:rPr>
              <w:t>Bad</w:t>
            </w:r>
          </w:p>
        </w:tc>
        <w:tc>
          <w:tcPr>
            <w:tcW w:w="865" w:type="dxa"/>
            <w:tcBorders>
              <w:top w:val="single" w:sz="4" w:space="0" w:color="666666" w:themeColor="text1" w:themeTint="99"/>
              <w:left w:val="nil"/>
              <w:bottom w:val="single" w:sz="4" w:space="0" w:color="666666" w:themeColor="text1" w:themeTint="99"/>
              <w:right w:val="nil"/>
            </w:tcBorders>
            <w:shd w:val="clear" w:color="auto" w:fill="auto"/>
            <w:hideMark/>
          </w:tcPr>
          <w:p w14:paraId="3DFBD0C1" w14:textId="77777777" w:rsidR="00080B27" w:rsidRPr="000907D4" w:rsidRDefault="00080B27">
            <w:pPr>
              <w:autoSpaceDE w:val="0"/>
              <w:autoSpaceDN w:val="0"/>
              <w:adjustRightInd w:val="0"/>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0907D4">
              <w:rPr>
                <w:rFonts w:cstheme="minorHAnsi"/>
                <w:color w:val="000000" w:themeColor="text1"/>
                <w:sz w:val="24"/>
                <w:szCs w:val="24"/>
              </w:rPr>
              <w:t xml:space="preserve">Good </w:t>
            </w:r>
          </w:p>
        </w:tc>
        <w:tc>
          <w:tcPr>
            <w:tcW w:w="862" w:type="dxa"/>
            <w:tcBorders>
              <w:top w:val="single" w:sz="4" w:space="0" w:color="666666" w:themeColor="text1" w:themeTint="99"/>
              <w:left w:val="nil"/>
              <w:bottom w:val="single" w:sz="4" w:space="0" w:color="666666" w:themeColor="text1" w:themeTint="99"/>
              <w:right w:val="nil"/>
            </w:tcBorders>
            <w:shd w:val="clear" w:color="auto" w:fill="auto"/>
            <w:hideMark/>
          </w:tcPr>
          <w:p w14:paraId="0084422D" w14:textId="77777777" w:rsidR="00080B27" w:rsidRPr="000907D4" w:rsidRDefault="00080B27">
            <w:pPr>
              <w:autoSpaceDE w:val="0"/>
              <w:autoSpaceDN w:val="0"/>
              <w:adjustRightInd w:val="0"/>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0907D4">
              <w:rPr>
                <w:rFonts w:cstheme="minorHAnsi"/>
                <w:color w:val="000000" w:themeColor="text1"/>
                <w:sz w:val="24"/>
                <w:szCs w:val="24"/>
              </w:rPr>
              <w:t>Bad</w:t>
            </w:r>
          </w:p>
        </w:tc>
      </w:tr>
      <w:tr w:rsidR="00565EA5" w:rsidRPr="001A4F59" w14:paraId="465EB456" w14:textId="77777777" w:rsidTr="00FB735E">
        <w:trPr>
          <w:trHeight w:val="97"/>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4" w:space="0" w:color="666666" w:themeColor="text1" w:themeTint="99"/>
              <w:left w:val="nil"/>
              <w:bottom w:val="single" w:sz="4" w:space="0" w:color="666666" w:themeColor="text1" w:themeTint="99"/>
              <w:right w:val="nil"/>
            </w:tcBorders>
            <w:shd w:val="clear" w:color="auto" w:fill="auto"/>
            <w:hideMark/>
          </w:tcPr>
          <w:p w14:paraId="1D9FFA52" w14:textId="77777777" w:rsidR="00080B27" w:rsidRPr="000907D4" w:rsidRDefault="00080B27">
            <w:pPr>
              <w:autoSpaceDE w:val="0"/>
              <w:autoSpaceDN w:val="0"/>
              <w:adjustRightInd w:val="0"/>
              <w:spacing w:line="276" w:lineRule="auto"/>
              <w:ind w:right="60"/>
              <w:jc w:val="center"/>
              <w:rPr>
                <w:rFonts w:cstheme="minorHAnsi"/>
                <w:b w:val="0"/>
                <w:color w:val="000000" w:themeColor="text1"/>
                <w:sz w:val="24"/>
                <w:szCs w:val="24"/>
              </w:rPr>
            </w:pPr>
            <w:r w:rsidRPr="000907D4">
              <w:rPr>
                <w:rFonts w:cstheme="minorHAnsi"/>
                <w:b w:val="0"/>
                <w:color w:val="000000" w:themeColor="text1"/>
                <w:sz w:val="24"/>
                <w:szCs w:val="24"/>
              </w:rPr>
              <w:t>Low</w:t>
            </w:r>
          </w:p>
        </w:tc>
        <w:tc>
          <w:tcPr>
            <w:tcW w:w="2410" w:type="dxa"/>
            <w:tcBorders>
              <w:top w:val="nil"/>
              <w:left w:val="nil"/>
              <w:bottom w:val="nil"/>
              <w:right w:val="nil"/>
            </w:tcBorders>
            <w:shd w:val="clear" w:color="auto" w:fill="auto"/>
            <w:hideMark/>
          </w:tcPr>
          <w:p w14:paraId="1D52DF74" w14:textId="3422700B" w:rsidR="00080B27" w:rsidRPr="001A4F59" w:rsidRDefault="00080B27">
            <w:pPr>
              <w:autoSpaceDE w:val="0"/>
              <w:autoSpaceDN w:val="0"/>
              <w:adjustRightInd w:val="0"/>
              <w:spacing w:line="276" w:lineRule="auto"/>
              <w:ind w:right="6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 in</w:t>
            </w:r>
            <w:r w:rsidR="0017631C">
              <w:rPr>
                <w:rFonts w:cstheme="minorHAnsi"/>
                <w:color w:val="000000" w:themeColor="text1"/>
                <w:sz w:val="24"/>
                <w:szCs w:val="24"/>
              </w:rPr>
              <w:t xml:space="preserve"> V</w:t>
            </w:r>
            <w:r w:rsidRPr="001A4F59">
              <w:rPr>
                <w:rFonts w:cstheme="minorHAnsi"/>
                <w:color w:val="000000" w:themeColor="text1"/>
                <w:sz w:val="24"/>
                <w:szCs w:val="24"/>
              </w:rPr>
              <w:t xml:space="preserve"> group</w:t>
            </w:r>
          </w:p>
        </w:tc>
        <w:tc>
          <w:tcPr>
            <w:tcW w:w="864" w:type="dxa"/>
            <w:tcBorders>
              <w:top w:val="nil"/>
              <w:left w:val="nil"/>
              <w:bottom w:val="nil"/>
              <w:right w:val="nil"/>
            </w:tcBorders>
            <w:shd w:val="clear" w:color="auto" w:fill="auto"/>
            <w:hideMark/>
          </w:tcPr>
          <w:p w14:paraId="0F531972" w14:textId="77777777" w:rsidR="00080B27" w:rsidRPr="001A4F59" w:rsidRDefault="00080B27">
            <w:pPr>
              <w:autoSpaceDE w:val="0"/>
              <w:autoSpaceDN w:val="0"/>
              <w:adjustRightInd w:val="0"/>
              <w:spacing w:line="276" w:lineRule="auto"/>
              <w:ind w:right="6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42.1</w:t>
            </w:r>
          </w:p>
        </w:tc>
        <w:tc>
          <w:tcPr>
            <w:tcW w:w="829" w:type="dxa"/>
            <w:tcBorders>
              <w:top w:val="nil"/>
              <w:left w:val="nil"/>
              <w:bottom w:val="nil"/>
              <w:right w:val="nil"/>
            </w:tcBorders>
            <w:shd w:val="clear" w:color="auto" w:fill="auto"/>
            <w:hideMark/>
          </w:tcPr>
          <w:p w14:paraId="0203D5A7" w14:textId="77777777" w:rsidR="00080B27" w:rsidRPr="001A4F59" w:rsidRDefault="00080B27">
            <w:pPr>
              <w:autoSpaceDE w:val="0"/>
              <w:autoSpaceDN w:val="0"/>
              <w:adjustRightInd w:val="0"/>
              <w:spacing w:line="276" w:lineRule="auto"/>
              <w:ind w:right="6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36.8</w:t>
            </w:r>
          </w:p>
        </w:tc>
        <w:tc>
          <w:tcPr>
            <w:tcW w:w="861" w:type="dxa"/>
            <w:tcBorders>
              <w:top w:val="nil"/>
              <w:left w:val="nil"/>
              <w:bottom w:val="nil"/>
              <w:right w:val="nil"/>
            </w:tcBorders>
            <w:shd w:val="clear" w:color="auto" w:fill="auto"/>
            <w:hideMark/>
          </w:tcPr>
          <w:p w14:paraId="682813B9" w14:textId="77777777" w:rsidR="00080B27" w:rsidRPr="001A4F59" w:rsidRDefault="00080B27">
            <w:pPr>
              <w:autoSpaceDE w:val="0"/>
              <w:autoSpaceDN w:val="0"/>
              <w:adjustRightInd w:val="0"/>
              <w:spacing w:line="276" w:lineRule="auto"/>
              <w:ind w:right="6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15.8</w:t>
            </w:r>
          </w:p>
        </w:tc>
        <w:tc>
          <w:tcPr>
            <w:tcW w:w="862" w:type="dxa"/>
            <w:tcBorders>
              <w:top w:val="nil"/>
              <w:left w:val="nil"/>
              <w:bottom w:val="nil"/>
              <w:right w:val="nil"/>
            </w:tcBorders>
            <w:shd w:val="clear" w:color="auto" w:fill="auto"/>
            <w:hideMark/>
          </w:tcPr>
          <w:p w14:paraId="648998EB" w14:textId="77777777" w:rsidR="00080B27" w:rsidRPr="001A4F59" w:rsidRDefault="00080B27">
            <w:pPr>
              <w:autoSpaceDE w:val="0"/>
              <w:autoSpaceDN w:val="0"/>
              <w:adjustRightInd w:val="0"/>
              <w:spacing w:line="276" w:lineRule="auto"/>
              <w:ind w:right="6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w:t>
            </w:r>
          </w:p>
        </w:tc>
        <w:tc>
          <w:tcPr>
            <w:tcW w:w="861" w:type="dxa"/>
            <w:tcBorders>
              <w:top w:val="nil"/>
              <w:left w:val="nil"/>
              <w:bottom w:val="nil"/>
              <w:right w:val="nil"/>
            </w:tcBorders>
            <w:shd w:val="clear" w:color="auto" w:fill="auto"/>
            <w:hideMark/>
          </w:tcPr>
          <w:p w14:paraId="0DBC51C1" w14:textId="77777777" w:rsidR="00080B27" w:rsidRPr="001A4F59" w:rsidRDefault="00080B27">
            <w:pPr>
              <w:autoSpaceDE w:val="0"/>
              <w:autoSpaceDN w:val="0"/>
              <w:adjustRightInd w:val="0"/>
              <w:spacing w:line="276" w:lineRule="auto"/>
              <w:ind w:right="6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15.8</w:t>
            </w:r>
          </w:p>
        </w:tc>
        <w:tc>
          <w:tcPr>
            <w:tcW w:w="862" w:type="dxa"/>
            <w:tcBorders>
              <w:top w:val="nil"/>
              <w:left w:val="nil"/>
              <w:bottom w:val="nil"/>
              <w:right w:val="nil"/>
            </w:tcBorders>
            <w:shd w:val="clear" w:color="auto" w:fill="auto"/>
            <w:hideMark/>
          </w:tcPr>
          <w:p w14:paraId="0C991F8D" w14:textId="77777777" w:rsidR="00080B27" w:rsidRPr="001A4F59" w:rsidRDefault="00080B27">
            <w:pPr>
              <w:autoSpaceDE w:val="0"/>
              <w:autoSpaceDN w:val="0"/>
              <w:adjustRightInd w:val="0"/>
              <w:spacing w:line="276" w:lineRule="auto"/>
              <w:ind w:right="6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w:t>
            </w:r>
          </w:p>
        </w:tc>
        <w:tc>
          <w:tcPr>
            <w:tcW w:w="861" w:type="dxa"/>
            <w:tcBorders>
              <w:top w:val="nil"/>
              <w:left w:val="nil"/>
              <w:bottom w:val="nil"/>
              <w:right w:val="nil"/>
            </w:tcBorders>
            <w:shd w:val="clear" w:color="auto" w:fill="auto"/>
            <w:hideMark/>
          </w:tcPr>
          <w:p w14:paraId="695C0DCE" w14:textId="77777777" w:rsidR="00080B27" w:rsidRPr="001A4F59" w:rsidRDefault="00080B27">
            <w:pPr>
              <w:autoSpaceDE w:val="0"/>
              <w:autoSpaceDN w:val="0"/>
              <w:adjustRightInd w:val="0"/>
              <w:spacing w:line="276" w:lineRule="auto"/>
              <w:ind w:right="6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10.5</w:t>
            </w:r>
          </w:p>
        </w:tc>
        <w:tc>
          <w:tcPr>
            <w:tcW w:w="862" w:type="dxa"/>
            <w:tcBorders>
              <w:top w:val="nil"/>
              <w:left w:val="nil"/>
              <w:bottom w:val="nil"/>
              <w:right w:val="nil"/>
            </w:tcBorders>
            <w:shd w:val="clear" w:color="auto" w:fill="auto"/>
            <w:hideMark/>
          </w:tcPr>
          <w:p w14:paraId="0B8A90C6" w14:textId="77777777" w:rsidR="00080B27" w:rsidRPr="001A4F59" w:rsidRDefault="00080B27">
            <w:pPr>
              <w:autoSpaceDE w:val="0"/>
              <w:autoSpaceDN w:val="0"/>
              <w:adjustRightInd w:val="0"/>
              <w:spacing w:line="276" w:lineRule="auto"/>
              <w:ind w:right="6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w:t>
            </w:r>
          </w:p>
        </w:tc>
        <w:tc>
          <w:tcPr>
            <w:tcW w:w="956" w:type="dxa"/>
            <w:tcBorders>
              <w:top w:val="nil"/>
              <w:left w:val="nil"/>
              <w:bottom w:val="nil"/>
              <w:right w:val="nil"/>
            </w:tcBorders>
            <w:shd w:val="clear" w:color="auto" w:fill="auto"/>
          </w:tcPr>
          <w:p w14:paraId="5DE0B5D9" w14:textId="77777777" w:rsidR="00080B27" w:rsidRPr="001A4F59" w:rsidRDefault="00080B27">
            <w:pPr>
              <w:autoSpaceDE w:val="0"/>
              <w:autoSpaceDN w:val="0"/>
              <w:adjustRightInd w:val="0"/>
              <w:spacing w:line="276" w:lineRule="auto"/>
              <w:ind w:right="6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c>
          <w:tcPr>
            <w:tcW w:w="772" w:type="dxa"/>
            <w:tcBorders>
              <w:top w:val="nil"/>
              <w:left w:val="nil"/>
              <w:bottom w:val="nil"/>
              <w:right w:val="nil"/>
            </w:tcBorders>
            <w:shd w:val="clear" w:color="auto" w:fill="auto"/>
          </w:tcPr>
          <w:p w14:paraId="10AD2F56" w14:textId="77777777" w:rsidR="00080B27" w:rsidRPr="001A4F59" w:rsidRDefault="00080B27">
            <w:pPr>
              <w:autoSpaceDE w:val="0"/>
              <w:autoSpaceDN w:val="0"/>
              <w:adjustRightInd w:val="0"/>
              <w:spacing w:line="276" w:lineRule="auto"/>
              <w:ind w:right="6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c>
          <w:tcPr>
            <w:tcW w:w="865" w:type="dxa"/>
            <w:tcBorders>
              <w:top w:val="nil"/>
              <w:left w:val="nil"/>
              <w:bottom w:val="nil"/>
              <w:right w:val="nil"/>
            </w:tcBorders>
            <w:shd w:val="clear" w:color="auto" w:fill="auto"/>
            <w:hideMark/>
          </w:tcPr>
          <w:p w14:paraId="5EFDA020" w14:textId="77777777" w:rsidR="00080B27" w:rsidRPr="001A4F59" w:rsidRDefault="00080B27">
            <w:pPr>
              <w:autoSpaceDE w:val="0"/>
              <w:autoSpaceDN w:val="0"/>
              <w:adjustRightInd w:val="0"/>
              <w:spacing w:line="276" w:lineRule="auto"/>
              <w:ind w:right="6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15.8</w:t>
            </w:r>
          </w:p>
        </w:tc>
        <w:tc>
          <w:tcPr>
            <w:tcW w:w="862" w:type="dxa"/>
            <w:tcBorders>
              <w:top w:val="nil"/>
              <w:left w:val="nil"/>
              <w:bottom w:val="nil"/>
              <w:right w:val="nil"/>
            </w:tcBorders>
            <w:shd w:val="clear" w:color="auto" w:fill="auto"/>
            <w:hideMark/>
          </w:tcPr>
          <w:p w14:paraId="42F4DA12" w14:textId="77777777" w:rsidR="00080B27" w:rsidRPr="001A4F59" w:rsidRDefault="00080B27">
            <w:pPr>
              <w:autoSpaceDE w:val="0"/>
              <w:autoSpaceDN w:val="0"/>
              <w:adjustRightInd w:val="0"/>
              <w:spacing w:line="276" w:lineRule="auto"/>
              <w:ind w:right="6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21.1</w:t>
            </w:r>
          </w:p>
        </w:tc>
      </w:tr>
      <w:tr w:rsidR="00565EA5" w:rsidRPr="001A4F59" w14:paraId="7A4A4B48" w14:textId="77777777" w:rsidTr="00FB735E">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276" w:type="dxa"/>
            <w:vMerge/>
            <w:tcBorders>
              <w:top w:val="single" w:sz="4" w:space="0" w:color="666666" w:themeColor="text1" w:themeTint="99"/>
              <w:left w:val="nil"/>
              <w:bottom w:val="single" w:sz="4" w:space="0" w:color="666666" w:themeColor="text1" w:themeTint="99"/>
              <w:right w:val="nil"/>
            </w:tcBorders>
            <w:shd w:val="clear" w:color="auto" w:fill="auto"/>
            <w:vAlign w:val="center"/>
            <w:hideMark/>
          </w:tcPr>
          <w:p w14:paraId="3A39323E" w14:textId="77777777" w:rsidR="00080B27" w:rsidRPr="000907D4" w:rsidRDefault="00080B27">
            <w:pPr>
              <w:rPr>
                <w:rFonts w:cstheme="minorHAnsi"/>
                <w:b w:val="0"/>
                <w:color w:val="000000" w:themeColor="text1"/>
                <w:sz w:val="24"/>
                <w:szCs w:val="24"/>
              </w:rPr>
            </w:pPr>
          </w:p>
        </w:tc>
        <w:tc>
          <w:tcPr>
            <w:tcW w:w="2410" w:type="dxa"/>
            <w:tcBorders>
              <w:top w:val="nil"/>
              <w:left w:val="nil"/>
              <w:bottom w:val="single" w:sz="4" w:space="0" w:color="auto"/>
              <w:right w:val="nil"/>
            </w:tcBorders>
            <w:shd w:val="clear" w:color="auto" w:fill="auto"/>
            <w:hideMark/>
          </w:tcPr>
          <w:p w14:paraId="3F4936AF" w14:textId="477D6084" w:rsidR="00080B27" w:rsidRPr="001A4F59" w:rsidRDefault="00080B27">
            <w:pPr>
              <w:autoSpaceDE w:val="0"/>
              <w:autoSpaceDN w:val="0"/>
              <w:adjustRightInd w:val="0"/>
              <w:spacing w:line="276" w:lineRule="auto"/>
              <w:ind w:right="6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 in Economic class</w:t>
            </w:r>
          </w:p>
        </w:tc>
        <w:tc>
          <w:tcPr>
            <w:tcW w:w="864" w:type="dxa"/>
            <w:tcBorders>
              <w:top w:val="nil"/>
              <w:left w:val="nil"/>
              <w:bottom w:val="single" w:sz="4" w:space="0" w:color="auto"/>
              <w:right w:val="nil"/>
            </w:tcBorders>
            <w:shd w:val="clear" w:color="auto" w:fill="auto"/>
            <w:hideMark/>
          </w:tcPr>
          <w:p w14:paraId="76C3C052" w14:textId="77777777" w:rsidR="00080B27" w:rsidRPr="001A4F59" w:rsidRDefault="00080B27">
            <w:pPr>
              <w:autoSpaceDE w:val="0"/>
              <w:autoSpaceDN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61.5</w:t>
            </w:r>
          </w:p>
        </w:tc>
        <w:tc>
          <w:tcPr>
            <w:tcW w:w="829" w:type="dxa"/>
            <w:tcBorders>
              <w:top w:val="nil"/>
              <w:left w:val="nil"/>
              <w:bottom w:val="single" w:sz="4" w:space="0" w:color="auto"/>
              <w:right w:val="nil"/>
            </w:tcBorders>
            <w:shd w:val="clear" w:color="auto" w:fill="auto"/>
            <w:hideMark/>
          </w:tcPr>
          <w:p w14:paraId="4EB60771" w14:textId="77777777" w:rsidR="00080B27" w:rsidRPr="001A4F59" w:rsidRDefault="00080B27">
            <w:pPr>
              <w:autoSpaceDE w:val="0"/>
              <w:autoSpaceDN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53.8</w:t>
            </w:r>
          </w:p>
        </w:tc>
        <w:tc>
          <w:tcPr>
            <w:tcW w:w="861" w:type="dxa"/>
            <w:tcBorders>
              <w:top w:val="nil"/>
              <w:left w:val="nil"/>
              <w:bottom w:val="single" w:sz="4" w:space="0" w:color="auto"/>
              <w:right w:val="nil"/>
            </w:tcBorders>
            <w:shd w:val="clear" w:color="auto" w:fill="auto"/>
            <w:hideMark/>
          </w:tcPr>
          <w:p w14:paraId="38486B6B" w14:textId="77777777" w:rsidR="00080B27" w:rsidRPr="001A4F59" w:rsidRDefault="00080B27">
            <w:pPr>
              <w:autoSpaceDE w:val="0"/>
              <w:autoSpaceDN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25.0</w:t>
            </w:r>
          </w:p>
        </w:tc>
        <w:tc>
          <w:tcPr>
            <w:tcW w:w="862" w:type="dxa"/>
            <w:tcBorders>
              <w:top w:val="nil"/>
              <w:left w:val="nil"/>
              <w:bottom w:val="single" w:sz="4" w:space="0" w:color="auto"/>
              <w:right w:val="nil"/>
            </w:tcBorders>
            <w:shd w:val="clear" w:color="auto" w:fill="auto"/>
            <w:hideMark/>
          </w:tcPr>
          <w:p w14:paraId="4D4DBAE4" w14:textId="77777777" w:rsidR="00080B27" w:rsidRPr="001A4F59" w:rsidRDefault="00080B27">
            <w:pPr>
              <w:autoSpaceDE w:val="0"/>
              <w:autoSpaceDN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w:t>
            </w:r>
          </w:p>
        </w:tc>
        <w:tc>
          <w:tcPr>
            <w:tcW w:w="861" w:type="dxa"/>
            <w:tcBorders>
              <w:top w:val="nil"/>
              <w:left w:val="nil"/>
              <w:bottom w:val="single" w:sz="4" w:space="0" w:color="auto"/>
              <w:right w:val="nil"/>
            </w:tcBorders>
            <w:shd w:val="clear" w:color="auto" w:fill="auto"/>
            <w:hideMark/>
          </w:tcPr>
          <w:p w14:paraId="3A07A08F" w14:textId="77777777" w:rsidR="00080B27" w:rsidRPr="001A4F59" w:rsidRDefault="00080B27">
            <w:pPr>
              <w:autoSpaceDE w:val="0"/>
              <w:autoSpaceDN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15.0</w:t>
            </w:r>
          </w:p>
        </w:tc>
        <w:tc>
          <w:tcPr>
            <w:tcW w:w="862" w:type="dxa"/>
            <w:tcBorders>
              <w:top w:val="nil"/>
              <w:left w:val="nil"/>
              <w:bottom w:val="single" w:sz="4" w:space="0" w:color="auto"/>
              <w:right w:val="nil"/>
            </w:tcBorders>
            <w:shd w:val="clear" w:color="auto" w:fill="auto"/>
            <w:hideMark/>
          </w:tcPr>
          <w:p w14:paraId="51A75EB9" w14:textId="77777777" w:rsidR="00080B27" w:rsidRPr="001A4F59" w:rsidRDefault="00080B27">
            <w:pPr>
              <w:autoSpaceDE w:val="0"/>
              <w:autoSpaceDN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w:t>
            </w:r>
          </w:p>
        </w:tc>
        <w:tc>
          <w:tcPr>
            <w:tcW w:w="861" w:type="dxa"/>
            <w:tcBorders>
              <w:top w:val="nil"/>
              <w:left w:val="nil"/>
              <w:bottom w:val="single" w:sz="4" w:space="0" w:color="auto"/>
              <w:right w:val="nil"/>
            </w:tcBorders>
            <w:shd w:val="clear" w:color="auto" w:fill="auto"/>
            <w:hideMark/>
          </w:tcPr>
          <w:p w14:paraId="1CE9B1B5" w14:textId="77777777" w:rsidR="00080B27" w:rsidRPr="001A4F59" w:rsidRDefault="00080B27">
            <w:pPr>
              <w:autoSpaceDE w:val="0"/>
              <w:autoSpaceDN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33.3</w:t>
            </w:r>
          </w:p>
        </w:tc>
        <w:tc>
          <w:tcPr>
            <w:tcW w:w="862" w:type="dxa"/>
            <w:tcBorders>
              <w:top w:val="nil"/>
              <w:left w:val="nil"/>
              <w:bottom w:val="single" w:sz="4" w:space="0" w:color="auto"/>
              <w:right w:val="nil"/>
            </w:tcBorders>
            <w:shd w:val="clear" w:color="auto" w:fill="auto"/>
            <w:hideMark/>
          </w:tcPr>
          <w:p w14:paraId="4C531FB4" w14:textId="77777777" w:rsidR="00080B27" w:rsidRPr="001A4F59" w:rsidRDefault="00080B27">
            <w:pPr>
              <w:autoSpaceDE w:val="0"/>
              <w:autoSpaceDN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w:t>
            </w:r>
          </w:p>
        </w:tc>
        <w:tc>
          <w:tcPr>
            <w:tcW w:w="956" w:type="dxa"/>
            <w:tcBorders>
              <w:top w:val="nil"/>
              <w:left w:val="nil"/>
              <w:bottom w:val="single" w:sz="4" w:space="0" w:color="auto"/>
              <w:right w:val="nil"/>
            </w:tcBorders>
            <w:shd w:val="clear" w:color="auto" w:fill="auto"/>
          </w:tcPr>
          <w:p w14:paraId="2BF42A03" w14:textId="77777777" w:rsidR="00080B27" w:rsidRPr="001A4F59" w:rsidRDefault="00080B27">
            <w:pPr>
              <w:autoSpaceDE w:val="0"/>
              <w:autoSpaceDN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p>
        </w:tc>
        <w:tc>
          <w:tcPr>
            <w:tcW w:w="772" w:type="dxa"/>
            <w:tcBorders>
              <w:top w:val="nil"/>
              <w:left w:val="nil"/>
              <w:bottom w:val="single" w:sz="4" w:space="0" w:color="auto"/>
              <w:right w:val="nil"/>
            </w:tcBorders>
            <w:shd w:val="clear" w:color="auto" w:fill="auto"/>
          </w:tcPr>
          <w:p w14:paraId="50FC84F6" w14:textId="77777777" w:rsidR="00080B27" w:rsidRPr="001A4F59" w:rsidRDefault="00080B27">
            <w:pPr>
              <w:autoSpaceDE w:val="0"/>
              <w:autoSpaceDN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p>
        </w:tc>
        <w:tc>
          <w:tcPr>
            <w:tcW w:w="865" w:type="dxa"/>
            <w:tcBorders>
              <w:top w:val="nil"/>
              <w:left w:val="nil"/>
              <w:bottom w:val="single" w:sz="4" w:space="0" w:color="auto"/>
              <w:right w:val="nil"/>
            </w:tcBorders>
            <w:shd w:val="clear" w:color="auto" w:fill="auto"/>
            <w:hideMark/>
          </w:tcPr>
          <w:p w14:paraId="0285C356" w14:textId="77777777" w:rsidR="00080B27" w:rsidRPr="001A4F59" w:rsidRDefault="00080B27">
            <w:pPr>
              <w:autoSpaceDE w:val="0"/>
              <w:autoSpaceDN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50.0</w:t>
            </w:r>
          </w:p>
        </w:tc>
        <w:tc>
          <w:tcPr>
            <w:tcW w:w="862" w:type="dxa"/>
            <w:tcBorders>
              <w:top w:val="nil"/>
              <w:left w:val="nil"/>
              <w:bottom w:val="single" w:sz="4" w:space="0" w:color="auto"/>
              <w:right w:val="nil"/>
            </w:tcBorders>
            <w:shd w:val="clear" w:color="auto" w:fill="auto"/>
            <w:hideMark/>
          </w:tcPr>
          <w:p w14:paraId="60A37848" w14:textId="77777777" w:rsidR="00080B27" w:rsidRPr="001A4F59" w:rsidRDefault="00080B27">
            <w:pPr>
              <w:autoSpaceDE w:val="0"/>
              <w:autoSpaceDN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66.7</w:t>
            </w:r>
          </w:p>
        </w:tc>
      </w:tr>
      <w:tr w:rsidR="00565EA5" w:rsidRPr="001A4F59" w14:paraId="323A6AC0" w14:textId="77777777" w:rsidTr="00FB735E">
        <w:trPr>
          <w:trHeight w:val="107"/>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4" w:space="0" w:color="666666" w:themeColor="text1" w:themeTint="99"/>
              <w:left w:val="nil"/>
              <w:bottom w:val="single" w:sz="4" w:space="0" w:color="666666" w:themeColor="text1" w:themeTint="99"/>
              <w:right w:val="nil"/>
            </w:tcBorders>
            <w:shd w:val="clear" w:color="auto" w:fill="auto"/>
            <w:hideMark/>
          </w:tcPr>
          <w:p w14:paraId="0F36F3EF" w14:textId="77777777" w:rsidR="00080B27" w:rsidRPr="000907D4" w:rsidRDefault="00080B27">
            <w:pPr>
              <w:autoSpaceDE w:val="0"/>
              <w:autoSpaceDN w:val="0"/>
              <w:adjustRightInd w:val="0"/>
              <w:spacing w:line="276" w:lineRule="auto"/>
              <w:ind w:right="60"/>
              <w:jc w:val="center"/>
              <w:rPr>
                <w:rFonts w:cstheme="minorHAnsi"/>
                <w:b w:val="0"/>
                <w:color w:val="000000" w:themeColor="text1"/>
                <w:sz w:val="24"/>
                <w:szCs w:val="24"/>
              </w:rPr>
            </w:pPr>
            <w:r w:rsidRPr="000907D4">
              <w:rPr>
                <w:rFonts w:cstheme="minorHAnsi"/>
                <w:b w:val="0"/>
                <w:color w:val="000000" w:themeColor="text1"/>
                <w:sz w:val="24"/>
                <w:szCs w:val="24"/>
              </w:rPr>
              <w:t>M</w:t>
            </w:r>
            <w:r w:rsidR="00F9488D" w:rsidRPr="000907D4">
              <w:rPr>
                <w:rFonts w:cstheme="minorHAnsi"/>
                <w:b w:val="0"/>
                <w:color w:val="000000" w:themeColor="text1"/>
                <w:sz w:val="24"/>
                <w:szCs w:val="24"/>
              </w:rPr>
              <w:t>oderate</w:t>
            </w:r>
          </w:p>
        </w:tc>
        <w:tc>
          <w:tcPr>
            <w:tcW w:w="2410" w:type="dxa"/>
            <w:tcBorders>
              <w:top w:val="single" w:sz="4" w:space="0" w:color="auto"/>
              <w:left w:val="nil"/>
              <w:bottom w:val="nil"/>
              <w:right w:val="nil"/>
            </w:tcBorders>
            <w:shd w:val="clear" w:color="auto" w:fill="auto"/>
            <w:hideMark/>
          </w:tcPr>
          <w:p w14:paraId="4A38C528" w14:textId="61D313A0" w:rsidR="00080B27" w:rsidRPr="001A4F59" w:rsidRDefault="00080B27">
            <w:pPr>
              <w:autoSpaceDE w:val="0"/>
              <w:autoSpaceDN w:val="0"/>
              <w:adjustRightInd w:val="0"/>
              <w:spacing w:line="276" w:lineRule="auto"/>
              <w:ind w:right="6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 xml:space="preserve">% in </w:t>
            </w:r>
            <w:r w:rsidR="00431CDA">
              <w:rPr>
                <w:rFonts w:cstheme="minorHAnsi"/>
                <w:color w:val="000000" w:themeColor="text1"/>
                <w:sz w:val="24"/>
                <w:szCs w:val="24"/>
              </w:rPr>
              <w:t xml:space="preserve">V </w:t>
            </w:r>
            <w:r w:rsidRPr="001A4F59">
              <w:rPr>
                <w:rFonts w:cstheme="minorHAnsi"/>
                <w:color w:val="000000" w:themeColor="text1"/>
                <w:sz w:val="24"/>
                <w:szCs w:val="24"/>
              </w:rPr>
              <w:t>group</w:t>
            </w:r>
          </w:p>
        </w:tc>
        <w:tc>
          <w:tcPr>
            <w:tcW w:w="864" w:type="dxa"/>
            <w:tcBorders>
              <w:top w:val="single" w:sz="4" w:space="0" w:color="auto"/>
              <w:left w:val="nil"/>
              <w:bottom w:val="nil"/>
              <w:right w:val="nil"/>
            </w:tcBorders>
            <w:shd w:val="clear" w:color="auto" w:fill="auto"/>
            <w:hideMark/>
          </w:tcPr>
          <w:p w14:paraId="7EF0653F" w14:textId="77777777" w:rsidR="00080B27" w:rsidRPr="001A4F59" w:rsidRDefault="00080B27">
            <w:pPr>
              <w:autoSpaceDE w:val="0"/>
              <w:autoSpaceDN w:val="0"/>
              <w:adjustRightInd w:val="0"/>
              <w:spacing w:line="276" w:lineRule="auto"/>
              <w:ind w:right="6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20.0</w:t>
            </w:r>
          </w:p>
        </w:tc>
        <w:tc>
          <w:tcPr>
            <w:tcW w:w="829" w:type="dxa"/>
            <w:tcBorders>
              <w:top w:val="single" w:sz="4" w:space="0" w:color="auto"/>
              <w:left w:val="nil"/>
              <w:bottom w:val="nil"/>
              <w:right w:val="nil"/>
            </w:tcBorders>
            <w:shd w:val="clear" w:color="auto" w:fill="auto"/>
            <w:hideMark/>
          </w:tcPr>
          <w:p w14:paraId="67691A4B" w14:textId="77777777" w:rsidR="00080B27" w:rsidRPr="001A4F59" w:rsidRDefault="00080B27">
            <w:pPr>
              <w:autoSpaceDE w:val="0"/>
              <w:autoSpaceDN w:val="0"/>
              <w:adjustRightInd w:val="0"/>
              <w:spacing w:line="276" w:lineRule="auto"/>
              <w:ind w:right="6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25.0</w:t>
            </w:r>
          </w:p>
        </w:tc>
        <w:tc>
          <w:tcPr>
            <w:tcW w:w="861" w:type="dxa"/>
            <w:tcBorders>
              <w:top w:val="single" w:sz="4" w:space="0" w:color="auto"/>
              <w:left w:val="nil"/>
              <w:bottom w:val="nil"/>
              <w:right w:val="nil"/>
            </w:tcBorders>
            <w:shd w:val="clear" w:color="auto" w:fill="auto"/>
            <w:hideMark/>
          </w:tcPr>
          <w:p w14:paraId="4622AB8D" w14:textId="77777777" w:rsidR="00080B27" w:rsidRPr="001A4F59" w:rsidRDefault="00080B27">
            <w:pPr>
              <w:autoSpaceDE w:val="0"/>
              <w:autoSpaceDN w:val="0"/>
              <w:adjustRightInd w:val="0"/>
              <w:spacing w:line="276" w:lineRule="auto"/>
              <w:ind w:right="6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20.0</w:t>
            </w:r>
          </w:p>
        </w:tc>
        <w:tc>
          <w:tcPr>
            <w:tcW w:w="862" w:type="dxa"/>
            <w:tcBorders>
              <w:top w:val="single" w:sz="4" w:space="0" w:color="auto"/>
              <w:left w:val="nil"/>
              <w:bottom w:val="nil"/>
              <w:right w:val="nil"/>
            </w:tcBorders>
            <w:shd w:val="clear" w:color="auto" w:fill="auto"/>
            <w:hideMark/>
          </w:tcPr>
          <w:p w14:paraId="3B1C272D" w14:textId="77777777" w:rsidR="00080B27" w:rsidRPr="001A4F59" w:rsidRDefault="00080B27">
            <w:pPr>
              <w:autoSpaceDE w:val="0"/>
              <w:autoSpaceDN w:val="0"/>
              <w:adjustRightInd w:val="0"/>
              <w:spacing w:line="276" w:lineRule="auto"/>
              <w:ind w:right="6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15.0</w:t>
            </w:r>
          </w:p>
        </w:tc>
        <w:tc>
          <w:tcPr>
            <w:tcW w:w="861" w:type="dxa"/>
            <w:tcBorders>
              <w:top w:val="single" w:sz="4" w:space="0" w:color="auto"/>
              <w:left w:val="nil"/>
              <w:bottom w:val="nil"/>
              <w:right w:val="nil"/>
            </w:tcBorders>
            <w:shd w:val="clear" w:color="auto" w:fill="auto"/>
            <w:hideMark/>
          </w:tcPr>
          <w:p w14:paraId="4217B2DA" w14:textId="77777777" w:rsidR="00080B27" w:rsidRPr="001A4F59" w:rsidRDefault="00080B27">
            <w:pPr>
              <w:autoSpaceDE w:val="0"/>
              <w:autoSpaceDN w:val="0"/>
              <w:adjustRightInd w:val="0"/>
              <w:spacing w:line="276" w:lineRule="auto"/>
              <w:ind w:right="6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50.0</w:t>
            </w:r>
          </w:p>
        </w:tc>
        <w:tc>
          <w:tcPr>
            <w:tcW w:w="862" w:type="dxa"/>
            <w:tcBorders>
              <w:top w:val="single" w:sz="4" w:space="0" w:color="auto"/>
              <w:left w:val="nil"/>
              <w:bottom w:val="nil"/>
              <w:right w:val="nil"/>
            </w:tcBorders>
            <w:shd w:val="clear" w:color="auto" w:fill="auto"/>
            <w:hideMark/>
          </w:tcPr>
          <w:p w14:paraId="2235364E" w14:textId="77777777" w:rsidR="00080B27" w:rsidRPr="001A4F59" w:rsidRDefault="00080B27">
            <w:pPr>
              <w:autoSpaceDE w:val="0"/>
              <w:autoSpaceDN w:val="0"/>
              <w:adjustRightInd w:val="0"/>
              <w:spacing w:line="276" w:lineRule="auto"/>
              <w:ind w:right="6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w:t>
            </w:r>
          </w:p>
        </w:tc>
        <w:tc>
          <w:tcPr>
            <w:tcW w:w="861" w:type="dxa"/>
            <w:tcBorders>
              <w:top w:val="single" w:sz="4" w:space="0" w:color="auto"/>
              <w:left w:val="nil"/>
              <w:bottom w:val="nil"/>
              <w:right w:val="nil"/>
            </w:tcBorders>
            <w:shd w:val="clear" w:color="auto" w:fill="auto"/>
            <w:hideMark/>
          </w:tcPr>
          <w:p w14:paraId="6E711165" w14:textId="77777777" w:rsidR="00080B27" w:rsidRPr="001A4F59" w:rsidRDefault="00080B27">
            <w:pPr>
              <w:autoSpaceDE w:val="0"/>
              <w:autoSpaceDN w:val="0"/>
              <w:adjustRightInd w:val="0"/>
              <w:spacing w:line="276" w:lineRule="auto"/>
              <w:ind w:right="6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5.0</w:t>
            </w:r>
          </w:p>
        </w:tc>
        <w:tc>
          <w:tcPr>
            <w:tcW w:w="862" w:type="dxa"/>
            <w:tcBorders>
              <w:top w:val="single" w:sz="4" w:space="0" w:color="auto"/>
              <w:left w:val="nil"/>
              <w:bottom w:val="nil"/>
              <w:right w:val="nil"/>
            </w:tcBorders>
            <w:shd w:val="clear" w:color="auto" w:fill="auto"/>
            <w:hideMark/>
          </w:tcPr>
          <w:p w14:paraId="02B53F57" w14:textId="77777777" w:rsidR="00080B27" w:rsidRPr="001A4F59" w:rsidRDefault="00080B27">
            <w:pPr>
              <w:autoSpaceDE w:val="0"/>
              <w:autoSpaceDN w:val="0"/>
              <w:adjustRightInd w:val="0"/>
              <w:spacing w:line="276" w:lineRule="auto"/>
              <w:ind w:right="6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w:t>
            </w:r>
          </w:p>
        </w:tc>
        <w:tc>
          <w:tcPr>
            <w:tcW w:w="956" w:type="dxa"/>
            <w:tcBorders>
              <w:top w:val="single" w:sz="4" w:space="0" w:color="auto"/>
              <w:left w:val="nil"/>
              <w:bottom w:val="nil"/>
              <w:right w:val="nil"/>
            </w:tcBorders>
            <w:shd w:val="clear" w:color="auto" w:fill="auto"/>
          </w:tcPr>
          <w:p w14:paraId="7E4B9297" w14:textId="77777777" w:rsidR="00080B27" w:rsidRPr="001A4F59" w:rsidRDefault="00080B27">
            <w:pPr>
              <w:autoSpaceDE w:val="0"/>
              <w:autoSpaceDN w:val="0"/>
              <w:adjustRightInd w:val="0"/>
              <w:spacing w:line="276" w:lineRule="auto"/>
              <w:ind w:right="6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c>
          <w:tcPr>
            <w:tcW w:w="772" w:type="dxa"/>
            <w:tcBorders>
              <w:top w:val="single" w:sz="4" w:space="0" w:color="auto"/>
              <w:left w:val="nil"/>
              <w:bottom w:val="nil"/>
              <w:right w:val="nil"/>
            </w:tcBorders>
            <w:shd w:val="clear" w:color="auto" w:fill="auto"/>
            <w:hideMark/>
          </w:tcPr>
          <w:p w14:paraId="3443AE95" w14:textId="77777777" w:rsidR="00080B27" w:rsidRPr="001A4F59" w:rsidRDefault="00080B27">
            <w:pPr>
              <w:autoSpaceDE w:val="0"/>
              <w:autoSpaceDN w:val="0"/>
              <w:adjustRightInd w:val="0"/>
              <w:spacing w:line="276" w:lineRule="auto"/>
              <w:ind w:right="6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5.0</w:t>
            </w:r>
          </w:p>
        </w:tc>
        <w:tc>
          <w:tcPr>
            <w:tcW w:w="865" w:type="dxa"/>
            <w:tcBorders>
              <w:top w:val="single" w:sz="4" w:space="0" w:color="auto"/>
              <w:left w:val="nil"/>
              <w:bottom w:val="nil"/>
              <w:right w:val="nil"/>
            </w:tcBorders>
            <w:shd w:val="clear" w:color="auto" w:fill="auto"/>
            <w:hideMark/>
          </w:tcPr>
          <w:p w14:paraId="238D611F" w14:textId="77777777" w:rsidR="00080B27" w:rsidRPr="001A4F59" w:rsidRDefault="00080B27">
            <w:pPr>
              <w:autoSpaceDE w:val="0"/>
              <w:autoSpaceDN w:val="0"/>
              <w:adjustRightInd w:val="0"/>
              <w:spacing w:line="276" w:lineRule="auto"/>
              <w:ind w:right="6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5.0</w:t>
            </w:r>
          </w:p>
        </w:tc>
        <w:tc>
          <w:tcPr>
            <w:tcW w:w="862" w:type="dxa"/>
            <w:tcBorders>
              <w:top w:val="single" w:sz="4" w:space="0" w:color="auto"/>
              <w:left w:val="nil"/>
              <w:bottom w:val="nil"/>
              <w:right w:val="nil"/>
            </w:tcBorders>
            <w:shd w:val="clear" w:color="auto" w:fill="auto"/>
          </w:tcPr>
          <w:p w14:paraId="01D3B7AF" w14:textId="77777777" w:rsidR="00080B27" w:rsidRPr="001A4F59" w:rsidRDefault="00080B27">
            <w:pPr>
              <w:autoSpaceDE w:val="0"/>
              <w:autoSpaceDN w:val="0"/>
              <w:adjustRightInd w:val="0"/>
              <w:spacing w:line="276" w:lineRule="auto"/>
              <w:ind w:right="6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r>
      <w:tr w:rsidR="00565EA5" w:rsidRPr="001A4F59" w14:paraId="4ACFE449" w14:textId="77777777" w:rsidTr="00FB735E">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276" w:type="dxa"/>
            <w:vMerge/>
            <w:tcBorders>
              <w:top w:val="single" w:sz="4" w:space="0" w:color="666666" w:themeColor="text1" w:themeTint="99"/>
              <w:left w:val="nil"/>
              <w:bottom w:val="single" w:sz="4" w:space="0" w:color="666666" w:themeColor="text1" w:themeTint="99"/>
              <w:right w:val="nil"/>
            </w:tcBorders>
            <w:shd w:val="clear" w:color="auto" w:fill="auto"/>
            <w:vAlign w:val="center"/>
            <w:hideMark/>
          </w:tcPr>
          <w:p w14:paraId="061E07BF" w14:textId="77777777" w:rsidR="00080B27" w:rsidRPr="000907D4" w:rsidRDefault="00080B27">
            <w:pPr>
              <w:rPr>
                <w:rFonts w:cstheme="minorHAnsi"/>
                <w:b w:val="0"/>
                <w:color w:val="000000" w:themeColor="text1"/>
                <w:sz w:val="24"/>
                <w:szCs w:val="24"/>
              </w:rPr>
            </w:pPr>
          </w:p>
        </w:tc>
        <w:tc>
          <w:tcPr>
            <w:tcW w:w="2410" w:type="dxa"/>
            <w:tcBorders>
              <w:top w:val="nil"/>
              <w:left w:val="nil"/>
              <w:bottom w:val="single" w:sz="4" w:space="0" w:color="666666" w:themeColor="text1" w:themeTint="99"/>
              <w:right w:val="nil"/>
            </w:tcBorders>
            <w:shd w:val="clear" w:color="auto" w:fill="auto"/>
            <w:hideMark/>
          </w:tcPr>
          <w:p w14:paraId="491BD326" w14:textId="3161AE33" w:rsidR="00080B27" w:rsidRPr="001A4F59" w:rsidRDefault="00080B27">
            <w:pPr>
              <w:autoSpaceDE w:val="0"/>
              <w:autoSpaceDN w:val="0"/>
              <w:adjustRightInd w:val="0"/>
              <w:spacing w:line="276" w:lineRule="auto"/>
              <w:ind w:right="6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 in Economic class</w:t>
            </w:r>
          </w:p>
        </w:tc>
        <w:tc>
          <w:tcPr>
            <w:tcW w:w="864" w:type="dxa"/>
            <w:tcBorders>
              <w:top w:val="nil"/>
              <w:left w:val="nil"/>
              <w:bottom w:val="single" w:sz="4" w:space="0" w:color="666666" w:themeColor="text1" w:themeTint="99"/>
              <w:right w:val="nil"/>
            </w:tcBorders>
            <w:shd w:val="clear" w:color="auto" w:fill="auto"/>
            <w:hideMark/>
          </w:tcPr>
          <w:p w14:paraId="4B802B73" w14:textId="77777777" w:rsidR="00080B27" w:rsidRPr="001A4F59" w:rsidRDefault="00080B27">
            <w:pPr>
              <w:autoSpaceDE w:val="0"/>
              <w:autoSpaceDN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30.8</w:t>
            </w:r>
          </w:p>
        </w:tc>
        <w:tc>
          <w:tcPr>
            <w:tcW w:w="829" w:type="dxa"/>
            <w:tcBorders>
              <w:top w:val="nil"/>
              <w:left w:val="nil"/>
              <w:bottom w:val="single" w:sz="4" w:space="0" w:color="666666" w:themeColor="text1" w:themeTint="99"/>
              <w:right w:val="nil"/>
            </w:tcBorders>
            <w:shd w:val="clear" w:color="auto" w:fill="auto"/>
            <w:hideMark/>
          </w:tcPr>
          <w:p w14:paraId="0F0FC208" w14:textId="77777777" w:rsidR="00080B27" w:rsidRPr="001A4F59" w:rsidRDefault="00080B27">
            <w:pPr>
              <w:autoSpaceDE w:val="0"/>
              <w:autoSpaceDN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38.5</w:t>
            </w:r>
          </w:p>
        </w:tc>
        <w:tc>
          <w:tcPr>
            <w:tcW w:w="861" w:type="dxa"/>
            <w:tcBorders>
              <w:top w:val="nil"/>
              <w:left w:val="nil"/>
              <w:bottom w:val="single" w:sz="4" w:space="0" w:color="666666" w:themeColor="text1" w:themeTint="99"/>
              <w:right w:val="nil"/>
            </w:tcBorders>
            <w:shd w:val="clear" w:color="auto" w:fill="auto"/>
            <w:hideMark/>
          </w:tcPr>
          <w:p w14:paraId="6A936BEB" w14:textId="77777777" w:rsidR="00080B27" w:rsidRPr="001A4F59" w:rsidRDefault="00080B27">
            <w:pPr>
              <w:autoSpaceDE w:val="0"/>
              <w:autoSpaceDN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33.3</w:t>
            </w:r>
          </w:p>
        </w:tc>
        <w:tc>
          <w:tcPr>
            <w:tcW w:w="862" w:type="dxa"/>
            <w:tcBorders>
              <w:top w:val="nil"/>
              <w:left w:val="nil"/>
              <w:bottom w:val="single" w:sz="4" w:space="0" w:color="666666" w:themeColor="text1" w:themeTint="99"/>
              <w:right w:val="nil"/>
            </w:tcBorders>
            <w:shd w:val="clear" w:color="auto" w:fill="auto"/>
            <w:hideMark/>
          </w:tcPr>
          <w:p w14:paraId="34A00D5C" w14:textId="77777777" w:rsidR="00080B27" w:rsidRPr="001A4F59" w:rsidRDefault="00080B27">
            <w:pPr>
              <w:autoSpaceDE w:val="0"/>
              <w:autoSpaceDN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25.0</w:t>
            </w:r>
          </w:p>
        </w:tc>
        <w:tc>
          <w:tcPr>
            <w:tcW w:w="861" w:type="dxa"/>
            <w:tcBorders>
              <w:top w:val="nil"/>
              <w:left w:val="nil"/>
              <w:bottom w:val="single" w:sz="4" w:space="0" w:color="666666" w:themeColor="text1" w:themeTint="99"/>
              <w:right w:val="nil"/>
            </w:tcBorders>
            <w:shd w:val="clear" w:color="auto" w:fill="auto"/>
            <w:hideMark/>
          </w:tcPr>
          <w:p w14:paraId="7B2D46FA" w14:textId="77777777" w:rsidR="00080B27" w:rsidRPr="001A4F59" w:rsidRDefault="00080B27">
            <w:pPr>
              <w:autoSpaceDE w:val="0"/>
              <w:autoSpaceDN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50.0</w:t>
            </w:r>
          </w:p>
        </w:tc>
        <w:tc>
          <w:tcPr>
            <w:tcW w:w="862" w:type="dxa"/>
            <w:tcBorders>
              <w:top w:val="nil"/>
              <w:left w:val="nil"/>
              <w:bottom w:val="single" w:sz="4" w:space="0" w:color="666666" w:themeColor="text1" w:themeTint="99"/>
              <w:right w:val="nil"/>
            </w:tcBorders>
            <w:shd w:val="clear" w:color="auto" w:fill="auto"/>
            <w:hideMark/>
          </w:tcPr>
          <w:p w14:paraId="1308ECBE" w14:textId="77777777" w:rsidR="00080B27" w:rsidRPr="001A4F59" w:rsidRDefault="00080B27">
            <w:pPr>
              <w:autoSpaceDE w:val="0"/>
              <w:autoSpaceDN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w:t>
            </w:r>
          </w:p>
        </w:tc>
        <w:tc>
          <w:tcPr>
            <w:tcW w:w="861" w:type="dxa"/>
            <w:tcBorders>
              <w:top w:val="nil"/>
              <w:left w:val="nil"/>
              <w:bottom w:val="single" w:sz="4" w:space="0" w:color="666666" w:themeColor="text1" w:themeTint="99"/>
              <w:right w:val="nil"/>
            </w:tcBorders>
            <w:shd w:val="clear" w:color="auto" w:fill="auto"/>
            <w:hideMark/>
          </w:tcPr>
          <w:p w14:paraId="586EFBAE" w14:textId="77777777" w:rsidR="00080B27" w:rsidRPr="001A4F59" w:rsidRDefault="00080B27">
            <w:pPr>
              <w:autoSpaceDE w:val="0"/>
              <w:autoSpaceDN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16.7</w:t>
            </w:r>
          </w:p>
        </w:tc>
        <w:tc>
          <w:tcPr>
            <w:tcW w:w="862" w:type="dxa"/>
            <w:tcBorders>
              <w:top w:val="nil"/>
              <w:left w:val="nil"/>
              <w:bottom w:val="single" w:sz="4" w:space="0" w:color="666666" w:themeColor="text1" w:themeTint="99"/>
              <w:right w:val="nil"/>
            </w:tcBorders>
            <w:shd w:val="clear" w:color="auto" w:fill="auto"/>
            <w:hideMark/>
          </w:tcPr>
          <w:p w14:paraId="34BA2711" w14:textId="77777777" w:rsidR="00080B27" w:rsidRPr="001A4F59" w:rsidRDefault="00080B27">
            <w:pPr>
              <w:autoSpaceDE w:val="0"/>
              <w:autoSpaceDN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w:t>
            </w:r>
          </w:p>
        </w:tc>
        <w:tc>
          <w:tcPr>
            <w:tcW w:w="956" w:type="dxa"/>
            <w:tcBorders>
              <w:top w:val="nil"/>
              <w:left w:val="nil"/>
              <w:bottom w:val="single" w:sz="4" w:space="0" w:color="666666" w:themeColor="text1" w:themeTint="99"/>
              <w:right w:val="nil"/>
            </w:tcBorders>
            <w:shd w:val="clear" w:color="auto" w:fill="auto"/>
          </w:tcPr>
          <w:p w14:paraId="64797D62" w14:textId="77777777" w:rsidR="00080B27" w:rsidRPr="001A4F59" w:rsidRDefault="00080B27">
            <w:pPr>
              <w:autoSpaceDE w:val="0"/>
              <w:autoSpaceDN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p>
        </w:tc>
        <w:tc>
          <w:tcPr>
            <w:tcW w:w="772" w:type="dxa"/>
            <w:tcBorders>
              <w:top w:val="nil"/>
              <w:left w:val="nil"/>
              <w:bottom w:val="single" w:sz="4" w:space="0" w:color="666666" w:themeColor="text1" w:themeTint="99"/>
              <w:right w:val="nil"/>
            </w:tcBorders>
            <w:shd w:val="clear" w:color="auto" w:fill="auto"/>
            <w:hideMark/>
          </w:tcPr>
          <w:p w14:paraId="23CBFA03" w14:textId="77777777" w:rsidR="00080B27" w:rsidRPr="001A4F59" w:rsidRDefault="00080B27">
            <w:pPr>
              <w:autoSpaceDE w:val="0"/>
              <w:autoSpaceDN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50.0</w:t>
            </w:r>
          </w:p>
        </w:tc>
        <w:tc>
          <w:tcPr>
            <w:tcW w:w="865" w:type="dxa"/>
            <w:tcBorders>
              <w:top w:val="nil"/>
              <w:left w:val="nil"/>
              <w:bottom w:val="single" w:sz="4" w:space="0" w:color="666666" w:themeColor="text1" w:themeTint="99"/>
              <w:right w:val="nil"/>
            </w:tcBorders>
            <w:shd w:val="clear" w:color="auto" w:fill="auto"/>
            <w:hideMark/>
          </w:tcPr>
          <w:p w14:paraId="6342FDA9" w14:textId="77777777" w:rsidR="00080B27" w:rsidRPr="001A4F59" w:rsidRDefault="00080B27">
            <w:pPr>
              <w:autoSpaceDE w:val="0"/>
              <w:autoSpaceDN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16.7</w:t>
            </w:r>
          </w:p>
        </w:tc>
        <w:tc>
          <w:tcPr>
            <w:tcW w:w="862" w:type="dxa"/>
            <w:tcBorders>
              <w:top w:val="nil"/>
              <w:left w:val="nil"/>
              <w:bottom w:val="single" w:sz="4" w:space="0" w:color="666666" w:themeColor="text1" w:themeTint="99"/>
              <w:right w:val="nil"/>
            </w:tcBorders>
            <w:shd w:val="clear" w:color="auto" w:fill="auto"/>
          </w:tcPr>
          <w:p w14:paraId="1C0A1B8E" w14:textId="77777777" w:rsidR="00080B27" w:rsidRPr="001A4F59" w:rsidRDefault="00080B27">
            <w:pPr>
              <w:autoSpaceDE w:val="0"/>
              <w:autoSpaceDN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p>
        </w:tc>
      </w:tr>
      <w:tr w:rsidR="00565EA5" w:rsidRPr="001A4F59" w14:paraId="065D7A9B" w14:textId="77777777" w:rsidTr="00FB735E">
        <w:trPr>
          <w:trHeight w:val="107"/>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4" w:space="0" w:color="666666" w:themeColor="text1" w:themeTint="99"/>
              <w:left w:val="nil"/>
              <w:bottom w:val="single" w:sz="4" w:space="0" w:color="666666" w:themeColor="text1" w:themeTint="99"/>
              <w:right w:val="nil"/>
            </w:tcBorders>
            <w:shd w:val="clear" w:color="auto" w:fill="auto"/>
            <w:hideMark/>
          </w:tcPr>
          <w:p w14:paraId="2475AC39" w14:textId="77777777" w:rsidR="00080B27" w:rsidRPr="000907D4" w:rsidRDefault="00080B27">
            <w:pPr>
              <w:autoSpaceDE w:val="0"/>
              <w:autoSpaceDN w:val="0"/>
              <w:adjustRightInd w:val="0"/>
              <w:spacing w:line="276" w:lineRule="auto"/>
              <w:ind w:right="60"/>
              <w:jc w:val="center"/>
              <w:rPr>
                <w:rFonts w:cstheme="minorHAnsi"/>
                <w:b w:val="0"/>
                <w:color w:val="000000" w:themeColor="text1"/>
                <w:sz w:val="24"/>
                <w:szCs w:val="24"/>
              </w:rPr>
            </w:pPr>
            <w:r w:rsidRPr="000907D4">
              <w:rPr>
                <w:rFonts w:cstheme="minorHAnsi"/>
                <w:b w:val="0"/>
                <w:color w:val="000000" w:themeColor="text1"/>
                <w:sz w:val="24"/>
                <w:szCs w:val="24"/>
              </w:rPr>
              <w:t>High</w:t>
            </w:r>
          </w:p>
        </w:tc>
        <w:tc>
          <w:tcPr>
            <w:tcW w:w="2410" w:type="dxa"/>
            <w:tcBorders>
              <w:top w:val="single" w:sz="4" w:space="0" w:color="666666" w:themeColor="text1" w:themeTint="99"/>
              <w:left w:val="nil"/>
              <w:bottom w:val="nil"/>
              <w:right w:val="nil"/>
            </w:tcBorders>
            <w:shd w:val="clear" w:color="auto" w:fill="auto"/>
            <w:hideMark/>
          </w:tcPr>
          <w:p w14:paraId="515CC92B" w14:textId="414ED443" w:rsidR="00080B27" w:rsidRPr="001A4F59" w:rsidRDefault="00080B27">
            <w:pPr>
              <w:autoSpaceDE w:val="0"/>
              <w:autoSpaceDN w:val="0"/>
              <w:adjustRightInd w:val="0"/>
              <w:spacing w:line="276" w:lineRule="auto"/>
              <w:ind w:right="6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w:t>
            </w:r>
            <w:r w:rsidR="0060761B">
              <w:rPr>
                <w:rFonts w:cstheme="minorHAnsi"/>
                <w:color w:val="000000" w:themeColor="text1"/>
                <w:sz w:val="24"/>
                <w:szCs w:val="24"/>
              </w:rPr>
              <w:t xml:space="preserve"> </w:t>
            </w:r>
            <w:r w:rsidRPr="001A4F59">
              <w:rPr>
                <w:rFonts w:cstheme="minorHAnsi"/>
                <w:color w:val="000000" w:themeColor="text1"/>
                <w:sz w:val="24"/>
                <w:szCs w:val="24"/>
              </w:rPr>
              <w:t xml:space="preserve">in </w:t>
            </w:r>
            <w:r w:rsidR="00431CDA">
              <w:rPr>
                <w:rFonts w:cstheme="minorHAnsi"/>
                <w:color w:val="000000" w:themeColor="text1"/>
                <w:sz w:val="24"/>
                <w:szCs w:val="24"/>
              </w:rPr>
              <w:t xml:space="preserve">V </w:t>
            </w:r>
            <w:r w:rsidRPr="001A4F59">
              <w:rPr>
                <w:rFonts w:cstheme="minorHAnsi"/>
                <w:color w:val="000000" w:themeColor="text1"/>
                <w:sz w:val="24"/>
                <w:szCs w:val="24"/>
              </w:rPr>
              <w:t>group</w:t>
            </w:r>
          </w:p>
        </w:tc>
        <w:tc>
          <w:tcPr>
            <w:tcW w:w="864" w:type="dxa"/>
            <w:tcBorders>
              <w:top w:val="single" w:sz="4" w:space="0" w:color="666666" w:themeColor="text1" w:themeTint="99"/>
              <w:left w:val="nil"/>
              <w:bottom w:val="nil"/>
              <w:right w:val="nil"/>
            </w:tcBorders>
            <w:shd w:val="clear" w:color="auto" w:fill="auto"/>
            <w:hideMark/>
          </w:tcPr>
          <w:p w14:paraId="6F9E54E1" w14:textId="77777777" w:rsidR="00080B27" w:rsidRPr="001A4F59" w:rsidRDefault="00080B27">
            <w:pPr>
              <w:autoSpaceDE w:val="0"/>
              <w:autoSpaceDN w:val="0"/>
              <w:adjustRightInd w:val="0"/>
              <w:spacing w:line="276" w:lineRule="auto"/>
              <w:ind w:right="6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5.0</w:t>
            </w:r>
          </w:p>
        </w:tc>
        <w:tc>
          <w:tcPr>
            <w:tcW w:w="829" w:type="dxa"/>
            <w:tcBorders>
              <w:top w:val="single" w:sz="4" w:space="0" w:color="666666" w:themeColor="text1" w:themeTint="99"/>
              <w:left w:val="nil"/>
              <w:bottom w:val="nil"/>
              <w:right w:val="nil"/>
            </w:tcBorders>
            <w:shd w:val="clear" w:color="auto" w:fill="auto"/>
            <w:hideMark/>
          </w:tcPr>
          <w:p w14:paraId="282B28E9" w14:textId="77777777" w:rsidR="00080B27" w:rsidRPr="001A4F59" w:rsidRDefault="00080B27">
            <w:pPr>
              <w:autoSpaceDE w:val="0"/>
              <w:autoSpaceDN w:val="0"/>
              <w:adjustRightInd w:val="0"/>
              <w:spacing w:line="276" w:lineRule="auto"/>
              <w:ind w:right="6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w:t>
            </w:r>
          </w:p>
        </w:tc>
        <w:tc>
          <w:tcPr>
            <w:tcW w:w="861" w:type="dxa"/>
            <w:tcBorders>
              <w:top w:val="single" w:sz="4" w:space="0" w:color="666666" w:themeColor="text1" w:themeTint="99"/>
              <w:left w:val="nil"/>
              <w:bottom w:val="nil"/>
              <w:right w:val="nil"/>
            </w:tcBorders>
            <w:shd w:val="clear" w:color="auto" w:fill="auto"/>
            <w:hideMark/>
          </w:tcPr>
          <w:p w14:paraId="1ACD3F26" w14:textId="77777777" w:rsidR="00080B27" w:rsidRPr="001A4F59" w:rsidRDefault="00080B27">
            <w:pPr>
              <w:autoSpaceDE w:val="0"/>
              <w:autoSpaceDN w:val="0"/>
              <w:adjustRightInd w:val="0"/>
              <w:spacing w:line="276" w:lineRule="auto"/>
              <w:ind w:right="6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25.0</w:t>
            </w:r>
          </w:p>
        </w:tc>
        <w:tc>
          <w:tcPr>
            <w:tcW w:w="862" w:type="dxa"/>
            <w:tcBorders>
              <w:top w:val="single" w:sz="4" w:space="0" w:color="666666" w:themeColor="text1" w:themeTint="99"/>
              <w:left w:val="nil"/>
              <w:bottom w:val="nil"/>
              <w:right w:val="nil"/>
            </w:tcBorders>
            <w:shd w:val="clear" w:color="auto" w:fill="auto"/>
            <w:hideMark/>
          </w:tcPr>
          <w:p w14:paraId="4EFC59BD" w14:textId="77777777" w:rsidR="00080B27" w:rsidRPr="001A4F59" w:rsidRDefault="00080B27">
            <w:pPr>
              <w:autoSpaceDE w:val="0"/>
              <w:autoSpaceDN w:val="0"/>
              <w:adjustRightInd w:val="0"/>
              <w:spacing w:line="276" w:lineRule="auto"/>
              <w:ind w:right="6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30.0</w:t>
            </w:r>
          </w:p>
        </w:tc>
        <w:tc>
          <w:tcPr>
            <w:tcW w:w="861" w:type="dxa"/>
            <w:tcBorders>
              <w:top w:val="single" w:sz="4" w:space="0" w:color="666666" w:themeColor="text1" w:themeTint="99"/>
              <w:left w:val="nil"/>
              <w:bottom w:val="nil"/>
              <w:right w:val="nil"/>
            </w:tcBorders>
            <w:shd w:val="clear" w:color="auto" w:fill="auto"/>
            <w:hideMark/>
          </w:tcPr>
          <w:p w14:paraId="420B85B2" w14:textId="77777777" w:rsidR="00080B27" w:rsidRPr="001A4F59" w:rsidRDefault="00080B27">
            <w:pPr>
              <w:autoSpaceDE w:val="0"/>
              <w:autoSpaceDN w:val="0"/>
              <w:adjustRightInd w:val="0"/>
              <w:spacing w:line="276" w:lineRule="auto"/>
              <w:ind w:right="6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35.0</w:t>
            </w:r>
          </w:p>
        </w:tc>
        <w:tc>
          <w:tcPr>
            <w:tcW w:w="862" w:type="dxa"/>
            <w:tcBorders>
              <w:top w:val="single" w:sz="4" w:space="0" w:color="666666" w:themeColor="text1" w:themeTint="99"/>
              <w:left w:val="nil"/>
              <w:bottom w:val="nil"/>
              <w:right w:val="nil"/>
            </w:tcBorders>
            <w:shd w:val="clear" w:color="auto" w:fill="auto"/>
            <w:hideMark/>
          </w:tcPr>
          <w:p w14:paraId="4F14D5EE" w14:textId="77777777" w:rsidR="00080B27" w:rsidRPr="001A4F59" w:rsidRDefault="00080B27">
            <w:pPr>
              <w:autoSpaceDE w:val="0"/>
              <w:autoSpaceDN w:val="0"/>
              <w:adjustRightInd w:val="0"/>
              <w:spacing w:line="276" w:lineRule="auto"/>
              <w:ind w:right="6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w:t>
            </w:r>
          </w:p>
        </w:tc>
        <w:tc>
          <w:tcPr>
            <w:tcW w:w="861" w:type="dxa"/>
            <w:tcBorders>
              <w:top w:val="single" w:sz="4" w:space="0" w:color="666666" w:themeColor="text1" w:themeTint="99"/>
              <w:left w:val="nil"/>
              <w:bottom w:val="nil"/>
              <w:right w:val="nil"/>
            </w:tcBorders>
            <w:shd w:val="clear" w:color="auto" w:fill="auto"/>
            <w:hideMark/>
          </w:tcPr>
          <w:p w14:paraId="6D5FE440" w14:textId="77777777" w:rsidR="00080B27" w:rsidRPr="001A4F59" w:rsidRDefault="00080B27">
            <w:pPr>
              <w:autoSpaceDE w:val="0"/>
              <w:autoSpaceDN w:val="0"/>
              <w:adjustRightInd w:val="0"/>
              <w:spacing w:line="276" w:lineRule="auto"/>
              <w:ind w:right="6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15.0</w:t>
            </w:r>
          </w:p>
        </w:tc>
        <w:tc>
          <w:tcPr>
            <w:tcW w:w="862" w:type="dxa"/>
            <w:tcBorders>
              <w:top w:val="single" w:sz="4" w:space="0" w:color="666666" w:themeColor="text1" w:themeTint="99"/>
              <w:left w:val="nil"/>
              <w:bottom w:val="nil"/>
              <w:right w:val="nil"/>
            </w:tcBorders>
            <w:shd w:val="clear" w:color="auto" w:fill="auto"/>
            <w:hideMark/>
          </w:tcPr>
          <w:p w14:paraId="12C44E75" w14:textId="77777777" w:rsidR="00080B27" w:rsidRPr="001A4F59" w:rsidRDefault="00080B27">
            <w:pPr>
              <w:autoSpaceDE w:val="0"/>
              <w:autoSpaceDN w:val="0"/>
              <w:adjustRightInd w:val="0"/>
              <w:spacing w:line="276" w:lineRule="auto"/>
              <w:ind w:right="6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w:t>
            </w:r>
          </w:p>
        </w:tc>
        <w:tc>
          <w:tcPr>
            <w:tcW w:w="956" w:type="dxa"/>
            <w:tcBorders>
              <w:top w:val="single" w:sz="4" w:space="0" w:color="666666" w:themeColor="text1" w:themeTint="99"/>
              <w:left w:val="nil"/>
              <w:bottom w:val="nil"/>
              <w:right w:val="nil"/>
            </w:tcBorders>
            <w:shd w:val="clear" w:color="auto" w:fill="auto"/>
            <w:hideMark/>
          </w:tcPr>
          <w:p w14:paraId="1002A4DD" w14:textId="77777777" w:rsidR="00080B27" w:rsidRPr="001A4F59" w:rsidRDefault="00080B27">
            <w:pPr>
              <w:autoSpaceDE w:val="0"/>
              <w:autoSpaceDN w:val="0"/>
              <w:adjustRightInd w:val="0"/>
              <w:spacing w:line="276" w:lineRule="auto"/>
              <w:ind w:right="6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10.0</w:t>
            </w:r>
          </w:p>
        </w:tc>
        <w:tc>
          <w:tcPr>
            <w:tcW w:w="772" w:type="dxa"/>
            <w:tcBorders>
              <w:top w:val="single" w:sz="4" w:space="0" w:color="666666" w:themeColor="text1" w:themeTint="99"/>
              <w:left w:val="nil"/>
              <w:bottom w:val="nil"/>
              <w:right w:val="nil"/>
            </w:tcBorders>
            <w:shd w:val="clear" w:color="auto" w:fill="auto"/>
            <w:hideMark/>
          </w:tcPr>
          <w:p w14:paraId="507B7B44" w14:textId="77777777" w:rsidR="00080B27" w:rsidRPr="001A4F59" w:rsidRDefault="00080B27">
            <w:pPr>
              <w:autoSpaceDE w:val="0"/>
              <w:autoSpaceDN w:val="0"/>
              <w:adjustRightInd w:val="0"/>
              <w:spacing w:line="276" w:lineRule="auto"/>
              <w:ind w:right="6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5.0</w:t>
            </w:r>
          </w:p>
        </w:tc>
        <w:tc>
          <w:tcPr>
            <w:tcW w:w="865" w:type="dxa"/>
            <w:tcBorders>
              <w:top w:val="single" w:sz="4" w:space="0" w:color="666666" w:themeColor="text1" w:themeTint="99"/>
              <w:left w:val="nil"/>
              <w:bottom w:val="nil"/>
              <w:right w:val="nil"/>
            </w:tcBorders>
            <w:shd w:val="clear" w:color="auto" w:fill="auto"/>
            <w:hideMark/>
          </w:tcPr>
          <w:p w14:paraId="2C34B666" w14:textId="77777777" w:rsidR="00080B27" w:rsidRPr="001A4F59" w:rsidRDefault="00080B27">
            <w:pPr>
              <w:autoSpaceDE w:val="0"/>
              <w:autoSpaceDN w:val="0"/>
              <w:adjustRightInd w:val="0"/>
              <w:spacing w:line="276" w:lineRule="auto"/>
              <w:ind w:right="6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10.0</w:t>
            </w:r>
          </w:p>
        </w:tc>
        <w:tc>
          <w:tcPr>
            <w:tcW w:w="862" w:type="dxa"/>
            <w:tcBorders>
              <w:top w:val="single" w:sz="4" w:space="0" w:color="666666" w:themeColor="text1" w:themeTint="99"/>
              <w:left w:val="nil"/>
              <w:bottom w:val="nil"/>
              <w:right w:val="nil"/>
            </w:tcBorders>
            <w:shd w:val="clear" w:color="auto" w:fill="auto"/>
            <w:hideMark/>
          </w:tcPr>
          <w:p w14:paraId="7D462099" w14:textId="77777777" w:rsidR="00080B27" w:rsidRPr="001A4F59" w:rsidRDefault="00080B27">
            <w:pPr>
              <w:autoSpaceDE w:val="0"/>
              <w:autoSpaceDN w:val="0"/>
              <w:adjustRightInd w:val="0"/>
              <w:spacing w:line="276" w:lineRule="auto"/>
              <w:ind w:right="6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w:t>
            </w:r>
          </w:p>
        </w:tc>
      </w:tr>
      <w:tr w:rsidR="00565EA5" w:rsidRPr="001A4F59" w14:paraId="72152E78" w14:textId="77777777" w:rsidTr="00FB735E">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1276" w:type="dxa"/>
            <w:vMerge/>
            <w:tcBorders>
              <w:top w:val="single" w:sz="4" w:space="0" w:color="666666" w:themeColor="text1" w:themeTint="99"/>
              <w:left w:val="nil"/>
              <w:bottom w:val="single" w:sz="4" w:space="0" w:color="666666" w:themeColor="text1" w:themeTint="99"/>
              <w:right w:val="nil"/>
            </w:tcBorders>
            <w:shd w:val="clear" w:color="auto" w:fill="auto"/>
            <w:vAlign w:val="center"/>
            <w:hideMark/>
          </w:tcPr>
          <w:p w14:paraId="4B354AE0" w14:textId="77777777" w:rsidR="00080B27" w:rsidRPr="001A4F59" w:rsidRDefault="00080B27">
            <w:pPr>
              <w:rPr>
                <w:rFonts w:cstheme="minorHAnsi"/>
                <w:color w:val="000000" w:themeColor="text1"/>
                <w:sz w:val="24"/>
                <w:szCs w:val="24"/>
              </w:rPr>
            </w:pPr>
          </w:p>
        </w:tc>
        <w:tc>
          <w:tcPr>
            <w:tcW w:w="2410" w:type="dxa"/>
            <w:tcBorders>
              <w:top w:val="nil"/>
              <w:left w:val="nil"/>
              <w:bottom w:val="single" w:sz="4" w:space="0" w:color="666666" w:themeColor="text1" w:themeTint="99"/>
              <w:right w:val="nil"/>
            </w:tcBorders>
            <w:shd w:val="clear" w:color="auto" w:fill="auto"/>
            <w:hideMark/>
          </w:tcPr>
          <w:p w14:paraId="5686408D" w14:textId="00D404C4" w:rsidR="00080B27" w:rsidRPr="001A4F59" w:rsidRDefault="00080B27">
            <w:pPr>
              <w:autoSpaceDE w:val="0"/>
              <w:autoSpaceDN w:val="0"/>
              <w:adjustRightInd w:val="0"/>
              <w:spacing w:line="276" w:lineRule="auto"/>
              <w:ind w:right="6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 in Economic class</w:t>
            </w:r>
          </w:p>
        </w:tc>
        <w:tc>
          <w:tcPr>
            <w:tcW w:w="864" w:type="dxa"/>
            <w:tcBorders>
              <w:top w:val="nil"/>
              <w:left w:val="nil"/>
              <w:bottom w:val="single" w:sz="4" w:space="0" w:color="666666" w:themeColor="text1" w:themeTint="99"/>
              <w:right w:val="nil"/>
            </w:tcBorders>
            <w:shd w:val="clear" w:color="auto" w:fill="auto"/>
            <w:hideMark/>
          </w:tcPr>
          <w:p w14:paraId="77673E81" w14:textId="77777777" w:rsidR="00080B27" w:rsidRPr="001A4F59" w:rsidRDefault="00080B27">
            <w:pPr>
              <w:autoSpaceDE w:val="0"/>
              <w:autoSpaceDN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7.7</w:t>
            </w:r>
          </w:p>
        </w:tc>
        <w:tc>
          <w:tcPr>
            <w:tcW w:w="829" w:type="dxa"/>
            <w:tcBorders>
              <w:top w:val="nil"/>
              <w:left w:val="nil"/>
              <w:bottom w:val="single" w:sz="4" w:space="0" w:color="666666" w:themeColor="text1" w:themeTint="99"/>
              <w:right w:val="nil"/>
            </w:tcBorders>
            <w:shd w:val="clear" w:color="auto" w:fill="auto"/>
            <w:hideMark/>
          </w:tcPr>
          <w:p w14:paraId="4ED5E089" w14:textId="77777777" w:rsidR="00080B27" w:rsidRPr="001A4F59" w:rsidRDefault="00080B27">
            <w:pPr>
              <w:autoSpaceDE w:val="0"/>
              <w:autoSpaceDN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w:t>
            </w:r>
          </w:p>
        </w:tc>
        <w:tc>
          <w:tcPr>
            <w:tcW w:w="861" w:type="dxa"/>
            <w:tcBorders>
              <w:top w:val="nil"/>
              <w:left w:val="nil"/>
              <w:bottom w:val="single" w:sz="4" w:space="0" w:color="666666" w:themeColor="text1" w:themeTint="99"/>
              <w:right w:val="nil"/>
            </w:tcBorders>
            <w:shd w:val="clear" w:color="auto" w:fill="auto"/>
            <w:hideMark/>
          </w:tcPr>
          <w:p w14:paraId="7E13C367" w14:textId="77777777" w:rsidR="00080B27" w:rsidRPr="001A4F59" w:rsidRDefault="00080B27">
            <w:pPr>
              <w:autoSpaceDE w:val="0"/>
              <w:autoSpaceDN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41.7</w:t>
            </w:r>
          </w:p>
        </w:tc>
        <w:tc>
          <w:tcPr>
            <w:tcW w:w="862" w:type="dxa"/>
            <w:tcBorders>
              <w:top w:val="nil"/>
              <w:left w:val="nil"/>
              <w:bottom w:val="single" w:sz="4" w:space="0" w:color="666666" w:themeColor="text1" w:themeTint="99"/>
              <w:right w:val="nil"/>
            </w:tcBorders>
            <w:shd w:val="clear" w:color="auto" w:fill="auto"/>
            <w:hideMark/>
          </w:tcPr>
          <w:p w14:paraId="573C4C3D" w14:textId="77777777" w:rsidR="00080B27" w:rsidRPr="001A4F59" w:rsidRDefault="00080B27">
            <w:pPr>
              <w:autoSpaceDE w:val="0"/>
              <w:autoSpaceDN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50.0</w:t>
            </w:r>
          </w:p>
        </w:tc>
        <w:tc>
          <w:tcPr>
            <w:tcW w:w="861" w:type="dxa"/>
            <w:tcBorders>
              <w:top w:val="nil"/>
              <w:left w:val="nil"/>
              <w:bottom w:val="single" w:sz="4" w:space="0" w:color="666666" w:themeColor="text1" w:themeTint="99"/>
              <w:right w:val="nil"/>
            </w:tcBorders>
            <w:shd w:val="clear" w:color="auto" w:fill="auto"/>
            <w:hideMark/>
          </w:tcPr>
          <w:p w14:paraId="3F45A9E2" w14:textId="77777777" w:rsidR="00080B27" w:rsidRPr="001A4F59" w:rsidRDefault="00080B27">
            <w:pPr>
              <w:autoSpaceDE w:val="0"/>
              <w:autoSpaceDN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35.0</w:t>
            </w:r>
          </w:p>
        </w:tc>
        <w:tc>
          <w:tcPr>
            <w:tcW w:w="862" w:type="dxa"/>
            <w:tcBorders>
              <w:top w:val="nil"/>
              <w:left w:val="nil"/>
              <w:bottom w:val="single" w:sz="4" w:space="0" w:color="666666" w:themeColor="text1" w:themeTint="99"/>
              <w:right w:val="nil"/>
            </w:tcBorders>
            <w:shd w:val="clear" w:color="auto" w:fill="auto"/>
            <w:hideMark/>
          </w:tcPr>
          <w:p w14:paraId="6E932841" w14:textId="77777777" w:rsidR="00080B27" w:rsidRPr="001A4F59" w:rsidRDefault="00080B27">
            <w:pPr>
              <w:autoSpaceDE w:val="0"/>
              <w:autoSpaceDN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w:t>
            </w:r>
          </w:p>
        </w:tc>
        <w:tc>
          <w:tcPr>
            <w:tcW w:w="861" w:type="dxa"/>
            <w:tcBorders>
              <w:top w:val="nil"/>
              <w:left w:val="nil"/>
              <w:bottom w:val="single" w:sz="4" w:space="0" w:color="666666" w:themeColor="text1" w:themeTint="99"/>
              <w:right w:val="nil"/>
            </w:tcBorders>
            <w:shd w:val="clear" w:color="auto" w:fill="auto"/>
            <w:hideMark/>
          </w:tcPr>
          <w:p w14:paraId="1E7C27B2" w14:textId="77777777" w:rsidR="00080B27" w:rsidRPr="001A4F59" w:rsidRDefault="00080B27">
            <w:pPr>
              <w:autoSpaceDE w:val="0"/>
              <w:autoSpaceDN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50.0</w:t>
            </w:r>
          </w:p>
        </w:tc>
        <w:tc>
          <w:tcPr>
            <w:tcW w:w="862" w:type="dxa"/>
            <w:tcBorders>
              <w:top w:val="nil"/>
              <w:left w:val="nil"/>
              <w:bottom w:val="single" w:sz="4" w:space="0" w:color="666666" w:themeColor="text1" w:themeTint="99"/>
              <w:right w:val="nil"/>
            </w:tcBorders>
            <w:shd w:val="clear" w:color="auto" w:fill="auto"/>
            <w:hideMark/>
          </w:tcPr>
          <w:p w14:paraId="1C0BA8AA" w14:textId="77777777" w:rsidR="00080B27" w:rsidRPr="001A4F59" w:rsidRDefault="00080B27">
            <w:pPr>
              <w:autoSpaceDE w:val="0"/>
              <w:autoSpaceDN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w:t>
            </w:r>
          </w:p>
        </w:tc>
        <w:tc>
          <w:tcPr>
            <w:tcW w:w="956" w:type="dxa"/>
            <w:tcBorders>
              <w:top w:val="nil"/>
              <w:left w:val="nil"/>
              <w:bottom w:val="single" w:sz="4" w:space="0" w:color="666666" w:themeColor="text1" w:themeTint="99"/>
              <w:right w:val="nil"/>
            </w:tcBorders>
            <w:shd w:val="clear" w:color="auto" w:fill="auto"/>
            <w:hideMark/>
          </w:tcPr>
          <w:p w14:paraId="065242CD" w14:textId="77777777" w:rsidR="00080B27" w:rsidRPr="001A4F59" w:rsidRDefault="00080B27">
            <w:pPr>
              <w:autoSpaceDE w:val="0"/>
              <w:autoSpaceDN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100.0</w:t>
            </w:r>
          </w:p>
        </w:tc>
        <w:tc>
          <w:tcPr>
            <w:tcW w:w="772" w:type="dxa"/>
            <w:tcBorders>
              <w:top w:val="nil"/>
              <w:left w:val="nil"/>
              <w:bottom w:val="single" w:sz="4" w:space="0" w:color="666666" w:themeColor="text1" w:themeTint="99"/>
              <w:right w:val="nil"/>
            </w:tcBorders>
            <w:shd w:val="clear" w:color="auto" w:fill="auto"/>
            <w:hideMark/>
          </w:tcPr>
          <w:p w14:paraId="1CD95910" w14:textId="77777777" w:rsidR="00080B27" w:rsidRPr="001A4F59" w:rsidRDefault="00080B27">
            <w:pPr>
              <w:autoSpaceDE w:val="0"/>
              <w:autoSpaceDN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50.0</w:t>
            </w:r>
          </w:p>
        </w:tc>
        <w:tc>
          <w:tcPr>
            <w:tcW w:w="865" w:type="dxa"/>
            <w:tcBorders>
              <w:top w:val="nil"/>
              <w:left w:val="nil"/>
              <w:bottom w:val="single" w:sz="4" w:space="0" w:color="666666" w:themeColor="text1" w:themeTint="99"/>
              <w:right w:val="nil"/>
            </w:tcBorders>
            <w:shd w:val="clear" w:color="auto" w:fill="auto"/>
            <w:hideMark/>
          </w:tcPr>
          <w:p w14:paraId="593A8331" w14:textId="77777777" w:rsidR="00080B27" w:rsidRPr="001A4F59" w:rsidRDefault="00080B27">
            <w:pPr>
              <w:autoSpaceDE w:val="0"/>
              <w:autoSpaceDN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33.3</w:t>
            </w:r>
          </w:p>
        </w:tc>
        <w:tc>
          <w:tcPr>
            <w:tcW w:w="862" w:type="dxa"/>
            <w:tcBorders>
              <w:top w:val="nil"/>
              <w:left w:val="nil"/>
              <w:bottom w:val="single" w:sz="4" w:space="0" w:color="666666" w:themeColor="text1" w:themeTint="99"/>
              <w:right w:val="nil"/>
            </w:tcBorders>
            <w:shd w:val="clear" w:color="auto" w:fill="auto"/>
            <w:hideMark/>
          </w:tcPr>
          <w:p w14:paraId="34C7DA79" w14:textId="77777777" w:rsidR="00080B27" w:rsidRPr="001A4F59" w:rsidRDefault="00080B27">
            <w:pPr>
              <w:autoSpaceDE w:val="0"/>
              <w:autoSpaceDN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A4F59">
              <w:rPr>
                <w:rFonts w:cstheme="minorHAnsi"/>
                <w:color w:val="000000" w:themeColor="text1"/>
                <w:sz w:val="24"/>
                <w:szCs w:val="24"/>
              </w:rPr>
              <w:t>-</w:t>
            </w:r>
          </w:p>
        </w:tc>
      </w:tr>
    </w:tbl>
    <w:p w14:paraId="31A49B9E" w14:textId="68B3CBC7" w:rsidR="00E53955" w:rsidRPr="00F80389" w:rsidRDefault="00355261" w:rsidP="004257F3">
      <w:pPr>
        <w:rPr>
          <w:sz w:val="18"/>
        </w:rPr>
        <w:sectPr w:rsidR="00E53955" w:rsidRPr="00F80389" w:rsidSect="00E53955">
          <w:footerReference w:type="default" r:id="rId15"/>
          <w:pgSz w:w="16838" w:h="11906" w:orient="landscape"/>
          <w:pgMar w:top="1440" w:right="1440" w:bottom="1440" w:left="1440" w:header="709" w:footer="709" w:gutter="0"/>
          <w:cols w:space="708"/>
          <w:docGrid w:linePitch="360"/>
        </w:sectPr>
      </w:pPr>
      <w:bookmarkStart w:id="15" w:name="_Hlk36001236"/>
      <w:r>
        <w:rPr>
          <w:sz w:val="18"/>
        </w:rPr>
        <w:t xml:space="preserve"> </w:t>
      </w:r>
      <w:r w:rsidR="00F3604E" w:rsidRPr="00F3604E">
        <w:rPr>
          <w:sz w:val="18"/>
        </w:rPr>
        <w:t xml:space="preserve">“% in V group” is the percentage of respondents from the </w:t>
      </w:r>
      <w:r w:rsidR="00F3604E" w:rsidRPr="005031A2">
        <w:rPr>
          <w:sz w:val="18"/>
        </w:rPr>
        <w:t>different economic classes</w:t>
      </w:r>
      <w:r w:rsidR="00F3604E" w:rsidRPr="00F3604E">
        <w:rPr>
          <w:sz w:val="18"/>
        </w:rPr>
        <w:t xml:space="preserve"> that make up a vulnerability group.</w:t>
      </w:r>
      <w:r w:rsidR="00CE5C7B">
        <w:rPr>
          <w:sz w:val="18"/>
        </w:rPr>
        <w:t xml:space="preserve"> </w:t>
      </w:r>
      <w:r w:rsidR="00F3604E" w:rsidRPr="00F3604E">
        <w:rPr>
          <w:sz w:val="18"/>
        </w:rPr>
        <w:t xml:space="preserve">“% in economic class” is the percentage of respondents </w:t>
      </w:r>
      <w:r w:rsidR="00F3604E" w:rsidRPr="005031A2">
        <w:rPr>
          <w:sz w:val="18"/>
        </w:rPr>
        <w:t>within</w:t>
      </w:r>
      <w:r w:rsidR="00F3604E" w:rsidRPr="00F3604E">
        <w:rPr>
          <w:sz w:val="18"/>
        </w:rPr>
        <w:t xml:space="preserve"> a particular economic class in the low, moderate and high vulnerability group</w:t>
      </w:r>
      <w:r w:rsidR="00BD678A">
        <w:rPr>
          <w:sz w:val="18"/>
        </w:rPr>
        <w:t>s</w:t>
      </w:r>
      <w:r w:rsidR="00F3604E" w:rsidRPr="00F3604E">
        <w:rPr>
          <w:sz w:val="18"/>
        </w:rPr>
        <w:t>.</w:t>
      </w:r>
      <w:r w:rsidR="00CE5C7B" w:rsidRPr="00CE5C7B">
        <w:rPr>
          <w:sz w:val="18"/>
        </w:rPr>
        <w:t xml:space="preserve"> </w:t>
      </w:r>
      <w:r w:rsidR="00CE5C7B" w:rsidRPr="00F80389">
        <w:rPr>
          <w:sz w:val="18"/>
        </w:rPr>
        <w:t>Rows: percentage total</w:t>
      </w:r>
      <w:r w:rsidR="00CE5C7B">
        <w:rPr>
          <w:sz w:val="18"/>
        </w:rPr>
        <w:t>s</w:t>
      </w:r>
      <w:r w:rsidR="00CE5C7B" w:rsidRPr="00F80389">
        <w:rPr>
          <w:sz w:val="18"/>
        </w:rPr>
        <w:t xml:space="preserve"> </w:t>
      </w:r>
      <w:r w:rsidR="00CE5C7B">
        <w:rPr>
          <w:sz w:val="18"/>
        </w:rPr>
        <w:t>for each vulnerability group</w:t>
      </w:r>
      <w:r w:rsidR="00CE5C7B" w:rsidRPr="00B43011">
        <w:rPr>
          <w:sz w:val="18"/>
        </w:rPr>
        <w:t xml:space="preserve"> </w:t>
      </w:r>
      <w:r w:rsidR="00CE5C7B" w:rsidRPr="00F80389">
        <w:rPr>
          <w:sz w:val="18"/>
        </w:rPr>
        <w:t>is 100.0</w:t>
      </w:r>
      <w:r w:rsidR="00CE5C7B">
        <w:rPr>
          <w:sz w:val="18"/>
        </w:rPr>
        <w:t xml:space="preserve"> for each of the ‘good’ and ‘bad’ seasons.</w:t>
      </w:r>
      <w:r w:rsidR="00CE5C7B" w:rsidRPr="00F80389">
        <w:rPr>
          <w:sz w:val="18"/>
        </w:rPr>
        <w:t xml:space="preserve"> Columns: percentage </w:t>
      </w:r>
      <w:r w:rsidR="00CE5C7B">
        <w:rPr>
          <w:sz w:val="18"/>
        </w:rPr>
        <w:t>totals for each economic class is 100.0 for each of the ‘good’ and ‘bad’ seasons. (-) represent unchanged percentage from ‘good’ to ‘bad’ season.</w:t>
      </w:r>
    </w:p>
    <w:bookmarkEnd w:id="14"/>
    <w:bookmarkEnd w:id="15"/>
    <w:p w14:paraId="12F2D724" w14:textId="0926F0DB" w:rsidR="007033A0" w:rsidRPr="007033A0" w:rsidRDefault="007033A0" w:rsidP="00E75027">
      <w:pPr>
        <w:pStyle w:val="Caption"/>
        <w:keepNext/>
        <w:spacing w:after="0"/>
        <w:rPr>
          <w:sz w:val="24"/>
        </w:rPr>
      </w:pPr>
      <w:r w:rsidRPr="007033A0">
        <w:rPr>
          <w:sz w:val="24"/>
        </w:rPr>
        <w:lastRenderedPageBreak/>
        <w:t xml:space="preserve">Table </w:t>
      </w:r>
      <w:r w:rsidRPr="007033A0">
        <w:rPr>
          <w:sz w:val="24"/>
        </w:rPr>
        <w:fldChar w:fldCharType="begin"/>
      </w:r>
      <w:r w:rsidRPr="007033A0">
        <w:rPr>
          <w:sz w:val="24"/>
        </w:rPr>
        <w:instrText xml:space="preserve"> SEQ Table \* ARABIC </w:instrText>
      </w:r>
      <w:r w:rsidRPr="007033A0">
        <w:rPr>
          <w:sz w:val="24"/>
        </w:rPr>
        <w:fldChar w:fldCharType="separate"/>
      </w:r>
      <w:r w:rsidR="001E46DE">
        <w:rPr>
          <w:noProof/>
          <w:sz w:val="24"/>
        </w:rPr>
        <w:t>9</w:t>
      </w:r>
      <w:r w:rsidRPr="007033A0">
        <w:rPr>
          <w:sz w:val="24"/>
        </w:rPr>
        <w:fldChar w:fldCharType="end"/>
      </w:r>
      <w:r w:rsidRPr="007033A0">
        <w:rPr>
          <w:sz w:val="24"/>
        </w:rPr>
        <w:t xml:space="preserve">: How indicators and indices of household sensitivity and adaptive capacity to climate change are differentiated by economic class, gender and vulnerability </w:t>
      </w:r>
      <w:r w:rsidR="00DA28E0">
        <w:rPr>
          <w:sz w:val="24"/>
        </w:rPr>
        <w:t>group</w:t>
      </w:r>
      <w:r w:rsidRPr="007033A0">
        <w:rPr>
          <w:sz w:val="24"/>
        </w:rPr>
        <w:t>. Values are p-values.</w:t>
      </w:r>
    </w:p>
    <w:tbl>
      <w:tblPr>
        <w:tblW w:w="8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52"/>
        <w:gridCol w:w="1276"/>
        <w:gridCol w:w="1046"/>
        <w:gridCol w:w="1701"/>
        <w:gridCol w:w="1599"/>
      </w:tblGrid>
      <w:tr w:rsidR="00DE3015" w:rsidRPr="000400EB" w14:paraId="0245860F" w14:textId="77777777" w:rsidTr="00565EA5">
        <w:trPr>
          <w:cantSplit/>
          <w:trHeight w:val="191"/>
        </w:trPr>
        <w:tc>
          <w:tcPr>
            <w:tcW w:w="2552" w:type="dxa"/>
            <w:vMerge w:val="restart"/>
            <w:tcBorders>
              <w:top w:val="single" w:sz="4" w:space="0" w:color="auto"/>
              <w:left w:val="nil"/>
              <w:right w:val="nil"/>
            </w:tcBorders>
            <w:shd w:val="clear" w:color="auto" w:fill="auto"/>
            <w:vAlign w:val="center"/>
          </w:tcPr>
          <w:p w14:paraId="09343249" w14:textId="77777777" w:rsidR="00DE3015" w:rsidRPr="000907D4" w:rsidRDefault="00DE3015" w:rsidP="000753D3">
            <w:pPr>
              <w:autoSpaceDE w:val="0"/>
              <w:autoSpaceDN w:val="0"/>
              <w:adjustRightInd w:val="0"/>
              <w:spacing w:after="0" w:line="240" w:lineRule="auto"/>
              <w:ind w:left="143" w:right="60"/>
              <w:rPr>
                <w:rFonts w:cstheme="minorHAnsi"/>
                <w:color w:val="000000" w:themeColor="text1"/>
              </w:rPr>
            </w:pPr>
            <w:r w:rsidRPr="000907D4">
              <w:rPr>
                <w:rFonts w:cstheme="minorHAnsi"/>
                <w:color w:val="000000" w:themeColor="text1"/>
              </w:rPr>
              <w:t>Indices, indicators and   sub-indicators</w:t>
            </w:r>
          </w:p>
        </w:tc>
        <w:tc>
          <w:tcPr>
            <w:tcW w:w="5622" w:type="dxa"/>
            <w:gridSpan w:val="4"/>
            <w:tcBorders>
              <w:top w:val="single" w:sz="4" w:space="0" w:color="auto"/>
              <w:left w:val="nil"/>
              <w:bottom w:val="single" w:sz="4" w:space="0" w:color="auto"/>
              <w:right w:val="nil"/>
            </w:tcBorders>
            <w:shd w:val="clear" w:color="auto" w:fill="auto"/>
          </w:tcPr>
          <w:p w14:paraId="3CC23A5B" w14:textId="690D70E7" w:rsidR="00DE3015" w:rsidRPr="000907D4" w:rsidRDefault="00DE3015" w:rsidP="007A1C12">
            <w:pPr>
              <w:autoSpaceDE w:val="0"/>
              <w:autoSpaceDN w:val="0"/>
              <w:adjustRightInd w:val="0"/>
              <w:spacing w:after="0" w:line="240" w:lineRule="auto"/>
              <w:ind w:left="60" w:right="60"/>
              <w:jc w:val="center"/>
              <w:rPr>
                <w:rFonts w:cstheme="minorHAnsi"/>
                <w:color w:val="000000" w:themeColor="text1"/>
              </w:rPr>
            </w:pPr>
            <w:r>
              <w:rPr>
                <w:rFonts w:cstheme="minorHAnsi"/>
                <w:color w:val="000000" w:themeColor="text1"/>
              </w:rPr>
              <w:t>Household categori</w:t>
            </w:r>
            <w:r w:rsidR="000E3E1E">
              <w:rPr>
                <w:rFonts w:cstheme="minorHAnsi"/>
                <w:color w:val="000000" w:themeColor="text1"/>
              </w:rPr>
              <w:t>sation</w:t>
            </w:r>
          </w:p>
        </w:tc>
      </w:tr>
      <w:tr w:rsidR="00DE3015" w:rsidRPr="000400EB" w14:paraId="27364448" w14:textId="77777777" w:rsidTr="00565EA5">
        <w:trPr>
          <w:cantSplit/>
          <w:trHeight w:val="135"/>
        </w:trPr>
        <w:tc>
          <w:tcPr>
            <w:tcW w:w="2552" w:type="dxa"/>
            <w:vMerge/>
            <w:tcBorders>
              <w:left w:val="nil"/>
              <w:bottom w:val="single" w:sz="4" w:space="0" w:color="auto"/>
              <w:right w:val="nil"/>
            </w:tcBorders>
            <w:shd w:val="clear" w:color="auto" w:fill="auto"/>
          </w:tcPr>
          <w:p w14:paraId="182D448F" w14:textId="77777777" w:rsidR="00DE3015" w:rsidRPr="000907D4" w:rsidRDefault="00DE3015" w:rsidP="00534350">
            <w:pPr>
              <w:autoSpaceDE w:val="0"/>
              <w:autoSpaceDN w:val="0"/>
              <w:adjustRightInd w:val="0"/>
              <w:spacing w:after="0" w:line="240" w:lineRule="auto"/>
              <w:ind w:left="143" w:right="60"/>
              <w:rPr>
                <w:rFonts w:cstheme="minorHAnsi"/>
                <w:color w:val="000000" w:themeColor="text1"/>
              </w:rPr>
            </w:pPr>
          </w:p>
        </w:tc>
        <w:tc>
          <w:tcPr>
            <w:tcW w:w="1276" w:type="dxa"/>
            <w:tcBorders>
              <w:top w:val="single" w:sz="4" w:space="0" w:color="auto"/>
              <w:left w:val="nil"/>
              <w:bottom w:val="single" w:sz="4" w:space="0" w:color="auto"/>
              <w:right w:val="nil"/>
            </w:tcBorders>
            <w:shd w:val="clear" w:color="auto" w:fill="auto"/>
          </w:tcPr>
          <w:p w14:paraId="1BABEBAE" w14:textId="59F5BC56" w:rsidR="00DE3015" w:rsidRPr="000907D4" w:rsidRDefault="00DE3015" w:rsidP="00534350">
            <w:pPr>
              <w:autoSpaceDE w:val="0"/>
              <w:autoSpaceDN w:val="0"/>
              <w:adjustRightInd w:val="0"/>
              <w:spacing w:after="0" w:line="240" w:lineRule="auto"/>
              <w:ind w:left="60" w:right="60"/>
              <w:jc w:val="right"/>
              <w:rPr>
                <w:rFonts w:cstheme="minorHAnsi"/>
                <w:color w:val="000000" w:themeColor="text1"/>
              </w:rPr>
            </w:pPr>
            <w:r w:rsidRPr="000907D4">
              <w:rPr>
                <w:rFonts w:cstheme="minorHAnsi"/>
                <w:color w:val="000000" w:themeColor="text1"/>
              </w:rPr>
              <w:t>Economic class</w:t>
            </w:r>
          </w:p>
        </w:tc>
        <w:tc>
          <w:tcPr>
            <w:tcW w:w="1046" w:type="dxa"/>
            <w:tcBorders>
              <w:top w:val="single" w:sz="4" w:space="0" w:color="auto"/>
              <w:left w:val="nil"/>
              <w:bottom w:val="single" w:sz="4" w:space="0" w:color="auto"/>
              <w:right w:val="nil"/>
            </w:tcBorders>
            <w:shd w:val="clear" w:color="auto" w:fill="auto"/>
          </w:tcPr>
          <w:p w14:paraId="2D7D41DC" w14:textId="43470975" w:rsidR="00DE3015" w:rsidRPr="000907D4" w:rsidRDefault="00DE3015" w:rsidP="00534350">
            <w:pPr>
              <w:autoSpaceDE w:val="0"/>
              <w:autoSpaceDN w:val="0"/>
              <w:adjustRightInd w:val="0"/>
              <w:spacing w:after="0" w:line="240" w:lineRule="auto"/>
              <w:ind w:left="60" w:right="60"/>
              <w:jc w:val="right"/>
              <w:rPr>
                <w:rFonts w:cstheme="minorHAnsi"/>
                <w:color w:val="000000" w:themeColor="text1"/>
              </w:rPr>
            </w:pPr>
            <w:r w:rsidRPr="000907D4">
              <w:rPr>
                <w:rFonts w:cstheme="minorHAnsi"/>
                <w:color w:val="000000" w:themeColor="text1"/>
              </w:rPr>
              <w:t>Gender of HH-H</w:t>
            </w:r>
          </w:p>
        </w:tc>
        <w:tc>
          <w:tcPr>
            <w:tcW w:w="1701" w:type="dxa"/>
            <w:tcBorders>
              <w:top w:val="single" w:sz="4" w:space="0" w:color="auto"/>
              <w:left w:val="nil"/>
              <w:bottom w:val="single" w:sz="4" w:space="0" w:color="auto"/>
              <w:right w:val="nil"/>
            </w:tcBorders>
            <w:shd w:val="clear" w:color="auto" w:fill="auto"/>
          </w:tcPr>
          <w:p w14:paraId="395471FC" w14:textId="17429BA8" w:rsidR="00DE3015" w:rsidRPr="000907D4" w:rsidRDefault="00DE3015" w:rsidP="00534350">
            <w:pPr>
              <w:autoSpaceDE w:val="0"/>
              <w:autoSpaceDN w:val="0"/>
              <w:adjustRightInd w:val="0"/>
              <w:spacing w:after="0" w:line="240" w:lineRule="auto"/>
              <w:ind w:left="60" w:right="60"/>
              <w:jc w:val="right"/>
              <w:rPr>
                <w:rFonts w:cstheme="minorHAnsi"/>
                <w:color w:val="000000" w:themeColor="text1"/>
              </w:rPr>
            </w:pPr>
            <w:r w:rsidRPr="000907D4">
              <w:rPr>
                <w:rFonts w:cstheme="minorHAnsi"/>
                <w:color w:val="000000" w:themeColor="text1"/>
              </w:rPr>
              <w:t xml:space="preserve">Vulnerability group (GS) </w:t>
            </w:r>
          </w:p>
        </w:tc>
        <w:tc>
          <w:tcPr>
            <w:tcW w:w="1599" w:type="dxa"/>
            <w:tcBorders>
              <w:top w:val="single" w:sz="4" w:space="0" w:color="auto"/>
              <w:left w:val="nil"/>
              <w:bottom w:val="single" w:sz="4" w:space="0" w:color="auto"/>
              <w:right w:val="nil"/>
            </w:tcBorders>
            <w:shd w:val="clear" w:color="auto" w:fill="auto"/>
          </w:tcPr>
          <w:p w14:paraId="77A59AF3" w14:textId="715A40D0" w:rsidR="00DE3015" w:rsidRPr="000907D4" w:rsidRDefault="00DE3015" w:rsidP="00534350">
            <w:pPr>
              <w:autoSpaceDE w:val="0"/>
              <w:autoSpaceDN w:val="0"/>
              <w:adjustRightInd w:val="0"/>
              <w:spacing w:after="0" w:line="240" w:lineRule="auto"/>
              <w:ind w:left="60" w:right="60"/>
              <w:jc w:val="right"/>
              <w:rPr>
                <w:rFonts w:cstheme="minorHAnsi"/>
                <w:color w:val="000000" w:themeColor="text1"/>
              </w:rPr>
            </w:pPr>
            <w:r w:rsidRPr="000907D4">
              <w:rPr>
                <w:rFonts w:cstheme="minorHAnsi"/>
                <w:color w:val="000000" w:themeColor="text1"/>
              </w:rPr>
              <w:t>Vulnerability group (BS)</w:t>
            </w:r>
          </w:p>
        </w:tc>
      </w:tr>
      <w:tr w:rsidR="00C51003" w:rsidRPr="000400EB" w14:paraId="272A78BB" w14:textId="77777777" w:rsidTr="00565EA5">
        <w:trPr>
          <w:cantSplit/>
          <w:trHeight w:val="191"/>
        </w:trPr>
        <w:tc>
          <w:tcPr>
            <w:tcW w:w="2552" w:type="dxa"/>
            <w:tcBorders>
              <w:top w:val="single" w:sz="4" w:space="0" w:color="auto"/>
              <w:left w:val="nil"/>
              <w:bottom w:val="nil"/>
              <w:right w:val="nil"/>
            </w:tcBorders>
            <w:shd w:val="clear" w:color="auto" w:fill="auto"/>
          </w:tcPr>
          <w:p w14:paraId="4034AE7D" w14:textId="77777777" w:rsidR="00C51003" w:rsidRPr="000400EB" w:rsidRDefault="00C51003" w:rsidP="00170BC7">
            <w:pPr>
              <w:autoSpaceDE w:val="0"/>
              <w:autoSpaceDN w:val="0"/>
              <w:adjustRightInd w:val="0"/>
              <w:spacing w:after="0" w:line="240" w:lineRule="auto"/>
              <w:ind w:left="60" w:right="60"/>
              <w:rPr>
                <w:rFonts w:cstheme="minorHAnsi"/>
                <w:b/>
                <w:color w:val="000000" w:themeColor="text1"/>
              </w:rPr>
            </w:pPr>
            <w:r w:rsidRPr="000400EB">
              <w:rPr>
                <w:rFonts w:cstheme="minorHAnsi"/>
                <w:b/>
                <w:color w:val="000000" w:themeColor="text1"/>
              </w:rPr>
              <w:t>Vulnerability index</w:t>
            </w:r>
          </w:p>
        </w:tc>
        <w:tc>
          <w:tcPr>
            <w:tcW w:w="1276" w:type="dxa"/>
            <w:tcBorders>
              <w:top w:val="single" w:sz="4" w:space="0" w:color="auto"/>
              <w:left w:val="nil"/>
              <w:bottom w:val="nil"/>
              <w:right w:val="nil"/>
            </w:tcBorders>
            <w:shd w:val="clear" w:color="auto" w:fill="auto"/>
          </w:tcPr>
          <w:p w14:paraId="4016BE5D"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0.07</w:t>
            </w:r>
          </w:p>
        </w:tc>
        <w:tc>
          <w:tcPr>
            <w:tcW w:w="1046" w:type="dxa"/>
            <w:tcBorders>
              <w:top w:val="single" w:sz="4" w:space="0" w:color="auto"/>
              <w:left w:val="nil"/>
              <w:bottom w:val="nil"/>
              <w:right w:val="nil"/>
            </w:tcBorders>
            <w:shd w:val="clear" w:color="auto" w:fill="auto"/>
          </w:tcPr>
          <w:p w14:paraId="4391D52B"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0.38</w:t>
            </w:r>
          </w:p>
        </w:tc>
        <w:tc>
          <w:tcPr>
            <w:tcW w:w="1701" w:type="dxa"/>
            <w:tcBorders>
              <w:top w:val="single" w:sz="4" w:space="0" w:color="auto"/>
              <w:left w:val="nil"/>
              <w:bottom w:val="nil"/>
              <w:right w:val="nil"/>
            </w:tcBorders>
            <w:shd w:val="clear" w:color="auto" w:fill="auto"/>
          </w:tcPr>
          <w:p w14:paraId="4CABB53A"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0.01</w:t>
            </w:r>
          </w:p>
        </w:tc>
        <w:tc>
          <w:tcPr>
            <w:tcW w:w="1599" w:type="dxa"/>
            <w:tcBorders>
              <w:top w:val="single" w:sz="4" w:space="0" w:color="auto"/>
              <w:left w:val="nil"/>
              <w:bottom w:val="nil"/>
              <w:right w:val="nil"/>
            </w:tcBorders>
            <w:shd w:val="clear" w:color="auto" w:fill="auto"/>
          </w:tcPr>
          <w:p w14:paraId="72544D68"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0.01</w:t>
            </w:r>
          </w:p>
        </w:tc>
      </w:tr>
      <w:tr w:rsidR="00C51003" w:rsidRPr="000400EB" w14:paraId="71CD56CB" w14:textId="77777777" w:rsidTr="00565EA5">
        <w:trPr>
          <w:cantSplit/>
          <w:trHeight w:val="191"/>
        </w:trPr>
        <w:tc>
          <w:tcPr>
            <w:tcW w:w="2552" w:type="dxa"/>
            <w:tcBorders>
              <w:top w:val="nil"/>
              <w:left w:val="nil"/>
              <w:bottom w:val="nil"/>
              <w:right w:val="nil"/>
            </w:tcBorders>
            <w:shd w:val="clear" w:color="auto" w:fill="auto"/>
          </w:tcPr>
          <w:p w14:paraId="236671C8" w14:textId="77777777" w:rsidR="00C51003" w:rsidRPr="000400EB" w:rsidRDefault="00C51003" w:rsidP="00170BC7">
            <w:pPr>
              <w:autoSpaceDE w:val="0"/>
              <w:autoSpaceDN w:val="0"/>
              <w:adjustRightInd w:val="0"/>
              <w:spacing w:after="0" w:line="240" w:lineRule="auto"/>
              <w:ind w:left="60" w:right="60"/>
              <w:rPr>
                <w:rFonts w:cstheme="minorHAnsi"/>
                <w:i/>
                <w:color w:val="000000" w:themeColor="text1"/>
              </w:rPr>
            </w:pPr>
            <w:r w:rsidRPr="000400EB">
              <w:rPr>
                <w:rFonts w:cstheme="minorHAnsi"/>
                <w:i/>
                <w:color w:val="000000" w:themeColor="text1"/>
              </w:rPr>
              <w:t>Sensitivity indicators</w:t>
            </w:r>
          </w:p>
        </w:tc>
        <w:tc>
          <w:tcPr>
            <w:tcW w:w="1276" w:type="dxa"/>
            <w:tcBorders>
              <w:top w:val="nil"/>
              <w:left w:val="nil"/>
              <w:bottom w:val="nil"/>
              <w:right w:val="nil"/>
            </w:tcBorders>
            <w:shd w:val="clear" w:color="auto" w:fill="auto"/>
          </w:tcPr>
          <w:p w14:paraId="2C27C2F3"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p>
        </w:tc>
        <w:tc>
          <w:tcPr>
            <w:tcW w:w="1046" w:type="dxa"/>
            <w:tcBorders>
              <w:top w:val="nil"/>
              <w:left w:val="nil"/>
              <w:bottom w:val="nil"/>
              <w:right w:val="nil"/>
            </w:tcBorders>
            <w:shd w:val="clear" w:color="auto" w:fill="auto"/>
          </w:tcPr>
          <w:p w14:paraId="0C6EAE16"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p>
        </w:tc>
        <w:tc>
          <w:tcPr>
            <w:tcW w:w="1701" w:type="dxa"/>
            <w:tcBorders>
              <w:top w:val="nil"/>
              <w:left w:val="nil"/>
              <w:bottom w:val="nil"/>
              <w:right w:val="nil"/>
            </w:tcBorders>
            <w:shd w:val="clear" w:color="auto" w:fill="auto"/>
          </w:tcPr>
          <w:p w14:paraId="0D193240"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p>
        </w:tc>
        <w:tc>
          <w:tcPr>
            <w:tcW w:w="1599" w:type="dxa"/>
            <w:tcBorders>
              <w:top w:val="nil"/>
              <w:left w:val="nil"/>
              <w:bottom w:val="nil"/>
              <w:right w:val="nil"/>
            </w:tcBorders>
            <w:shd w:val="clear" w:color="auto" w:fill="auto"/>
          </w:tcPr>
          <w:p w14:paraId="1AA973D4"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p>
        </w:tc>
      </w:tr>
      <w:tr w:rsidR="00C51003" w:rsidRPr="000400EB" w14:paraId="010D332A" w14:textId="77777777" w:rsidTr="00565EA5">
        <w:trPr>
          <w:cantSplit/>
          <w:trHeight w:val="394"/>
        </w:trPr>
        <w:tc>
          <w:tcPr>
            <w:tcW w:w="2552" w:type="dxa"/>
            <w:tcBorders>
              <w:top w:val="nil"/>
              <w:left w:val="nil"/>
              <w:bottom w:val="nil"/>
              <w:right w:val="nil"/>
            </w:tcBorders>
            <w:shd w:val="clear" w:color="auto" w:fill="auto"/>
          </w:tcPr>
          <w:p w14:paraId="6D878E39" w14:textId="77777777" w:rsidR="00C51003" w:rsidRPr="000400EB" w:rsidRDefault="00C51003" w:rsidP="00367F2D">
            <w:pPr>
              <w:autoSpaceDE w:val="0"/>
              <w:autoSpaceDN w:val="0"/>
              <w:adjustRightInd w:val="0"/>
              <w:spacing w:after="0" w:line="240" w:lineRule="auto"/>
              <w:ind w:left="565" w:right="60" w:hanging="284"/>
              <w:contextualSpacing/>
              <w:rPr>
                <w:rFonts w:cstheme="minorHAnsi"/>
                <w:color w:val="000000" w:themeColor="text1"/>
              </w:rPr>
            </w:pPr>
            <w:r w:rsidRPr="000400EB">
              <w:rPr>
                <w:rFonts w:cstheme="minorHAnsi"/>
                <w:color w:val="000000" w:themeColor="text1"/>
              </w:rPr>
              <w:t>Percentage income from fishing</w:t>
            </w:r>
          </w:p>
        </w:tc>
        <w:tc>
          <w:tcPr>
            <w:tcW w:w="1276" w:type="dxa"/>
            <w:tcBorders>
              <w:top w:val="nil"/>
              <w:left w:val="nil"/>
              <w:bottom w:val="nil"/>
              <w:right w:val="nil"/>
            </w:tcBorders>
            <w:shd w:val="clear" w:color="auto" w:fill="FFFFFF"/>
          </w:tcPr>
          <w:p w14:paraId="046810E1"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0.70</w:t>
            </w:r>
          </w:p>
        </w:tc>
        <w:tc>
          <w:tcPr>
            <w:tcW w:w="1046" w:type="dxa"/>
            <w:tcBorders>
              <w:top w:val="nil"/>
              <w:left w:val="nil"/>
              <w:bottom w:val="nil"/>
              <w:right w:val="nil"/>
            </w:tcBorders>
            <w:shd w:val="clear" w:color="auto" w:fill="FFFFFF"/>
          </w:tcPr>
          <w:p w14:paraId="275C3812"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0.67</w:t>
            </w:r>
          </w:p>
        </w:tc>
        <w:tc>
          <w:tcPr>
            <w:tcW w:w="1701" w:type="dxa"/>
            <w:tcBorders>
              <w:top w:val="nil"/>
              <w:left w:val="nil"/>
              <w:bottom w:val="nil"/>
              <w:right w:val="nil"/>
            </w:tcBorders>
            <w:shd w:val="clear" w:color="auto" w:fill="auto"/>
          </w:tcPr>
          <w:p w14:paraId="17DFC416"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0.35</w:t>
            </w:r>
          </w:p>
        </w:tc>
        <w:tc>
          <w:tcPr>
            <w:tcW w:w="1599" w:type="dxa"/>
            <w:tcBorders>
              <w:top w:val="nil"/>
              <w:left w:val="nil"/>
              <w:bottom w:val="nil"/>
              <w:right w:val="nil"/>
            </w:tcBorders>
          </w:tcPr>
          <w:p w14:paraId="7E7246A5"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0.35</w:t>
            </w:r>
          </w:p>
        </w:tc>
      </w:tr>
      <w:tr w:rsidR="00C51003" w:rsidRPr="000400EB" w14:paraId="07921F9B" w14:textId="77777777" w:rsidTr="00565EA5">
        <w:trPr>
          <w:cantSplit/>
          <w:trHeight w:val="191"/>
        </w:trPr>
        <w:tc>
          <w:tcPr>
            <w:tcW w:w="2552" w:type="dxa"/>
            <w:tcBorders>
              <w:top w:val="nil"/>
              <w:left w:val="nil"/>
              <w:bottom w:val="nil"/>
              <w:right w:val="nil"/>
            </w:tcBorders>
            <w:shd w:val="clear" w:color="auto" w:fill="auto"/>
          </w:tcPr>
          <w:p w14:paraId="72707240" w14:textId="77777777" w:rsidR="00C51003" w:rsidRPr="000400EB" w:rsidRDefault="00C51003" w:rsidP="00367F2D">
            <w:pPr>
              <w:autoSpaceDE w:val="0"/>
              <w:autoSpaceDN w:val="0"/>
              <w:adjustRightInd w:val="0"/>
              <w:spacing w:after="0" w:line="240" w:lineRule="auto"/>
              <w:ind w:left="281" w:right="60"/>
              <w:contextualSpacing/>
              <w:rPr>
                <w:rFonts w:cstheme="minorHAnsi"/>
                <w:color w:val="000000" w:themeColor="text1"/>
              </w:rPr>
            </w:pPr>
            <w:r w:rsidRPr="000400EB">
              <w:rPr>
                <w:rFonts w:cstheme="minorHAnsi"/>
                <w:color w:val="000000" w:themeColor="text1"/>
              </w:rPr>
              <w:t>Quality of house</w:t>
            </w:r>
          </w:p>
        </w:tc>
        <w:tc>
          <w:tcPr>
            <w:tcW w:w="1276" w:type="dxa"/>
            <w:tcBorders>
              <w:top w:val="nil"/>
              <w:left w:val="nil"/>
              <w:bottom w:val="nil"/>
              <w:right w:val="nil"/>
            </w:tcBorders>
            <w:shd w:val="clear" w:color="auto" w:fill="FFFFFF"/>
          </w:tcPr>
          <w:p w14:paraId="5EDBF098"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0.19</w:t>
            </w:r>
          </w:p>
        </w:tc>
        <w:tc>
          <w:tcPr>
            <w:tcW w:w="1046" w:type="dxa"/>
            <w:tcBorders>
              <w:top w:val="nil"/>
              <w:left w:val="nil"/>
              <w:bottom w:val="nil"/>
              <w:right w:val="nil"/>
            </w:tcBorders>
            <w:shd w:val="clear" w:color="auto" w:fill="FFFFFF"/>
          </w:tcPr>
          <w:p w14:paraId="36A9D973"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0.79</w:t>
            </w:r>
          </w:p>
        </w:tc>
        <w:tc>
          <w:tcPr>
            <w:tcW w:w="1701" w:type="dxa"/>
            <w:tcBorders>
              <w:top w:val="nil"/>
              <w:left w:val="nil"/>
              <w:bottom w:val="nil"/>
              <w:right w:val="nil"/>
            </w:tcBorders>
            <w:shd w:val="clear" w:color="auto" w:fill="auto"/>
          </w:tcPr>
          <w:p w14:paraId="2D07EFA3"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0.01*</w:t>
            </w:r>
          </w:p>
        </w:tc>
        <w:tc>
          <w:tcPr>
            <w:tcW w:w="1599" w:type="dxa"/>
            <w:tcBorders>
              <w:top w:val="nil"/>
              <w:left w:val="nil"/>
              <w:bottom w:val="nil"/>
              <w:right w:val="nil"/>
            </w:tcBorders>
          </w:tcPr>
          <w:p w14:paraId="24811868"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0.01*</w:t>
            </w:r>
          </w:p>
        </w:tc>
      </w:tr>
      <w:tr w:rsidR="00C51003" w:rsidRPr="000400EB" w14:paraId="0138C641" w14:textId="77777777" w:rsidTr="00565EA5">
        <w:trPr>
          <w:cantSplit/>
          <w:trHeight w:val="191"/>
        </w:trPr>
        <w:tc>
          <w:tcPr>
            <w:tcW w:w="2552" w:type="dxa"/>
            <w:tcBorders>
              <w:top w:val="nil"/>
              <w:left w:val="nil"/>
              <w:bottom w:val="nil"/>
              <w:right w:val="nil"/>
            </w:tcBorders>
            <w:shd w:val="clear" w:color="auto" w:fill="auto"/>
          </w:tcPr>
          <w:p w14:paraId="0BD33E46" w14:textId="77777777" w:rsidR="00C51003" w:rsidRPr="000400EB" w:rsidRDefault="00C51003" w:rsidP="00367F2D">
            <w:pPr>
              <w:autoSpaceDE w:val="0"/>
              <w:autoSpaceDN w:val="0"/>
              <w:adjustRightInd w:val="0"/>
              <w:spacing w:after="0" w:line="240" w:lineRule="auto"/>
              <w:ind w:left="281" w:right="60"/>
              <w:contextualSpacing/>
              <w:rPr>
                <w:rFonts w:cstheme="minorHAnsi"/>
                <w:color w:val="000000" w:themeColor="text1"/>
              </w:rPr>
            </w:pPr>
            <w:r w:rsidRPr="000400EB">
              <w:rPr>
                <w:rFonts w:cstheme="minorHAnsi"/>
                <w:color w:val="000000" w:themeColor="text1"/>
              </w:rPr>
              <w:t>Number of children</w:t>
            </w:r>
          </w:p>
        </w:tc>
        <w:tc>
          <w:tcPr>
            <w:tcW w:w="1276" w:type="dxa"/>
            <w:tcBorders>
              <w:top w:val="nil"/>
              <w:left w:val="nil"/>
              <w:bottom w:val="nil"/>
              <w:right w:val="nil"/>
            </w:tcBorders>
            <w:shd w:val="clear" w:color="auto" w:fill="FFFFFF"/>
          </w:tcPr>
          <w:p w14:paraId="4208C96A"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0.70</w:t>
            </w:r>
          </w:p>
        </w:tc>
        <w:tc>
          <w:tcPr>
            <w:tcW w:w="1046" w:type="dxa"/>
            <w:tcBorders>
              <w:top w:val="nil"/>
              <w:left w:val="nil"/>
              <w:bottom w:val="nil"/>
              <w:right w:val="nil"/>
            </w:tcBorders>
            <w:shd w:val="clear" w:color="auto" w:fill="FFFFFF"/>
          </w:tcPr>
          <w:p w14:paraId="6623B402"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0.54</w:t>
            </w:r>
          </w:p>
        </w:tc>
        <w:tc>
          <w:tcPr>
            <w:tcW w:w="1701" w:type="dxa"/>
            <w:tcBorders>
              <w:top w:val="nil"/>
              <w:left w:val="nil"/>
              <w:bottom w:val="nil"/>
              <w:right w:val="nil"/>
            </w:tcBorders>
            <w:shd w:val="clear" w:color="auto" w:fill="auto"/>
          </w:tcPr>
          <w:p w14:paraId="02BD9C07"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0.25</w:t>
            </w:r>
          </w:p>
        </w:tc>
        <w:tc>
          <w:tcPr>
            <w:tcW w:w="1599" w:type="dxa"/>
            <w:tcBorders>
              <w:top w:val="nil"/>
              <w:left w:val="nil"/>
              <w:bottom w:val="nil"/>
              <w:right w:val="nil"/>
            </w:tcBorders>
          </w:tcPr>
          <w:p w14:paraId="3F177037"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0.11</w:t>
            </w:r>
          </w:p>
        </w:tc>
      </w:tr>
      <w:tr w:rsidR="00C51003" w:rsidRPr="000400EB" w14:paraId="4DF6344A" w14:textId="77777777" w:rsidTr="00565EA5">
        <w:trPr>
          <w:cantSplit/>
          <w:trHeight w:val="191"/>
        </w:trPr>
        <w:tc>
          <w:tcPr>
            <w:tcW w:w="2552" w:type="dxa"/>
            <w:tcBorders>
              <w:top w:val="nil"/>
              <w:left w:val="nil"/>
              <w:bottom w:val="nil"/>
              <w:right w:val="nil"/>
            </w:tcBorders>
            <w:shd w:val="clear" w:color="auto" w:fill="auto"/>
          </w:tcPr>
          <w:p w14:paraId="7A1A4EAD" w14:textId="77777777" w:rsidR="00C51003" w:rsidRPr="000400EB" w:rsidRDefault="00C51003" w:rsidP="00170BC7">
            <w:pPr>
              <w:autoSpaceDE w:val="0"/>
              <w:autoSpaceDN w:val="0"/>
              <w:adjustRightInd w:val="0"/>
              <w:spacing w:after="0" w:line="240" w:lineRule="auto"/>
              <w:ind w:right="60"/>
              <w:rPr>
                <w:rFonts w:cstheme="minorHAnsi"/>
                <w:b/>
                <w:color w:val="000000" w:themeColor="text1"/>
              </w:rPr>
            </w:pPr>
            <w:r w:rsidRPr="000400EB">
              <w:rPr>
                <w:rFonts w:cstheme="minorHAnsi"/>
                <w:b/>
                <w:color w:val="000000" w:themeColor="text1"/>
              </w:rPr>
              <w:t>Sensitivity</w:t>
            </w:r>
          </w:p>
        </w:tc>
        <w:tc>
          <w:tcPr>
            <w:tcW w:w="1276" w:type="dxa"/>
            <w:tcBorders>
              <w:top w:val="nil"/>
              <w:left w:val="nil"/>
              <w:bottom w:val="nil"/>
              <w:right w:val="nil"/>
            </w:tcBorders>
            <w:shd w:val="clear" w:color="auto" w:fill="FFFFFF"/>
          </w:tcPr>
          <w:p w14:paraId="5E494359"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0.77</w:t>
            </w:r>
          </w:p>
        </w:tc>
        <w:tc>
          <w:tcPr>
            <w:tcW w:w="1046" w:type="dxa"/>
            <w:tcBorders>
              <w:top w:val="nil"/>
              <w:left w:val="nil"/>
              <w:bottom w:val="nil"/>
              <w:right w:val="nil"/>
            </w:tcBorders>
            <w:shd w:val="clear" w:color="auto" w:fill="FFFFFF"/>
            <w:vAlign w:val="center"/>
          </w:tcPr>
          <w:p w14:paraId="3BA9A67E" w14:textId="77777777" w:rsidR="00C51003" w:rsidRPr="000400EB" w:rsidRDefault="00C51003" w:rsidP="00170BC7">
            <w:pPr>
              <w:tabs>
                <w:tab w:val="center" w:pos="636"/>
                <w:tab w:val="right" w:pos="1213"/>
              </w:tabs>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0.76</w:t>
            </w:r>
          </w:p>
        </w:tc>
        <w:tc>
          <w:tcPr>
            <w:tcW w:w="1701" w:type="dxa"/>
            <w:tcBorders>
              <w:top w:val="nil"/>
              <w:left w:val="nil"/>
              <w:bottom w:val="nil"/>
              <w:right w:val="nil"/>
            </w:tcBorders>
            <w:shd w:val="clear" w:color="auto" w:fill="auto"/>
          </w:tcPr>
          <w:p w14:paraId="7664FE98"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0.01*</w:t>
            </w:r>
          </w:p>
        </w:tc>
        <w:tc>
          <w:tcPr>
            <w:tcW w:w="1599" w:type="dxa"/>
            <w:tcBorders>
              <w:top w:val="nil"/>
              <w:left w:val="nil"/>
              <w:bottom w:val="nil"/>
              <w:right w:val="nil"/>
            </w:tcBorders>
          </w:tcPr>
          <w:p w14:paraId="1B8810B8"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0.01*</w:t>
            </w:r>
          </w:p>
        </w:tc>
      </w:tr>
      <w:tr w:rsidR="00C51003" w:rsidRPr="000400EB" w14:paraId="49BA1186" w14:textId="77777777" w:rsidTr="00565EA5">
        <w:trPr>
          <w:cantSplit/>
          <w:trHeight w:val="191"/>
        </w:trPr>
        <w:tc>
          <w:tcPr>
            <w:tcW w:w="8174" w:type="dxa"/>
            <w:gridSpan w:val="5"/>
            <w:tcBorders>
              <w:top w:val="nil"/>
              <w:left w:val="nil"/>
              <w:bottom w:val="nil"/>
              <w:right w:val="nil"/>
            </w:tcBorders>
            <w:shd w:val="clear" w:color="auto" w:fill="auto"/>
          </w:tcPr>
          <w:p w14:paraId="7940E5BA" w14:textId="77777777" w:rsidR="00C51003" w:rsidRPr="000400EB" w:rsidRDefault="00C51003" w:rsidP="00C51003">
            <w:pPr>
              <w:autoSpaceDE w:val="0"/>
              <w:autoSpaceDN w:val="0"/>
              <w:adjustRightInd w:val="0"/>
              <w:spacing w:after="0" w:line="240" w:lineRule="auto"/>
              <w:ind w:left="60" w:right="60"/>
              <w:rPr>
                <w:rFonts w:cstheme="minorHAnsi"/>
                <w:color w:val="000000" w:themeColor="text1"/>
              </w:rPr>
            </w:pPr>
            <w:r w:rsidRPr="000400EB">
              <w:rPr>
                <w:rFonts w:cstheme="minorHAnsi"/>
                <w:i/>
                <w:color w:val="000000" w:themeColor="text1"/>
              </w:rPr>
              <w:t>Adaptive capacity indicators</w:t>
            </w:r>
          </w:p>
        </w:tc>
      </w:tr>
      <w:tr w:rsidR="00C51003" w:rsidRPr="000400EB" w14:paraId="61244C77" w14:textId="77777777" w:rsidTr="00565EA5">
        <w:trPr>
          <w:cantSplit/>
          <w:trHeight w:val="306"/>
        </w:trPr>
        <w:tc>
          <w:tcPr>
            <w:tcW w:w="2552" w:type="dxa"/>
            <w:tcBorders>
              <w:top w:val="nil"/>
              <w:left w:val="nil"/>
              <w:bottom w:val="nil"/>
              <w:right w:val="nil"/>
            </w:tcBorders>
            <w:shd w:val="clear" w:color="auto" w:fill="auto"/>
          </w:tcPr>
          <w:p w14:paraId="023F0C63" w14:textId="77777777" w:rsidR="00C51003" w:rsidRPr="000400EB" w:rsidRDefault="00C51003" w:rsidP="00CA1A1D">
            <w:pPr>
              <w:autoSpaceDE w:val="0"/>
              <w:autoSpaceDN w:val="0"/>
              <w:adjustRightInd w:val="0"/>
              <w:spacing w:after="0" w:line="240" w:lineRule="auto"/>
              <w:ind w:left="281" w:right="60"/>
              <w:contextualSpacing/>
              <w:rPr>
                <w:rFonts w:cstheme="minorHAnsi"/>
                <w:color w:val="000000" w:themeColor="text1"/>
              </w:rPr>
            </w:pPr>
            <w:r w:rsidRPr="000400EB">
              <w:rPr>
                <w:rFonts w:cstheme="minorHAnsi"/>
                <w:color w:val="000000" w:themeColor="text1"/>
              </w:rPr>
              <w:t>Use of technology</w:t>
            </w:r>
          </w:p>
        </w:tc>
        <w:tc>
          <w:tcPr>
            <w:tcW w:w="1276" w:type="dxa"/>
            <w:tcBorders>
              <w:top w:val="nil"/>
              <w:left w:val="nil"/>
              <w:bottom w:val="nil"/>
              <w:right w:val="nil"/>
            </w:tcBorders>
          </w:tcPr>
          <w:p w14:paraId="47CAE91D"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0.35</w:t>
            </w:r>
          </w:p>
        </w:tc>
        <w:tc>
          <w:tcPr>
            <w:tcW w:w="1046" w:type="dxa"/>
            <w:tcBorders>
              <w:top w:val="nil"/>
              <w:left w:val="nil"/>
              <w:bottom w:val="nil"/>
              <w:right w:val="nil"/>
            </w:tcBorders>
          </w:tcPr>
          <w:p w14:paraId="4E5DCB63"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0.97</w:t>
            </w:r>
          </w:p>
        </w:tc>
        <w:tc>
          <w:tcPr>
            <w:tcW w:w="1701" w:type="dxa"/>
            <w:tcBorders>
              <w:top w:val="nil"/>
              <w:left w:val="nil"/>
              <w:bottom w:val="nil"/>
              <w:right w:val="nil"/>
            </w:tcBorders>
            <w:shd w:val="clear" w:color="auto" w:fill="auto"/>
          </w:tcPr>
          <w:p w14:paraId="7F507B3D"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0.08</w:t>
            </w:r>
          </w:p>
        </w:tc>
        <w:tc>
          <w:tcPr>
            <w:tcW w:w="1599" w:type="dxa"/>
            <w:tcBorders>
              <w:top w:val="nil"/>
              <w:left w:val="nil"/>
              <w:bottom w:val="nil"/>
              <w:right w:val="nil"/>
            </w:tcBorders>
          </w:tcPr>
          <w:p w14:paraId="4D94D10A"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0.06</w:t>
            </w:r>
          </w:p>
        </w:tc>
      </w:tr>
      <w:tr w:rsidR="00C51003" w:rsidRPr="000400EB" w14:paraId="20F94692" w14:textId="77777777" w:rsidTr="00565EA5">
        <w:trPr>
          <w:cantSplit/>
          <w:trHeight w:val="202"/>
        </w:trPr>
        <w:tc>
          <w:tcPr>
            <w:tcW w:w="2552" w:type="dxa"/>
            <w:tcBorders>
              <w:top w:val="nil"/>
              <w:left w:val="nil"/>
              <w:bottom w:val="nil"/>
              <w:right w:val="nil"/>
            </w:tcBorders>
            <w:shd w:val="clear" w:color="auto" w:fill="auto"/>
          </w:tcPr>
          <w:p w14:paraId="48965748" w14:textId="77777777" w:rsidR="00C51003" w:rsidRPr="000400EB" w:rsidRDefault="00C51003" w:rsidP="00CA1A1D">
            <w:pPr>
              <w:autoSpaceDE w:val="0"/>
              <w:autoSpaceDN w:val="0"/>
              <w:adjustRightInd w:val="0"/>
              <w:spacing w:after="0" w:line="240" w:lineRule="auto"/>
              <w:ind w:left="281" w:right="60"/>
              <w:contextualSpacing/>
              <w:rPr>
                <w:rFonts w:cstheme="minorHAnsi"/>
                <w:color w:val="000000" w:themeColor="text1"/>
              </w:rPr>
            </w:pPr>
            <w:r w:rsidRPr="000400EB">
              <w:rPr>
                <w:rFonts w:cstheme="minorHAnsi"/>
                <w:color w:val="000000" w:themeColor="text1"/>
              </w:rPr>
              <w:t>Social capital</w:t>
            </w:r>
          </w:p>
        </w:tc>
        <w:tc>
          <w:tcPr>
            <w:tcW w:w="1276" w:type="dxa"/>
            <w:tcBorders>
              <w:top w:val="nil"/>
              <w:left w:val="nil"/>
              <w:bottom w:val="nil"/>
              <w:right w:val="nil"/>
            </w:tcBorders>
            <w:shd w:val="clear" w:color="auto" w:fill="FFFFFF"/>
          </w:tcPr>
          <w:p w14:paraId="4A9F4E21"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0.01*</w:t>
            </w:r>
          </w:p>
        </w:tc>
        <w:tc>
          <w:tcPr>
            <w:tcW w:w="1046" w:type="dxa"/>
            <w:tcBorders>
              <w:top w:val="nil"/>
              <w:left w:val="nil"/>
              <w:bottom w:val="nil"/>
              <w:right w:val="nil"/>
            </w:tcBorders>
            <w:shd w:val="clear" w:color="auto" w:fill="FFFFFF"/>
          </w:tcPr>
          <w:p w14:paraId="5C85342F"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0.82</w:t>
            </w:r>
          </w:p>
        </w:tc>
        <w:tc>
          <w:tcPr>
            <w:tcW w:w="1701" w:type="dxa"/>
            <w:tcBorders>
              <w:top w:val="nil"/>
              <w:left w:val="nil"/>
              <w:bottom w:val="nil"/>
              <w:right w:val="nil"/>
            </w:tcBorders>
            <w:shd w:val="clear" w:color="auto" w:fill="auto"/>
          </w:tcPr>
          <w:p w14:paraId="7D2FD400"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0.01*</w:t>
            </w:r>
          </w:p>
        </w:tc>
        <w:tc>
          <w:tcPr>
            <w:tcW w:w="1599" w:type="dxa"/>
            <w:tcBorders>
              <w:top w:val="nil"/>
              <w:left w:val="nil"/>
              <w:bottom w:val="nil"/>
              <w:right w:val="nil"/>
            </w:tcBorders>
          </w:tcPr>
          <w:p w14:paraId="2EE4F78A"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0.01*</w:t>
            </w:r>
          </w:p>
        </w:tc>
      </w:tr>
      <w:tr w:rsidR="00C51003" w:rsidRPr="000400EB" w14:paraId="35D5E9FA" w14:textId="77777777" w:rsidTr="00565EA5">
        <w:trPr>
          <w:cantSplit/>
          <w:trHeight w:val="191"/>
        </w:trPr>
        <w:tc>
          <w:tcPr>
            <w:tcW w:w="2552" w:type="dxa"/>
            <w:tcBorders>
              <w:top w:val="nil"/>
              <w:left w:val="nil"/>
              <w:bottom w:val="nil"/>
              <w:right w:val="nil"/>
            </w:tcBorders>
            <w:shd w:val="clear" w:color="auto" w:fill="auto"/>
          </w:tcPr>
          <w:p w14:paraId="161515ED" w14:textId="77777777" w:rsidR="00C51003" w:rsidRPr="000400EB" w:rsidRDefault="00C51003" w:rsidP="00CA1A1D">
            <w:pPr>
              <w:autoSpaceDE w:val="0"/>
              <w:autoSpaceDN w:val="0"/>
              <w:adjustRightInd w:val="0"/>
              <w:spacing w:after="0" w:line="240" w:lineRule="auto"/>
              <w:ind w:left="281" w:right="60"/>
              <w:contextualSpacing/>
              <w:rPr>
                <w:rFonts w:cstheme="minorHAnsi"/>
                <w:color w:val="000000" w:themeColor="text1"/>
              </w:rPr>
            </w:pPr>
            <w:r w:rsidRPr="000400EB">
              <w:rPr>
                <w:rFonts w:cstheme="minorHAnsi"/>
                <w:color w:val="000000" w:themeColor="text1"/>
              </w:rPr>
              <w:t>Financial capital</w:t>
            </w:r>
          </w:p>
        </w:tc>
        <w:tc>
          <w:tcPr>
            <w:tcW w:w="1276" w:type="dxa"/>
            <w:tcBorders>
              <w:top w:val="nil"/>
              <w:left w:val="nil"/>
              <w:bottom w:val="nil"/>
              <w:right w:val="nil"/>
            </w:tcBorders>
            <w:shd w:val="clear" w:color="auto" w:fill="FFFFFF"/>
          </w:tcPr>
          <w:p w14:paraId="41F6D221"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0.51</w:t>
            </w:r>
          </w:p>
        </w:tc>
        <w:tc>
          <w:tcPr>
            <w:tcW w:w="1046" w:type="dxa"/>
            <w:tcBorders>
              <w:top w:val="nil"/>
              <w:left w:val="nil"/>
              <w:bottom w:val="nil"/>
              <w:right w:val="nil"/>
            </w:tcBorders>
            <w:shd w:val="clear" w:color="auto" w:fill="FFFFFF"/>
          </w:tcPr>
          <w:p w14:paraId="34E81C32"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0.85</w:t>
            </w:r>
          </w:p>
        </w:tc>
        <w:tc>
          <w:tcPr>
            <w:tcW w:w="1701" w:type="dxa"/>
            <w:tcBorders>
              <w:top w:val="nil"/>
              <w:left w:val="nil"/>
              <w:bottom w:val="nil"/>
              <w:right w:val="nil"/>
            </w:tcBorders>
            <w:shd w:val="clear" w:color="auto" w:fill="auto"/>
          </w:tcPr>
          <w:p w14:paraId="478E8CB2"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0.01*</w:t>
            </w:r>
          </w:p>
        </w:tc>
        <w:tc>
          <w:tcPr>
            <w:tcW w:w="1599" w:type="dxa"/>
            <w:tcBorders>
              <w:top w:val="nil"/>
              <w:left w:val="nil"/>
              <w:bottom w:val="nil"/>
              <w:right w:val="nil"/>
            </w:tcBorders>
          </w:tcPr>
          <w:p w14:paraId="42B85D09"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0.01*</w:t>
            </w:r>
          </w:p>
        </w:tc>
      </w:tr>
      <w:tr w:rsidR="00C51003" w:rsidRPr="000400EB" w14:paraId="180A9563" w14:textId="77777777" w:rsidTr="00565EA5">
        <w:trPr>
          <w:cantSplit/>
          <w:trHeight w:val="191"/>
        </w:trPr>
        <w:tc>
          <w:tcPr>
            <w:tcW w:w="2552" w:type="dxa"/>
            <w:tcBorders>
              <w:top w:val="nil"/>
              <w:left w:val="nil"/>
              <w:bottom w:val="nil"/>
              <w:right w:val="nil"/>
            </w:tcBorders>
            <w:shd w:val="clear" w:color="auto" w:fill="auto"/>
          </w:tcPr>
          <w:p w14:paraId="6A7DEF23" w14:textId="77777777" w:rsidR="00C51003" w:rsidRPr="000400EB" w:rsidRDefault="00C51003" w:rsidP="00CA1A1D">
            <w:pPr>
              <w:autoSpaceDE w:val="0"/>
              <w:autoSpaceDN w:val="0"/>
              <w:adjustRightInd w:val="0"/>
              <w:spacing w:after="0" w:line="240" w:lineRule="auto"/>
              <w:ind w:left="281" w:right="60"/>
              <w:contextualSpacing/>
              <w:rPr>
                <w:rFonts w:cstheme="minorHAnsi"/>
                <w:color w:val="000000" w:themeColor="text1"/>
              </w:rPr>
            </w:pPr>
            <w:r w:rsidRPr="000400EB">
              <w:rPr>
                <w:rFonts w:cstheme="minorHAnsi"/>
                <w:color w:val="000000" w:themeColor="text1"/>
              </w:rPr>
              <w:t>Monthly income (GS)</w:t>
            </w:r>
          </w:p>
        </w:tc>
        <w:tc>
          <w:tcPr>
            <w:tcW w:w="1276" w:type="dxa"/>
            <w:tcBorders>
              <w:top w:val="nil"/>
              <w:left w:val="nil"/>
              <w:bottom w:val="nil"/>
              <w:right w:val="nil"/>
            </w:tcBorders>
            <w:shd w:val="clear" w:color="auto" w:fill="FFFFFF"/>
          </w:tcPr>
          <w:p w14:paraId="7C4C1150"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0.01*</w:t>
            </w:r>
          </w:p>
        </w:tc>
        <w:tc>
          <w:tcPr>
            <w:tcW w:w="1046" w:type="dxa"/>
            <w:tcBorders>
              <w:top w:val="nil"/>
              <w:left w:val="nil"/>
              <w:bottom w:val="nil"/>
              <w:right w:val="nil"/>
            </w:tcBorders>
            <w:shd w:val="clear" w:color="auto" w:fill="FFFFFF"/>
          </w:tcPr>
          <w:p w14:paraId="0D413715"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0.03*</w:t>
            </w:r>
          </w:p>
        </w:tc>
        <w:tc>
          <w:tcPr>
            <w:tcW w:w="1701" w:type="dxa"/>
            <w:tcBorders>
              <w:top w:val="nil"/>
              <w:left w:val="nil"/>
              <w:bottom w:val="nil"/>
              <w:right w:val="nil"/>
            </w:tcBorders>
            <w:shd w:val="clear" w:color="auto" w:fill="auto"/>
          </w:tcPr>
          <w:p w14:paraId="19EACE6A"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0.14</w:t>
            </w:r>
          </w:p>
        </w:tc>
        <w:tc>
          <w:tcPr>
            <w:tcW w:w="1599" w:type="dxa"/>
            <w:tcBorders>
              <w:top w:val="nil"/>
              <w:left w:val="nil"/>
              <w:bottom w:val="nil"/>
              <w:right w:val="nil"/>
            </w:tcBorders>
          </w:tcPr>
          <w:p w14:paraId="5FFD6B4F"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0.62</w:t>
            </w:r>
          </w:p>
        </w:tc>
      </w:tr>
      <w:tr w:rsidR="00C51003" w:rsidRPr="000400EB" w14:paraId="247FB8C6" w14:textId="77777777" w:rsidTr="00565EA5">
        <w:trPr>
          <w:cantSplit/>
          <w:trHeight w:val="191"/>
        </w:trPr>
        <w:tc>
          <w:tcPr>
            <w:tcW w:w="2552" w:type="dxa"/>
            <w:tcBorders>
              <w:top w:val="nil"/>
              <w:left w:val="nil"/>
              <w:bottom w:val="nil"/>
              <w:right w:val="nil"/>
            </w:tcBorders>
            <w:shd w:val="clear" w:color="auto" w:fill="auto"/>
          </w:tcPr>
          <w:p w14:paraId="6911A8B7" w14:textId="77777777" w:rsidR="00C51003" w:rsidRPr="000400EB" w:rsidRDefault="00C51003" w:rsidP="00CA1A1D">
            <w:pPr>
              <w:autoSpaceDE w:val="0"/>
              <w:autoSpaceDN w:val="0"/>
              <w:adjustRightInd w:val="0"/>
              <w:spacing w:after="0" w:line="240" w:lineRule="auto"/>
              <w:ind w:left="281" w:right="60"/>
              <w:contextualSpacing/>
              <w:rPr>
                <w:rFonts w:cstheme="minorHAnsi"/>
                <w:color w:val="000000" w:themeColor="text1"/>
              </w:rPr>
            </w:pPr>
            <w:r w:rsidRPr="000400EB">
              <w:rPr>
                <w:rFonts w:cstheme="minorHAnsi"/>
                <w:color w:val="000000" w:themeColor="text1"/>
              </w:rPr>
              <w:t>Monthly Income (BS)</w:t>
            </w:r>
          </w:p>
        </w:tc>
        <w:tc>
          <w:tcPr>
            <w:tcW w:w="1276" w:type="dxa"/>
            <w:tcBorders>
              <w:top w:val="nil"/>
              <w:left w:val="nil"/>
              <w:bottom w:val="nil"/>
              <w:right w:val="nil"/>
            </w:tcBorders>
            <w:shd w:val="clear" w:color="auto" w:fill="FFFFFF"/>
          </w:tcPr>
          <w:p w14:paraId="658265B2"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0.01*</w:t>
            </w:r>
          </w:p>
        </w:tc>
        <w:tc>
          <w:tcPr>
            <w:tcW w:w="1046" w:type="dxa"/>
            <w:tcBorders>
              <w:top w:val="nil"/>
              <w:left w:val="nil"/>
              <w:bottom w:val="nil"/>
              <w:right w:val="nil"/>
            </w:tcBorders>
            <w:shd w:val="clear" w:color="auto" w:fill="FFFFFF"/>
          </w:tcPr>
          <w:p w14:paraId="5684491C"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0.76</w:t>
            </w:r>
          </w:p>
        </w:tc>
        <w:tc>
          <w:tcPr>
            <w:tcW w:w="1701" w:type="dxa"/>
            <w:tcBorders>
              <w:top w:val="nil"/>
              <w:left w:val="nil"/>
              <w:bottom w:val="nil"/>
              <w:right w:val="nil"/>
            </w:tcBorders>
            <w:shd w:val="clear" w:color="auto" w:fill="auto"/>
          </w:tcPr>
          <w:p w14:paraId="2BF5A325"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0.97</w:t>
            </w:r>
          </w:p>
        </w:tc>
        <w:tc>
          <w:tcPr>
            <w:tcW w:w="1599" w:type="dxa"/>
            <w:tcBorders>
              <w:top w:val="nil"/>
              <w:left w:val="nil"/>
              <w:bottom w:val="nil"/>
              <w:right w:val="nil"/>
            </w:tcBorders>
          </w:tcPr>
          <w:p w14:paraId="09809278"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0.92</w:t>
            </w:r>
          </w:p>
        </w:tc>
      </w:tr>
      <w:tr w:rsidR="00C51003" w:rsidRPr="000400EB" w14:paraId="14B1BA63" w14:textId="77777777" w:rsidTr="00565EA5">
        <w:trPr>
          <w:cantSplit/>
          <w:trHeight w:val="191"/>
        </w:trPr>
        <w:tc>
          <w:tcPr>
            <w:tcW w:w="2552" w:type="dxa"/>
            <w:tcBorders>
              <w:top w:val="nil"/>
              <w:left w:val="nil"/>
              <w:bottom w:val="nil"/>
              <w:right w:val="nil"/>
            </w:tcBorders>
            <w:shd w:val="clear" w:color="auto" w:fill="auto"/>
          </w:tcPr>
          <w:p w14:paraId="52E039BA" w14:textId="77777777" w:rsidR="00C51003" w:rsidRPr="000400EB" w:rsidRDefault="00C51003" w:rsidP="00CA1A1D">
            <w:pPr>
              <w:autoSpaceDE w:val="0"/>
              <w:autoSpaceDN w:val="0"/>
              <w:adjustRightInd w:val="0"/>
              <w:spacing w:after="0" w:line="240" w:lineRule="auto"/>
              <w:ind w:left="281" w:right="60"/>
              <w:contextualSpacing/>
              <w:rPr>
                <w:rFonts w:cstheme="minorHAnsi"/>
                <w:color w:val="000000" w:themeColor="text1"/>
              </w:rPr>
            </w:pPr>
            <w:r w:rsidRPr="000400EB">
              <w:rPr>
                <w:rFonts w:cstheme="minorHAnsi"/>
                <w:color w:val="000000" w:themeColor="text1"/>
              </w:rPr>
              <w:t>Physical capital</w:t>
            </w:r>
          </w:p>
        </w:tc>
        <w:tc>
          <w:tcPr>
            <w:tcW w:w="1276" w:type="dxa"/>
            <w:tcBorders>
              <w:top w:val="nil"/>
              <w:left w:val="nil"/>
              <w:bottom w:val="nil"/>
              <w:right w:val="nil"/>
            </w:tcBorders>
            <w:shd w:val="clear" w:color="auto" w:fill="FFFFFF"/>
          </w:tcPr>
          <w:p w14:paraId="7F137E71"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0.13</w:t>
            </w:r>
          </w:p>
        </w:tc>
        <w:tc>
          <w:tcPr>
            <w:tcW w:w="1046" w:type="dxa"/>
            <w:tcBorders>
              <w:top w:val="nil"/>
              <w:left w:val="nil"/>
              <w:bottom w:val="nil"/>
              <w:right w:val="nil"/>
            </w:tcBorders>
            <w:shd w:val="clear" w:color="auto" w:fill="FFFFFF"/>
          </w:tcPr>
          <w:p w14:paraId="29E6A824"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0.95</w:t>
            </w:r>
          </w:p>
        </w:tc>
        <w:tc>
          <w:tcPr>
            <w:tcW w:w="1701" w:type="dxa"/>
            <w:tcBorders>
              <w:top w:val="nil"/>
              <w:left w:val="nil"/>
              <w:bottom w:val="nil"/>
              <w:right w:val="nil"/>
            </w:tcBorders>
            <w:shd w:val="clear" w:color="auto" w:fill="auto"/>
          </w:tcPr>
          <w:p w14:paraId="10CD46EC"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0.04*</w:t>
            </w:r>
          </w:p>
        </w:tc>
        <w:tc>
          <w:tcPr>
            <w:tcW w:w="1599" w:type="dxa"/>
            <w:tcBorders>
              <w:top w:val="nil"/>
              <w:left w:val="nil"/>
              <w:bottom w:val="nil"/>
              <w:right w:val="nil"/>
            </w:tcBorders>
          </w:tcPr>
          <w:p w14:paraId="2E26770B"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0.17</w:t>
            </w:r>
          </w:p>
        </w:tc>
      </w:tr>
      <w:tr w:rsidR="00C51003" w:rsidRPr="000400EB" w14:paraId="37C2EF7D" w14:textId="77777777" w:rsidTr="00565EA5">
        <w:trPr>
          <w:cantSplit/>
          <w:trHeight w:val="189"/>
        </w:trPr>
        <w:tc>
          <w:tcPr>
            <w:tcW w:w="2552" w:type="dxa"/>
            <w:tcBorders>
              <w:top w:val="nil"/>
              <w:left w:val="nil"/>
              <w:bottom w:val="nil"/>
              <w:right w:val="nil"/>
            </w:tcBorders>
            <w:shd w:val="clear" w:color="auto" w:fill="auto"/>
          </w:tcPr>
          <w:p w14:paraId="01483632" w14:textId="77777777" w:rsidR="00C51003" w:rsidRPr="000400EB" w:rsidRDefault="00C51003" w:rsidP="00CA1A1D">
            <w:pPr>
              <w:autoSpaceDE w:val="0"/>
              <w:autoSpaceDN w:val="0"/>
              <w:adjustRightInd w:val="0"/>
              <w:spacing w:after="0" w:line="240" w:lineRule="auto"/>
              <w:ind w:left="281" w:right="60"/>
              <w:contextualSpacing/>
              <w:rPr>
                <w:rFonts w:cstheme="minorHAnsi"/>
                <w:color w:val="000000" w:themeColor="text1"/>
              </w:rPr>
            </w:pPr>
            <w:r w:rsidRPr="000400EB">
              <w:rPr>
                <w:rFonts w:cstheme="minorHAnsi"/>
                <w:color w:val="000000" w:themeColor="text1"/>
              </w:rPr>
              <w:t>Management approach</w:t>
            </w:r>
          </w:p>
        </w:tc>
        <w:tc>
          <w:tcPr>
            <w:tcW w:w="1276" w:type="dxa"/>
            <w:tcBorders>
              <w:top w:val="nil"/>
              <w:left w:val="nil"/>
              <w:bottom w:val="nil"/>
              <w:right w:val="nil"/>
            </w:tcBorders>
            <w:shd w:val="clear" w:color="auto" w:fill="FFFFFF"/>
          </w:tcPr>
          <w:p w14:paraId="4A53C18E"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0.05*</w:t>
            </w:r>
          </w:p>
        </w:tc>
        <w:tc>
          <w:tcPr>
            <w:tcW w:w="1046" w:type="dxa"/>
            <w:tcBorders>
              <w:top w:val="nil"/>
              <w:left w:val="nil"/>
              <w:bottom w:val="nil"/>
              <w:right w:val="nil"/>
            </w:tcBorders>
            <w:shd w:val="clear" w:color="auto" w:fill="FFFFFF"/>
          </w:tcPr>
          <w:p w14:paraId="0A353091"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0.03*</w:t>
            </w:r>
          </w:p>
        </w:tc>
        <w:tc>
          <w:tcPr>
            <w:tcW w:w="1701" w:type="dxa"/>
            <w:tcBorders>
              <w:top w:val="nil"/>
              <w:left w:val="nil"/>
              <w:bottom w:val="nil"/>
              <w:right w:val="nil"/>
            </w:tcBorders>
            <w:shd w:val="clear" w:color="auto" w:fill="auto"/>
          </w:tcPr>
          <w:p w14:paraId="3594F0A9"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0.54</w:t>
            </w:r>
          </w:p>
        </w:tc>
        <w:tc>
          <w:tcPr>
            <w:tcW w:w="1599" w:type="dxa"/>
            <w:tcBorders>
              <w:top w:val="nil"/>
              <w:left w:val="nil"/>
              <w:bottom w:val="nil"/>
              <w:right w:val="nil"/>
            </w:tcBorders>
          </w:tcPr>
          <w:p w14:paraId="2DE14FE6"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0.63</w:t>
            </w:r>
          </w:p>
        </w:tc>
      </w:tr>
      <w:tr w:rsidR="00C51003" w:rsidRPr="000400EB" w14:paraId="324C1B04" w14:textId="77777777" w:rsidTr="00565EA5">
        <w:trPr>
          <w:cantSplit/>
          <w:trHeight w:val="202"/>
        </w:trPr>
        <w:tc>
          <w:tcPr>
            <w:tcW w:w="2552" w:type="dxa"/>
            <w:tcBorders>
              <w:top w:val="nil"/>
              <w:left w:val="nil"/>
              <w:bottom w:val="nil"/>
              <w:right w:val="nil"/>
            </w:tcBorders>
            <w:shd w:val="clear" w:color="auto" w:fill="auto"/>
          </w:tcPr>
          <w:p w14:paraId="4C6A6C72" w14:textId="77777777" w:rsidR="00C51003" w:rsidRPr="000400EB" w:rsidRDefault="00C51003" w:rsidP="00CA1A1D">
            <w:pPr>
              <w:autoSpaceDE w:val="0"/>
              <w:autoSpaceDN w:val="0"/>
              <w:adjustRightInd w:val="0"/>
              <w:spacing w:after="0" w:line="240" w:lineRule="auto"/>
              <w:ind w:left="281" w:right="60"/>
              <w:contextualSpacing/>
              <w:rPr>
                <w:rFonts w:cstheme="minorHAnsi"/>
                <w:color w:val="000000" w:themeColor="text1"/>
              </w:rPr>
            </w:pPr>
            <w:r w:rsidRPr="000400EB">
              <w:rPr>
                <w:rFonts w:cstheme="minorHAnsi"/>
                <w:color w:val="000000" w:themeColor="text1"/>
              </w:rPr>
              <w:t>Human capital</w:t>
            </w:r>
          </w:p>
        </w:tc>
        <w:tc>
          <w:tcPr>
            <w:tcW w:w="1276" w:type="dxa"/>
            <w:tcBorders>
              <w:top w:val="nil"/>
              <w:left w:val="nil"/>
              <w:bottom w:val="nil"/>
              <w:right w:val="nil"/>
            </w:tcBorders>
            <w:shd w:val="clear" w:color="auto" w:fill="FFFFFF"/>
          </w:tcPr>
          <w:p w14:paraId="29CF29AE"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0.03*</w:t>
            </w:r>
          </w:p>
        </w:tc>
        <w:tc>
          <w:tcPr>
            <w:tcW w:w="1046" w:type="dxa"/>
            <w:tcBorders>
              <w:top w:val="nil"/>
              <w:left w:val="nil"/>
              <w:bottom w:val="nil"/>
              <w:right w:val="nil"/>
            </w:tcBorders>
            <w:shd w:val="clear" w:color="auto" w:fill="FFFFFF"/>
          </w:tcPr>
          <w:p w14:paraId="0B7ED101"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0.52</w:t>
            </w:r>
          </w:p>
        </w:tc>
        <w:tc>
          <w:tcPr>
            <w:tcW w:w="1701" w:type="dxa"/>
            <w:tcBorders>
              <w:top w:val="nil"/>
              <w:left w:val="nil"/>
              <w:bottom w:val="nil"/>
              <w:right w:val="nil"/>
            </w:tcBorders>
            <w:shd w:val="clear" w:color="auto" w:fill="auto"/>
          </w:tcPr>
          <w:p w14:paraId="1B24D035"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0.07</w:t>
            </w:r>
          </w:p>
        </w:tc>
        <w:tc>
          <w:tcPr>
            <w:tcW w:w="1599" w:type="dxa"/>
            <w:tcBorders>
              <w:top w:val="nil"/>
              <w:left w:val="nil"/>
              <w:bottom w:val="nil"/>
              <w:right w:val="nil"/>
            </w:tcBorders>
          </w:tcPr>
          <w:p w14:paraId="6E54479C"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0.02*</w:t>
            </w:r>
          </w:p>
        </w:tc>
      </w:tr>
      <w:tr w:rsidR="00C51003" w:rsidRPr="000400EB" w14:paraId="27D8F442" w14:textId="77777777" w:rsidTr="00565EA5">
        <w:trPr>
          <w:cantSplit/>
          <w:trHeight w:val="191"/>
        </w:trPr>
        <w:tc>
          <w:tcPr>
            <w:tcW w:w="2552" w:type="dxa"/>
            <w:tcBorders>
              <w:top w:val="nil"/>
              <w:left w:val="nil"/>
              <w:bottom w:val="nil"/>
              <w:right w:val="nil"/>
            </w:tcBorders>
            <w:shd w:val="clear" w:color="auto" w:fill="auto"/>
          </w:tcPr>
          <w:p w14:paraId="2CB53F4C" w14:textId="77777777" w:rsidR="00C51003" w:rsidRPr="000400EB" w:rsidRDefault="00C51003" w:rsidP="00CA1A1D">
            <w:pPr>
              <w:autoSpaceDE w:val="0"/>
              <w:autoSpaceDN w:val="0"/>
              <w:adjustRightInd w:val="0"/>
              <w:spacing w:after="0" w:line="240" w:lineRule="auto"/>
              <w:ind w:left="281" w:right="60"/>
              <w:contextualSpacing/>
              <w:rPr>
                <w:rFonts w:cstheme="minorHAnsi"/>
                <w:color w:val="000000" w:themeColor="text1"/>
              </w:rPr>
            </w:pPr>
            <w:r w:rsidRPr="000400EB">
              <w:rPr>
                <w:rFonts w:cstheme="minorHAnsi"/>
                <w:color w:val="000000" w:themeColor="text1"/>
              </w:rPr>
              <w:t>Workforce</w:t>
            </w:r>
          </w:p>
        </w:tc>
        <w:tc>
          <w:tcPr>
            <w:tcW w:w="1276" w:type="dxa"/>
            <w:tcBorders>
              <w:top w:val="nil"/>
              <w:left w:val="nil"/>
              <w:bottom w:val="nil"/>
              <w:right w:val="nil"/>
            </w:tcBorders>
            <w:shd w:val="clear" w:color="auto" w:fill="FFFFFF"/>
          </w:tcPr>
          <w:p w14:paraId="404A0E17"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0.96</w:t>
            </w:r>
          </w:p>
        </w:tc>
        <w:tc>
          <w:tcPr>
            <w:tcW w:w="1046" w:type="dxa"/>
            <w:tcBorders>
              <w:top w:val="nil"/>
              <w:left w:val="nil"/>
              <w:bottom w:val="nil"/>
              <w:right w:val="nil"/>
            </w:tcBorders>
            <w:shd w:val="clear" w:color="auto" w:fill="FFFFFF"/>
          </w:tcPr>
          <w:p w14:paraId="740B6D22"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0.68</w:t>
            </w:r>
          </w:p>
        </w:tc>
        <w:tc>
          <w:tcPr>
            <w:tcW w:w="1701" w:type="dxa"/>
            <w:tcBorders>
              <w:top w:val="nil"/>
              <w:left w:val="nil"/>
              <w:bottom w:val="nil"/>
              <w:right w:val="nil"/>
            </w:tcBorders>
            <w:shd w:val="clear" w:color="auto" w:fill="auto"/>
          </w:tcPr>
          <w:p w14:paraId="756696F4"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0.03*</w:t>
            </w:r>
          </w:p>
        </w:tc>
        <w:tc>
          <w:tcPr>
            <w:tcW w:w="1599" w:type="dxa"/>
            <w:tcBorders>
              <w:top w:val="nil"/>
              <w:left w:val="nil"/>
              <w:bottom w:val="nil"/>
              <w:right w:val="nil"/>
            </w:tcBorders>
          </w:tcPr>
          <w:p w14:paraId="7BB9F42A"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0.02*</w:t>
            </w:r>
          </w:p>
        </w:tc>
      </w:tr>
      <w:tr w:rsidR="00C51003" w:rsidRPr="000400EB" w14:paraId="5076978F" w14:textId="77777777" w:rsidTr="00565EA5">
        <w:trPr>
          <w:cantSplit/>
          <w:trHeight w:val="191"/>
        </w:trPr>
        <w:tc>
          <w:tcPr>
            <w:tcW w:w="2552" w:type="dxa"/>
            <w:tcBorders>
              <w:top w:val="nil"/>
              <w:left w:val="nil"/>
              <w:bottom w:val="nil"/>
              <w:right w:val="nil"/>
            </w:tcBorders>
            <w:shd w:val="clear" w:color="auto" w:fill="auto"/>
          </w:tcPr>
          <w:p w14:paraId="491F4B56" w14:textId="77777777" w:rsidR="00C51003" w:rsidRPr="000400EB" w:rsidRDefault="00C51003" w:rsidP="00CA1A1D">
            <w:pPr>
              <w:autoSpaceDE w:val="0"/>
              <w:autoSpaceDN w:val="0"/>
              <w:adjustRightInd w:val="0"/>
              <w:spacing w:after="0" w:line="240" w:lineRule="auto"/>
              <w:ind w:left="565" w:right="60" w:hanging="284"/>
              <w:contextualSpacing/>
              <w:rPr>
                <w:rFonts w:cstheme="minorHAnsi"/>
                <w:color w:val="000000" w:themeColor="text1"/>
              </w:rPr>
            </w:pPr>
            <w:r w:rsidRPr="000400EB">
              <w:rPr>
                <w:rFonts w:cstheme="minorHAnsi"/>
                <w:color w:val="000000" w:themeColor="text1"/>
              </w:rPr>
              <w:t>Possession of health insurance</w:t>
            </w:r>
          </w:p>
        </w:tc>
        <w:tc>
          <w:tcPr>
            <w:tcW w:w="1276" w:type="dxa"/>
            <w:tcBorders>
              <w:top w:val="nil"/>
              <w:left w:val="nil"/>
              <w:bottom w:val="nil"/>
              <w:right w:val="nil"/>
            </w:tcBorders>
            <w:shd w:val="clear" w:color="auto" w:fill="FFFFFF"/>
          </w:tcPr>
          <w:p w14:paraId="509A0765"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0.41</w:t>
            </w:r>
          </w:p>
        </w:tc>
        <w:tc>
          <w:tcPr>
            <w:tcW w:w="1046" w:type="dxa"/>
            <w:tcBorders>
              <w:top w:val="nil"/>
              <w:left w:val="nil"/>
              <w:bottom w:val="nil"/>
              <w:right w:val="nil"/>
            </w:tcBorders>
            <w:shd w:val="clear" w:color="auto" w:fill="FFFFFF"/>
          </w:tcPr>
          <w:p w14:paraId="401A8FC6"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0.24</w:t>
            </w:r>
          </w:p>
        </w:tc>
        <w:tc>
          <w:tcPr>
            <w:tcW w:w="1701" w:type="dxa"/>
            <w:tcBorders>
              <w:top w:val="nil"/>
              <w:left w:val="nil"/>
              <w:bottom w:val="nil"/>
              <w:right w:val="nil"/>
            </w:tcBorders>
            <w:shd w:val="clear" w:color="auto" w:fill="auto"/>
          </w:tcPr>
          <w:p w14:paraId="560A6FDA"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0.09</w:t>
            </w:r>
          </w:p>
        </w:tc>
        <w:tc>
          <w:tcPr>
            <w:tcW w:w="1599" w:type="dxa"/>
            <w:tcBorders>
              <w:top w:val="nil"/>
              <w:left w:val="nil"/>
              <w:bottom w:val="nil"/>
              <w:right w:val="nil"/>
            </w:tcBorders>
          </w:tcPr>
          <w:p w14:paraId="6971DEA0"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0.12</w:t>
            </w:r>
          </w:p>
        </w:tc>
      </w:tr>
      <w:tr w:rsidR="00C51003" w:rsidRPr="000400EB" w14:paraId="531B8844" w14:textId="77777777" w:rsidTr="00565EA5">
        <w:trPr>
          <w:cantSplit/>
          <w:trHeight w:val="191"/>
        </w:trPr>
        <w:tc>
          <w:tcPr>
            <w:tcW w:w="2552" w:type="dxa"/>
            <w:tcBorders>
              <w:top w:val="nil"/>
              <w:left w:val="nil"/>
              <w:bottom w:val="nil"/>
              <w:right w:val="nil"/>
            </w:tcBorders>
            <w:shd w:val="clear" w:color="auto" w:fill="auto"/>
          </w:tcPr>
          <w:p w14:paraId="70A13751" w14:textId="77777777" w:rsidR="00C51003" w:rsidRPr="000400EB" w:rsidRDefault="00C51003" w:rsidP="00A850CF">
            <w:pPr>
              <w:autoSpaceDE w:val="0"/>
              <w:autoSpaceDN w:val="0"/>
              <w:adjustRightInd w:val="0"/>
              <w:spacing w:after="0" w:line="240" w:lineRule="auto"/>
              <w:ind w:left="281" w:right="60"/>
              <w:contextualSpacing/>
              <w:rPr>
                <w:rFonts w:cstheme="minorHAnsi"/>
                <w:color w:val="000000" w:themeColor="text1"/>
              </w:rPr>
            </w:pPr>
            <w:r w:rsidRPr="000400EB">
              <w:rPr>
                <w:rFonts w:cstheme="minorHAnsi"/>
                <w:color w:val="000000" w:themeColor="text1"/>
              </w:rPr>
              <w:t>Experience (years)</w:t>
            </w:r>
          </w:p>
        </w:tc>
        <w:tc>
          <w:tcPr>
            <w:tcW w:w="1276" w:type="dxa"/>
            <w:tcBorders>
              <w:top w:val="nil"/>
              <w:left w:val="nil"/>
              <w:bottom w:val="nil"/>
              <w:right w:val="nil"/>
            </w:tcBorders>
            <w:shd w:val="clear" w:color="auto" w:fill="FFFFFF"/>
          </w:tcPr>
          <w:p w14:paraId="73D40D9E" w14:textId="77777777" w:rsidR="00C51003" w:rsidRPr="000400EB" w:rsidRDefault="00C51003" w:rsidP="002E6009">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0.40</w:t>
            </w:r>
          </w:p>
        </w:tc>
        <w:tc>
          <w:tcPr>
            <w:tcW w:w="1046" w:type="dxa"/>
            <w:tcBorders>
              <w:top w:val="nil"/>
              <w:left w:val="nil"/>
              <w:bottom w:val="nil"/>
              <w:right w:val="nil"/>
            </w:tcBorders>
            <w:shd w:val="clear" w:color="auto" w:fill="FFFFFF"/>
          </w:tcPr>
          <w:p w14:paraId="291B5585" w14:textId="77777777" w:rsidR="00C51003" w:rsidRPr="000400EB" w:rsidRDefault="00C51003" w:rsidP="002E6009">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0.12</w:t>
            </w:r>
          </w:p>
        </w:tc>
        <w:tc>
          <w:tcPr>
            <w:tcW w:w="1701" w:type="dxa"/>
            <w:tcBorders>
              <w:top w:val="nil"/>
              <w:left w:val="nil"/>
              <w:bottom w:val="nil"/>
              <w:right w:val="nil"/>
            </w:tcBorders>
            <w:shd w:val="clear" w:color="auto" w:fill="auto"/>
          </w:tcPr>
          <w:p w14:paraId="18AC912E" w14:textId="77777777" w:rsidR="00C51003" w:rsidRPr="000400EB" w:rsidRDefault="00C51003" w:rsidP="002E6009">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0.18</w:t>
            </w:r>
          </w:p>
        </w:tc>
        <w:tc>
          <w:tcPr>
            <w:tcW w:w="1599" w:type="dxa"/>
            <w:tcBorders>
              <w:top w:val="nil"/>
              <w:left w:val="nil"/>
              <w:bottom w:val="nil"/>
              <w:right w:val="nil"/>
            </w:tcBorders>
          </w:tcPr>
          <w:p w14:paraId="2F4A5E97" w14:textId="77777777" w:rsidR="00C51003" w:rsidRPr="000400EB" w:rsidRDefault="00C51003" w:rsidP="002E6009">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0.19</w:t>
            </w:r>
          </w:p>
        </w:tc>
      </w:tr>
      <w:tr w:rsidR="00C51003" w:rsidRPr="000400EB" w14:paraId="30B07B0F" w14:textId="77777777" w:rsidTr="00565EA5">
        <w:trPr>
          <w:cantSplit/>
          <w:trHeight w:val="191"/>
        </w:trPr>
        <w:tc>
          <w:tcPr>
            <w:tcW w:w="2552" w:type="dxa"/>
            <w:tcBorders>
              <w:top w:val="nil"/>
              <w:left w:val="nil"/>
              <w:bottom w:val="nil"/>
              <w:right w:val="nil"/>
            </w:tcBorders>
            <w:shd w:val="clear" w:color="auto" w:fill="auto"/>
          </w:tcPr>
          <w:p w14:paraId="6247887F" w14:textId="77777777" w:rsidR="00C51003" w:rsidRPr="000400EB" w:rsidRDefault="00C51003" w:rsidP="00A850CF">
            <w:pPr>
              <w:autoSpaceDE w:val="0"/>
              <w:autoSpaceDN w:val="0"/>
              <w:adjustRightInd w:val="0"/>
              <w:spacing w:after="0" w:line="240" w:lineRule="auto"/>
              <w:ind w:left="281" w:right="60"/>
              <w:contextualSpacing/>
              <w:rPr>
                <w:rFonts w:cstheme="minorHAnsi"/>
                <w:color w:val="000000" w:themeColor="text1"/>
              </w:rPr>
            </w:pPr>
            <w:r w:rsidRPr="000400EB">
              <w:rPr>
                <w:rFonts w:cstheme="minorHAnsi"/>
                <w:color w:val="000000" w:themeColor="text1"/>
              </w:rPr>
              <w:t>Natural capital</w:t>
            </w:r>
          </w:p>
        </w:tc>
        <w:tc>
          <w:tcPr>
            <w:tcW w:w="1276" w:type="dxa"/>
            <w:tcBorders>
              <w:top w:val="nil"/>
              <w:left w:val="nil"/>
              <w:bottom w:val="nil"/>
              <w:right w:val="nil"/>
            </w:tcBorders>
            <w:shd w:val="clear" w:color="auto" w:fill="FFFFFF"/>
          </w:tcPr>
          <w:p w14:paraId="6D4C4A46"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0.02*</w:t>
            </w:r>
          </w:p>
        </w:tc>
        <w:tc>
          <w:tcPr>
            <w:tcW w:w="1046" w:type="dxa"/>
            <w:tcBorders>
              <w:top w:val="nil"/>
              <w:left w:val="nil"/>
              <w:bottom w:val="nil"/>
              <w:right w:val="nil"/>
            </w:tcBorders>
            <w:shd w:val="clear" w:color="auto" w:fill="FFFFFF"/>
          </w:tcPr>
          <w:p w14:paraId="22CA4CFA"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0.99</w:t>
            </w:r>
          </w:p>
        </w:tc>
        <w:tc>
          <w:tcPr>
            <w:tcW w:w="1701" w:type="dxa"/>
            <w:tcBorders>
              <w:top w:val="nil"/>
              <w:left w:val="nil"/>
              <w:bottom w:val="nil"/>
              <w:right w:val="nil"/>
            </w:tcBorders>
            <w:shd w:val="clear" w:color="auto" w:fill="auto"/>
          </w:tcPr>
          <w:p w14:paraId="45F7DBE0"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0.01*</w:t>
            </w:r>
          </w:p>
        </w:tc>
        <w:tc>
          <w:tcPr>
            <w:tcW w:w="1599" w:type="dxa"/>
            <w:tcBorders>
              <w:top w:val="nil"/>
              <w:left w:val="nil"/>
              <w:bottom w:val="nil"/>
              <w:right w:val="nil"/>
            </w:tcBorders>
          </w:tcPr>
          <w:p w14:paraId="50BAFE09"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0.01*</w:t>
            </w:r>
          </w:p>
        </w:tc>
      </w:tr>
      <w:tr w:rsidR="00C51003" w:rsidRPr="000400EB" w14:paraId="7CAFDA16" w14:textId="77777777" w:rsidTr="00565EA5">
        <w:trPr>
          <w:cantSplit/>
          <w:trHeight w:val="191"/>
        </w:trPr>
        <w:tc>
          <w:tcPr>
            <w:tcW w:w="2552" w:type="dxa"/>
            <w:tcBorders>
              <w:top w:val="nil"/>
              <w:left w:val="nil"/>
              <w:bottom w:val="nil"/>
              <w:right w:val="nil"/>
            </w:tcBorders>
            <w:shd w:val="clear" w:color="auto" w:fill="auto"/>
          </w:tcPr>
          <w:p w14:paraId="7D6DB57A" w14:textId="77777777" w:rsidR="00C51003" w:rsidRPr="000400EB" w:rsidRDefault="00C51003" w:rsidP="00170BC7">
            <w:pPr>
              <w:autoSpaceDE w:val="0"/>
              <w:autoSpaceDN w:val="0"/>
              <w:adjustRightInd w:val="0"/>
              <w:spacing w:after="0" w:line="240" w:lineRule="auto"/>
              <w:ind w:right="60"/>
              <w:rPr>
                <w:rFonts w:cstheme="minorHAnsi"/>
                <w:b/>
                <w:color w:val="000000" w:themeColor="text1"/>
              </w:rPr>
            </w:pPr>
            <w:r w:rsidRPr="000400EB">
              <w:rPr>
                <w:rFonts w:cstheme="minorHAnsi"/>
                <w:b/>
                <w:color w:val="000000" w:themeColor="text1"/>
              </w:rPr>
              <w:t xml:space="preserve"> Adaptive capacity (GS)</w:t>
            </w:r>
          </w:p>
        </w:tc>
        <w:tc>
          <w:tcPr>
            <w:tcW w:w="1276" w:type="dxa"/>
            <w:tcBorders>
              <w:top w:val="nil"/>
              <w:left w:val="nil"/>
              <w:bottom w:val="nil"/>
              <w:right w:val="nil"/>
            </w:tcBorders>
            <w:shd w:val="clear" w:color="auto" w:fill="FFFFFF"/>
          </w:tcPr>
          <w:p w14:paraId="74D81103"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0.01*</w:t>
            </w:r>
          </w:p>
        </w:tc>
        <w:tc>
          <w:tcPr>
            <w:tcW w:w="1046" w:type="dxa"/>
            <w:tcBorders>
              <w:top w:val="nil"/>
              <w:left w:val="nil"/>
              <w:bottom w:val="nil"/>
              <w:right w:val="nil"/>
            </w:tcBorders>
            <w:shd w:val="clear" w:color="auto" w:fill="FFFFFF"/>
          </w:tcPr>
          <w:p w14:paraId="20119E7F"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0.11</w:t>
            </w:r>
          </w:p>
        </w:tc>
        <w:tc>
          <w:tcPr>
            <w:tcW w:w="1701" w:type="dxa"/>
            <w:tcBorders>
              <w:top w:val="nil"/>
              <w:left w:val="nil"/>
              <w:bottom w:val="nil"/>
              <w:right w:val="nil"/>
            </w:tcBorders>
            <w:shd w:val="clear" w:color="auto" w:fill="auto"/>
          </w:tcPr>
          <w:p w14:paraId="5EFA3218"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0.01*</w:t>
            </w:r>
          </w:p>
        </w:tc>
        <w:tc>
          <w:tcPr>
            <w:tcW w:w="1599" w:type="dxa"/>
            <w:tcBorders>
              <w:top w:val="nil"/>
              <w:left w:val="nil"/>
              <w:bottom w:val="nil"/>
              <w:right w:val="nil"/>
            </w:tcBorders>
          </w:tcPr>
          <w:p w14:paraId="3F60B941"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0.01*</w:t>
            </w:r>
          </w:p>
        </w:tc>
      </w:tr>
      <w:tr w:rsidR="00C51003" w:rsidRPr="000400EB" w14:paraId="403624F5" w14:textId="77777777" w:rsidTr="00565EA5">
        <w:trPr>
          <w:cantSplit/>
          <w:trHeight w:val="191"/>
        </w:trPr>
        <w:tc>
          <w:tcPr>
            <w:tcW w:w="2552" w:type="dxa"/>
            <w:tcBorders>
              <w:top w:val="nil"/>
              <w:left w:val="nil"/>
              <w:bottom w:val="single" w:sz="4" w:space="0" w:color="auto"/>
              <w:right w:val="nil"/>
            </w:tcBorders>
            <w:shd w:val="clear" w:color="auto" w:fill="auto"/>
          </w:tcPr>
          <w:p w14:paraId="014E7848" w14:textId="77777777" w:rsidR="00C51003" w:rsidRPr="000400EB" w:rsidRDefault="00C51003" w:rsidP="00170BC7">
            <w:pPr>
              <w:autoSpaceDE w:val="0"/>
              <w:autoSpaceDN w:val="0"/>
              <w:adjustRightInd w:val="0"/>
              <w:spacing w:after="0" w:line="240" w:lineRule="auto"/>
              <w:ind w:left="60" w:right="60"/>
              <w:rPr>
                <w:rFonts w:cstheme="minorHAnsi"/>
                <w:b/>
                <w:color w:val="000000" w:themeColor="text1"/>
              </w:rPr>
            </w:pPr>
            <w:r w:rsidRPr="000400EB">
              <w:rPr>
                <w:rFonts w:cstheme="minorHAnsi"/>
                <w:b/>
                <w:color w:val="000000" w:themeColor="text1"/>
              </w:rPr>
              <w:t>Adaptive capacity (BS)</w:t>
            </w:r>
          </w:p>
        </w:tc>
        <w:tc>
          <w:tcPr>
            <w:tcW w:w="1276" w:type="dxa"/>
            <w:tcBorders>
              <w:top w:val="nil"/>
              <w:left w:val="nil"/>
              <w:bottom w:val="single" w:sz="4" w:space="0" w:color="auto"/>
              <w:right w:val="nil"/>
            </w:tcBorders>
            <w:shd w:val="clear" w:color="auto" w:fill="FFFFFF"/>
          </w:tcPr>
          <w:p w14:paraId="3A69000E"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0.01*</w:t>
            </w:r>
          </w:p>
        </w:tc>
        <w:tc>
          <w:tcPr>
            <w:tcW w:w="1046" w:type="dxa"/>
            <w:tcBorders>
              <w:top w:val="nil"/>
              <w:left w:val="nil"/>
              <w:bottom w:val="single" w:sz="4" w:space="0" w:color="auto"/>
              <w:right w:val="nil"/>
            </w:tcBorders>
            <w:shd w:val="clear" w:color="auto" w:fill="FFFFFF"/>
          </w:tcPr>
          <w:p w14:paraId="6933DEC5"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0.17</w:t>
            </w:r>
          </w:p>
        </w:tc>
        <w:tc>
          <w:tcPr>
            <w:tcW w:w="1701" w:type="dxa"/>
            <w:tcBorders>
              <w:top w:val="nil"/>
              <w:left w:val="nil"/>
              <w:bottom w:val="single" w:sz="4" w:space="0" w:color="auto"/>
              <w:right w:val="nil"/>
            </w:tcBorders>
            <w:shd w:val="clear" w:color="auto" w:fill="auto"/>
          </w:tcPr>
          <w:p w14:paraId="05F60E07"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0.01*</w:t>
            </w:r>
          </w:p>
        </w:tc>
        <w:tc>
          <w:tcPr>
            <w:tcW w:w="1599" w:type="dxa"/>
            <w:tcBorders>
              <w:top w:val="nil"/>
              <w:left w:val="nil"/>
              <w:bottom w:val="single" w:sz="4" w:space="0" w:color="auto"/>
              <w:right w:val="nil"/>
            </w:tcBorders>
          </w:tcPr>
          <w:p w14:paraId="4B84C995" w14:textId="77777777" w:rsidR="00C51003" w:rsidRPr="000400EB" w:rsidRDefault="00C51003" w:rsidP="00170BC7">
            <w:pPr>
              <w:autoSpaceDE w:val="0"/>
              <w:autoSpaceDN w:val="0"/>
              <w:adjustRightInd w:val="0"/>
              <w:spacing w:after="0" w:line="240" w:lineRule="auto"/>
              <w:ind w:left="60" w:right="60"/>
              <w:jc w:val="right"/>
              <w:rPr>
                <w:rFonts w:cstheme="minorHAnsi"/>
                <w:color w:val="000000" w:themeColor="text1"/>
              </w:rPr>
            </w:pPr>
            <w:r w:rsidRPr="000400EB">
              <w:rPr>
                <w:rFonts w:cstheme="minorHAnsi"/>
                <w:color w:val="000000" w:themeColor="text1"/>
              </w:rPr>
              <w:t>0.01*</w:t>
            </w:r>
          </w:p>
        </w:tc>
      </w:tr>
    </w:tbl>
    <w:p w14:paraId="78349DF2" w14:textId="5836F7EE" w:rsidR="00170BC7" w:rsidRDefault="00170BC7" w:rsidP="00170BC7">
      <w:pPr>
        <w:autoSpaceDE w:val="0"/>
        <w:autoSpaceDN w:val="0"/>
        <w:adjustRightInd w:val="0"/>
        <w:spacing w:after="0" w:line="276" w:lineRule="auto"/>
        <w:jc w:val="both"/>
        <w:rPr>
          <w:rFonts w:cstheme="minorHAnsi"/>
          <w:sz w:val="18"/>
          <w:szCs w:val="24"/>
        </w:rPr>
      </w:pPr>
      <w:r w:rsidRPr="001F6502">
        <w:rPr>
          <w:rFonts w:cstheme="minorHAnsi"/>
          <w:sz w:val="18"/>
          <w:szCs w:val="24"/>
        </w:rPr>
        <w:t xml:space="preserve">*Indicates significant difference (normalised values used) between identity categories at α = 0.05. Significant differences in both </w:t>
      </w:r>
      <w:r w:rsidR="00DA28E0">
        <w:rPr>
          <w:rFonts w:cstheme="minorHAnsi"/>
          <w:sz w:val="18"/>
          <w:szCs w:val="24"/>
        </w:rPr>
        <w:t>‘</w:t>
      </w:r>
      <w:r w:rsidRPr="001F6502">
        <w:rPr>
          <w:rFonts w:cstheme="minorHAnsi"/>
          <w:sz w:val="18"/>
          <w:szCs w:val="24"/>
        </w:rPr>
        <w:t>good</w:t>
      </w:r>
      <w:r w:rsidR="00DA28E0">
        <w:rPr>
          <w:rFonts w:cstheme="minorHAnsi"/>
          <w:sz w:val="18"/>
          <w:szCs w:val="24"/>
        </w:rPr>
        <w:t>’ (GS)</w:t>
      </w:r>
      <w:r w:rsidRPr="001F6502">
        <w:rPr>
          <w:rFonts w:cstheme="minorHAnsi"/>
          <w:sz w:val="18"/>
          <w:szCs w:val="24"/>
        </w:rPr>
        <w:t xml:space="preserve"> and </w:t>
      </w:r>
      <w:r w:rsidR="00DA28E0">
        <w:rPr>
          <w:rFonts w:cstheme="minorHAnsi"/>
          <w:sz w:val="18"/>
          <w:szCs w:val="24"/>
        </w:rPr>
        <w:t>‘</w:t>
      </w:r>
      <w:r w:rsidRPr="001F6502">
        <w:rPr>
          <w:rFonts w:cstheme="minorHAnsi"/>
          <w:sz w:val="18"/>
          <w:szCs w:val="24"/>
        </w:rPr>
        <w:t>bad</w:t>
      </w:r>
      <w:r w:rsidR="00DA28E0">
        <w:rPr>
          <w:rFonts w:cstheme="minorHAnsi"/>
          <w:sz w:val="18"/>
          <w:szCs w:val="24"/>
        </w:rPr>
        <w:t>’ (BS)</w:t>
      </w:r>
      <w:r w:rsidRPr="001F6502">
        <w:rPr>
          <w:rFonts w:cstheme="minorHAnsi"/>
          <w:sz w:val="18"/>
          <w:szCs w:val="24"/>
        </w:rPr>
        <w:t xml:space="preserve"> seasons are detected by Kruskal-Wallis Test for all indicators/indices except sensitivity, experience, management capital and adaptive capacity which are analysed by ANOVA. </w:t>
      </w:r>
      <w:r w:rsidR="00921197">
        <w:rPr>
          <w:rFonts w:cstheme="minorHAnsi"/>
          <w:sz w:val="18"/>
          <w:szCs w:val="24"/>
        </w:rPr>
        <w:t>HH-H (Household Head).</w:t>
      </w:r>
    </w:p>
    <w:p w14:paraId="159C500B" w14:textId="77777777" w:rsidR="00F34D61" w:rsidRDefault="00F34D61" w:rsidP="00F34D61">
      <w:pPr>
        <w:spacing w:after="0"/>
        <w:rPr>
          <w:b/>
          <w:sz w:val="24"/>
        </w:rPr>
      </w:pPr>
    </w:p>
    <w:p w14:paraId="3B79493D" w14:textId="77777777" w:rsidR="007C1ED2" w:rsidRDefault="007C1ED2" w:rsidP="007C1ED2">
      <w:pPr>
        <w:spacing w:after="0"/>
        <w:rPr>
          <w:b/>
          <w:sz w:val="24"/>
          <w:szCs w:val="24"/>
        </w:rPr>
      </w:pPr>
    </w:p>
    <w:p w14:paraId="537456B9" w14:textId="35027CC4" w:rsidR="007C1ED2" w:rsidRDefault="007C1ED2" w:rsidP="007C1ED2">
      <w:pPr>
        <w:spacing w:after="0"/>
        <w:rPr>
          <w:b/>
          <w:sz w:val="24"/>
          <w:szCs w:val="24"/>
        </w:rPr>
      </w:pPr>
      <w:r>
        <w:rPr>
          <w:b/>
          <w:sz w:val="24"/>
          <w:szCs w:val="24"/>
        </w:rPr>
        <w:t>ACKNOWLEDGEMENTS</w:t>
      </w:r>
    </w:p>
    <w:p w14:paraId="1334225F" w14:textId="46A5952B" w:rsidR="007C1ED2" w:rsidRDefault="007C1ED2" w:rsidP="002374B6">
      <w:pPr>
        <w:spacing w:after="0"/>
        <w:jc w:val="both"/>
        <w:rPr>
          <w:sz w:val="24"/>
          <w:szCs w:val="24"/>
        </w:rPr>
      </w:pPr>
      <w:r w:rsidRPr="00C1150E">
        <w:rPr>
          <w:sz w:val="24"/>
          <w:szCs w:val="24"/>
        </w:rPr>
        <w:t xml:space="preserve">Thanks to Andrew </w:t>
      </w:r>
      <w:proofErr w:type="spellStart"/>
      <w:r w:rsidRPr="00C1150E">
        <w:rPr>
          <w:sz w:val="24"/>
          <w:szCs w:val="24"/>
        </w:rPr>
        <w:t>Agyekumhene</w:t>
      </w:r>
      <w:proofErr w:type="spellEnd"/>
      <w:r w:rsidRPr="00C1150E">
        <w:rPr>
          <w:sz w:val="24"/>
          <w:szCs w:val="24"/>
        </w:rPr>
        <w:t xml:space="preserve"> (site manager of Muni-</w:t>
      </w:r>
      <w:proofErr w:type="spellStart"/>
      <w:r w:rsidRPr="00C1150E">
        <w:rPr>
          <w:sz w:val="24"/>
          <w:szCs w:val="24"/>
        </w:rPr>
        <w:t>Pomadze</w:t>
      </w:r>
      <w:proofErr w:type="spellEnd"/>
      <w:r w:rsidRPr="00C1150E">
        <w:rPr>
          <w:sz w:val="24"/>
          <w:szCs w:val="24"/>
        </w:rPr>
        <w:t xml:space="preserve"> </w:t>
      </w:r>
      <w:proofErr w:type="spellStart"/>
      <w:r w:rsidRPr="00C1150E">
        <w:rPr>
          <w:sz w:val="24"/>
          <w:szCs w:val="24"/>
        </w:rPr>
        <w:t>Ramsar</w:t>
      </w:r>
      <w:proofErr w:type="spellEnd"/>
      <w:r w:rsidRPr="00C1150E">
        <w:rPr>
          <w:sz w:val="24"/>
          <w:szCs w:val="24"/>
        </w:rPr>
        <w:t xml:space="preserve"> site), Michael </w:t>
      </w:r>
      <w:proofErr w:type="spellStart"/>
      <w:r w:rsidRPr="00C1150E">
        <w:rPr>
          <w:sz w:val="24"/>
          <w:szCs w:val="24"/>
        </w:rPr>
        <w:t>Selorm</w:t>
      </w:r>
      <w:proofErr w:type="spellEnd"/>
      <w:r w:rsidRPr="00C1150E">
        <w:rPr>
          <w:sz w:val="24"/>
          <w:szCs w:val="24"/>
        </w:rPr>
        <w:t xml:space="preserve"> (field assistant from University of Education, Winneba)</w:t>
      </w:r>
      <w:r w:rsidR="005031A2">
        <w:rPr>
          <w:sz w:val="24"/>
          <w:szCs w:val="24"/>
        </w:rPr>
        <w:t>,</w:t>
      </w:r>
      <w:r w:rsidRPr="00C1150E">
        <w:rPr>
          <w:sz w:val="24"/>
          <w:szCs w:val="24"/>
        </w:rPr>
        <w:t xml:space="preserve"> and Gideon </w:t>
      </w:r>
      <w:proofErr w:type="spellStart"/>
      <w:r w:rsidRPr="00C1150E">
        <w:rPr>
          <w:sz w:val="24"/>
          <w:szCs w:val="24"/>
        </w:rPr>
        <w:t>Ahiabor</w:t>
      </w:r>
      <w:proofErr w:type="spellEnd"/>
      <w:r w:rsidRPr="00C1150E">
        <w:rPr>
          <w:sz w:val="24"/>
          <w:szCs w:val="24"/>
        </w:rPr>
        <w:t xml:space="preserve"> (Akosua village) for fieldwork support</w:t>
      </w:r>
      <w:r>
        <w:rPr>
          <w:sz w:val="24"/>
          <w:szCs w:val="24"/>
        </w:rPr>
        <w:t>.</w:t>
      </w:r>
      <w:r w:rsidRPr="00C1150E">
        <w:rPr>
          <w:sz w:val="24"/>
          <w:szCs w:val="24"/>
        </w:rPr>
        <w:t xml:space="preserve"> </w:t>
      </w:r>
      <w:r w:rsidR="002374B6">
        <w:rPr>
          <w:sz w:val="24"/>
          <w:szCs w:val="24"/>
        </w:rPr>
        <w:t>We also thank t</w:t>
      </w:r>
      <w:r w:rsidR="002374B6" w:rsidRPr="002374B6">
        <w:rPr>
          <w:sz w:val="24"/>
          <w:szCs w:val="24"/>
        </w:rPr>
        <w:t>wo anonymous</w:t>
      </w:r>
      <w:r w:rsidR="002374B6">
        <w:rPr>
          <w:sz w:val="24"/>
          <w:szCs w:val="24"/>
        </w:rPr>
        <w:t xml:space="preserve"> </w:t>
      </w:r>
      <w:r w:rsidR="002374B6" w:rsidRPr="002374B6">
        <w:rPr>
          <w:sz w:val="24"/>
          <w:szCs w:val="24"/>
        </w:rPr>
        <w:t>reviewers for their helpful comments and suggestions</w:t>
      </w:r>
      <w:r w:rsidR="008842A8">
        <w:rPr>
          <w:sz w:val="24"/>
          <w:szCs w:val="24"/>
        </w:rPr>
        <w:t xml:space="preserve">. </w:t>
      </w:r>
      <w:r w:rsidR="0086199B" w:rsidRPr="0086199B">
        <w:rPr>
          <w:sz w:val="24"/>
          <w:szCs w:val="24"/>
        </w:rPr>
        <w:t xml:space="preserve">This work was funded by </w:t>
      </w:r>
      <w:r w:rsidR="005031A2" w:rsidRPr="0086199B">
        <w:rPr>
          <w:sz w:val="24"/>
          <w:szCs w:val="24"/>
        </w:rPr>
        <w:t>Ph</w:t>
      </w:r>
      <w:r w:rsidR="005031A2">
        <w:rPr>
          <w:sz w:val="24"/>
          <w:szCs w:val="24"/>
        </w:rPr>
        <w:t>.D.</w:t>
      </w:r>
      <w:r w:rsidR="005031A2" w:rsidRPr="0086199B">
        <w:rPr>
          <w:sz w:val="24"/>
          <w:szCs w:val="24"/>
        </w:rPr>
        <w:t xml:space="preserve"> </w:t>
      </w:r>
      <w:r w:rsidR="0086199B" w:rsidRPr="0086199B">
        <w:rPr>
          <w:sz w:val="24"/>
          <w:szCs w:val="24"/>
        </w:rPr>
        <w:t>studentship of Environmental Sustainability Research Centre</w:t>
      </w:r>
      <w:r w:rsidR="0086199B">
        <w:rPr>
          <w:sz w:val="24"/>
          <w:szCs w:val="24"/>
        </w:rPr>
        <w:t xml:space="preserve"> (ESRC)</w:t>
      </w:r>
      <w:r w:rsidR="0086199B" w:rsidRPr="0086199B">
        <w:rPr>
          <w:sz w:val="24"/>
          <w:szCs w:val="24"/>
        </w:rPr>
        <w:t>, University of Derby.</w:t>
      </w:r>
    </w:p>
    <w:p w14:paraId="2FCBC82F" w14:textId="77777777" w:rsidR="0086199B" w:rsidRDefault="0086199B" w:rsidP="007C1ED2">
      <w:pPr>
        <w:spacing w:after="0"/>
        <w:jc w:val="both"/>
        <w:rPr>
          <w:b/>
          <w:sz w:val="24"/>
          <w:szCs w:val="24"/>
        </w:rPr>
      </w:pPr>
    </w:p>
    <w:p w14:paraId="2B02E7E7" w14:textId="77777777" w:rsidR="00735A82" w:rsidRDefault="00735A82" w:rsidP="007C1ED2">
      <w:pPr>
        <w:spacing w:after="0"/>
        <w:jc w:val="both"/>
        <w:rPr>
          <w:b/>
          <w:sz w:val="24"/>
          <w:szCs w:val="24"/>
        </w:rPr>
      </w:pPr>
    </w:p>
    <w:p w14:paraId="521741F8" w14:textId="2EAC81F9" w:rsidR="007C1ED2" w:rsidRDefault="007C1ED2" w:rsidP="007C1ED2">
      <w:pPr>
        <w:spacing w:after="0"/>
        <w:jc w:val="both"/>
        <w:rPr>
          <w:b/>
          <w:sz w:val="24"/>
          <w:szCs w:val="24"/>
        </w:rPr>
      </w:pPr>
      <w:r w:rsidRPr="004E72B4">
        <w:rPr>
          <w:b/>
          <w:sz w:val="24"/>
          <w:szCs w:val="24"/>
        </w:rPr>
        <w:t>DECLARATIONS OF INTEREST</w:t>
      </w:r>
    </w:p>
    <w:p w14:paraId="614AAE6B" w14:textId="77777777" w:rsidR="007C1ED2" w:rsidRDefault="007C1ED2" w:rsidP="007C1ED2">
      <w:pPr>
        <w:spacing w:after="0"/>
        <w:jc w:val="both"/>
        <w:rPr>
          <w:sz w:val="24"/>
          <w:szCs w:val="24"/>
        </w:rPr>
      </w:pPr>
      <w:r>
        <w:rPr>
          <w:sz w:val="24"/>
          <w:szCs w:val="24"/>
        </w:rPr>
        <w:t>N</w:t>
      </w:r>
      <w:r w:rsidRPr="00A7792A">
        <w:rPr>
          <w:sz w:val="24"/>
          <w:szCs w:val="24"/>
        </w:rPr>
        <w:t>one</w:t>
      </w:r>
    </w:p>
    <w:p w14:paraId="336138E0" w14:textId="77777777" w:rsidR="00AF2DAC" w:rsidRPr="00E20B5D" w:rsidRDefault="00AF2DAC" w:rsidP="007F7174">
      <w:pPr>
        <w:jc w:val="both"/>
        <w:rPr>
          <w:sz w:val="24"/>
          <w:szCs w:val="24"/>
        </w:rPr>
      </w:pPr>
    </w:p>
    <w:p w14:paraId="69A10B63" w14:textId="77777777" w:rsidR="007C1ED2" w:rsidRDefault="007C1ED2" w:rsidP="000753D3">
      <w:pPr>
        <w:rPr>
          <w:b/>
          <w:sz w:val="24"/>
        </w:rPr>
      </w:pPr>
      <w:bookmarkStart w:id="16" w:name="_Hlk21436155"/>
    </w:p>
    <w:p w14:paraId="1B2C3658" w14:textId="77777777" w:rsidR="007C1ED2" w:rsidRDefault="007C1ED2" w:rsidP="000753D3">
      <w:pPr>
        <w:rPr>
          <w:b/>
          <w:sz w:val="24"/>
        </w:rPr>
      </w:pPr>
    </w:p>
    <w:p w14:paraId="37CFB4A9" w14:textId="0A2D96F4" w:rsidR="000753D3" w:rsidRDefault="000753D3" w:rsidP="000753D3">
      <w:pPr>
        <w:rPr>
          <w:b/>
          <w:sz w:val="24"/>
        </w:rPr>
      </w:pPr>
      <w:bookmarkStart w:id="17" w:name="_GoBack"/>
      <w:bookmarkEnd w:id="17"/>
      <w:r w:rsidRPr="007F7174">
        <w:rPr>
          <w:b/>
          <w:sz w:val="24"/>
        </w:rPr>
        <w:lastRenderedPageBreak/>
        <w:t xml:space="preserve">REFERENCES </w:t>
      </w:r>
    </w:p>
    <w:bookmarkStart w:id="18" w:name="_Hlk43122391"/>
    <w:p w14:paraId="178B1A9D" w14:textId="0A970EFE" w:rsidR="00FC52F5" w:rsidRPr="00FC52F5" w:rsidRDefault="000753D3" w:rsidP="00641675">
      <w:pPr>
        <w:widowControl w:val="0"/>
        <w:autoSpaceDE w:val="0"/>
        <w:autoSpaceDN w:val="0"/>
        <w:adjustRightInd w:val="0"/>
        <w:spacing w:line="240" w:lineRule="auto"/>
        <w:ind w:left="640" w:hanging="640"/>
        <w:jc w:val="both"/>
        <w:rPr>
          <w:rFonts w:ascii="Calibri" w:hAnsi="Calibri" w:cs="Calibri"/>
          <w:noProof/>
          <w:sz w:val="24"/>
          <w:szCs w:val="24"/>
        </w:rPr>
      </w:pPr>
      <w:r>
        <w:rPr>
          <w:b/>
          <w:sz w:val="24"/>
        </w:rPr>
        <w:fldChar w:fldCharType="begin" w:fldLock="1"/>
      </w:r>
      <w:r>
        <w:rPr>
          <w:b/>
          <w:sz w:val="24"/>
        </w:rPr>
        <w:instrText xml:space="preserve">ADDIN Mendeley Bibliography CSL_BIBLIOGRAPHY </w:instrText>
      </w:r>
      <w:r>
        <w:rPr>
          <w:b/>
          <w:sz w:val="24"/>
        </w:rPr>
        <w:fldChar w:fldCharType="separate"/>
      </w:r>
      <w:r w:rsidR="00FC52F5" w:rsidRPr="00FC52F5">
        <w:rPr>
          <w:rFonts w:ascii="Calibri" w:hAnsi="Calibri" w:cs="Calibri"/>
          <w:noProof/>
          <w:sz w:val="24"/>
          <w:szCs w:val="24"/>
        </w:rPr>
        <w:t>[1]</w:t>
      </w:r>
      <w:r w:rsidR="00FC52F5" w:rsidRPr="00FC52F5">
        <w:rPr>
          <w:rFonts w:ascii="Calibri" w:hAnsi="Calibri" w:cs="Calibri"/>
          <w:noProof/>
          <w:sz w:val="24"/>
          <w:szCs w:val="24"/>
        </w:rPr>
        <w:tab/>
        <w:t>FAO, “The State of World Fisheries and Aquaculture 2018,” 2018.</w:t>
      </w:r>
    </w:p>
    <w:p w14:paraId="4E88C2B0"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[2]</w:t>
      </w:r>
      <w:r w:rsidRPr="00FC52F5">
        <w:rPr>
          <w:rFonts w:ascii="Calibri" w:hAnsi="Calibri" w:cs="Calibri"/>
          <w:noProof/>
          <w:sz w:val="24"/>
          <w:szCs w:val="24"/>
        </w:rPr>
        <w:tab/>
        <w:t>D. Carney, “Sustainable rural livelihoods: what contribution can we make?” DFID, London, p. 213, 1998.</w:t>
      </w:r>
    </w:p>
    <w:p w14:paraId="6FA1C8FB"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[3]</w:t>
      </w:r>
      <w:r w:rsidRPr="00FC52F5">
        <w:rPr>
          <w:rFonts w:ascii="Calibri" w:hAnsi="Calibri" w:cs="Calibri"/>
          <w:noProof/>
          <w:sz w:val="24"/>
          <w:szCs w:val="24"/>
        </w:rPr>
        <w:tab/>
        <w:t xml:space="preserve">A. Tilley, P. Herrón, S. Espinosa, J. L. Angarita, and S. Box, “Predicting vulnerability to management changes in data-limited, small-scale fisheries,” </w:t>
      </w:r>
      <w:r w:rsidRPr="00FC52F5">
        <w:rPr>
          <w:rFonts w:ascii="Calibri" w:hAnsi="Calibri" w:cs="Calibri"/>
          <w:i/>
          <w:iCs/>
          <w:noProof/>
          <w:sz w:val="24"/>
          <w:szCs w:val="24"/>
        </w:rPr>
        <w:t>Mar. Policy</w:t>
      </w:r>
      <w:r w:rsidRPr="00FC52F5">
        <w:rPr>
          <w:rFonts w:ascii="Calibri" w:hAnsi="Calibri" w:cs="Calibri"/>
          <w:noProof/>
          <w:sz w:val="24"/>
          <w:szCs w:val="24"/>
        </w:rPr>
        <w:t>, vol. 94, no. May, pp. 39–45, 2018.</w:t>
      </w:r>
    </w:p>
    <w:p w14:paraId="2CA8265E"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[4]</w:t>
      </w:r>
      <w:r w:rsidRPr="00FC52F5">
        <w:rPr>
          <w:rFonts w:ascii="Calibri" w:hAnsi="Calibri" w:cs="Calibri"/>
          <w:noProof/>
          <w:sz w:val="24"/>
          <w:szCs w:val="24"/>
        </w:rPr>
        <w:tab/>
        <w:t xml:space="preserve">V. W. Y. Lam, W. W. L. Cheung, G. Reygondeau, and U. Rashid Sumaila, “Projected change in global fisheries revenues under climate change,” </w:t>
      </w:r>
      <w:r w:rsidRPr="00FC52F5">
        <w:rPr>
          <w:rFonts w:ascii="Calibri" w:hAnsi="Calibri" w:cs="Calibri"/>
          <w:i/>
          <w:iCs/>
          <w:noProof/>
          <w:sz w:val="24"/>
          <w:szCs w:val="24"/>
        </w:rPr>
        <w:t>Sci. Rep.</w:t>
      </w:r>
      <w:r w:rsidRPr="00FC52F5">
        <w:rPr>
          <w:rFonts w:ascii="Calibri" w:hAnsi="Calibri" w:cs="Calibri"/>
          <w:noProof/>
          <w:sz w:val="24"/>
          <w:szCs w:val="24"/>
        </w:rPr>
        <w:t>, vol. 6, pp. 6–13, 2016.</w:t>
      </w:r>
    </w:p>
    <w:p w14:paraId="49D4AE41"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[5]</w:t>
      </w:r>
      <w:r w:rsidRPr="00FC52F5">
        <w:rPr>
          <w:rFonts w:ascii="Calibri" w:hAnsi="Calibri" w:cs="Calibri"/>
          <w:noProof/>
          <w:sz w:val="24"/>
          <w:szCs w:val="24"/>
        </w:rPr>
        <w:tab/>
        <w:t xml:space="preserve">M. C. Badjeck, E. H. Allison, A. S. Halls, and N. K. Dulvy, “Impacts of climate variability and change on fishery-based livelihoods,” </w:t>
      </w:r>
      <w:r w:rsidRPr="00FC52F5">
        <w:rPr>
          <w:rFonts w:ascii="Calibri" w:hAnsi="Calibri" w:cs="Calibri"/>
          <w:i/>
          <w:iCs/>
          <w:noProof/>
          <w:sz w:val="24"/>
          <w:szCs w:val="24"/>
        </w:rPr>
        <w:t>Mar. Policy</w:t>
      </w:r>
      <w:r w:rsidRPr="00FC52F5">
        <w:rPr>
          <w:rFonts w:ascii="Calibri" w:hAnsi="Calibri" w:cs="Calibri"/>
          <w:noProof/>
          <w:sz w:val="24"/>
          <w:szCs w:val="24"/>
        </w:rPr>
        <w:t>, vol. 34, no. 3, pp. 375–383, 2010.</w:t>
      </w:r>
    </w:p>
    <w:p w14:paraId="7F2DBFBD"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[6]</w:t>
      </w:r>
      <w:r w:rsidRPr="00FC52F5">
        <w:rPr>
          <w:rFonts w:ascii="Calibri" w:hAnsi="Calibri" w:cs="Calibri"/>
          <w:noProof/>
          <w:sz w:val="24"/>
          <w:szCs w:val="24"/>
        </w:rPr>
        <w:tab/>
        <w:t xml:space="preserve">V. Masson-Delmotte </w:t>
      </w:r>
      <w:r w:rsidRPr="00FC52F5">
        <w:rPr>
          <w:rFonts w:ascii="Calibri" w:hAnsi="Calibri" w:cs="Calibri"/>
          <w:i/>
          <w:iCs/>
          <w:noProof/>
          <w:sz w:val="24"/>
          <w:szCs w:val="24"/>
        </w:rPr>
        <w:t>et al.</w:t>
      </w:r>
      <w:r w:rsidRPr="00FC52F5">
        <w:rPr>
          <w:rFonts w:ascii="Calibri" w:hAnsi="Calibri" w:cs="Calibri"/>
          <w:noProof/>
          <w:sz w:val="24"/>
          <w:szCs w:val="24"/>
        </w:rPr>
        <w:t xml:space="preserve">, </w:t>
      </w:r>
      <w:r w:rsidRPr="00FC52F5">
        <w:rPr>
          <w:rFonts w:ascii="Calibri" w:hAnsi="Calibri" w:cs="Calibri"/>
          <w:i/>
          <w:iCs/>
          <w:noProof/>
          <w:sz w:val="24"/>
          <w:szCs w:val="24"/>
        </w:rPr>
        <w:t>Intergovernmental Panel on Climate Change-Global Warming of 1.5 Degrees Celcius</w:t>
      </w:r>
      <w:r w:rsidRPr="00FC52F5">
        <w:rPr>
          <w:rFonts w:ascii="Calibri" w:hAnsi="Calibri" w:cs="Calibri"/>
          <w:noProof/>
          <w:sz w:val="24"/>
          <w:szCs w:val="24"/>
        </w:rPr>
        <w:t>. 2018.</w:t>
      </w:r>
    </w:p>
    <w:p w14:paraId="1921A47B"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[7]</w:t>
      </w:r>
      <w:r w:rsidRPr="00FC52F5">
        <w:rPr>
          <w:rFonts w:ascii="Calibri" w:hAnsi="Calibri" w:cs="Calibri"/>
          <w:noProof/>
          <w:sz w:val="24"/>
          <w:szCs w:val="24"/>
        </w:rPr>
        <w:tab/>
        <w:t xml:space="preserve">K. S. Davies-Vollum and M. West, “Shoreline change and sea level rise at the Muni-Pomadze coastal wetland (Ramsar site), Ghana,” </w:t>
      </w:r>
      <w:r w:rsidRPr="00FC52F5">
        <w:rPr>
          <w:rFonts w:ascii="Calibri" w:hAnsi="Calibri" w:cs="Calibri"/>
          <w:i/>
          <w:iCs/>
          <w:noProof/>
          <w:sz w:val="24"/>
          <w:szCs w:val="24"/>
        </w:rPr>
        <w:t>J. Coast. Conserv.</w:t>
      </w:r>
      <w:r w:rsidRPr="00FC52F5">
        <w:rPr>
          <w:rFonts w:ascii="Calibri" w:hAnsi="Calibri" w:cs="Calibri"/>
          <w:noProof/>
          <w:sz w:val="24"/>
          <w:szCs w:val="24"/>
        </w:rPr>
        <w:t>, vol. 19, no. 4, pp. 515–525, 2015.</w:t>
      </w:r>
    </w:p>
    <w:p w14:paraId="3AAFCF09"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[8]</w:t>
      </w:r>
      <w:r w:rsidRPr="00FC52F5">
        <w:rPr>
          <w:rFonts w:ascii="Calibri" w:hAnsi="Calibri" w:cs="Calibri"/>
          <w:noProof/>
          <w:sz w:val="24"/>
          <w:szCs w:val="24"/>
        </w:rPr>
        <w:tab/>
        <w:t xml:space="preserve">K. S. Davies-Vollum, Z. Zhang, and A. Agyekumhene, “Impacts of lagoon opening and implications for coastal management: case study from Muni-Pomadze lagoon, Ghana,” </w:t>
      </w:r>
      <w:r w:rsidRPr="00FC52F5">
        <w:rPr>
          <w:rFonts w:ascii="Calibri" w:hAnsi="Calibri" w:cs="Calibri"/>
          <w:i/>
          <w:iCs/>
          <w:noProof/>
          <w:sz w:val="24"/>
          <w:szCs w:val="24"/>
        </w:rPr>
        <w:t>J. Coast. Conserv.</w:t>
      </w:r>
      <w:r w:rsidRPr="00FC52F5">
        <w:rPr>
          <w:rFonts w:ascii="Calibri" w:hAnsi="Calibri" w:cs="Calibri"/>
          <w:noProof/>
          <w:sz w:val="24"/>
          <w:szCs w:val="24"/>
        </w:rPr>
        <w:t>, vol. 23, no. 2, pp. 293–301, 2019.</w:t>
      </w:r>
    </w:p>
    <w:p w14:paraId="05A669A2"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[9]</w:t>
      </w:r>
      <w:r w:rsidRPr="00FC52F5">
        <w:rPr>
          <w:rFonts w:ascii="Calibri" w:hAnsi="Calibri" w:cs="Calibri"/>
          <w:noProof/>
          <w:sz w:val="24"/>
          <w:szCs w:val="24"/>
        </w:rPr>
        <w:tab/>
        <w:t xml:space="preserve">M. M. Islam, S. Sallu, K. Hubacek, and J. Paavola, “Vulnerability of fishery-based livelihoods to the impacts of climate variability and change: Insights from coastal Bangladesh,” </w:t>
      </w:r>
      <w:r w:rsidRPr="00FC52F5">
        <w:rPr>
          <w:rFonts w:ascii="Calibri" w:hAnsi="Calibri" w:cs="Calibri"/>
          <w:i/>
          <w:iCs/>
          <w:noProof/>
          <w:sz w:val="24"/>
          <w:szCs w:val="24"/>
        </w:rPr>
        <w:t>Reg. Environ. Chang.</w:t>
      </w:r>
      <w:r w:rsidRPr="00FC52F5">
        <w:rPr>
          <w:rFonts w:ascii="Calibri" w:hAnsi="Calibri" w:cs="Calibri"/>
          <w:noProof/>
          <w:sz w:val="24"/>
          <w:szCs w:val="24"/>
        </w:rPr>
        <w:t>, vol. 14, no. 1, pp. 281–294, 2014.</w:t>
      </w:r>
    </w:p>
    <w:p w14:paraId="5C2F2BC4"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[10]</w:t>
      </w:r>
      <w:r w:rsidRPr="00FC52F5">
        <w:rPr>
          <w:rFonts w:ascii="Calibri" w:hAnsi="Calibri" w:cs="Calibri"/>
          <w:noProof/>
          <w:sz w:val="24"/>
          <w:szCs w:val="24"/>
        </w:rPr>
        <w:tab/>
        <w:t xml:space="preserve">C. Béné </w:t>
      </w:r>
      <w:r w:rsidRPr="00FC52F5">
        <w:rPr>
          <w:rFonts w:ascii="Calibri" w:hAnsi="Calibri" w:cs="Calibri"/>
          <w:i/>
          <w:iCs/>
          <w:noProof/>
          <w:sz w:val="24"/>
          <w:szCs w:val="24"/>
        </w:rPr>
        <w:t>et al.</w:t>
      </w:r>
      <w:r w:rsidRPr="00FC52F5">
        <w:rPr>
          <w:rFonts w:ascii="Calibri" w:hAnsi="Calibri" w:cs="Calibri"/>
          <w:noProof/>
          <w:sz w:val="24"/>
          <w:szCs w:val="24"/>
        </w:rPr>
        <w:t xml:space="preserve">, “Is resilience socially constructed? Empirical evidence from Fiji, Ghana, Sri Lanka, and Vietnam,” </w:t>
      </w:r>
      <w:r w:rsidRPr="00FC52F5">
        <w:rPr>
          <w:rFonts w:ascii="Calibri" w:hAnsi="Calibri" w:cs="Calibri"/>
          <w:i/>
          <w:iCs/>
          <w:noProof/>
          <w:sz w:val="24"/>
          <w:szCs w:val="24"/>
        </w:rPr>
        <w:t>Glob. Environ. Chang.</w:t>
      </w:r>
      <w:r w:rsidRPr="00FC52F5">
        <w:rPr>
          <w:rFonts w:ascii="Calibri" w:hAnsi="Calibri" w:cs="Calibri"/>
          <w:noProof/>
          <w:sz w:val="24"/>
          <w:szCs w:val="24"/>
        </w:rPr>
        <w:t>, vol. 38, pp. 153–170, 2016.</w:t>
      </w:r>
    </w:p>
    <w:p w14:paraId="18AED5B9"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[11]</w:t>
      </w:r>
      <w:r w:rsidRPr="00FC52F5">
        <w:rPr>
          <w:rFonts w:ascii="Calibri" w:hAnsi="Calibri" w:cs="Calibri"/>
          <w:noProof/>
          <w:sz w:val="24"/>
          <w:szCs w:val="24"/>
        </w:rPr>
        <w:tab/>
        <w:t xml:space="preserve">L. T. M. Huynh and L. C. Stringer, “Multi-scale assessment of social vulnerability to climate change: An empirical study in coastal Vietnam,” </w:t>
      </w:r>
      <w:r w:rsidRPr="00FC52F5">
        <w:rPr>
          <w:rFonts w:ascii="Calibri" w:hAnsi="Calibri" w:cs="Calibri"/>
          <w:i/>
          <w:iCs/>
          <w:noProof/>
          <w:sz w:val="24"/>
          <w:szCs w:val="24"/>
        </w:rPr>
        <w:t>Clim. Risk Manag.</w:t>
      </w:r>
      <w:r w:rsidRPr="00FC52F5">
        <w:rPr>
          <w:rFonts w:ascii="Calibri" w:hAnsi="Calibri" w:cs="Calibri"/>
          <w:noProof/>
          <w:sz w:val="24"/>
          <w:szCs w:val="24"/>
        </w:rPr>
        <w:t>, vol. 20, no. February, pp. 165–180, 2018.</w:t>
      </w:r>
    </w:p>
    <w:p w14:paraId="0649D3AE"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[12]</w:t>
      </w:r>
      <w:r w:rsidRPr="00FC52F5">
        <w:rPr>
          <w:rFonts w:ascii="Calibri" w:hAnsi="Calibri" w:cs="Calibri"/>
          <w:noProof/>
          <w:sz w:val="24"/>
          <w:szCs w:val="24"/>
        </w:rPr>
        <w:tab/>
        <w:t xml:space="preserve">Q. Cui, W. Xie, and Y. Liu, “Effects of sea level rise on economic development and regional disparity in China,” </w:t>
      </w:r>
      <w:r w:rsidRPr="00FC52F5">
        <w:rPr>
          <w:rFonts w:ascii="Calibri" w:hAnsi="Calibri" w:cs="Calibri"/>
          <w:i/>
          <w:iCs/>
          <w:noProof/>
          <w:sz w:val="24"/>
          <w:szCs w:val="24"/>
        </w:rPr>
        <w:t>J. Clean. Prod.</w:t>
      </w:r>
      <w:r w:rsidRPr="00FC52F5">
        <w:rPr>
          <w:rFonts w:ascii="Calibri" w:hAnsi="Calibri" w:cs="Calibri"/>
          <w:noProof/>
          <w:sz w:val="24"/>
          <w:szCs w:val="24"/>
        </w:rPr>
        <w:t>, vol. 176, pp. 1245–1253, 2018.</w:t>
      </w:r>
    </w:p>
    <w:p w14:paraId="594A79E6"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[13]</w:t>
      </w:r>
      <w:r w:rsidRPr="00FC52F5">
        <w:rPr>
          <w:rFonts w:ascii="Calibri" w:hAnsi="Calibri" w:cs="Calibri"/>
          <w:noProof/>
          <w:sz w:val="24"/>
          <w:szCs w:val="24"/>
        </w:rPr>
        <w:tab/>
        <w:t xml:space="preserve">G. Freduah, P. Fidelman, and T. F. Smith, “Adaptive capacity of small-scale coastal fishers to climate and non-climate stressors in the Western region of Ghana,” </w:t>
      </w:r>
      <w:r w:rsidRPr="00FC52F5">
        <w:rPr>
          <w:rFonts w:ascii="Calibri" w:hAnsi="Calibri" w:cs="Calibri"/>
          <w:i/>
          <w:iCs/>
          <w:noProof/>
          <w:sz w:val="24"/>
          <w:szCs w:val="24"/>
        </w:rPr>
        <w:t>Geogr. J.</w:t>
      </w:r>
      <w:r w:rsidRPr="00FC52F5">
        <w:rPr>
          <w:rFonts w:ascii="Calibri" w:hAnsi="Calibri" w:cs="Calibri"/>
          <w:noProof/>
          <w:sz w:val="24"/>
          <w:szCs w:val="24"/>
        </w:rPr>
        <w:t>, vol. 185, no. 1, pp. 96–110, 2019.</w:t>
      </w:r>
    </w:p>
    <w:p w14:paraId="19335588"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[14]</w:t>
      </w:r>
      <w:r w:rsidRPr="00FC52F5">
        <w:rPr>
          <w:rFonts w:ascii="Calibri" w:hAnsi="Calibri" w:cs="Calibri"/>
          <w:noProof/>
          <w:sz w:val="24"/>
          <w:szCs w:val="24"/>
        </w:rPr>
        <w:tab/>
        <w:t xml:space="preserve">E. H. Allison </w:t>
      </w:r>
      <w:r w:rsidRPr="00FC52F5">
        <w:rPr>
          <w:rFonts w:ascii="Calibri" w:hAnsi="Calibri" w:cs="Calibri"/>
          <w:i/>
          <w:iCs/>
          <w:noProof/>
          <w:sz w:val="24"/>
          <w:szCs w:val="24"/>
        </w:rPr>
        <w:t>et al.</w:t>
      </w:r>
      <w:r w:rsidRPr="00FC52F5">
        <w:rPr>
          <w:rFonts w:ascii="Calibri" w:hAnsi="Calibri" w:cs="Calibri"/>
          <w:noProof/>
          <w:sz w:val="24"/>
          <w:szCs w:val="24"/>
        </w:rPr>
        <w:t xml:space="preserve">, “Vulnerability of national economies to the impacts of climate change on fisheries,” </w:t>
      </w:r>
      <w:r w:rsidRPr="00FC52F5">
        <w:rPr>
          <w:rFonts w:ascii="Calibri" w:hAnsi="Calibri" w:cs="Calibri"/>
          <w:i/>
          <w:iCs/>
          <w:noProof/>
          <w:sz w:val="24"/>
          <w:szCs w:val="24"/>
        </w:rPr>
        <w:t>Fish Fish.</w:t>
      </w:r>
      <w:r w:rsidRPr="00FC52F5">
        <w:rPr>
          <w:rFonts w:ascii="Calibri" w:hAnsi="Calibri" w:cs="Calibri"/>
          <w:noProof/>
          <w:sz w:val="24"/>
          <w:szCs w:val="24"/>
        </w:rPr>
        <w:t>, vol. 10, no. 2, pp. 173–196, Jun. 2009.</w:t>
      </w:r>
    </w:p>
    <w:p w14:paraId="6165083D"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[15]</w:t>
      </w:r>
      <w:r w:rsidRPr="00FC52F5">
        <w:rPr>
          <w:rFonts w:ascii="Calibri" w:hAnsi="Calibri" w:cs="Calibri"/>
          <w:noProof/>
          <w:sz w:val="24"/>
          <w:szCs w:val="24"/>
        </w:rPr>
        <w:tab/>
        <w:t xml:space="preserve">H. Nyantakyi-Frimpong and R. Bezner-Kerr, “The relative importance of climate change in the context of multiple stressors in semi-arid Ghana,” </w:t>
      </w:r>
      <w:r w:rsidRPr="00FC52F5">
        <w:rPr>
          <w:rFonts w:ascii="Calibri" w:hAnsi="Calibri" w:cs="Calibri"/>
          <w:i/>
          <w:iCs/>
          <w:noProof/>
          <w:sz w:val="24"/>
          <w:szCs w:val="24"/>
        </w:rPr>
        <w:t>Glob. Environ. Chang.</w:t>
      </w:r>
      <w:r w:rsidRPr="00FC52F5">
        <w:rPr>
          <w:rFonts w:ascii="Calibri" w:hAnsi="Calibri" w:cs="Calibri"/>
          <w:noProof/>
          <w:sz w:val="24"/>
          <w:szCs w:val="24"/>
        </w:rPr>
        <w:t>, vol. 32, pp. 40–56, 2015.</w:t>
      </w:r>
    </w:p>
    <w:p w14:paraId="7BF9F116"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lastRenderedPageBreak/>
        <w:t>[16]</w:t>
      </w:r>
      <w:r w:rsidRPr="00FC52F5">
        <w:rPr>
          <w:rFonts w:ascii="Calibri" w:hAnsi="Calibri" w:cs="Calibri"/>
          <w:noProof/>
          <w:sz w:val="24"/>
          <w:szCs w:val="24"/>
        </w:rPr>
        <w:tab/>
        <w:t xml:space="preserve">S. McCubbin, B. Smit, and T. Pearce, “Where does climate fit? Vulnerability to climate change in the context of multiple stressors in Funafuti, Tuvalu,” </w:t>
      </w:r>
      <w:r w:rsidRPr="00FC52F5">
        <w:rPr>
          <w:rFonts w:ascii="Calibri" w:hAnsi="Calibri" w:cs="Calibri"/>
          <w:i/>
          <w:iCs/>
          <w:noProof/>
          <w:sz w:val="24"/>
          <w:szCs w:val="24"/>
        </w:rPr>
        <w:t>Glob. Environ. Chang.</w:t>
      </w:r>
      <w:r w:rsidRPr="00FC52F5">
        <w:rPr>
          <w:rFonts w:ascii="Calibri" w:hAnsi="Calibri" w:cs="Calibri"/>
          <w:noProof/>
          <w:sz w:val="24"/>
          <w:szCs w:val="24"/>
        </w:rPr>
        <w:t>, vol. 30, pp. 43–55, 2015.</w:t>
      </w:r>
    </w:p>
    <w:p w14:paraId="3EA2CC88"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[17]</w:t>
      </w:r>
      <w:r w:rsidRPr="00FC52F5">
        <w:rPr>
          <w:rFonts w:ascii="Calibri" w:hAnsi="Calibri" w:cs="Calibri"/>
          <w:noProof/>
          <w:sz w:val="24"/>
          <w:szCs w:val="24"/>
        </w:rPr>
        <w:tab/>
        <w:t xml:space="preserve">J. E. Cinner </w:t>
      </w:r>
      <w:r w:rsidRPr="00FC52F5">
        <w:rPr>
          <w:rFonts w:ascii="Calibri" w:hAnsi="Calibri" w:cs="Calibri"/>
          <w:i/>
          <w:iCs/>
          <w:noProof/>
          <w:sz w:val="24"/>
          <w:szCs w:val="24"/>
        </w:rPr>
        <w:t>et al.</w:t>
      </w:r>
      <w:r w:rsidRPr="00FC52F5">
        <w:rPr>
          <w:rFonts w:ascii="Calibri" w:hAnsi="Calibri" w:cs="Calibri"/>
          <w:noProof/>
          <w:sz w:val="24"/>
          <w:szCs w:val="24"/>
        </w:rPr>
        <w:t xml:space="preserve">, “Building adaptive capacity to climate change in tropical coastal communities,” </w:t>
      </w:r>
      <w:r w:rsidRPr="00FC52F5">
        <w:rPr>
          <w:rFonts w:ascii="Calibri" w:hAnsi="Calibri" w:cs="Calibri"/>
          <w:i/>
          <w:iCs/>
          <w:noProof/>
          <w:sz w:val="24"/>
          <w:szCs w:val="24"/>
        </w:rPr>
        <w:t>Nat. Clim. Chang.</w:t>
      </w:r>
      <w:r w:rsidRPr="00FC52F5">
        <w:rPr>
          <w:rFonts w:ascii="Calibri" w:hAnsi="Calibri" w:cs="Calibri"/>
          <w:noProof/>
          <w:sz w:val="24"/>
          <w:szCs w:val="24"/>
        </w:rPr>
        <w:t>, vol. 8, no. 2, pp. 117–123, 2018.</w:t>
      </w:r>
    </w:p>
    <w:p w14:paraId="068D5AD8"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[18]</w:t>
      </w:r>
      <w:r w:rsidRPr="00FC52F5">
        <w:rPr>
          <w:rFonts w:ascii="Calibri" w:hAnsi="Calibri" w:cs="Calibri"/>
          <w:noProof/>
          <w:sz w:val="24"/>
          <w:szCs w:val="24"/>
        </w:rPr>
        <w:tab/>
        <w:t xml:space="preserve">W. Neil Adger, “Social vulnerability to climate change and extremes in coastal Vietnam,” </w:t>
      </w:r>
      <w:r w:rsidRPr="00FC52F5">
        <w:rPr>
          <w:rFonts w:ascii="Calibri" w:hAnsi="Calibri" w:cs="Calibri"/>
          <w:i/>
          <w:iCs/>
          <w:noProof/>
          <w:sz w:val="24"/>
          <w:szCs w:val="24"/>
        </w:rPr>
        <w:t>World Dev.</w:t>
      </w:r>
      <w:r w:rsidRPr="00FC52F5">
        <w:rPr>
          <w:rFonts w:ascii="Calibri" w:hAnsi="Calibri" w:cs="Calibri"/>
          <w:noProof/>
          <w:sz w:val="24"/>
          <w:szCs w:val="24"/>
        </w:rPr>
        <w:t>, vol. 27, no. 2, pp. 249–269, 1999.</w:t>
      </w:r>
    </w:p>
    <w:p w14:paraId="77E2D759"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[19]</w:t>
      </w:r>
      <w:r w:rsidRPr="00FC52F5">
        <w:rPr>
          <w:rFonts w:ascii="Calibri" w:hAnsi="Calibri" w:cs="Calibri"/>
          <w:noProof/>
          <w:sz w:val="24"/>
          <w:szCs w:val="24"/>
        </w:rPr>
        <w:tab/>
        <w:t xml:space="preserve">M. Monirul Islam, S. Sallu, K. Hubacek, and J. Paavola, “Limits and barriers to adaptation to climate variability and change in Bangladeshi coastal fishing communities,” </w:t>
      </w:r>
      <w:r w:rsidRPr="00FC52F5">
        <w:rPr>
          <w:rFonts w:ascii="Calibri" w:hAnsi="Calibri" w:cs="Calibri"/>
          <w:i/>
          <w:iCs/>
          <w:noProof/>
          <w:sz w:val="24"/>
          <w:szCs w:val="24"/>
        </w:rPr>
        <w:t>Mar. Policy</w:t>
      </w:r>
      <w:r w:rsidRPr="00FC52F5">
        <w:rPr>
          <w:rFonts w:ascii="Calibri" w:hAnsi="Calibri" w:cs="Calibri"/>
          <w:noProof/>
          <w:sz w:val="24"/>
          <w:szCs w:val="24"/>
        </w:rPr>
        <w:t>, vol. 43, pp. 208–216, 2014.</w:t>
      </w:r>
    </w:p>
    <w:p w14:paraId="546C6B17"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[20]</w:t>
      </w:r>
      <w:r w:rsidRPr="00FC52F5">
        <w:rPr>
          <w:rFonts w:ascii="Calibri" w:hAnsi="Calibri" w:cs="Calibri"/>
          <w:noProof/>
          <w:sz w:val="24"/>
          <w:szCs w:val="24"/>
        </w:rPr>
        <w:tab/>
        <w:t xml:space="preserve">T. Cochrane, K., De Young, C., Soto, D., &amp; Bahri, “Climate Change Implications for Fisheries and Aquaculture,” in </w:t>
      </w:r>
      <w:r w:rsidRPr="00FC52F5">
        <w:rPr>
          <w:rFonts w:ascii="Calibri" w:hAnsi="Calibri" w:cs="Calibri"/>
          <w:i/>
          <w:iCs/>
          <w:noProof/>
          <w:sz w:val="24"/>
          <w:szCs w:val="24"/>
        </w:rPr>
        <w:t>Climate Change Impacts on Fisheries and Aquaculture</w:t>
      </w:r>
      <w:r w:rsidRPr="00FC52F5">
        <w:rPr>
          <w:rFonts w:ascii="Calibri" w:hAnsi="Calibri" w:cs="Calibri"/>
          <w:noProof/>
          <w:sz w:val="24"/>
          <w:szCs w:val="24"/>
        </w:rPr>
        <w:t>, T. Cochrane, K., De Young, C., Soto, D., &amp; Bahri, Ed. Rome: FAO Fisheries and aquaculture technical paper, 530, 2009, p. 212.</w:t>
      </w:r>
    </w:p>
    <w:p w14:paraId="5E5531A3"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[21]</w:t>
      </w:r>
      <w:r w:rsidRPr="00FC52F5">
        <w:rPr>
          <w:rFonts w:ascii="Calibri" w:hAnsi="Calibri" w:cs="Calibri"/>
          <w:noProof/>
          <w:sz w:val="24"/>
          <w:szCs w:val="24"/>
        </w:rPr>
        <w:tab/>
        <w:t xml:space="preserve">P. Antwi-Agyei, A. J. Dougill, E. D. G. Fraser, and L. C. Stringer, “Characterising the nature of household vulnerability to climate variability: Empirical evidence from two regions of Ghana,” </w:t>
      </w:r>
      <w:r w:rsidRPr="00FC52F5">
        <w:rPr>
          <w:rFonts w:ascii="Calibri" w:hAnsi="Calibri" w:cs="Calibri"/>
          <w:i/>
          <w:iCs/>
          <w:noProof/>
          <w:sz w:val="24"/>
          <w:szCs w:val="24"/>
        </w:rPr>
        <w:t>Environ. Dev. Sustain.</w:t>
      </w:r>
      <w:r w:rsidRPr="00FC52F5">
        <w:rPr>
          <w:rFonts w:ascii="Calibri" w:hAnsi="Calibri" w:cs="Calibri"/>
          <w:noProof/>
          <w:sz w:val="24"/>
          <w:szCs w:val="24"/>
        </w:rPr>
        <w:t>, vol. 15, no. 4, pp. 903–926, 2013.</w:t>
      </w:r>
    </w:p>
    <w:p w14:paraId="055E23B8"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[22]</w:t>
      </w:r>
      <w:r w:rsidRPr="00FC52F5">
        <w:rPr>
          <w:rFonts w:ascii="Calibri" w:hAnsi="Calibri" w:cs="Calibri"/>
          <w:noProof/>
          <w:sz w:val="24"/>
          <w:szCs w:val="24"/>
        </w:rPr>
        <w:tab/>
        <w:t xml:space="preserve">T. Tanner, A. Mensah, E. T. Lawson, C. Gordon, R. Godfrey-Wood, and T. Cannon, “Political Economy of Climate Compatible Development: Artisanal Fisheries and Climate Change in Ghana,” </w:t>
      </w:r>
      <w:r w:rsidRPr="00FC52F5">
        <w:rPr>
          <w:rFonts w:ascii="Calibri" w:hAnsi="Calibri" w:cs="Calibri"/>
          <w:i/>
          <w:iCs/>
          <w:noProof/>
          <w:sz w:val="24"/>
          <w:szCs w:val="24"/>
        </w:rPr>
        <w:t>IDS Work. Pap.</w:t>
      </w:r>
      <w:r w:rsidRPr="00FC52F5">
        <w:rPr>
          <w:rFonts w:ascii="Calibri" w:hAnsi="Calibri" w:cs="Calibri"/>
          <w:noProof/>
          <w:sz w:val="24"/>
          <w:szCs w:val="24"/>
        </w:rPr>
        <w:t>, vol. 2014, no. 446, pp. 1–30, 2014.</w:t>
      </w:r>
    </w:p>
    <w:p w14:paraId="078CF3BC"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[23]</w:t>
      </w:r>
      <w:r w:rsidRPr="00FC52F5">
        <w:rPr>
          <w:rFonts w:ascii="Calibri" w:hAnsi="Calibri" w:cs="Calibri"/>
          <w:noProof/>
          <w:sz w:val="24"/>
          <w:szCs w:val="24"/>
        </w:rPr>
        <w:tab/>
        <w:t xml:space="preserve">J. Ankrah, “Climate change impacts and coastal livelihoods; an analysis of fishers of coastal Winneba, Ghana,” </w:t>
      </w:r>
      <w:r w:rsidRPr="00FC52F5">
        <w:rPr>
          <w:rFonts w:ascii="Calibri" w:hAnsi="Calibri" w:cs="Calibri"/>
          <w:i/>
          <w:iCs/>
          <w:noProof/>
          <w:sz w:val="24"/>
          <w:szCs w:val="24"/>
        </w:rPr>
        <w:t>Ocean Coast. Manag.</w:t>
      </w:r>
      <w:r w:rsidRPr="00FC52F5">
        <w:rPr>
          <w:rFonts w:ascii="Calibri" w:hAnsi="Calibri" w:cs="Calibri"/>
          <w:noProof/>
          <w:sz w:val="24"/>
          <w:szCs w:val="24"/>
        </w:rPr>
        <w:t>, vol. 161, no. May, pp. 141–146, 2018.</w:t>
      </w:r>
    </w:p>
    <w:p w14:paraId="456F1504"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[24]</w:t>
      </w:r>
      <w:r w:rsidRPr="00FC52F5">
        <w:rPr>
          <w:rFonts w:ascii="Calibri" w:hAnsi="Calibri" w:cs="Calibri"/>
          <w:noProof/>
          <w:sz w:val="24"/>
          <w:szCs w:val="24"/>
        </w:rPr>
        <w:tab/>
        <w:t xml:space="preserve">R. Chambers and G. R. Conway, “Sustainable rural livelihoods: practical concepts for the 21st century,” </w:t>
      </w:r>
      <w:r w:rsidRPr="00FC52F5">
        <w:rPr>
          <w:rFonts w:ascii="Calibri" w:hAnsi="Calibri" w:cs="Calibri"/>
          <w:i/>
          <w:iCs/>
          <w:noProof/>
          <w:sz w:val="24"/>
          <w:szCs w:val="24"/>
        </w:rPr>
        <w:t>IDS Discuss. Pap.</w:t>
      </w:r>
      <w:r w:rsidRPr="00FC52F5">
        <w:rPr>
          <w:rFonts w:ascii="Calibri" w:hAnsi="Calibri" w:cs="Calibri"/>
          <w:noProof/>
          <w:sz w:val="24"/>
          <w:szCs w:val="24"/>
        </w:rPr>
        <w:t>, vol. 296, 1992.</w:t>
      </w:r>
    </w:p>
    <w:p w14:paraId="51860A40"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[25]</w:t>
      </w:r>
      <w:r w:rsidRPr="00FC52F5">
        <w:rPr>
          <w:rFonts w:ascii="Calibri" w:hAnsi="Calibri" w:cs="Calibri"/>
          <w:noProof/>
          <w:sz w:val="24"/>
          <w:szCs w:val="24"/>
        </w:rPr>
        <w:tab/>
        <w:t xml:space="preserve">I. Scoones, “Sustainable Rural Livelihoods: A Framework for Analysis, IDS Working Paper 72,” </w:t>
      </w:r>
      <w:r w:rsidRPr="00FC52F5">
        <w:rPr>
          <w:rFonts w:ascii="Calibri" w:hAnsi="Calibri" w:cs="Calibri"/>
          <w:i/>
          <w:iCs/>
          <w:noProof/>
          <w:sz w:val="24"/>
          <w:szCs w:val="24"/>
        </w:rPr>
        <w:t>IDS Work. Pap.</w:t>
      </w:r>
      <w:r w:rsidRPr="00FC52F5">
        <w:rPr>
          <w:rFonts w:ascii="Calibri" w:hAnsi="Calibri" w:cs="Calibri"/>
          <w:noProof/>
          <w:sz w:val="24"/>
          <w:szCs w:val="24"/>
        </w:rPr>
        <w:t>, vol. 72, no. May, pp. 1–22, 1998.</w:t>
      </w:r>
    </w:p>
    <w:p w14:paraId="1E442440"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[26]</w:t>
      </w:r>
      <w:r w:rsidRPr="00FC52F5">
        <w:rPr>
          <w:rFonts w:ascii="Calibri" w:hAnsi="Calibri" w:cs="Calibri"/>
          <w:noProof/>
          <w:sz w:val="24"/>
          <w:szCs w:val="24"/>
        </w:rPr>
        <w:tab/>
        <w:t xml:space="preserve">K. Hussein and J. Nelson, “Sustainable livelihoods and livelihood diversification (No. IDS Working Paper 69),” </w:t>
      </w:r>
      <w:r w:rsidRPr="00FC52F5">
        <w:rPr>
          <w:rFonts w:ascii="Calibri" w:hAnsi="Calibri" w:cs="Calibri"/>
          <w:i/>
          <w:iCs/>
          <w:noProof/>
          <w:sz w:val="24"/>
          <w:szCs w:val="24"/>
        </w:rPr>
        <w:t>Bright. IDS</w:t>
      </w:r>
      <w:r w:rsidRPr="00FC52F5">
        <w:rPr>
          <w:rFonts w:ascii="Calibri" w:hAnsi="Calibri" w:cs="Calibri"/>
          <w:noProof/>
          <w:sz w:val="24"/>
          <w:szCs w:val="24"/>
        </w:rPr>
        <w:t>, 1998.</w:t>
      </w:r>
    </w:p>
    <w:p w14:paraId="372F6D6A"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[27]</w:t>
      </w:r>
      <w:r w:rsidRPr="00FC52F5">
        <w:rPr>
          <w:rFonts w:ascii="Calibri" w:hAnsi="Calibri" w:cs="Calibri"/>
          <w:noProof/>
          <w:sz w:val="24"/>
          <w:szCs w:val="24"/>
        </w:rPr>
        <w:tab/>
        <w:t xml:space="preserve">J. R. B. Manyena, G. O’Brien, P. O’Keefe, “Disaster resilience: a bounce back or bounce forward ability?,” </w:t>
      </w:r>
      <w:r w:rsidRPr="00FC52F5">
        <w:rPr>
          <w:rFonts w:ascii="Calibri" w:hAnsi="Calibri" w:cs="Calibri"/>
          <w:i/>
          <w:iCs/>
          <w:noProof/>
          <w:sz w:val="24"/>
          <w:szCs w:val="24"/>
        </w:rPr>
        <w:t>LOCAL Environ. VO - 16</w:t>
      </w:r>
      <w:r w:rsidRPr="00FC52F5">
        <w:rPr>
          <w:rFonts w:ascii="Calibri" w:hAnsi="Calibri" w:cs="Calibri"/>
          <w:noProof/>
          <w:sz w:val="24"/>
          <w:szCs w:val="24"/>
        </w:rPr>
        <w:t>, no. 5, p. 417, 2011.</w:t>
      </w:r>
    </w:p>
    <w:p w14:paraId="31853DE5"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[28]</w:t>
      </w:r>
      <w:r w:rsidRPr="00FC52F5">
        <w:rPr>
          <w:rFonts w:ascii="Calibri" w:hAnsi="Calibri" w:cs="Calibri"/>
          <w:noProof/>
          <w:sz w:val="24"/>
          <w:szCs w:val="24"/>
        </w:rPr>
        <w:tab/>
        <w:t xml:space="preserve">J. Forster, I. R. Lake, A. R. Watkinson, and J. A. Gill, “Marine dependent livelihoods and resilience to environmental change: A case study of Anguilla,” </w:t>
      </w:r>
      <w:r w:rsidRPr="00FC52F5">
        <w:rPr>
          <w:rFonts w:ascii="Calibri" w:hAnsi="Calibri" w:cs="Calibri"/>
          <w:i/>
          <w:iCs/>
          <w:noProof/>
          <w:sz w:val="24"/>
          <w:szCs w:val="24"/>
        </w:rPr>
        <w:t>Mar. Policy</w:t>
      </w:r>
      <w:r w:rsidRPr="00FC52F5">
        <w:rPr>
          <w:rFonts w:ascii="Calibri" w:hAnsi="Calibri" w:cs="Calibri"/>
          <w:noProof/>
          <w:sz w:val="24"/>
          <w:szCs w:val="24"/>
        </w:rPr>
        <w:t>, vol. 45, pp. 204–212, 2014.</w:t>
      </w:r>
    </w:p>
    <w:p w14:paraId="5FA4517B"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[29]</w:t>
      </w:r>
      <w:r w:rsidRPr="00FC52F5">
        <w:rPr>
          <w:rFonts w:ascii="Calibri" w:hAnsi="Calibri" w:cs="Calibri"/>
          <w:noProof/>
          <w:sz w:val="24"/>
          <w:szCs w:val="24"/>
        </w:rPr>
        <w:tab/>
        <w:t xml:space="preserve">S. Appe and A. Schnable, “Don’t reinvent the wheel: possibilities for and limits to building capacity of grassroots international NGOs,” in </w:t>
      </w:r>
      <w:r w:rsidRPr="00FC52F5">
        <w:rPr>
          <w:rFonts w:ascii="Calibri" w:hAnsi="Calibri" w:cs="Calibri"/>
          <w:i/>
          <w:iCs/>
          <w:noProof/>
          <w:sz w:val="24"/>
          <w:szCs w:val="24"/>
        </w:rPr>
        <w:t>Third world quarterly VO - 40</w:t>
      </w:r>
      <w:r w:rsidRPr="00FC52F5">
        <w:rPr>
          <w:rFonts w:ascii="Calibri" w:hAnsi="Calibri" w:cs="Calibri"/>
          <w:noProof/>
          <w:sz w:val="24"/>
          <w:szCs w:val="24"/>
        </w:rPr>
        <w:t>, 2019, no. 10, p. 1832.</w:t>
      </w:r>
    </w:p>
    <w:p w14:paraId="3DD6CCFA"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[30]</w:t>
      </w:r>
      <w:r w:rsidRPr="00FC52F5">
        <w:rPr>
          <w:rFonts w:ascii="Calibri" w:hAnsi="Calibri" w:cs="Calibri"/>
          <w:noProof/>
          <w:sz w:val="24"/>
          <w:szCs w:val="24"/>
        </w:rPr>
        <w:tab/>
        <w:t xml:space="preserve">E. Apine, L. M. Turner, L. D. Rodwell, and R. Bhatta, “The application of the sustainable livelihood approach to small scale-fisheries: The case of mud crab Scylla serrata in South west India,” </w:t>
      </w:r>
      <w:r w:rsidRPr="00FC52F5">
        <w:rPr>
          <w:rFonts w:ascii="Calibri" w:hAnsi="Calibri" w:cs="Calibri"/>
          <w:i/>
          <w:iCs/>
          <w:noProof/>
          <w:sz w:val="24"/>
          <w:szCs w:val="24"/>
        </w:rPr>
        <w:t>Ocean Coast. Manag.</w:t>
      </w:r>
      <w:r w:rsidRPr="00FC52F5">
        <w:rPr>
          <w:rFonts w:ascii="Calibri" w:hAnsi="Calibri" w:cs="Calibri"/>
          <w:noProof/>
          <w:sz w:val="24"/>
          <w:szCs w:val="24"/>
        </w:rPr>
        <w:t xml:space="preserve">, vol. 170, no. December 2018, pp. 17–28, </w:t>
      </w:r>
      <w:r w:rsidRPr="00FC52F5">
        <w:rPr>
          <w:rFonts w:ascii="Calibri" w:hAnsi="Calibri" w:cs="Calibri"/>
          <w:noProof/>
          <w:sz w:val="24"/>
          <w:szCs w:val="24"/>
        </w:rPr>
        <w:lastRenderedPageBreak/>
        <w:t>2019.</w:t>
      </w:r>
    </w:p>
    <w:p w14:paraId="74825EDF"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[31]</w:t>
      </w:r>
      <w:r w:rsidRPr="00FC52F5">
        <w:rPr>
          <w:rFonts w:ascii="Calibri" w:hAnsi="Calibri" w:cs="Calibri"/>
          <w:noProof/>
          <w:sz w:val="24"/>
          <w:szCs w:val="24"/>
        </w:rPr>
        <w:tab/>
        <w:t xml:space="preserve">T. T. X. Nguyen, J. Bonetti, K. Rogers, and C. D. Woodroffe, “Indicator-based assessment of climate-change impacts on coasts: A review of concepts, methodological approaches and vulnerability indices,” </w:t>
      </w:r>
      <w:r w:rsidRPr="00FC52F5">
        <w:rPr>
          <w:rFonts w:ascii="Calibri" w:hAnsi="Calibri" w:cs="Calibri"/>
          <w:i/>
          <w:iCs/>
          <w:noProof/>
          <w:sz w:val="24"/>
          <w:szCs w:val="24"/>
        </w:rPr>
        <w:t>Ocean Coast. Manag.</w:t>
      </w:r>
      <w:r w:rsidRPr="00FC52F5">
        <w:rPr>
          <w:rFonts w:ascii="Calibri" w:hAnsi="Calibri" w:cs="Calibri"/>
          <w:noProof/>
          <w:sz w:val="24"/>
          <w:szCs w:val="24"/>
        </w:rPr>
        <w:t>, vol. 123, pp. 18–43, 2016.</w:t>
      </w:r>
    </w:p>
    <w:p w14:paraId="487E78DD"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[32]</w:t>
      </w:r>
      <w:r w:rsidRPr="00FC52F5">
        <w:rPr>
          <w:rFonts w:ascii="Calibri" w:hAnsi="Calibri" w:cs="Calibri"/>
          <w:noProof/>
          <w:sz w:val="24"/>
          <w:szCs w:val="24"/>
        </w:rPr>
        <w:tab/>
        <w:t xml:space="preserve">C. Tapia </w:t>
      </w:r>
      <w:r w:rsidRPr="00FC52F5">
        <w:rPr>
          <w:rFonts w:ascii="Calibri" w:hAnsi="Calibri" w:cs="Calibri"/>
          <w:i/>
          <w:iCs/>
          <w:noProof/>
          <w:sz w:val="24"/>
          <w:szCs w:val="24"/>
        </w:rPr>
        <w:t>et al.</w:t>
      </w:r>
      <w:r w:rsidRPr="00FC52F5">
        <w:rPr>
          <w:rFonts w:ascii="Calibri" w:hAnsi="Calibri" w:cs="Calibri"/>
          <w:noProof/>
          <w:sz w:val="24"/>
          <w:szCs w:val="24"/>
        </w:rPr>
        <w:t xml:space="preserve">, “Profiling urban vulnerabilities to climate change: An indicator-based vulnerability assessment for European cities,” </w:t>
      </w:r>
      <w:r w:rsidRPr="00FC52F5">
        <w:rPr>
          <w:rFonts w:ascii="Calibri" w:hAnsi="Calibri" w:cs="Calibri"/>
          <w:i/>
          <w:iCs/>
          <w:noProof/>
          <w:sz w:val="24"/>
          <w:szCs w:val="24"/>
        </w:rPr>
        <w:t>Ecol. Indic.</w:t>
      </w:r>
      <w:r w:rsidRPr="00FC52F5">
        <w:rPr>
          <w:rFonts w:ascii="Calibri" w:hAnsi="Calibri" w:cs="Calibri"/>
          <w:noProof/>
          <w:sz w:val="24"/>
          <w:szCs w:val="24"/>
        </w:rPr>
        <w:t>, vol. 78, pp. 142–155, 2017.</w:t>
      </w:r>
    </w:p>
    <w:p w14:paraId="36EF86D5" w14:textId="7E8D2F83"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[33]</w:t>
      </w:r>
      <w:r w:rsidRPr="00FC52F5">
        <w:rPr>
          <w:rFonts w:ascii="Calibri" w:hAnsi="Calibri" w:cs="Calibri"/>
          <w:noProof/>
          <w:sz w:val="24"/>
          <w:szCs w:val="24"/>
        </w:rPr>
        <w:tab/>
      </w:r>
      <w:r w:rsidR="00E569BE" w:rsidRPr="00E569BE">
        <w:rPr>
          <w:rFonts w:ascii="Calibri" w:hAnsi="Calibri" w:cs="Calibri"/>
          <w:noProof/>
          <w:sz w:val="24"/>
          <w:szCs w:val="24"/>
        </w:rPr>
        <w:t xml:space="preserve">IPCC, "Summary for Policymakers. In: </w:t>
      </w:r>
      <w:r w:rsidR="00E569BE" w:rsidRPr="00E569BE">
        <w:rPr>
          <w:rFonts w:ascii="Calibri" w:hAnsi="Calibri" w:cs="Calibri"/>
          <w:i/>
          <w:noProof/>
          <w:sz w:val="24"/>
          <w:szCs w:val="24"/>
        </w:rPr>
        <w:t>Climate Change 2014: Impacts, Adaptation, and Vulnerability. Part A: Global and Sectoral Aspects. Contribution of Working Group II to the Fifth Assessment Report of the Intergovernmental Panel on Climate Change</w:t>
      </w:r>
      <w:r w:rsidR="00E569BE" w:rsidRPr="00E569BE">
        <w:rPr>
          <w:rFonts w:ascii="Calibri" w:hAnsi="Calibri" w:cs="Calibri"/>
          <w:noProof/>
          <w:sz w:val="24"/>
          <w:szCs w:val="24"/>
        </w:rPr>
        <w:t xml:space="preserve"> [Field, C.B., V.R. Barros, D.J. Dokken, K.J. Mach, M.D. Mastrandrea, T.E. Bilir, M. Chatterjee, K.L. Ebi, Y.O. Estrada, R.C. Genova, B. Girma, E.S. Kissel, A.N. Levy, S. MacCracken, P.R. Mastrandrea, and L.L. White (eds.)]. Cambridge University Press, Cambridge, United Kingdom and New York, NY, USA, pp. 1-32, 2014.</w:t>
      </w:r>
    </w:p>
    <w:p w14:paraId="1E147D56"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[34]</w:t>
      </w:r>
      <w:r w:rsidRPr="00FC52F5">
        <w:rPr>
          <w:rFonts w:ascii="Calibri" w:hAnsi="Calibri" w:cs="Calibri"/>
          <w:noProof/>
          <w:sz w:val="24"/>
          <w:szCs w:val="24"/>
        </w:rPr>
        <w:tab/>
        <w:t>Ghana Statistical Service, “2010 POPULATION &amp; HOUSING CENSUS NATIONAL: NATIONAL ANALYTICAL REPORT,” Accra, Ghana, 2014.</w:t>
      </w:r>
    </w:p>
    <w:p w14:paraId="13190B8F"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[35]</w:t>
      </w:r>
      <w:r w:rsidRPr="00FC52F5">
        <w:rPr>
          <w:rFonts w:ascii="Calibri" w:hAnsi="Calibri" w:cs="Calibri"/>
          <w:noProof/>
          <w:sz w:val="24"/>
          <w:szCs w:val="24"/>
        </w:rPr>
        <w:tab/>
        <w:t xml:space="preserve">A. Bryman, </w:t>
      </w:r>
      <w:r w:rsidRPr="00FC52F5">
        <w:rPr>
          <w:rFonts w:ascii="Calibri" w:hAnsi="Calibri" w:cs="Calibri"/>
          <w:i/>
          <w:iCs/>
          <w:noProof/>
          <w:sz w:val="24"/>
          <w:szCs w:val="24"/>
        </w:rPr>
        <w:t>Social research methods.</w:t>
      </w:r>
      <w:r w:rsidRPr="00FC52F5">
        <w:rPr>
          <w:rFonts w:ascii="Calibri" w:hAnsi="Calibri" w:cs="Calibri"/>
          <w:noProof/>
          <w:sz w:val="24"/>
          <w:szCs w:val="24"/>
        </w:rPr>
        <w:t>, Fifth edition. Oxford University Press, 2015.</w:t>
      </w:r>
    </w:p>
    <w:p w14:paraId="42DD3315"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[36]</w:t>
      </w:r>
      <w:r w:rsidRPr="00FC52F5">
        <w:rPr>
          <w:rFonts w:ascii="Calibri" w:hAnsi="Calibri" w:cs="Calibri"/>
          <w:noProof/>
          <w:sz w:val="24"/>
          <w:szCs w:val="24"/>
        </w:rPr>
        <w:tab/>
        <w:t xml:space="preserve">S. Hajkowicz, “Multi-attributed environmental index construction,” </w:t>
      </w:r>
      <w:r w:rsidRPr="00FC52F5">
        <w:rPr>
          <w:rFonts w:ascii="Calibri" w:hAnsi="Calibri" w:cs="Calibri"/>
          <w:i/>
          <w:iCs/>
          <w:noProof/>
          <w:sz w:val="24"/>
          <w:szCs w:val="24"/>
        </w:rPr>
        <w:t>Ecol. Econ.</w:t>
      </w:r>
      <w:r w:rsidRPr="00FC52F5">
        <w:rPr>
          <w:rFonts w:ascii="Calibri" w:hAnsi="Calibri" w:cs="Calibri"/>
          <w:noProof/>
          <w:sz w:val="24"/>
          <w:szCs w:val="24"/>
        </w:rPr>
        <w:t>, vol. 57, no. 1, pp. 122–139, Jan. 2006.</w:t>
      </w:r>
    </w:p>
    <w:p w14:paraId="3AFD8711" w14:textId="05C7CF55"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[37]</w:t>
      </w:r>
      <w:r w:rsidRPr="00FC52F5">
        <w:rPr>
          <w:rFonts w:ascii="Calibri" w:hAnsi="Calibri" w:cs="Calibri"/>
          <w:noProof/>
          <w:sz w:val="24"/>
          <w:szCs w:val="24"/>
        </w:rPr>
        <w:tab/>
      </w:r>
      <w:r w:rsidR="00AE096D" w:rsidRPr="00AE096D">
        <w:rPr>
          <w:rFonts w:ascii="Calibri" w:hAnsi="Calibri" w:cs="Calibri"/>
          <w:noProof/>
          <w:sz w:val="24"/>
          <w:szCs w:val="24"/>
        </w:rPr>
        <w:t xml:space="preserve">IPCC, “Annex II: Glossary [Mach, K.J., S. Planton and C. von Stechow (eds.)]. In: </w:t>
      </w:r>
      <w:r w:rsidR="00AE096D" w:rsidRPr="00AE096D">
        <w:rPr>
          <w:rFonts w:ascii="Calibri" w:hAnsi="Calibri" w:cs="Calibri"/>
          <w:i/>
          <w:noProof/>
          <w:sz w:val="24"/>
          <w:szCs w:val="24"/>
        </w:rPr>
        <w:t>Climate Change 2014: Synthesis Report. Contribution of Working Groups I, II and III to the Fifth Assessment Report of the Intergovernmental Panel on Climate Change</w:t>
      </w:r>
      <w:r w:rsidR="00AE096D" w:rsidRPr="00AE096D">
        <w:rPr>
          <w:rFonts w:ascii="Calibri" w:hAnsi="Calibri" w:cs="Calibri"/>
          <w:noProof/>
          <w:sz w:val="24"/>
          <w:szCs w:val="24"/>
        </w:rPr>
        <w:t>” IPCC, Geneva, Switzerland, 2014.</w:t>
      </w:r>
    </w:p>
    <w:p w14:paraId="2B337A3C"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[38]</w:t>
      </w:r>
      <w:r w:rsidRPr="00FC52F5">
        <w:rPr>
          <w:rFonts w:ascii="Calibri" w:hAnsi="Calibri" w:cs="Calibri"/>
          <w:noProof/>
          <w:sz w:val="24"/>
          <w:szCs w:val="24"/>
        </w:rPr>
        <w:tab/>
        <w:t>NADMO, “Report on tidal waves at Winneba beach: September 2016,” Winneba, Central Region, Ghana, 2016.</w:t>
      </w:r>
    </w:p>
    <w:p w14:paraId="70E50837"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[39]</w:t>
      </w:r>
      <w:r w:rsidRPr="00FC52F5">
        <w:rPr>
          <w:rFonts w:ascii="Calibri" w:hAnsi="Calibri" w:cs="Calibri"/>
          <w:noProof/>
          <w:sz w:val="24"/>
          <w:szCs w:val="24"/>
        </w:rPr>
        <w:tab/>
        <w:t xml:space="preserve">K. Sagoe-Addy and K. Appeaning Addo, “Effect of predicted sea level rise on tourism facilities along Ghana’s Accra coast,” </w:t>
      </w:r>
      <w:r w:rsidRPr="00FC52F5">
        <w:rPr>
          <w:rFonts w:ascii="Calibri" w:hAnsi="Calibri" w:cs="Calibri"/>
          <w:i/>
          <w:iCs/>
          <w:noProof/>
          <w:sz w:val="24"/>
          <w:szCs w:val="24"/>
        </w:rPr>
        <w:t>J. Coast. Conserv.</w:t>
      </w:r>
      <w:r w:rsidRPr="00FC52F5">
        <w:rPr>
          <w:rFonts w:ascii="Calibri" w:hAnsi="Calibri" w:cs="Calibri"/>
          <w:noProof/>
          <w:sz w:val="24"/>
          <w:szCs w:val="24"/>
        </w:rPr>
        <w:t>, vol. 17, no. 1, pp. 155–166, 2013.</w:t>
      </w:r>
    </w:p>
    <w:p w14:paraId="1D791D92"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[40]</w:t>
      </w:r>
      <w:r w:rsidRPr="00FC52F5">
        <w:rPr>
          <w:rFonts w:ascii="Calibri" w:hAnsi="Calibri" w:cs="Calibri"/>
          <w:noProof/>
          <w:sz w:val="24"/>
          <w:szCs w:val="24"/>
        </w:rPr>
        <w:tab/>
        <w:t xml:space="preserve">G. C. Gallopín, “Linkages between vulnerability, resilience, and adaptive capacity,” </w:t>
      </w:r>
      <w:r w:rsidRPr="00FC52F5">
        <w:rPr>
          <w:rFonts w:ascii="Calibri" w:hAnsi="Calibri" w:cs="Calibri"/>
          <w:i/>
          <w:iCs/>
          <w:noProof/>
          <w:sz w:val="24"/>
          <w:szCs w:val="24"/>
        </w:rPr>
        <w:t>Glob. Environ. Chang.</w:t>
      </w:r>
      <w:r w:rsidRPr="00FC52F5">
        <w:rPr>
          <w:rFonts w:ascii="Calibri" w:hAnsi="Calibri" w:cs="Calibri"/>
          <w:noProof/>
          <w:sz w:val="24"/>
          <w:szCs w:val="24"/>
        </w:rPr>
        <w:t>, vol. 16, no. 3, pp. 293–303, 2006.</w:t>
      </w:r>
    </w:p>
    <w:p w14:paraId="4A70199E"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[41]</w:t>
      </w:r>
      <w:r w:rsidRPr="00FC52F5">
        <w:rPr>
          <w:rFonts w:ascii="Calibri" w:hAnsi="Calibri" w:cs="Calibri"/>
          <w:noProof/>
          <w:sz w:val="24"/>
          <w:szCs w:val="24"/>
        </w:rPr>
        <w:tab/>
        <w:t xml:space="preserve">M. Lockwood, C. M. Raymond, E. Oczkowski, and M. Morrison, “Measuring the dimensions of adaptive capacity: A psychometric approach,” </w:t>
      </w:r>
      <w:r w:rsidRPr="00FC52F5">
        <w:rPr>
          <w:rFonts w:ascii="Calibri" w:hAnsi="Calibri" w:cs="Calibri"/>
          <w:i/>
          <w:iCs/>
          <w:noProof/>
          <w:sz w:val="24"/>
          <w:szCs w:val="24"/>
        </w:rPr>
        <w:t>Ecol. Soc.</w:t>
      </w:r>
      <w:r w:rsidRPr="00FC52F5">
        <w:rPr>
          <w:rFonts w:ascii="Calibri" w:hAnsi="Calibri" w:cs="Calibri"/>
          <w:noProof/>
          <w:sz w:val="24"/>
          <w:szCs w:val="24"/>
        </w:rPr>
        <w:t>, vol. 20, no. 1, 2015.</w:t>
      </w:r>
    </w:p>
    <w:p w14:paraId="4993A95A"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[42]</w:t>
      </w:r>
      <w:r w:rsidRPr="00FC52F5">
        <w:rPr>
          <w:rFonts w:ascii="Calibri" w:hAnsi="Calibri" w:cs="Calibri"/>
          <w:noProof/>
          <w:sz w:val="24"/>
          <w:szCs w:val="24"/>
        </w:rPr>
        <w:tab/>
        <w:t xml:space="preserve">B. Asiedu, F. K. E. Nunoo, P. K. Ofori-Danson, D. B. Sarpong, and U. R. Sumaila, “Poverty Measurements in Small-scale Fisheries of Ghana: A Step towards Poverty Eradication,” </w:t>
      </w:r>
      <w:r w:rsidRPr="00FC52F5">
        <w:rPr>
          <w:rFonts w:ascii="Calibri" w:hAnsi="Calibri" w:cs="Calibri"/>
          <w:i/>
          <w:iCs/>
          <w:noProof/>
          <w:sz w:val="24"/>
          <w:szCs w:val="24"/>
        </w:rPr>
        <w:t>Curr. Res. J. Soc. Sci.</w:t>
      </w:r>
      <w:r w:rsidRPr="00FC52F5">
        <w:rPr>
          <w:rFonts w:ascii="Calibri" w:hAnsi="Calibri" w:cs="Calibri"/>
          <w:noProof/>
          <w:sz w:val="24"/>
          <w:szCs w:val="24"/>
        </w:rPr>
        <w:t>, vol. 5, no. 3, pp. 75–90, 2013.</w:t>
      </w:r>
    </w:p>
    <w:p w14:paraId="40D4AB33"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[43]</w:t>
      </w:r>
      <w:r w:rsidRPr="00FC52F5">
        <w:rPr>
          <w:rFonts w:ascii="Calibri" w:hAnsi="Calibri" w:cs="Calibri"/>
          <w:noProof/>
          <w:sz w:val="24"/>
          <w:szCs w:val="24"/>
        </w:rPr>
        <w:tab/>
        <w:t xml:space="preserve">E. H. Allison and F. Ellis, “The livelihoods approach and management of small-scale fisheries,” </w:t>
      </w:r>
      <w:r w:rsidRPr="00FC52F5">
        <w:rPr>
          <w:rFonts w:ascii="Calibri" w:hAnsi="Calibri" w:cs="Calibri"/>
          <w:i/>
          <w:iCs/>
          <w:noProof/>
          <w:sz w:val="24"/>
          <w:szCs w:val="24"/>
        </w:rPr>
        <w:t>Mar. Policy</w:t>
      </w:r>
      <w:r w:rsidRPr="00FC52F5">
        <w:rPr>
          <w:rFonts w:ascii="Calibri" w:hAnsi="Calibri" w:cs="Calibri"/>
          <w:noProof/>
          <w:sz w:val="24"/>
          <w:szCs w:val="24"/>
        </w:rPr>
        <w:t>, vol. 25, no. 5, pp. 377–388, 2001.</w:t>
      </w:r>
    </w:p>
    <w:p w14:paraId="39B8A4A3"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[44]</w:t>
      </w:r>
      <w:r w:rsidRPr="00FC52F5">
        <w:rPr>
          <w:rFonts w:ascii="Calibri" w:hAnsi="Calibri" w:cs="Calibri"/>
          <w:noProof/>
          <w:sz w:val="24"/>
          <w:szCs w:val="24"/>
        </w:rPr>
        <w:tab/>
        <w:t xml:space="preserve">K. O’Brien </w:t>
      </w:r>
      <w:r w:rsidRPr="00FC52F5">
        <w:rPr>
          <w:rFonts w:ascii="Calibri" w:hAnsi="Calibri" w:cs="Calibri"/>
          <w:i/>
          <w:iCs/>
          <w:noProof/>
          <w:sz w:val="24"/>
          <w:szCs w:val="24"/>
        </w:rPr>
        <w:t>et al.</w:t>
      </w:r>
      <w:r w:rsidRPr="00FC52F5">
        <w:rPr>
          <w:rFonts w:ascii="Calibri" w:hAnsi="Calibri" w:cs="Calibri"/>
          <w:noProof/>
          <w:sz w:val="24"/>
          <w:szCs w:val="24"/>
        </w:rPr>
        <w:t xml:space="preserve">, “Mapping vulnerability to multiple stressors: Climate change and globalization in India,” </w:t>
      </w:r>
      <w:r w:rsidRPr="00FC52F5">
        <w:rPr>
          <w:rFonts w:ascii="Calibri" w:hAnsi="Calibri" w:cs="Calibri"/>
          <w:i/>
          <w:iCs/>
          <w:noProof/>
          <w:sz w:val="24"/>
          <w:szCs w:val="24"/>
        </w:rPr>
        <w:t>Glob. Environ. Chang.</w:t>
      </w:r>
      <w:r w:rsidRPr="00FC52F5">
        <w:rPr>
          <w:rFonts w:ascii="Calibri" w:hAnsi="Calibri" w:cs="Calibri"/>
          <w:noProof/>
          <w:sz w:val="24"/>
          <w:szCs w:val="24"/>
        </w:rPr>
        <w:t>, vol. 14, no. 4, pp. 303–313, 2004.</w:t>
      </w:r>
    </w:p>
    <w:p w14:paraId="7B90C446"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lastRenderedPageBreak/>
        <w:t>[45]</w:t>
      </w:r>
      <w:r w:rsidRPr="00FC52F5">
        <w:rPr>
          <w:rFonts w:ascii="Calibri" w:hAnsi="Calibri" w:cs="Calibri"/>
          <w:noProof/>
          <w:sz w:val="24"/>
          <w:szCs w:val="24"/>
        </w:rPr>
        <w:tab/>
        <w:t xml:space="preserve">Y. H. Fu </w:t>
      </w:r>
      <w:r w:rsidRPr="00FC52F5">
        <w:rPr>
          <w:rFonts w:ascii="Calibri" w:hAnsi="Calibri" w:cs="Calibri"/>
          <w:i/>
          <w:iCs/>
          <w:noProof/>
          <w:sz w:val="24"/>
          <w:szCs w:val="24"/>
        </w:rPr>
        <w:t>et al.</w:t>
      </w:r>
      <w:r w:rsidRPr="00FC52F5">
        <w:rPr>
          <w:rFonts w:ascii="Calibri" w:hAnsi="Calibri" w:cs="Calibri"/>
          <w:noProof/>
          <w:sz w:val="24"/>
          <w:szCs w:val="24"/>
        </w:rPr>
        <w:t xml:space="preserve">, “Three times greater weight of daytime than of night-time temperature on leaf unfolding phenology in temperate trees,” </w:t>
      </w:r>
      <w:r w:rsidRPr="00FC52F5">
        <w:rPr>
          <w:rFonts w:ascii="Calibri" w:hAnsi="Calibri" w:cs="Calibri"/>
          <w:i/>
          <w:iCs/>
          <w:noProof/>
          <w:sz w:val="24"/>
          <w:szCs w:val="24"/>
        </w:rPr>
        <w:t>NEW PHYTOLOGIST</w:t>
      </w:r>
      <w:r w:rsidRPr="00FC52F5">
        <w:rPr>
          <w:rFonts w:ascii="Calibri" w:hAnsi="Calibri" w:cs="Calibri"/>
          <w:noProof/>
          <w:sz w:val="24"/>
          <w:szCs w:val="24"/>
        </w:rPr>
        <w:t>, vol. 212, no. 3. pp. 590–597.</w:t>
      </w:r>
    </w:p>
    <w:p w14:paraId="7BC6A112"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[46]</w:t>
      </w:r>
      <w:r w:rsidRPr="00FC52F5">
        <w:rPr>
          <w:rFonts w:ascii="Calibri" w:hAnsi="Calibri" w:cs="Calibri"/>
          <w:noProof/>
          <w:sz w:val="24"/>
          <w:szCs w:val="24"/>
        </w:rPr>
        <w:tab/>
        <w:t xml:space="preserve">D. Belhabib, U. R. Sumaila, and D. Pauly, “Feeding the poor: Contribution of West African fisheries toemployment and food security,” </w:t>
      </w:r>
      <w:r w:rsidRPr="00FC52F5">
        <w:rPr>
          <w:rFonts w:ascii="Calibri" w:hAnsi="Calibri" w:cs="Calibri"/>
          <w:i/>
          <w:iCs/>
          <w:noProof/>
          <w:sz w:val="24"/>
          <w:szCs w:val="24"/>
        </w:rPr>
        <w:t>Ocean Coast. Manag.</w:t>
      </w:r>
      <w:r w:rsidRPr="00FC52F5">
        <w:rPr>
          <w:rFonts w:ascii="Calibri" w:hAnsi="Calibri" w:cs="Calibri"/>
          <w:noProof/>
          <w:sz w:val="24"/>
          <w:szCs w:val="24"/>
        </w:rPr>
        <w:t>, vol. 111, pp. 72–81, 2015.</w:t>
      </w:r>
    </w:p>
    <w:p w14:paraId="0E1E2242"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[47]</w:t>
      </w:r>
      <w:r w:rsidRPr="00FC52F5">
        <w:rPr>
          <w:rFonts w:ascii="Calibri" w:hAnsi="Calibri" w:cs="Calibri"/>
          <w:noProof/>
          <w:sz w:val="24"/>
          <w:szCs w:val="24"/>
        </w:rPr>
        <w:tab/>
        <w:t>C. Béné, “SMALL-SCALE FISHERIES_ASSESSING THEIR CONTRIBUTION TO RURAL LIVELIHOODS IN DEVELOPING COUNTRIES,” 2006.</w:t>
      </w:r>
    </w:p>
    <w:p w14:paraId="3514F50D"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[48]</w:t>
      </w:r>
      <w:r w:rsidRPr="00FC52F5">
        <w:rPr>
          <w:rFonts w:ascii="Calibri" w:hAnsi="Calibri" w:cs="Calibri"/>
          <w:noProof/>
          <w:sz w:val="24"/>
          <w:szCs w:val="24"/>
        </w:rPr>
        <w:tab/>
        <w:t xml:space="preserve">F. K. E. Nunoo </w:t>
      </w:r>
      <w:r w:rsidRPr="00FC52F5">
        <w:rPr>
          <w:rFonts w:ascii="Calibri" w:hAnsi="Calibri" w:cs="Calibri"/>
          <w:i/>
          <w:iCs/>
          <w:noProof/>
          <w:sz w:val="24"/>
          <w:szCs w:val="24"/>
        </w:rPr>
        <w:t>et al.</w:t>
      </w:r>
      <w:r w:rsidRPr="00FC52F5">
        <w:rPr>
          <w:rFonts w:ascii="Calibri" w:hAnsi="Calibri" w:cs="Calibri"/>
          <w:noProof/>
          <w:sz w:val="24"/>
          <w:szCs w:val="24"/>
        </w:rPr>
        <w:t xml:space="preserve">, “Marine fisheries catches in Ghana: Historic reconstruction for 1950 to 2010 and current economic impacts,” </w:t>
      </w:r>
      <w:r w:rsidRPr="00FC52F5">
        <w:rPr>
          <w:rFonts w:ascii="Calibri" w:hAnsi="Calibri" w:cs="Calibri"/>
          <w:i/>
          <w:iCs/>
          <w:noProof/>
          <w:sz w:val="24"/>
          <w:szCs w:val="24"/>
        </w:rPr>
        <w:t>Rev. Fish. Sci. Aquac.</w:t>
      </w:r>
      <w:r w:rsidRPr="00FC52F5">
        <w:rPr>
          <w:rFonts w:ascii="Calibri" w:hAnsi="Calibri" w:cs="Calibri"/>
          <w:noProof/>
          <w:sz w:val="24"/>
          <w:szCs w:val="24"/>
        </w:rPr>
        <w:t>, vol. 22, no. 4, pp. 274–283, 2014.</w:t>
      </w:r>
    </w:p>
    <w:p w14:paraId="0009BA9C"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[49]</w:t>
      </w:r>
      <w:r w:rsidRPr="00FC52F5">
        <w:rPr>
          <w:rFonts w:ascii="Calibri" w:hAnsi="Calibri" w:cs="Calibri"/>
          <w:noProof/>
          <w:sz w:val="24"/>
          <w:szCs w:val="24"/>
        </w:rPr>
        <w:tab/>
        <w:t xml:space="preserve">P. Tschakert, “Views from the vulnerable: Understanding climatic and other stressors in the Sahel,” </w:t>
      </w:r>
      <w:r w:rsidRPr="00FC52F5">
        <w:rPr>
          <w:rFonts w:ascii="Calibri" w:hAnsi="Calibri" w:cs="Calibri"/>
          <w:i/>
          <w:iCs/>
          <w:noProof/>
          <w:sz w:val="24"/>
          <w:szCs w:val="24"/>
        </w:rPr>
        <w:t>Glob. Environ. Chang.</w:t>
      </w:r>
      <w:r w:rsidRPr="00FC52F5">
        <w:rPr>
          <w:rFonts w:ascii="Calibri" w:hAnsi="Calibri" w:cs="Calibri"/>
          <w:noProof/>
          <w:sz w:val="24"/>
          <w:szCs w:val="24"/>
        </w:rPr>
        <w:t>, vol. 17, no. 3–4, pp. 381–396, 2007.</w:t>
      </w:r>
    </w:p>
    <w:p w14:paraId="10489FB5"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[50]</w:t>
      </w:r>
      <w:r w:rsidRPr="00FC52F5">
        <w:rPr>
          <w:rFonts w:ascii="Calibri" w:hAnsi="Calibri" w:cs="Calibri"/>
          <w:noProof/>
          <w:sz w:val="24"/>
          <w:szCs w:val="24"/>
        </w:rPr>
        <w:tab/>
        <w:t xml:space="preserve">W. N. Adger, T. P. Hughes, C. Folke, S. R. Carpenter, and J. Rockström, “Social-ecological resilience to coastal disasters,” </w:t>
      </w:r>
      <w:r w:rsidRPr="00FC52F5">
        <w:rPr>
          <w:rFonts w:ascii="Calibri" w:hAnsi="Calibri" w:cs="Calibri"/>
          <w:i/>
          <w:iCs/>
          <w:noProof/>
          <w:sz w:val="24"/>
          <w:szCs w:val="24"/>
        </w:rPr>
        <w:t>Science</w:t>
      </w:r>
      <w:r w:rsidRPr="00FC52F5">
        <w:rPr>
          <w:rFonts w:ascii="Calibri" w:hAnsi="Calibri" w:cs="Calibri"/>
          <w:noProof/>
          <w:sz w:val="24"/>
          <w:szCs w:val="24"/>
        </w:rPr>
        <w:t>, vol. 309, no. 5737. pp. 1036–1039, 2005.</w:t>
      </w:r>
    </w:p>
    <w:p w14:paraId="4D239C99"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[51]</w:t>
      </w:r>
      <w:r w:rsidRPr="00FC52F5">
        <w:rPr>
          <w:rFonts w:ascii="Calibri" w:hAnsi="Calibri" w:cs="Calibri"/>
          <w:noProof/>
          <w:sz w:val="24"/>
          <w:szCs w:val="24"/>
        </w:rPr>
        <w:tab/>
        <w:t xml:space="preserve">W. N. Adger, “Social and ecological resilience: Are they related?,” </w:t>
      </w:r>
      <w:r w:rsidRPr="00FC52F5">
        <w:rPr>
          <w:rFonts w:ascii="Calibri" w:hAnsi="Calibri" w:cs="Calibri"/>
          <w:i/>
          <w:iCs/>
          <w:noProof/>
          <w:sz w:val="24"/>
          <w:szCs w:val="24"/>
        </w:rPr>
        <w:t>Prog. Hum. Geogr.</w:t>
      </w:r>
      <w:r w:rsidRPr="00FC52F5">
        <w:rPr>
          <w:rFonts w:ascii="Calibri" w:hAnsi="Calibri" w:cs="Calibri"/>
          <w:noProof/>
          <w:sz w:val="24"/>
          <w:szCs w:val="24"/>
        </w:rPr>
        <w:t>, vol. 24, no. 3, pp. 347–364, 2000.</w:t>
      </w:r>
    </w:p>
    <w:p w14:paraId="6A3B89C4"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[52]</w:t>
      </w:r>
      <w:r w:rsidRPr="00FC52F5">
        <w:rPr>
          <w:rFonts w:ascii="Calibri" w:hAnsi="Calibri" w:cs="Calibri"/>
          <w:noProof/>
          <w:sz w:val="24"/>
          <w:szCs w:val="24"/>
        </w:rPr>
        <w:tab/>
        <w:t xml:space="preserve">K. Malakar, T. Mishra, and A. Patwardhan, “Perceptions of multi-stresses impacting livelihoods of marine fishermen,” </w:t>
      </w:r>
      <w:r w:rsidRPr="00FC52F5">
        <w:rPr>
          <w:rFonts w:ascii="Calibri" w:hAnsi="Calibri" w:cs="Calibri"/>
          <w:i/>
          <w:iCs/>
          <w:noProof/>
          <w:sz w:val="24"/>
          <w:szCs w:val="24"/>
        </w:rPr>
        <w:t>Mar. Policy</w:t>
      </w:r>
      <w:r w:rsidRPr="00FC52F5">
        <w:rPr>
          <w:rFonts w:ascii="Calibri" w:hAnsi="Calibri" w:cs="Calibri"/>
          <w:noProof/>
          <w:sz w:val="24"/>
          <w:szCs w:val="24"/>
        </w:rPr>
        <w:t>, vol. 97, no. 105, pp. 18–26, 2018.</w:t>
      </w:r>
    </w:p>
    <w:p w14:paraId="09211952"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[53]</w:t>
      </w:r>
      <w:r w:rsidRPr="00FC52F5">
        <w:rPr>
          <w:rFonts w:ascii="Calibri" w:hAnsi="Calibri" w:cs="Calibri"/>
          <w:noProof/>
          <w:sz w:val="24"/>
          <w:szCs w:val="24"/>
        </w:rPr>
        <w:tab/>
        <w:t xml:space="preserve">M. Pelling and M. Garschagen, “Put equity first in climate adaptation,” </w:t>
      </w:r>
      <w:r w:rsidRPr="00FC52F5">
        <w:rPr>
          <w:rFonts w:ascii="Calibri" w:hAnsi="Calibri" w:cs="Calibri"/>
          <w:i/>
          <w:iCs/>
          <w:noProof/>
          <w:sz w:val="24"/>
          <w:szCs w:val="24"/>
        </w:rPr>
        <w:t>Nature</w:t>
      </w:r>
      <w:r w:rsidRPr="00FC52F5">
        <w:rPr>
          <w:rFonts w:ascii="Calibri" w:hAnsi="Calibri" w:cs="Calibri"/>
          <w:noProof/>
          <w:sz w:val="24"/>
          <w:szCs w:val="24"/>
        </w:rPr>
        <w:t>, vol. 569, no. 7756, pp. 327–329, May 2019.</w:t>
      </w:r>
    </w:p>
    <w:p w14:paraId="55D50E98"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[54]</w:t>
      </w:r>
      <w:r w:rsidRPr="00FC52F5">
        <w:rPr>
          <w:rFonts w:ascii="Calibri" w:hAnsi="Calibri" w:cs="Calibri"/>
          <w:noProof/>
          <w:sz w:val="24"/>
          <w:szCs w:val="24"/>
        </w:rPr>
        <w:tab/>
        <w:t xml:space="preserve">F. Denton, “Climate Change Vulnerability, Impacts, and Adaptation: Why Does Gender Matter?,” </w:t>
      </w:r>
      <w:r w:rsidRPr="00FC52F5">
        <w:rPr>
          <w:rFonts w:ascii="Calibri" w:hAnsi="Calibri" w:cs="Calibri"/>
          <w:i/>
          <w:iCs/>
          <w:noProof/>
          <w:sz w:val="24"/>
          <w:szCs w:val="24"/>
        </w:rPr>
        <w:t>Gend. Dev.</w:t>
      </w:r>
      <w:r w:rsidRPr="00FC52F5">
        <w:rPr>
          <w:rFonts w:ascii="Calibri" w:hAnsi="Calibri" w:cs="Calibri"/>
          <w:noProof/>
          <w:sz w:val="24"/>
          <w:szCs w:val="24"/>
        </w:rPr>
        <w:t>, vol. 10, no. 2, p. 10, 2002.</w:t>
      </w:r>
    </w:p>
    <w:p w14:paraId="699DB2B6"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[55]</w:t>
      </w:r>
      <w:r w:rsidRPr="00FC52F5">
        <w:rPr>
          <w:rFonts w:ascii="Calibri" w:hAnsi="Calibri" w:cs="Calibri"/>
          <w:noProof/>
          <w:sz w:val="24"/>
          <w:szCs w:val="24"/>
        </w:rPr>
        <w:tab/>
        <w:t xml:space="preserve">V. Nelson, K. Meadows, T. Cannon, J. Morton, and A. Martin, “Uncertain Predictions, Invisible Impacts, and the Need to Mainstream Gender in Climate Change Adaptations,” </w:t>
      </w:r>
      <w:r w:rsidRPr="00FC52F5">
        <w:rPr>
          <w:rFonts w:ascii="Calibri" w:hAnsi="Calibri" w:cs="Calibri"/>
          <w:i/>
          <w:iCs/>
          <w:noProof/>
          <w:sz w:val="24"/>
          <w:szCs w:val="24"/>
        </w:rPr>
        <w:t>Gend. Dev.</w:t>
      </w:r>
      <w:r w:rsidRPr="00FC52F5">
        <w:rPr>
          <w:rFonts w:ascii="Calibri" w:hAnsi="Calibri" w:cs="Calibri"/>
          <w:noProof/>
          <w:sz w:val="24"/>
          <w:szCs w:val="24"/>
        </w:rPr>
        <w:t>, vol. 10, no. 2, p. 51, 2002.</w:t>
      </w:r>
    </w:p>
    <w:p w14:paraId="61DDD39F"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[56]</w:t>
      </w:r>
      <w:r w:rsidRPr="00FC52F5">
        <w:rPr>
          <w:rFonts w:ascii="Calibri" w:hAnsi="Calibri" w:cs="Calibri"/>
          <w:noProof/>
          <w:sz w:val="24"/>
          <w:szCs w:val="24"/>
        </w:rPr>
        <w:tab/>
        <w:t xml:space="preserve">M. M. Islam, </w:t>
      </w:r>
      <w:r w:rsidRPr="00FC52F5">
        <w:rPr>
          <w:rFonts w:ascii="Calibri" w:hAnsi="Calibri" w:cs="Calibri"/>
          <w:i/>
          <w:iCs/>
          <w:noProof/>
          <w:sz w:val="24"/>
          <w:szCs w:val="24"/>
        </w:rPr>
        <w:t>Poverty Mosaics: Realities and Prospects in Small-Scale Fisheries</w:t>
      </w:r>
      <w:r w:rsidRPr="00FC52F5">
        <w:rPr>
          <w:rFonts w:ascii="Calibri" w:hAnsi="Calibri" w:cs="Calibri"/>
          <w:noProof/>
          <w:sz w:val="24"/>
          <w:szCs w:val="24"/>
        </w:rPr>
        <w:t>, no. December 2010. Dordrecht: Springer Netherlands, 2011.</w:t>
      </w:r>
    </w:p>
    <w:p w14:paraId="160C5CFF"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[57]</w:t>
      </w:r>
      <w:r w:rsidRPr="00FC52F5">
        <w:rPr>
          <w:rFonts w:ascii="Calibri" w:hAnsi="Calibri" w:cs="Calibri"/>
          <w:noProof/>
          <w:sz w:val="24"/>
          <w:szCs w:val="24"/>
        </w:rPr>
        <w:tab/>
        <w:t xml:space="preserve">N. Stacey </w:t>
      </w:r>
      <w:r w:rsidRPr="00FC52F5">
        <w:rPr>
          <w:rFonts w:ascii="Calibri" w:hAnsi="Calibri" w:cs="Calibri"/>
          <w:i/>
          <w:iCs/>
          <w:noProof/>
          <w:sz w:val="24"/>
          <w:szCs w:val="24"/>
        </w:rPr>
        <w:t>et al.</w:t>
      </w:r>
      <w:r w:rsidRPr="00FC52F5">
        <w:rPr>
          <w:rFonts w:ascii="Calibri" w:hAnsi="Calibri" w:cs="Calibri"/>
          <w:noProof/>
          <w:sz w:val="24"/>
          <w:szCs w:val="24"/>
        </w:rPr>
        <w:t xml:space="preserve">, “Enhancing coastal livelihoods in Indonesia: an evaluation of recent initiatives on gender, women and sustainable livelihoods in small-scale fisheries,” </w:t>
      </w:r>
      <w:r w:rsidRPr="00FC52F5">
        <w:rPr>
          <w:rFonts w:ascii="Calibri" w:hAnsi="Calibri" w:cs="Calibri"/>
          <w:i/>
          <w:iCs/>
          <w:noProof/>
          <w:sz w:val="24"/>
          <w:szCs w:val="24"/>
        </w:rPr>
        <w:t>Marit. Stud.</w:t>
      </w:r>
      <w:r w:rsidRPr="00FC52F5">
        <w:rPr>
          <w:rFonts w:ascii="Calibri" w:hAnsi="Calibri" w:cs="Calibri"/>
          <w:noProof/>
          <w:sz w:val="24"/>
          <w:szCs w:val="24"/>
        </w:rPr>
        <w:t>, 2019.</w:t>
      </w:r>
    </w:p>
    <w:p w14:paraId="73585B21"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[58]</w:t>
      </w:r>
      <w:r w:rsidRPr="00FC52F5">
        <w:rPr>
          <w:rFonts w:ascii="Calibri" w:hAnsi="Calibri" w:cs="Calibri"/>
          <w:noProof/>
          <w:sz w:val="24"/>
          <w:szCs w:val="24"/>
        </w:rPr>
        <w:tab/>
        <w:t xml:space="preserve">S. Wicander and L. Coad, </w:t>
      </w:r>
      <w:r w:rsidRPr="00FC52F5">
        <w:rPr>
          <w:rFonts w:ascii="Calibri" w:hAnsi="Calibri" w:cs="Calibri"/>
          <w:i/>
          <w:iCs/>
          <w:noProof/>
          <w:sz w:val="24"/>
          <w:szCs w:val="24"/>
        </w:rPr>
        <w:t>Learning Our Lessons: A Review of Alternative Livelihoods Projects in Central Africa. ECI, University of Oxford and Gland, Switzerland: IUCN</w:t>
      </w:r>
      <w:r w:rsidRPr="00FC52F5">
        <w:rPr>
          <w:rFonts w:ascii="Calibri" w:hAnsi="Calibri" w:cs="Calibri"/>
          <w:noProof/>
          <w:sz w:val="24"/>
          <w:szCs w:val="24"/>
        </w:rPr>
        <w:t>. Switzerland: Oxford, UK, 2015.</w:t>
      </w:r>
    </w:p>
    <w:p w14:paraId="1FACFF8B"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[59]</w:t>
      </w:r>
      <w:r w:rsidRPr="00FC52F5">
        <w:rPr>
          <w:rFonts w:ascii="Calibri" w:hAnsi="Calibri" w:cs="Calibri"/>
          <w:noProof/>
          <w:sz w:val="24"/>
          <w:szCs w:val="24"/>
        </w:rPr>
        <w:tab/>
        <w:t xml:space="preserve">M. Thompson-Hall, E. R. Carr, and U. Pascual, “Enhancing and expanding intersectional research for climate change adaptation in agrarian settings,” </w:t>
      </w:r>
      <w:r w:rsidRPr="00FC52F5">
        <w:rPr>
          <w:rFonts w:ascii="Calibri" w:hAnsi="Calibri" w:cs="Calibri"/>
          <w:i/>
          <w:iCs/>
          <w:noProof/>
          <w:sz w:val="24"/>
          <w:szCs w:val="24"/>
        </w:rPr>
        <w:t>Ambio</w:t>
      </w:r>
      <w:r w:rsidRPr="00FC52F5">
        <w:rPr>
          <w:rFonts w:ascii="Calibri" w:hAnsi="Calibri" w:cs="Calibri"/>
          <w:noProof/>
          <w:sz w:val="24"/>
          <w:szCs w:val="24"/>
        </w:rPr>
        <w:t>, vol. 45, no. S3, pp. 373–382, Dec. 2016.</w:t>
      </w:r>
    </w:p>
    <w:p w14:paraId="4AD44964"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szCs w:val="24"/>
        </w:rPr>
      </w:pPr>
      <w:r w:rsidRPr="00FC52F5">
        <w:rPr>
          <w:rFonts w:ascii="Calibri" w:hAnsi="Calibri" w:cs="Calibri"/>
          <w:noProof/>
          <w:sz w:val="24"/>
          <w:szCs w:val="24"/>
        </w:rPr>
        <w:t>[60]</w:t>
      </w:r>
      <w:r w:rsidRPr="00FC52F5">
        <w:rPr>
          <w:rFonts w:ascii="Calibri" w:hAnsi="Calibri" w:cs="Calibri"/>
          <w:noProof/>
          <w:sz w:val="24"/>
          <w:szCs w:val="24"/>
        </w:rPr>
        <w:tab/>
        <w:t xml:space="preserve">A. Kaijser and A. Kronsell, “Climate change through the lens of intersectionality,” </w:t>
      </w:r>
      <w:r w:rsidRPr="00FC52F5">
        <w:rPr>
          <w:rFonts w:ascii="Calibri" w:hAnsi="Calibri" w:cs="Calibri"/>
          <w:i/>
          <w:iCs/>
          <w:noProof/>
          <w:sz w:val="24"/>
          <w:szCs w:val="24"/>
        </w:rPr>
        <w:t>Environ. Polit. VO - 23</w:t>
      </w:r>
      <w:r w:rsidRPr="00FC52F5">
        <w:rPr>
          <w:rFonts w:ascii="Calibri" w:hAnsi="Calibri" w:cs="Calibri"/>
          <w:noProof/>
          <w:sz w:val="24"/>
          <w:szCs w:val="24"/>
        </w:rPr>
        <w:t>, no. 3, p. 417, 2014.</w:t>
      </w:r>
    </w:p>
    <w:p w14:paraId="4D106F9F" w14:textId="77777777" w:rsidR="00FC52F5" w:rsidRPr="00FC52F5" w:rsidRDefault="00FC52F5" w:rsidP="00641675">
      <w:pPr>
        <w:widowControl w:val="0"/>
        <w:autoSpaceDE w:val="0"/>
        <w:autoSpaceDN w:val="0"/>
        <w:adjustRightInd w:val="0"/>
        <w:spacing w:line="240" w:lineRule="auto"/>
        <w:ind w:left="640" w:hanging="640"/>
        <w:jc w:val="both"/>
        <w:rPr>
          <w:rFonts w:ascii="Calibri" w:hAnsi="Calibri" w:cs="Calibri"/>
          <w:noProof/>
          <w:sz w:val="24"/>
        </w:rPr>
      </w:pPr>
      <w:r w:rsidRPr="00FC52F5">
        <w:rPr>
          <w:rFonts w:ascii="Calibri" w:hAnsi="Calibri" w:cs="Calibri"/>
          <w:noProof/>
          <w:sz w:val="24"/>
          <w:szCs w:val="24"/>
        </w:rPr>
        <w:lastRenderedPageBreak/>
        <w:t>[61]</w:t>
      </w:r>
      <w:r w:rsidRPr="00FC52F5">
        <w:rPr>
          <w:rFonts w:ascii="Calibri" w:hAnsi="Calibri" w:cs="Calibri"/>
          <w:noProof/>
          <w:sz w:val="24"/>
          <w:szCs w:val="24"/>
        </w:rPr>
        <w:tab/>
        <w:t>E. Tietze, U. Lee, R. Siar, S. Moth-Poulsen, T. Båge, H.E., “Fishing with beach seines. FAO Fisheries and Aquaculture Technical Paper, (562), I,” Rome, 2011.</w:t>
      </w:r>
    </w:p>
    <w:p w14:paraId="010295A2" w14:textId="30D4FDAF" w:rsidR="007D5506" w:rsidRDefault="000753D3" w:rsidP="00D11087">
      <w:pPr>
        <w:widowControl w:val="0"/>
        <w:autoSpaceDE w:val="0"/>
        <w:autoSpaceDN w:val="0"/>
        <w:adjustRightInd w:val="0"/>
        <w:spacing w:line="240" w:lineRule="auto"/>
        <w:ind w:left="640" w:hanging="640"/>
        <w:jc w:val="both"/>
        <w:rPr>
          <w:b/>
          <w:sz w:val="24"/>
        </w:rPr>
      </w:pPr>
      <w:r>
        <w:rPr>
          <w:b/>
          <w:sz w:val="24"/>
        </w:rPr>
        <w:fldChar w:fldCharType="end"/>
      </w:r>
      <w:bookmarkEnd w:id="16"/>
      <w:bookmarkEnd w:id="18"/>
    </w:p>
    <w:sectPr w:rsidR="007D5506" w:rsidSect="000B3BB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79B6B" w14:textId="77777777" w:rsidR="009711D6" w:rsidRDefault="009711D6" w:rsidP="003413B8">
      <w:pPr>
        <w:spacing w:after="0" w:line="240" w:lineRule="auto"/>
      </w:pPr>
      <w:r>
        <w:separator/>
      </w:r>
    </w:p>
  </w:endnote>
  <w:endnote w:type="continuationSeparator" w:id="0">
    <w:p w14:paraId="6A3AEE19" w14:textId="77777777" w:rsidR="009711D6" w:rsidRDefault="009711D6" w:rsidP="0034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489798"/>
      <w:docPartObj>
        <w:docPartGallery w:val="Page Numbers (Bottom of Page)"/>
        <w:docPartUnique/>
      </w:docPartObj>
    </w:sdtPr>
    <w:sdtEndPr>
      <w:rPr>
        <w:noProof/>
      </w:rPr>
    </w:sdtEndPr>
    <w:sdtContent>
      <w:p w14:paraId="446D8346" w14:textId="25CBFB2D" w:rsidR="00AE39FE" w:rsidRDefault="00AE39FE">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3851E414" w14:textId="77777777" w:rsidR="00AE39FE" w:rsidRDefault="00AE3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493810"/>
      <w:docPartObj>
        <w:docPartGallery w:val="Page Numbers (Bottom of Page)"/>
        <w:docPartUnique/>
      </w:docPartObj>
    </w:sdtPr>
    <w:sdtEndPr>
      <w:rPr>
        <w:noProof/>
      </w:rPr>
    </w:sdtEndPr>
    <w:sdtContent>
      <w:p w14:paraId="142450EC" w14:textId="703DB48F" w:rsidR="00AE39FE" w:rsidRDefault="00AE39FE">
        <w:pPr>
          <w:pStyle w:val="Footer"/>
          <w:jc w:val="right"/>
        </w:pPr>
        <w:r>
          <w:rPr>
            <w:noProof/>
            <w:lang w:eastAsia="en-GB"/>
          </w:rPr>
          <mc:AlternateContent>
            <mc:Choice Requires="wps">
              <w:drawing>
                <wp:anchor distT="0" distB="0" distL="114300" distR="114300" simplePos="0" relativeHeight="251662336" behindDoc="0" locked="0" layoutInCell="0" allowOverlap="1" wp14:anchorId="4B8BE487" wp14:editId="01FC09A3">
                  <wp:simplePos x="0" y="0"/>
                  <wp:positionH relativeFrom="page">
                    <wp:align>left</wp:align>
                  </wp:positionH>
                  <wp:positionV relativeFrom="page">
                    <wp:align>bottom</wp:align>
                  </wp:positionV>
                  <wp:extent cx="7772400" cy="266700"/>
                  <wp:effectExtent l="0" t="0" r="0" b="0"/>
                  <wp:wrapNone/>
                  <wp:docPr id="4" name="MSIPCM8c3841738ec8ef651628cbde" descr="{&quot;HashCode&quot;:269818377,&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912C78" w14:textId="2DA3AA3A" w:rsidR="00AE39FE" w:rsidRPr="0056565A" w:rsidRDefault="00AE39FE" w:rsidP="0056565A">
                              <w:pPr>
                                <w:spacing w:after="0"/>
                                <w:rPr>
                                  <w:rFonts w:ascii="Calibri" w:hAnsi="Calibri" w:cs="Calibri"/>
                                  <w:color w:val="000000"/>
                                  <w:sz w:val="24"/>
                                </w:rPr>
                              </w:pPr>
                              <w:r w:rsidRPr="0056565A">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B8BE487" id="_x0000_t202" coordsize="21600,21600" o:spt="202" path="m,l,21600r21600,l21600,xe">
                  <v:stroke joinstyle="miter"/>
                  <v:path gradientshapeok="t" o:connecttype="rect"/>
                </v:shapetype>
                <v:shape id="MSIPCM8c3841738ec8ef651628cbde" o:spid="_x0000_s1026" type="#_x0000_t202" alt="{&quot;HashCode&quot;:269818377,&quot;Height&quot;:9999999.0,&quot;Width&quot;:9999999.0,&quot;Placement&quot;:&quot;Footer&quot;,&quot;Index&quot;:&quot;Primary&quot;,&quot;Section&quot;:2,&quot;Top&quot;:0.0,&quot;Left&quot;:0.0}" style="position:absolute;left:0;text-align:left;margin-left:0;margin-top:0;width:612pt;height:21pt;z-index:251662336;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" o:allowincell="f" filled="f" stroked="f" strokeweight=".5pt">
                  <v:textbox inset="20pt,0,,0">
                    <w:txbxContent>
                      <w:p w14:paraId="53912C78" w14:textId="2DA3AA3A" w:rsidR="00AE39FE" w:rsidRPr="0056565A" w:rsidRDefault="00AE39FE" w:rsidP="0056565A">
                        <w:pPr>
                          <w:spacing w:after="0"/>
                          <w:rPr>
                            <w:rFonts w:ascii="Calibri" w:hAnsi="Calibri" w:cs="Calibri"/>
                            <w:color w:val="000000"/>
                            <w:sz w:val="24"/>
                          </w:rPr>
                        </w:pPr>
                        <w:r w:rsidRPr="0056565A">
                          <w:rPr>
                            <w:rFonts w:ascii="Calibri" w:hAnsi="Calibri" w:cs="Calibri"/>
                            <w:color w:val="000000"/>
                            <w:sz w:val="24"/>
                          </w:rPr>
                          <w:t>Sensitivity: Internal</w:t>
                        </w:r>
                      </w:p>
                    </w:txbxContent>
                  </v:textbox>
                  <w10:wrap anchorx="page" anchory="page"/>
                </v:shape>
              </w:pict>
            </mc:Fallback>
          </mc:AlternateContent>
        </w:r>
        <w:r>
          <w:fldChar w:fldCharType="begin"/>
        </w:r>
        <w:r>
          <w:instrText xml:space="preserve"> PAGE   \* MERGEFORMAT </w:instrText>
        </w:r>
        <w:r>
          <w:fldChar w:fldCharType="separate"/>
        </w:r>
        <w:r>
          <w:rPr>
            <w:noProof/>
          </w:rPr>
          <w:t>20</w:t>
        </w:r>
        <w:r>
          <w:rPr>
            <w:noProof/>
          </w:rPr>
          <w:fldChar w:fldCharType="end"/>
        </w:r>
      </w:p>
    </w:sdtContent>
  </w:sdt>
  <w:p w14:paraId="50412F5F" w14:textId="77777777" w:rsidR="00AE39FE" w:rsidRDefault="00AE3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922A3" w14:textId="77777777" w:rsidR="009711D6" w:rsidRDefault="009711D6" w:rsidP="003413B8">
      <w:pPr>
        <w:spacing w:after="0" w:line="240" w:lineRule="auto"/>
      </w:pPr>
      <w:r>
        <w:separator/>
      </w:r>
    </w:p>
  </w:footnote>
  <w:footnote w:type="continuationSeparator" w:id="0">
    <w:p w14:paraId="1C5EE109" w14:textId="77777777" w:rsidR="009711D6" w:rsidRDefault="009711D6" w:rsidP="00341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2BAE"/>
    <w:multiLevelType w:val="hybridMultilevel"/>
    <w:tmpl w:val="BD5017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50E64"/>
    <w:multiLevelType w:val="hybridMultilevel"/>
    <w:tmpl w:val="898C65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EE396A"/>
    <w:multiLevelType w:val="hybridMultilevel"/>
    <w:tmpl w:val="9BD0F0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7A1169E"/>
    <w:multiLevelType w:val="hybridMultilevel"/>
    <w:tmpl w:val="EA9AC9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29"/>
    <w:rsid w:val="000001BF"/>
    <w:rsid w:val="00000A7A"/>
    <w:rsid w:val="00002118"/>
    <w:rsid w:val="000028A4"/>
    <w:rsid w:val="000032FD"/>
    <w:rsid w:val="0000359B"/>
    <w:rsid w:val="0000361E"/>
    <w:rsid w:val="0000426D"/>
    <w:rsid w:val="00004D0F"/>
    <w:rsid w:val="00005B51"/>
    <w:rsid w:val="00006504"/>
    <w:rsid w:val="0000733A"/>
    <w:rsid w:val="00007D3E"/>
    <w:rsid w:val="0001018D"/>
    <w:rsid w:val="00013A81"/>
    <w:rsid w:val="00014ADB"/>
    <w:rsid w:val="000150EF"/>
    <w:rsid w:val="0001592C"/>
    <w:rsid w:val="00016225"/>
    <w:rsid w:val="000173CA"/>
    <w:rsid w:val="000174A4"/>
    <w:rsid w:val="00017EBA"/>
    <w:rsid w:val="00020345"/>
    <w:rsid w:val="000208F8"/>
    <w:rsid w:val="00022123"/>
    <w:rsid w:val="00022B4E"/>
    <w:rsid w:val="00022D3A"/>
    <w:rsid w:val="00022F88"/>
    <w:rsid w:val="00023FC7"/>
    <w:rsid w:val="00024B0F"/>
    <w:rsid w:val="00025300"/>
    <w:rsid w:val="000261FF"/>
    <w:rsid w:val="00033621"/>
    <w:rsid w:val="00034E74"/>
    <w:rsid w:val="000354E7"/>
    <w:rsid w:val="00040665"/>
    <w:rsid w:val="00042EBE"/>
    <w:rsid w:val="0004301D"/>
    <w:rsid w:val="00043352"/>
    <w:rsid w:val="000434D2"/>
    <w:rsid w:val="000441F8"/>
    <w:rsid w:val="000444DC"/>
    <w:rsid w:val="00044924"/>
    <w:rsid w:val="00044D24"/>
    <w:rsid w:val="00045D7B"/>
    <w:rsid w:val="0004632A"/>
    <w:rsid w:val="00046ECD"/>
    <w:rsid w:val="00050CD4"/>
    <w:rsid w:val="00051207"/>
    <w:rsid w:val="00051636"/>
    <w:rsid w:val="00051A2D"/>
    <w:rsid w:val="00052F68"/>
    <w:rsid w:val="000531FF"/>
    <w:rsid w:val="00055154"/>
    <w:rsid w:val="00056429"/>
    <w:rsid w:val="00057733"/>
    <w:rsid w:val="00057D54"/>
    <w:rsid w:val="000601EA"/>
    <w:rsid w:val="0006099C"/>
    <w:rsid w:val="00061497"/>
    <w:rsid w:val="00062806"/>
    <w:rsid w:val="00062D6A"/>
    <w:rsid w:val="00063274"/>
    <w:rsid w:val="0006489C"/>
    <w:rsid w:val="00065C31"/>
    <w:rsid w:val="00066391"/>
    <w:rsid w:val="000672A2"/>
    <w:rsid w:val="00067640"/>
    <w:rsid w:val="00067D40"/>
    <w:rsid w:val="00070726"/>
    <w:rsid w:val="00070AD2"/>
    <w:rsid w:val="000714AC"/>
    <w:rsid w:val="00071B37"/>
    <w:rsid w:val="00071E9A"/>
    <w:rsid w:val="000741EB"/>
    <w:rsid w:val="00074A34"/>
    <w:rsid w:val="00074B2B"/>
    <w:rsid w:val="000752E6"/>
    <w:rsid w:val="000753D3"/>
    <w:rsid w:val="000757AF"/>
    <w:rsid w:val="00075973"/>
    <w:rsid w:val="00076E59"/>
    <w:rsid w:val="000770F9"/>
    <w:rsid w:val="00077A07"/>
    <w:rsid w:val="00077C5B"/>
    <w:rsid w:val="00080A25"/>
    <w:rsid w:val="00080B27"/>
    <w:rsid w:val="00080B5D"/>
    <w:rsid w:val="00083368"/>
    <w:rsid w:val="00084DFF"/>
    <w:rsid w:val="00085EE4"/>
    <w:rsid w:val="00086E64"/>
    <w:rsid w:val="00090005"/>
    <w:rsid w:val="000907D4"/>
    <w:rsid w:val="0009285D"/>
    <w:rsid w:val="000953E2"/>
    <w:rsid w:val="000961AC"/>
    <w:rsid w:val="000A034E"/>
    <w:rsid w:val="000A0801"/>
    <w:rsid w:val="000A0D7C"/>
    <w:rsid w:val="000A1D3A"/>
    <w:rsid w:val="000A1F94"/>
    <w:rsid w:val="000A297B"/>
    <w:rsid w:val="000A324E"/>
    <w:rsid w:val="000A43BA"/>
    <w:rsid w:val="000A524E"/>
    <w:rsid w:val="000A6425"/>
    <w:rsid w:val="000A68EB"/>
    <w:rsid w:val="000A6A9C"/>
    <w:rsid w:val="000A6B51"/>
    <w:rsid w:val="000A6C6F"/>
    <w:rsid w:val="000A6F06"/>
    <w:rsid w:val="000B02E9"/>
    <w:rsid w:val="000B056F"/>
    <w:rsid w:val="000B0631"/>
    <w:rsid w:val="000B1022"/>
    <w:rsid w:val="000B130F"/>
    <w:rsid w:val="000B378F"/>
    <w:rsid w:val="000B3BB1"/>
    <w:rsid w:val="000B4390"/>
    <w:rsid w:val="000B5B5A"/>
    <w:rsid w:val="000B69B8"/>
    <w:rsid w:val="000B6F84"/>
    <w:rsid w:val="000B70EF"/>
    <w:rsid w:val="000B7D8E"/>
    <w:rsid w:val="000B7E92"/>
    <w:rsid w:val="000C0A51"/>
    <w:rsid w:val="000C146A"/>
    <w:rsid w:val="000C16C5"/>
    <w:rsid w:val="000C1D21"/>
    <w:rsid w:val="000C1EFD"/>
    <w:rsid w:val="000C2816"/>
    <w:rsid w:val="000C4E2A"/>
    <w:rsid w:val="000C723F"/>
    <w:rsid w:val="000C7B57"/>
    <w:rsid w:val="000D059F"/>
    <w:rsid w:val="000D1D93"/>
    <w:rsid w:val="000D2E93"/>
    <w:rsid w:val="000D364A"/>
    <w:rsid w:val="000D4028"/>
    <w:rsid w:val="000D5050"/>
    <w:rsid w:val="000D70DF"/>
    <w:rsid w:val="000D71D5"/>
    <w:rsid w:val="000D7EC5"/>
    <w:rsid w:val="000D7FE8"/>
    <w:rsid w:val="000E322D"/>
    <w:rsid w:val="000E3E1E"/>
    <w:rsid w:val="000E4461"/>
    <w:rsid w:val="000E4718"/>
    <w:rsid w:val="000E4773"/>
    <w:rsid w:val="000E6ACD"/>
    <w:rsid w:val="000E6F75"/>
    <w:rsid w:val="000E70FD"/>
    <w:rsid w:val="000E716B"/>
    <w:rsid w:val="000F09FE"/>
    <w:rsid w:val="000F0D45"/>
    <w:rsid w:val="000F23C2"/>
    <w:rsid w:val="000F26F3"/>
    <w:rsid w:val="000F2947"/>
    <w:rsid w:val="000F2F28"/>
    <w:rsid w:val="000F4784"/>
    <w:rsid w:val="000F52E8"/>
    <w:rsid w:val="000F719D"/>
    <w:rsid w:val="000F726C"/>
    <w:rsid w:val="000F7F53"/>
    <w:rsid w:val="00101689"/>
    <w:rsid w:val="00102340"/>
    <w:rsid w:val="0010242C"/>
    <w:rsid w:val="0010253B"/>
    <w:rsid w:val="001029C5"/>
    <w:rsid w:val="00103A4A"/>
    <w:rsid w:val="00103EEC"/>
    <w:rsid w:val="00105066"/>
    <w:rsid w:val="0010606C"/>
    <w:rsid w:val="001061C3"/>
    <w:rsid w:val="00106F8D"/>
    <w:rsid w:val="00107B5C"/>
    <w:rsid w:val="00110556"/>
    <w:rsid w:val="00111784"/>
    <w:rsid w:val="00112D12"/>
    <w:rsid w:val="00112E7B"/>
    <w:rsid w:val="00117134"/>
    <w:rsid w:val="00117371"/>
    <w:rsid w:val="00117AB2"/>
    <w:rsid w:val="00117BC3"/>
    <w:rsid w:val="00120204"/>
    <w:rsid w:val="001210EA"/>
    <w:rsid w:val="0012142E"/>
    <w:rsid w:val="00121447"/>
    <w:rsid w:val="001220FE"/>
    <w:rsid w:val="0012346E"/>
    <w:rsid w:val="00123CCD"/>
    <w:rsid w:val="00123E19"/>
    <w:rsid w:val="0012462D"/>
    <w:rsid w:val="00124D7A"/>
    <w:rsid w:val="00124FA9"/>
    <w:rsid w:val="0012767E"/>
    <w:rsid w:val="00131F49"/>
    <w:rsid w:val="001337A6"/>
    <w:rsid w:val="00133A8F"/>
    <w:rsid w:val="00134582"/>
    <w:rsid w:val="00134E73"/>
    <w:rsid w:val="00135592"/>
    <w:rsid w:val="00135747"/>
    <w:rsid w:val="00137004"/>
    <w:rsid w:val="00137E0B"/>
    <w:rsid w:val="00137E12"/>
    <w:rsid w:val="00140E51"/>
    <w:rsid w:val="00141638"/>
    <w:rsid w:val="00141831"/>
    <w:rsid w:val="0014193D"/>
    <w:rsid w:val="00142208"/>
    <w:rsid w:val="001429F0"/>
    <w:rsid w:val="00143CFF"/>
    <w:rsid w:val="001441F1"/>
    <w:rsid w:val="001443D7"/>
    <w:rsid w:val="0014457B"/>
    <w:rsid w:val="00144837"/>
    <w:rsid w:val="00144C49"/>
    <w:rsid w:val="00146350"/>
    <w:rsid w:val="0015218B"/>
    <w:rsid w:val="00152469"/>
    <w:rsid w:val="00154018"/>
    <w:rsid w:val="00154D1B"/>
    <w:rsid w:val="00155DFD"/>
    <w:rsid w:val="00156AC7"/>
    <w:rsid w:val="00160FB1"/>
    <w:rsid w:val="00161C74"/>
    <w:rsid w:val="00163532"/>
    <w:rsid w:val="00163A52"/>
    <w:rsid w:val="00164B72"/>
    <w:rsid w:val="00166EE1"/>
    <w:rsid w:val="00166FDB"/>
    <w:rsid w:val="001674DA"/>
    <w:rsid w:val="00170239"/>
    <w:rsid w:val="00170968"/>
    <w:rsid w:val="00170BC7"/>
    <w:rsid w:val="00170EAD"/>
    <w:rsid w:val="00171012"/>
    <w:rsid w:val="00171272"/>
    <w:rsid w:val="001725A8"/>
    <w:rsid w:val="001735D0"/>
    <w:rsid w:val="00173DCA"/>
    <w:rsid w:val="00174771"/>
    <w:rsid w:val="00175556"/>
    <w:rsid w:val="0017598A"/>
    <w:rsid w:val="00175C99"/>
    <w:rsid w:val="0017631C"/>
    <w:rsid w:val="00177210"/>
    <w:rsid w:val="001801E0"/>
    <w:rsid w:val="00180B1D"/>
    <w:rsid w:val="00181BED"/>
    <w:rsid w:val="001821D9"/>
    <w:rsid w:val="001827F2"/>
    <w:rsid w:val="00182F59"/>
    <w:rsid w:val="0018307E"/>
    <w:rsid w:val="00183F5B"/>
    <w:rsid w:val="0018563E"/>
    <w:rsid w:val="00186F93"/>
    <w:rsid w:val="00187725"/>
    <w:rsid w:val="00187FA6"/>
    <w:rsid w:val="00190128"/>
    <w:rsid w:val="00190437"/>
    <w:rsid w:val="001904BB"/>
    <w:rsid w:val="00190577"/>
    <w:rsid w:val="00191608"/>
    <w:rsid w:val="001919BE"/>
    <w:rsid w:val="00192591"/>
    <w:rsid w:val="001927E8"/>
    <w:rsid w:val="00193908"/>
    <w:rsid w:val="0019500E"/>
    <w:rsid w:val="001965F6"/>
    <w:rsid w:val="00196AC3"/>
    <w:rsid w:val="00197E9A"/>
    <w:rsid w:val="001A12FA"/>
    <w:rsid w:val="001A23BE"/>
    <w:rsid w:val="001A25BA"/>
    <w:rsid w:val="001A4F59"/>
    <w:rsid w:val="001A5971"/>
    <w:rsid w:val="001A5E23"/>
    <w:rsid w:val="001A7D2A"/>
    <w:rsid w:val="001B0836"/>
    <w:rsid w:val="001B13E4"/>
    <w:rsid w:val="001B1696"/>
    <w:rsid w:val="001B28E5"/>
    <w:rsid w:val="001B31E4"/>
    <w:rsid w:val="001B3783"/>
    <w:rsid w:val="001B5643"/>
    <w:rsid w:val="001B74BC"/>
    <w:rsid w:val="001C0880"/>
    <w:rsid w:val="001C1230"/>
    <w:rsid w:val="001C265E"/>
    <w:rsid w:val="001C303A"/>
    <w:rsid w:val="001C30EF"/>
    <w:rsid w:val="001C3ED5"/>
    <w:rsid w:val="001C4494"/>
    <w:rsid w:val="001C4751"/>
    <w:rsid w:val="001C4894"/>
    <w:rsid w:val="001C4B9C"/>
    <w:rsid w:val="001C4E03"/>
    <w:rsid w:val="001C5C0C"/>
    <w:rsid w:val="001C65B5"/>
    <w:rsid w:val="001C6EA5"/>
    <w:rsid w:val="001C7D2B"/>
    <w:rsid w:val="001D0760"/>
    <w:rsid w:val="001D0BD1"/>
    <w:rsid w:val="001D1064"/>
    <w:rsid w:val="001D217F"/>
    <w:rsid w:val="001D3BA9"/>
    <w:rsid w:val="001D4A4F"/>
    <w:rsid w:val="001D530A"/>
    <w:rsid w:val="001D562C"/>
    <w:rsid w:val="001D5A40"/>
    <w:rsid w:val="001D6E54"/>
    <w:rsid w:val="001D7DFC"/>
    <w:rsid w:val="001E07AB"/>
    <w:rsid w:val="001E0DD0"/>
    <w:rsid w:val="001E1235"/>
    <w:rsid w:val="001E2CB0"/>
    <w:rsid w:val="001E2EE0"/>
    <w:rsid w:val="001E3C8D"/>
    <w:rsid w:val="001E3EC5"/>
    <w:rsid w:val="001E4199"/>
    <w:rsid w:val="001E46DE"/>
    <w:rsid w:val="001E5354"/>
    <w:rsid w:val="001E5F31"/>
    <w:rsid w:val="001E7B6B"/>
    <w:rsid w:val="001F018B"/>
    <w:rsid w:val="001F302D"/>
    <w:rsid w:val="001F4112"/>
    <w:rsid w:val="001F46D1"/>
    <w:rsid w:val="001F4AC6"/>
    <w:rsid w:val="001F4DFE"/>
    <w:rsid w:val="001F6FC2"/>
    <w:rsid w:val="001F766C"/>
    <w:rsid w:val="001F7FB8"/>
    <w:rsid w:val="002000C2"/>
    <w:rsid w:val="00200242"/>
    <w:rsid w:val="002004BF"/>
    <w:rsid w:val="00201C36"/>
    <w:rsid w:val="00203210"/>
    <w:rsid w:val="00203461"/>
    <w:rsid w:val="0020488F"/>
    <w:rsid w:val="002056C3"/>
    <w:rsid w:val="00206446"/>
    <w:rsid w:val="00206D44"/>
    <w:rsid w:val="00206FA9"/>
    <w:rsid w:val="002102C2"/>
    <w:rsid w:val="00210BBA"/>
    <w:rsid w:val="002110B5"/>
    <w:rsid w:val="00211EF6"/>
    <w:rsid w:val="00212F0E"/>
    <w:rsid w:val="00213387"/>
    <w:rsid w:val="00214C04"/>
    <w:rsid w:val="00215B73"/>
    <w:rsid w:val="002172AD"/>
    <w:rsid w:val="002176B1"/>
    <w:rsid w:val="00217AF4"/>
    <w:rsid w:val="0022048A"/>
    <w:rsid w:val="002204C9"/>
    <w:rsid w:val="00221D22"/>
    <w:rsid w:val="002220E1"/>
    <w:rsid w:val="002226D2"/>
    <w:rsid w:val="00222805"/>
    <w:rsid w:val="002233F3"/>
    <w:rsid w:val="00223BD0"/>
    <w:rsid w:val="00224CE7"/>
    <w:rsid w:val="00226702"/>
    <w:rsid w:val="00226DE8"/>
    <w:rsid w:val="00226F4D"/>
    <w:rsid w:val="0023011B"/>
    <w:rsid w:val="00230C02"/>
    <w:rsid w:val="00230C03"/>
    <w:rsid w:val="0023112F"/>
    <w:rsid w:val="00231B67"/>
    <w:rsid w:val="002321A4"/>
    <w:rsid w:val="002328AA"/>
    <w:rsid w:val="002342D1"/>
    <w:rsid w:val="002346E3"/>
    <w:rsid w:val="002374B6"/>
    <w:rsid w:val="00237C8F"/>
    <w:rsid w:val="00237CC6"/>
    <w:rsid w:val="00237F3A"/>
    <w:rsid w:val="002402F9"/>
    <w:rsid w:val="00240CD2"/>
    <w:rsid w:val="00241B21"/>
    <w:rsid w:val="00241D54"/>
    <w:rsid w:val="00242091"/>
    <w:rsid w:val="00243A6B"/>
    <w:rsid w:val="00243B61"/>
    <w:rsid w:val="0024402B"/>
    <w:rsid w:val="00244962"/>
    <w:rsid w:val="00244E3F"/>
    <w:rsid w:val="002501AD"/>
    <w:rsid w:val="002506E9"/>
    <w:rsid w:val="0025099E"/>
    <w:rsid w:val="00250F99"/>
    <w:rsid w:val="00251C0D"/>
    <w:rsid w:val="0025373D"/>
    <w:rsid w:val="00253991"/>
    <w:rsid w:val="00253AC7"/>
    <w:rsid w:val="00253F24"/>
    <w:rsid w:val="00254AC2"/>
    <w:rsid w:val="00255541"/>
    <w:rsid w:val="00255A48"/>
    <w:rsid w:val="0025667E"/>
    <w:rsid w:val="00257490"/>
    <w:rsid w:val="002609F0"/>
    <w:rsid w:val="00261783"/>
    <w:rsid w:val="00261F92"/>
    <w:rsid w:val="0026245B"/>
    <w:rsid w:val="00262827"/>
    <w:rsid w:val="00263DA0"/>
    <w:rsid w:val="00264B34"/>
    <w:rsid w:val="00264EF8"/>
    <w:rsid w:val="00265560"/>
    <w:rsid w:val="0026574C"/>
    <w:rsid w:val="00265BAE"/>
    <w:rsid w:val="00267ED5"/>
    <w:rsid w:val="00270C9D"/>
    <w:rsid w:val="0027222C"/>
    <w:rsid w:val="00272A79"/>
    <w:rsid w:val="00273694"/>
    <w:rsid w:val="00273F22"/>
    <w:rsid w:val="0027421D"/>
    <w:rsid w:val="002755F1"/>
    <w:rsid w:val="00276C8D"/>
    <w:rsid w:val="00277AC9"/>
    <w:rsid w:val="00281C66"/>
    <w:rsid w:val="00282871"/>
    <w:rsid w:val="002836FD"/>
    <w:rsid w:val="002849DB"/>
    <w:rsid w:val="002849F4"/>
    <w:rsid w:val="0028517D"/>
    <w:rsid w:val="00286ABE"/>
    <w:rsid w:val="002917CF"/>
    <w:rsid w:val="0029260C"/>
    <w:rsid w:val="002928EE"/>
    <w:rsid w:val="00292A9B"/>
    <w:rsid w:val="00293183"/>
    <w:rsid w:val="00296A5E"/>
    <w:rsid w:val="002A0F03"/>
    <w:rsid w:val="002A14B9"/>
    <w:rsid w:val="002A1862"/>
    <w:rsid w:val="002A295E"/>
    <w:rsid w:val="002A2B86"/>
    <w:rsid w:val="002A39B0"/>
    <w:rsid w:val="002A5172"/>
    <w:rsid w:val="002A5C48"/>
    <w:rsid w:val="002A7D37"/>
    <w:rsid w:val="002B0F39"/>
    <w:rsid w:val="002B10AD"/>
    <w:rsid w:val="002B19B8"/>
    <w:rsid w:val="002B26CA"/>
    <w:rsid w:val="002B27B7"/>
    <w:rsid w:val="002B385E"/>
    <w:rsid w:val="002B4764"/>
    <w:rsid w:val="002B509B"/>
    <w:rsid w:val="002B61BA"/>
    <w:rsid w:val="002B6978"/>
    <w:rsid w:val="002B6EF9"/>
    <w:rsid w:val="002B7D06"/>
    <w:rsid w:val="002C0800"/>
    <w:rsid w:val="002C095C"/>
    <w:rsid w:val="002C273A"/>
    <w:rsid w:val="002C2BE2"/>
    <w:rsid w:val="002C39AF"/>
    <w:rsid w:val="002C3B80"/>
    <w:rsid w:val="002C3E6C"/>
    <w:rsid w:val="002C4FAE"/>
    <w:rsid w:val="002C6515"/>
    <w:rsid w:val="002C6C02"/>
    <w:rsid w:val="002D00A5"/>
    <w:rsid w:val="002D03A7"/>
    <w:rsid w:val="002D14FF"/>
    <w:rsid w:val="002D1599"/>
    <w:rsid w:val="002D1A4B"/>
    <w:rsid w:val="002D5669"/>
    <w:rsid w:val="002D612C"/>
    <w:rsid w:val="002D76E0"/>
    <w:rsid w:val="002D76F6"/>
    <w:rsid w:val="002E075C"/>
    <w:rsid w:val="002E0894"/>
    <w:rsid w:val="002E13C9"/>
    <w:rsid w:val="002E15E5"/>
    <w:rsid w:val="002E1695"/>
    <w:rsid w:val="002E1B2A"/>
    <w:rsid w:val="002E226E"/>
    <w:rsid w:val="002E29EC"/>
    <w:rsid w:val="002E2BCD"/>
    <w:rsid w:val="002E2E65"/>
    <w:rsid w:val="002E338D"/>
    <w:rsid w:val="002E37B0"/>
    <w:rsid w:val="002E3B33"/>
    <w:rsid w:val="002E4126"/>
    <w:rsid w:val="002E424C"/>
    <w:rsid w:val="002E4A29"/>
    <w:rsid w:val="002E513F"/>
    <w:rsid w:val="002E5821"/>
    <w:rsid w:val="002E5C5A"/>
    <w:rsid w:val="002E6009"/>
    <w:rsid w:val="002E6B03"/>
    <w:rsid w:val="002F0C97"/>
    <w:rsid w:val="002F103B"/>
    <w:rsid w:val="002F276B"/>
    <w:rsid w:val="002F4B3F"/>
    <w:rsid w:val="002F553A"/>
    <w:rsid w:val="002F5C80"/>
    <w:rsid w:val="002F6267"/>
    <w:rsid w:val="002F63A7"/>
    <w:rsid w:val="002F6449"/>
    <w:rsid w:val="002F6C01"/>
    <w:rsid w:val="002F6D27"/>
    <w:rsid w:val="002F7610"/>
    <w:rsid w:val="002F7F95"/>
    <w:rsid w:val="003013F2"/>
    <w:rsid w:val="0030277F"/>
    <w:rsid w:val="00303837"/>
    <w:rsid w:val="00304AB3"/>
    <w:rsid w:val="00305040"/>
    <w:rsid w:val="00305D42"/>
    <w:rsid w:val="00306723"/>
    <w:rsid w:val="003070DB"/>
    <w:rsid w:val="00310A07"/>
    <w:rsid w:val="003118DF"/>
    <w:rsid w:val="00311EFF"/>
    <w:rsid w:val="00312D1B"/>
    <w:rsid w:val="00312F83"/>
    <w:rsid w:val="0031394C"/>
    <w:rsid w:val="00313C6E"/>
    <w:rsid w:val="00313FE3"/>
    <w:rsid w:val="00314106"/>
    <w:rsid w:val="00314422"/>
    <w:rsid w:val="00315358"/>
    <w:rsid w:val="00315BD8"/>
    <w:rsid w:val="00316421"/>
    <w:rsid w:val="00320EA2"/>
    <w:rsid w:val="00322F25"/>
    <w:rsid w:val="00323D83"/>
    <w:rsid w:val="00324282"/>
    <w:rsid w:val="00325472"/>
    <w:rsid w:val="00325A10"/>
    <w:rsid w:val="00325C34"/>
    <w:rsid w:val="00327E0A"/>
    <w:rsid w:val="00330BD0"/>
    <w:rsid w:val="0033145C"/>
    <w:rsid w:val="003353EC"/>
    <w:rsid w:val="00335513"/>
    <w:rsid w:val="00335849"/>
    <w:rsid w:val="00335C8A"/>
    <w:rsid w:val="0033624C"/>
    <w:rsid w:val="00336BE6"/>
    <w:rsid w:val="003373E9"/>
    <w:rsid w:val="003376C1"/>
    <w:rsid w:val="003413B8"/>
    <w:rsid w:val="00341655"/>
    <w:rsid w:val="00341A95"/>
    <w:rsid w:val="00342C62"/>
    <w:rsid w:val="00344797"/>
    <w:rsid w:val="00344AE1"/>
    <w:rsid w:val="00344B93"/>
    <w:rsid w:val="00344DAD"/>
    <w:rsid w:val="00346484"/>
    <w:rsid w:val="00346568"/>
    <w:rsid w:val="003465B4"/>
    <w:rsid w:val="00346A33"/>
    <w:rsid w:val="003500DA"/>
    <w:rsid w:val="0035056A"/>
    <w:rsid w:val="003505B8"/>
    <w:rsid w:val="00350B20"/>
    <w:rsid w:val="00350B61"/>
    <w:rsid w:val="00352222"/>
    <w:rsid w:val="00354375"/>
    <w:rsid w:val="0035487D"/>
    <w:rsid w:val="00354E66"/>
    <w:rsid w:val="00355261"/>
    <w:rsid w:val="00356813"/>
    <w:rsid w:val="0036139B"/>
    <w:rsid w:val="00361D0B"/>
    <w:rsid w:val="00362CDD"/>
    <w:rsid w:val="00363365"/>
    <w:rsid w:val="00364291"/>
    <w:rsid w:val="00364BEC"/>
    <w:rsid w:val="00364C88"/>
    <w:rsid w:val="00365023"/>
    <w:rsid w:val="003663FD"/>
    <w:rsid w:val="00366D4C"/>
    <w:rsid w:val="00367737"/>
    <w:rsid w:val="00367F2D"/>
    <w:rsid w:val="0037092A"/>
    <w:rsid w:val="003718C8"/>
    <w:rsid w:val="00372321"/>
    <w:rsid w:val="0037392B"/>
    <w:rsid w:val="00375274"/>
    <w:rsid w:val="00375283"/>
    <w:rsid w:val="00375AD7"/>
    <w:rsid w:val="0037617A"/>
    <w:rsid w:val="00380181"/>
    <w:rsid w:val="003805FD"/>
    <w:rsid w:val="00380AA0"/>
    <w:rsid w:val="00381748"/>
    <w:rsid w:val="0038319F"/>
    <w:rsid w:val="003833EE"/>
    <w:rsid w:val="00384C17"/>
    <w:rsid w:val="00385B2A"/>
    <w:rsid w:val="00386161"/>
    <w:rsid w:val="00386A45"/>
    <w:rsid w:val="00386D84"/>
    <w:rsid w:val="003876DE"/>
    <w:rsid w:val="00387ACB"/>
    <w:rsid w:val="003904A5"/>
    <w:rsid w:val="00390E98"/>
    <w:rsid w:val="003916CA"/>
    <w:rsid w:val="003917F2"/>
    <w:rsid w:val="00391D5B"/>
    <w:rsid w:val="003935CE"/>
    <w:rsid w:val="00394803"/>
    <w:rsid w:val="00394B3D"/>
    <w:rsid w:val="00395227"/>
    <w:rsid w:val="00395718"/>
    <w:rsid w:val="003957A2"/>
    <w:rsid w:val="0039703B"/>
    <w:rsid w:val="00397DA3"/>
    <w:rsid w:val="00397F39"/>
    <w:rsid w:val="003A0731"/>
    <w:rsid w:val="003A1C03"/>
    <w:rsid w:val="003A1EFB"/>
    <w:rsid w:val="003A2431"/>
    <w:rsid w:val="003A2FF1"/>
    <w:rsid w:val="003A334A"/>
    <w:rsid w:val="003A335A"/>
    <w:rsid w:val="003A3E76"/>
    <w:rsid w:val="003A409E"/>
    <w:rsid w:val="003A5768"/>
    <w:rsid w:val="003A67DA"/>
    <w:rsid w:val="003A698F"/>
    <w:rsid w:val="003A767E"/>
    <w:rsid w:val="003B0DEB"/>
    <w:rsid w:val="003B17F5"/>
    <w:rsid w:val="003B182E"/>
    <w:rsid w:val="003B238E"/>
    <w:rsid w:val="003B2783"/>
    <w:rsid w:val="003B2A74"/>
    <w:rsid w:val="003B2D23"/>
    <w:rsid w:val="003B2D59"/>
    <w:rsid w:val="003B39D5"/>
    <w:rsid w:val="003B3E59"/>
    <w:rsid w:val="003B5FEF"/>
    <w:rsid w:val="003B618B"/>
    <w:rsid w:val="003B6F26"/>
    <w:rsid w:val="003B7116"/>
    <w:rsid w:val="003B720A"/>
    <w:rsid w:val="003B7D00"/>
    <w:rsid w:val="003C0B70"/>
    <w:rsid w:val="003C0D28"/>
    <w:rsid w:val="003C1E33"/>
    <w:rsid w:val="003C25D0"/>
    <w:rsid w:val="003C3BD5"/>
    <w:rsid w:val="003C415B"/>
    <w:rsid w:val="003C457F"/>
    <w:rsid w:val="003C4D59"/>
    <w:rsid w:val="003C4D5B"/>
    <w:rsid w:val="003C5A8B"/>
    <w:rsid w:val="003D3024"/>
    <w:rsid w:val="003D3F3F"/>
    <w:rsid w:val="003D485D"/>
    <w:rsid w:val="003D4D10"/>
    <w:rsid w:val="003D53C3"/>
    <w:rsid w:val="003D5A2E"/>
    <w:rsid w:val="003D63BF"/>
    <w:rsid w:val="003D7162"/>
    <w:rsid w:val="003E1A79"/>
    <w:rsid w:val="003E1C12"/>
    <w:rsid w:val="003E1D41"/>
    <w:rsid w:val="003E292C"/>
    <w:rsid w:val="003E2CF2"/>
    <w:rsid w:val="003E2FF5"/>
    <w:rsid w:val="003E32B9"/>
    <w:rsid w:val="003E3995"/>
    <w:rsid w:val="003E3E60"/>
    <w:rsid w:val="003E439B"/>
    <w:rsid w:val="003E4B0E"/>
    <w:rsid w:val="003E531C"/>
    <w:rsid w:val="003E6930"/>
    <w:rsid w:val="003E74F1"/>
    <w:rsid w:val="003E7B67"/>
    <w:rsid w:val="003F0406"/>
    <w:rsid w:val="003F1192"/>
    <w:rsid w:val="003F4038"/>
    <w:rsid w:val="003F5CB7"/>
    <w:rsid w:val="003F5EED"/>
    <w:rsid w:val="004005CA"/>
    <w:rsid w:val="004010C0"/>
    <w:rsid w:val="00401A2B"/>
    <w:rsid w:val="004042BD"/>
    <w:rsid w:val="00405063"/>
    <w:rsid w:val="00406453"/>
    <w:rsid w:val="004074B3"/>
    <w:rsid w:val="00407577"/>
    <w:rsid w:val="00410122"/>
    <w:rsid w:val="00412669"/>
    <w:rsid w:val="00412810"/>
    <w:rsid w:val="004136DE"/>
    <w:rsid w:val="00414235"/>
    <w:rsid w:val="0041592B"/>
    <w:rsid w:val="00416101"/>
    <w:rsid w:val="0041754A"/>
    <w:rsid w:val="00417A66"/>
    <w:rsid w:val="00420911"/>
    <w:rsid w:val="004209BE"/>
    <w:rsid w:val="004229ED"/>
    <w:rsid w:val="00423069"/>
    <w:rsid w:val="00423AE4"/>
    <w:rsid w:val="00424810"/>
    <w:rsid w:val="004254EA"/>
    <w:rsid w:val="00425581"/>
    <w:rsid w:val="004257F3"/>
    <w:rsid w:val="004263B7"/>
    <w:rsid w:val="00427372"/>
    <w:rsid w:val="00427FB0"/>
    <w:rsid w:val="0043054B"/>
    <w:rsid w:val="00431CDA"/>
    <w:rsid w:val="00433FB1"/>
    <w:rsid w:val="00434058"/>
    <w:rsid w:val="0043405D"/>
    <w:rsid w:val="004347E2"/>
    <w:rsid w:val="004356A8"/>
    <w:rsid w:val="00436516"/>
    <w:rsid w:val="00436CD8"/>
    <w:rsid w:val="00437247"/>
    <w:rsid w:val="00437D9F"/>
    <w:rsid w:val="004403E5"/>
    <w:rsid w:val="004419A0"/>
    <w:rsid w:val="00442621"/>
    <w:rsid w:val="00442744"/>
    <w:rsid w:val="0044280C"/>
    <w:rsid w:val="00443424"/>
    <w:rsid w:val="00444057"/>
    <w:rsid w:val="00444A3A"/>
    <w:rsid w:val="004453EC"/>
    <w:rsid w:val="004464F8"/>
    <w:rsid w:val="00446D60"/>
    <w:rsid w:val="0044706E"/>
    <w:rsid w:val="004473FE"/>
    <w:rsid w:val="00447DE2"/>
    <w:rsid w:val="004504F8"/>
    <w:rsid w:val="00451827"/>
    <w:rsid w:val="00452CCB"/>
    <w:rsid w:val="00452CEB"/>
    <w:rsid w:val="004536B0"/>
    <w:rsid w:val="00454376"/>
    <w:rsid w:val="00456886"/>
    <w:rsid w:val="004573EC"/>
    <w:rsid w:val="004621BA"/>
    <w:rsid w:val="0046223E"/>
    <w:rsid w:val="004647D0"/>
    <w:rsid w:val="00464C93"/>
    <w:rsid w:val="004655D7"/>
    <w:rsid w:val="00465A61"/>
    <w:rsid w:val="00465F5B"/>
    <w:rsid w:val="00466799"/>
    <w:rsid w:val="0047050E"/>
    <w:rsid w:val="004756BF"/>
    <w:rsid w:val="00475E1F"/>
    <w:rsid w:val="004766F2"/>
    <w:rsid w:val="00476D65"/>
    <w:rsid w:val="0047702B"/>
    <w:rsid w:val="004817B7"/>
    <w:rsid w:val="00481FC2"/>
    <w:rsid w:val="004828FD"/>
    <w:rsid w:val="00482EE8"/>
    <w:rsid w:val="00485D03"/>
    <w:rsid w:val="00486A31"/>
    <w:rsid w:val="00490186"/>
    <w:rsid w:val="0049114F"/>
    <w:rsid w:val="0049136F"/>
    <w:rsid w:val="00491CE2"/>
    <w:rsid w:val="004945EC"/>
    <w:rsid w:val="004945F1"/>
    <w:rsid w:val="00496113"/>
    <w:rsid w:val="00496E43"/>
    <w:rsid w:val="00497A7C"/>
    <w:rsid w:val="00497C24"/>
    <w:rsid w:val="004A1060"/>
    <w:rsid w:val="004A109C"/>
    <w:rsid w:val="004A233E"/>
    <w:rsid w:val="004A258B"/>
    <w:rsid w:val="004A2B46"/>
    <w:rsid w:val="004A3625"/>
    <w:rsid w:val="004A3E70"/>
    <w:rsid w:val="004A475A"/>
    <w:rsid w:val="004A5460"/>
    <w:rsid w:val="004A5627"/>
    <w:rsid w:val="004A7210"/>
    <w:rsid w:val="004A7CBF"/>
    <w:rsid w:val="004B0232"/>
    <w:rsid w:val="004B11B9"/>
    <w:rsid w:val="004B212B"/>
    <w:rsid w:val="004B38C7"/>
    <w:rsid w:val="004B4E88"/>
    <w:rsid w:val="004B5C2F"/>
    <w:rsid w:val="004B73DA"/>
    <w:rsid w:val="004C126F"/>
    <w:rsid w:val="004C18AC"/>
    <w:rsid w:val="004C205A"/>
    <w:rsid w:val="004C2925"/>
    <w:rsid w:val="004C3008"/>
    <w:rsid w:val="004C357F"/>
    <w:rsid w:val="004C4491"/>
    <w:rsid w:val="004C4C59"/>
    <w:rsid w:val="004C649B"/>
    <w:rsid w:val="004C68BD"/>
    <w:rsid w:val="004C7573"/>
    <w:rsid w:val="004C7BDB"/>
    <w:rsid w:val="004C7DE2"/>
    <w:rsid w:val="004D041F"/>
    <w:rsid w:val="004D0450"/>
    <w:rsid w:val="004D07EE"/>
    <w:rsid w:val="004D1195"/>
    <w:rsid w:val="004D14B2"/>
    <w:rsid w:val="004D1883"/>
    <w:rsid w:val="004D2A5E"/>
    <w:rsid w:val="004D46C7"/>
    <w:rsid w:val="004D6B79"/>
    <w:rsid w:val="004E1088"/>
    <w:rsid w:val="004E1B88"/>
    <w:rsid w:val="004E24A5"/>
    <w:rsid w:val="004E33CF"/>
    <w:rsid w:val="004E3E92"/>
    <w:rsid w:val="004E4A02"/>
    <w:rsid w:val="004E4A6C"/>
    <w:rsid w:val="004E625B"/>
    <w:rsid w:val="004E632E"/>
    <w:rsid w:val="004E69CC"/>
    <w:rsid w:val="004E720F"/>
    <w:rsid w:val="004E75E1"/>
    <w:rsid w:val="004E76F1"/>
    <w:rsid w:val="004F102E"/>
    <w:rsid w:val="004F1EE7"/>
    <w:rsid w:val="004F2367"/>
    <w:rsid w:val="004F2F85"/>
    <w:rsid w:val="004F3175"/>
    <w:rsid w:val="004F36DD"/>
    <w:rsid w:val="004F4E64"/>
    <w:rsid w:val="004F51E7"/>
    <w:rsid w:val="004F5B34"/>
    <w:rsid w:val="004F5EE3"/>
    <w:rsid w:val="004F68C8"/>
    <w:rsid w:val="00500780"/>
    <w:rsid w:val="00501DE5"/>
    <w:rsid w:val="00502A42"/>
    <w:rsid w:val="00503112"/>
    <w:rsid w:val="005031A2"/>
    <w:rsid w:val="00503670"/>
    <w:rsid w:val="00503711"/>
    <w:rsid w:val="00506B4A"/>
    <w:rsid w:val="00507E74"/>
    <w:rsid w:val="005100AB"/>
    <w:rsid w:val="0051054C"/>
    <w:rsid w:val="00510AD1"/>
    <w:rsid w:val="005113B7"/>
    <w:rsid w:val="00511CB1"/>
    <w:rsid w:val="005120F0"/>
    <w:rsid w:val="0051228E"/>
    <w:rsid w:val="00512E6F"/>
    <w:rsid w:val="00513384"/>
    <w:rsid w:val="005138A1"/>
    <w:rsid w:val="00513B4C"/>
    <w:rsid w:val="00514D21"/>
    <w:rsid w:val="00514FAE"/>
    <w:rsid w:val="00515182"/>
    <w:rsid w:val="005202B2"/>
    <w:rsid w:val="00520DAD"/>
    <w:rsid w:val="005214CB"/>
    <w:rsid w:val="005226BD"/>
    <w:rsid w:val="00523526"/>
    <w:rsid w:val="00525B7D"/>
    <w:rsid w:val="00525D89"/>
    <w:rsid w:val="00525FC0"/>
    <w:rsid w:val="00526043"/>
    <w:rsid w:val="005267DB"/>
    <w:rsid w:val="0053170D"/>
    <w:rsid w:val="00534036"/>
    <w:rsid w:val="00534350"/>
    <w:rsid w:val="00535239"/>
    <w:rsid w:val="005352A6"/>
    <w:rsid w:val="00535F25"/>
    <w:rsid w:val="005360B6"/>
    <w:rsid w:val="00543009"/>
    <w:rsid w:val="0054511E"/>
    <w:rsid w:val="005458C0"/>
    <w:rsid w:val="00545C02"/>
    <w:rsid w:val="0054747C"/>
    <w:rsid w:val="00550A73"/>
    <w:rsid w:val="005527FB"/>
    <w:rsid w:val="0055455C"/>
    <w:rsid w:val="00555162"/>
    <w:rsid w:val="00555FDD"/>
    <w:rsid w:val="005568BA"/>
    <w:rsid w:val="005602B0"/>
    <w:rsid w:val="00560314"/>
    <w:rsid w:val="00561445"/>
    <w:rsid w:val="0056226A"/>
    <w:rsid w:val="0056374D"/>
    <w:rsid w:val="00563946"/>
    <w:rsid w:val="005645BC"/>
    <w:rsid w:val="00565125"/>
    <w:rsid w:val="005652CD"/>
    <w:rsid w:val="005655CB"/>
    <w:rsid w:val="0056565A"/>
    <w:rsid w:val="00565B26"/>
    <w:rsid w:val="00565B44"/>
    <w:rsid w:val="00565EA5"/>
    <w:rsid w:val="00565EEA"/>
    <w:rsid w:val="00566B37"/>
    <w:rsid w:val="00570032"/>
    <w:rsid w:val="005703E0"/>
    <w:rsid w:val="00570EF1"/>
    <w:rsid w:val="005718E0"/>
    <w:rsid w:val="00571E4B"/>
    <w:rsid w:val="00571F88"/>
    <w:rsid w:val="0057206B"/>
    <w:rsid w:val="0057240B"/>
    <w:rsid w:val="005724EE"/>
    <w:rsid w:val="0057267F"/>
    <w:rsid w:val="00573B17"/>
    <w:rsid w:val="00573FA8"/>
    <w:rsid w:val="005741BB"/>
    <w:rsid w:val="005741C2"/>
    <w:rsid w:val="005749E5"/>
    <w:rsid w:val="00574A45"/>
    <w:rsid w:val="00576216"/>
    <w:rsid w:val="00577273"/>
    <w:rsid w:val="00577EEF"/>
    <w:rsid w:val="005801A7"/>
    <w:rsid w:val="005803C7"/>
    <w:rsid w:val="00581C47"/>
    <w:rsid w:val="00582634"/>
    <w:rsid w:val="00582943"/>
    <w:rsid w:val="00583682"/>
    <w:rsid w:val="00585B5F"/>
    <w:rsid w:val="00586E03"/>
    <w:rsid w:val="00586FDF"/>
    <w:rsid w:val="00590FCF"/>
    <w:rsid w:val="00591980"/>
    <w:rsid w:val="00591CCC"/>
    <w:rsid w:val="00594600"/>
    <w:rsid w:val="00594F2B"/>
    <w:rsid w:val="005953E3"/>
    <w:rsid w:val="005955AA"/>
    <w:rsid w:val="00596A2E"/>
    <w:rsid w:val="005A0A94"/>
    <w:rsid w:val="005A0CE2"/>
    <w:rsid w:val="005A0F82"/>
    <w:rsid w:val="005A3FFB"/>
    <w:rsid w:val="005A62A7"/>
    <w:rsid w:val="005A69ED"/>
    <w:rsid w:val="005B28AD"/>
    <w:rsid w:val="005B524D"/>
    <w:rsid w:val="005B5724"/>
    <w:rsid w:val="005B6B12"/>
    <w:rsid w:val="005B6DE8"/>
    <w:rsid w:val="005B6FFD"/>
    <w:rsid w:val="005B7564"/>
    <w:rsid w:val="005B780D"/>
    <w:rsid w:val="005B7C95"/>
    <w:rsid w:val="005C085E"/>
    <w:rsid w:val="005C0A00"/>
    <w:rsid w:val="005C1485"/>
    <w:rsid w:val="005C1B0A"/>
    <w:rsid w:val="005C1EEB"/>
    <w:rsid w:val="005C280A"/>
    <w:rsid w:val="005C422C"/>
    <w:rsid w:val="005C648B"/>
    <w:rsid w:val="005C7425"/>
    <w:rsid w:val="005C7F50"/>
    <w:rsid w:val="005D0275"/>
    <w:rsid w:val="005D0508"/>
    <w:rsid w:val="005D08A0"/>
    <w:rsid w:val="005D0FBF"/>
    <w:rsid w:val="005D1B9B"/>
    <w:rsid w:val="005D5605"/>
    <w:rsid w:val="005E1F33"/>
    <w:rsid w:val="005E28AE"/>
    <w:rsid w:val="005E2CAF"/>
    <w:rsid w:val="005E3693"/>
    <w:rsid w:val="005E38CC"/>
    <w:rsid w:val="005E5BE1"/>
    <w:rsid w:val="005E6580"/>
    <w:rsid w:val="005E67AC"/>
    <w:rsid w:val="005F02FF"/>
    <w:rsid w:val="005F142F"/>
    <w:rsid w:val="005F1613"/>
    <w:rsid w:val="005F2628"/>
    <w:rsid w:val="005F2895"/>
    <w:rsid w:val="005F33B4"/>
    <w:rsid w:val="005F3748"/>
    <w:rsid w:val="005F4090"/>
    <w:rsid w:val="005F4430"/>
    <w:rsid w:val="005F495D"/>
    <w:rsid w:val="005F5B39"/>
    <w:rsid w:val="005F6557"/>
    <w:rsid w:val="005F6A3F"/>
    <w:rsid w:val="00600217"/>
    <w:rsid w:val="006003AD"/>
    <w:rsid w:val="00600DE6"/>
    <w:rsid w:val="00601334"/>
    <w:rsid w:val="006016E1"/>
    <w:rsid w:val="006017E1"/>
    <w:rsid w:val="00602940"/>
    <w:rsid w:val="00602EC5"/>
    <w:rsid w:val="00604797"/>
    <w:rsid w:val="00604B4F"/>
    <w:rsid w:val="0060761B"/>
    <w:rsid w:val="00610919"/>
    <w:rsid w:val="00610D38"/>
    <w:rsid w:val="0061162B"/>
    <w:rsid w:val="00613515"/>
    <w:rsid w:val="00613725"/>
    <w:rsid w:val="00613A13"/>
    <w:rsid w:val="00613B3E"/>
    <w:rsid w:val="006168C6"/>
    <w:rsid w:val="006209D7"/>
    <w:rsid w:val="00620BE3"/>
    <w:rsid w:val="00621E2C"/>
    <w:rsid w:val="00621EF4"/>
    <w:rsid w:val="00621FF5"/>
    <w:rsid w:val="00622BE3"/>
    <w:rsid w:val="00624067"/>
    <w:rsid w:val="00624182"/>
    <w:rsid w:val="0062489E"/>
    <w:rsid w:val="0062518C"/>
    <w:rsid w:val="0062712A"/>
    <w:rsid w:val="00627E7D"/>
    <w:rsid w:val="00630C01"/>
    <w:rsid w:val="00631411"/>
    <w:rsid w:val="00631DD4"/>
    <w:rsid w:val="00633027"/>
    <w:rsid w:val="00633272"/>
    <w:rsid w:val="00633437"/>
    <w:rsid w:val="00633A39"/>
    <w:rsid w:val="00633ED0"/>
    <w:rsid w:val="00636341"/>
    <w:rsid w:val="00636771"/>
    <w:rsid w:val="006367CB"/>
    <w:rsid w:val="00637208"/>
    <w:rsid w:val="006409F4"/>
    <w:rsid w:val="00641675"/>
    <w:rsid w:val="00643F1B"/>
    <w:rsid w:val="00644566"/>
    <w:rsid w:val="006449FA"/>
    <w:rsid w:val="006453C3"/>
    <w:rsid w:val="00645B88"/>
    <w:rsid w:val="00645BC5"/>
    <w:rsid w:val="00646874"/>
    <w:rsid w:val="00647239"/>
    <w:rsid w:val="00647D59"/>
    <w:rsid w:val="00647E0E"/>
    <w:rsid w:val="00651947"/>
    <w:rsid w:val="00654F73"/>
    <w:rsid w:val="006564A0"/>
    <w:rsid w:val="006579F9"/>
    <w:rsid w:val="0066150E"/>
    <w:rsid w:val="00661BA6"/>
    <w:rsid w:val="00664941"/>
    <w:rsid w:val="006661B5"/>
    <w:rsid w:val="0066655B"/>
    <w:rsid w:val="00667A82"/>
    <w:rsid w:val="00670E16"/>
    <w:rsid w:val="006710E0"/>
    <w:rsid w:val="006716CD"/>
    <w:rsid w:val="00672B25"/>
    <w:rsid w:val="006741ED"/>
    <w:rsid w:val="00676F91"/>
    <w:rsid w:val="006770CB"/>
    <w:rsid w:val="00677896"/>
    <w:rsid w:val="00680ECD"/>
    <w:rsid w:val="00682593"/>
    <w:rsid w:val="006825F6"/>
    <w:rsid w:val="006838B3"/>
    <w:rsid w:val="00683C48"/>
    <w:rsid w:val="00683C77"/>
    <w:rsid w:val="006848DD"/>
    <w:rsid w:val="00684B89"/>
    <w:rsid w:val="00685419"/>
    <w:rsid w:val="00685DAC"/>
    <w:rsid w:val="00685F88"/>
    <w:rsid w:val="00687898"/>
    <w:rsid w:val="0069074A"/>
    <w:rsid w:val="006934DE"/>
    <w:rsid w:val="006968A9"/>
    <w:rsid w:val="00696E72"/>
    <w:rsid w:val="006978E5"/>
    <w:rsid w:val="006A02F6"/>
    <w:rsid w:val="006A1AA0"/>
    <w:rsid w:val="006A1BBA"/>
    <w:rsid w:val="006A1BF6"/>
    <w:rsid w:val="006A3F54"/>
    <w:rsid w:val="006A5CC7"/>
    <w:rsid w:val="006A68FF"/>
    <w:rsid w:val="006A778D"/>
    <w:rsid w:val="006A7B5E"/>
    <w:rsid w:val="006B132D"/>
    <w:rsid w:val="006B1554"/>
    <w:rsid w:val="006B1776"/>
    <w:rsid w:val="006B20C9"/>
    <w:rsid w:val="006B30C3"/>
    <w:rsid w:val="006B3D64"/>
    <w:rsid w:val="006B5170"/>
    <w:rsid w:val="006B6FAA"/>
    <w:rsid w:val="006B7B25"/>
    <w:rsid w:val="006C07C4"/>
    <w:rsid w:val="006C2D7D"/>
    <w:rsid w:val="006C48EA"/>
    <w:rsid w:val="006C4EE7"/>
    <w:rsid w:val="006C586C"/>
    <w:rsid w:val="006C61FD"/>
    <w:rsid w:val="006C7C4B"/>
    <w:rsid w:val="006D04D7"/>
    <w:rsid w:val="006D05D5"/>
    <w:rsid w:val="006D0E6F"/>
    <w:rsid w:val="006D2137"/>
    <w:rsid w:val="006D22F8"/>
    <w:rsid w:val="006D2479"/>
    <w:rsid w:val="006D33C6"/>
    <w:rsid w:val="006D3B52"/>
    <w:rsid w:val="006D3D1B"/>
    <w:rsid w:val="006D42F6"/>
    <w:rsid w:val="006D4358"/>
    <w:rsid w:val="006D4E5C"/>
    <w:rsid w:val="006D4F8F"/>
    <w:rsid w:val="006D55D3"/>
    <w:rsid w:val="006D5602"/>
    <w:rsid w:val="006D60BD"/>
    <w:rsid w:val="006D6AD6"/>
    <w:rsid w:val="006D792C"/>
    <w:rsid w:val="006E093E"/>
    <w:rsid w:val="006E0E61"/>
    <w:rsid w:val="006E247F"/>
    <w:rsid w:val="006E30BA"/>
    <w:rsid w:val="006E5FCB"/>
    <w:rsid w:val="006E75EB"/>
    <w:rsid w:val="006F0FE4"/>
    <w:rsid w:val="006F147A"/>
    <w:rsid w:val="006F231B"/>
    <w:rsid w:val="006F28B3"/>
    <w:rsid w:val="006F2C7C"/>
    <w:rsid w:val="006F4C87"/>
    <w:rsid w:val="006F5B33"/>
    <w:rsid w:val="006F6BC1"/>
    <w:rsid w:val="006F7DC1"/>
    <w:rsid w:val="007005B6"/>
    <w:rsid w:val="007033A0"/>
    <w:rsid w:val="00703783"/>
    <w:rsid w:val="0070391A"/>
    <w:rsid w:val="007047DF"/>
    <w:rsid w:val="007053EC"/>
    <w:rsid w:val="007057FD"/>
    <w:rsid w:val="007067FA"/>
    <w:rsid w:val="0071017C"/>
    <w:rsid w:val="00710A61"/>
    <w:rsid w:val="00710BE7"/>
    <w:rsid w:val="00712279"/>
    <w:rsid w:val="00712D5A"/>
    <w:rsid w:val="00713290"/>
    <w:rsid w:val="007132CE"/>
    <w:rsid w:val="00714195"/>
    <w:rsid w:val="0071447C"/>
    <w:rsid w:val="00716687"/>
    <w:rsid w:val="00716FDF"/>
    <w:rsid w:val="00717762"/>
    <w:rsid w:val="00717A3A"/>
    <w:rsid w:val="007202F3"/>
    <w:rsid w:val="0072069B"/>
    <w:rsid w:val="007209A5"/>
    <w:rsid w:val="007214B2"/>
    <w:rsid w:val="00721F30"/>
    <w:rsid w:val="0072215C"/>
    <w:rsid w:val="00722276"/>
    <w:rsid w:val="00722A73"/>
    <w:rsid w:val="00723BF4"/>
    <w:rsid w:val="00723CAC"/>
    <w:rsid w:val="00724098"/>
    <w:rsid w:val="00724DC7"/>
    <w:rsid w:val="007255F0"/>
    <w:rsid w:val="00725A68"/>
    <w:rsid w:val="00725D4A"/>
    <w:rsid w:val="00725DE0"/>
    <w:rsid w:val="00726043"/>
    <w:rsid w:val="00726F39"/>
    <w:rsid w:val="00731388"/>
    <w:rsid w:val="00734908"/>
    <w:rsid w:val="007358C7"/>
    <w:rsid w:val="007359D8"/>
    <w:rsid w:val="00735A82"/>
    <w:rsid w:val="00735E1E"/>
    <w:rsid w:val="007370AB"/>
    <w:rsid w:val="007370EC"/>
    <w:rsid w:val="00737A0E"/>
    <w:rsid w:val="007404E6"/>
    <w:rsid w:val="00741883"/>
    <w:rsid w:val="00741DBF"/>
    <w:rsid w:val="00743198"/>
    <w:rsid w:val="00743476"/>
    <w:rsid w:val="00743A3D"/>
    <w:rsid w:val="00743EC7"/>
    <w:rsid w:val="00744582"/>
    <w:rsid w:val="007448DE"/>
    <w:rsid w:val="007465E1"/>
    <w:rsid w:val="007500D3"/>
    <w:rsid w:val="007506A5"/>
    <w:rsid w:val="00751633"/>
    <w:rsid w:val="00751D06"/>
    <w:rsid w:val="007532B0"/>
    <w:rsid w:val="00753917"/>
    <w:rsid w:val="00753D16"/>
    <w:rsid w:val="007544A9"/>
    <w:rsid w:val="00755F5D"/>
    <w:rsid w:val="007560E7"/>
    <w:rsid w:val="0075612F"/>
    <w:rsid w:val="007561F6"/>
    <w:rsid w:val="00756545"/>
    <w:rsid w:val="00756CEE"/>
    <w:rsid w:val="0075732C"/>
    <w:rsid w:val="00760351"/>
    <w:rsid w:val="0076085D"/>
    <w:rsid w:val="0076132F"/>
    <w:rsid w:val="00761ABF"/>
    <w:rsid w:val="00762DF8"/>
    <w:rsid w:val="007630BC"/>
    <w:rsid w:val="007633BE"/>
    <w:rsid w:val="00763635"/>
    <w:rsid w:val="0076437C"/>
    <w:rsid w:val="00764533"/>
    <w:rsid w:val="007648C8"/>
    <w:rsid w:val="00764B9A"/>
    <w:rsid w:val="00764D90"/>
    <w:rsid w:val="0076584A"/>
    <w:rsid w:val="0076668B"/>
    <w:rsid w:val="0076693A"/>
    <w:rsid w:val="00766D9E"/>
    <w:rsid w:val="00767CFE"/>
    <w:rsid w:val="0077053A"/>
    <w:rsid w:val="007716AF"/>
    <w:rsid w:val="007732F6"/>
    <w:rsid w:val="0077337B"/>
    <w:rsid w:val="00780C02"/>
    <w:rsid w:val="00781B4D"/>
    <w:rsid w:val="00781DC4"/>
    <w:rsid w:val="00784878"/>
    <w:rsid w:val="0078496D"/>
    <w:rsid w:val="00785393"/>
    <w:rsid w:val="00785D5A"/>
    <w:rsid w:val="00785DAC"/>
    <w:rsid w:val="007908B9"/>
    <w:rsid w:val="00790F16"/>
    <w:rsid w:val="00791E84"/>
    <w:rsid w:val="00791F88"/>
    <w:rsid w:val="00792D7B"/>
    <w:rsid w:val="0079319C"/>
    <w:rsid w:val="00793960"/>
    <w:rsid w:val="00794165"/>
    <w:rsid w:val="0079530E"/>
    <w:rsid w:val="00796599"/>
    <w:rsid w:val="00797A32"/>
    <w:rsid w:val="007A0215"/>
    <w:rsid w:val="007A142D"/>
    <w:rsid w:val="007A1C12"/>
    <w:rsid w:val="007A4841"/>
    <w:rsid w:val="007A536C"/>
    <w:rsid w:val="007A5B53"/>
    <w:rsid w:val="007A5FA9"/>
    <w:rsid w:val="007A68B0"/>
    <w:rsid w:val="007A7A4D"/>
    <w:rsid w:val="007B1219"/>
    <w:rsid w:val="007B32C1"/>
    <w:rsid w:val="007B3AFF"/>
    <w:rsid w:val="007B3D1A"/>
    <w:rsid w:val="007B3DB8"/>
    <w:rsid w:val="007B4AAC"/>
    <w:rsid w:val="007B4EA0"/>
    <w:rsid w:val="007B75F8"/>
    <w:rsid w:val="007B7BCB"/>
    <w:rsid w:val="007B7EEE"/>
    <w:rsid w:val="007C0C74"/>
    <w:rsid w:val="007C103D"/>
    <w:rsid w:val="007C1A39"/>
    <w:rsid w:val="007C1C43"/>
    <w:rsid w:val="007C1ED2"/>
    <w:rsid w:val="007C2D75"/>
    <w:rsid w:val="007C31B6"/>
    <w:rsid w:val="007C352D"/>
    <w:rsid w:val="007C39D2"/>
    <w:rsid w:val="007C42E7"/>
    <w:rsid w:val="007C4775"/>
    <w:rsid w:val="007C5AA9"/>
    <w:rsid w:val="007C605D"/>
    <w:rsid w:val="007C678B"/>
    <w:rsid w:val="007C7631"/>
    <w:rsid w:val="007C77C1"/>
    <w:rsid w:val="007D0158"/>
    <w:rsid w:val="007D01A6"/>
    <w:rsid w:val="007D0573"/>
    <w:rsid w:val="007D23F1"/>
    <w:rsid w:val="007D321D"/>
    <w:rsid w:val="007D35FB"/>
    <w:rsid w:val="007D3CBE"/>
    <w:rsid w:val="007D4808"/>
    <w:rsid w:val="007D53DA"/>
    <w:rsid w:val="007D5506"/>
    <w:rsid w:val="007D5EDE"/>
    <w:rsid w:val="007D6248"/>
    <w:rsid w:val="007D66C1"/>
    <w:rsid w:val="007D6F09"/>
    <w:rsid w:val="007E07BE"/>
    <w:rsid w:val="007E2BB7"/>
    <w:rsid w:val="007E3043"/>
    <w:rsid w:val="007E46BB"/>
    <w:rsid w:val="007E4F2D"/>
    <w:rsid w:val="007E7FCE"/>
    <w:rsid w:val="007F0836"/>
    <w:rsid w:val="007F0879"/>
    <w:rsid w:val="007F3034"/>
    <w:rsid w:val="007F4705"/>
    <w:rsid w:val="007F4A11"/>
    <w:rsid w:val="007F55E1"/>
    <w:rsid w:val="007F596C"/>
    <w:rsid w:val="007F5D2F"/>
    <w:rsid w:val="007F7174"/>
    <w:rsid w:val="0080016B"/>
    <w:rsid w:val="00801050"/>
    <w:rsid w:val="00802FDF"/>
    <w:rsid w:val="0080544C"/>
    <w:rsid w:val="00806357"/>
    <w:rsid w:val="00806422"/>
    <w:rsid w:val="008065E0"/>
    <w:rsid w:val="0080705B"/>
    <w:rsid w:val="0081080E"/>
    <w:rsid w:val="00812BD8"/>
    <w:rsid w:val="00812D88"/>
    <w:rsid w:val="00812F75"/>
    <w:rsid w:val="00813E9D"/>
    <w:rsid w:val="00814334"/>
    <w:rsid w:val="008143DF"/>
    <w:rsid w:val="00815213"/>
    <w:rsid w:val="008159A9"/>
    <w:rsid w:val="008163F5"/>
    <w:rsid w:val="008165D5"/>
    <w:rsid w:val="008208F2"/>
    <w:rsid w:val="00820AAF"/>
    <w:rsid w:val="008214DA"/>
    <w:rsid w:val="00822848"/>
    <w:rsid w:val="008234EF"/>
    <w:rsid w:val="008238A8"/>
    <w:rsid w:val="00823A8A"/>
    <w:rsid w:val="0082485D"/>
    <w:rsid w:val="00824A7E"/>
    <w:rsid w:val="00824EE3"/>
    <w:rsid w:val="00825372"/>
    <w:rsid w:val="00825B36"/>
    <w:rsid w:val="0082767B"/>
    <w:rsid w:val="0083043A"/>
    <w:rsid w:val="008331CA"/>
    <w:rsid w:val="008337BD"/>
    <w:rsid w:val="00834307"/>
    <w:rsid w:val="00834CCF"/>
    <w:rsid w:val="00835AB8"/>
    <w:rsid w:val="00835DD7"/>
    <w:rsid w:val="00836810"/>
    <w:rsid w:val="00840688"/>
    <w:rsid w:val="00840FC3"/>
    <w:rsid w:val="0084278D"/>
    <w:rsid w:val="00844BAF"/>
    <w:rsid w:val="00845714"/>
    <w:rsid w:val="008479EE"/>
    <w:rsid w:val="00850009"/>
    <w:rsid w:val="00850809"/>
    <w:rsid w:val="008511D0"/>
    <w:rsid w:val="00851249"/>
    <w:rsid w:val="00853906"/>
    <w:rsid w:val="00853C8E"/>
    <w:rsid w:val="008548C5"/>
    <w:rsid w:val="00854C65"/>
    <w:rsid w:val="00855B06"/>
    <w:rsid w:val="0085634F"/>
    <w:rsid w:val="0085645C"/>
    <w:rsid w:val="008567EB"/>
    <w:rsid w:val="00857035"/>
    <w:rsid w:val="00857130"/>
    <w:rsid w:val="00857BB4"/>
    <w:rsid w:val="00860583"/>
    <w:rsid w:val="008605BD"/>
    <w:rsid w:val="00861362"/>
    <w:rsid w:val="0086199B"/>
    <w:rsid w:val="0086275A"/>
    <w:rsid w:val="00862ECC"/>
    <w:rsid w:val="00863DBB"/>
    <w:rsid w:val="00864634"/>
    <w:rsid w:val="00865134"/>
    <w:rsid w:val="0086600D"/>
    <w:rsid w:val="0086603E"/>
    <w:rsid w:val="00866BF2"/>
    <w:rsid w:val="00870592"/>
    <w:rsid w:val="00870DC7"/>
    <w:rsid w:val="008719FA"/>
    <w:rsid w:val="008728E9"/>
    <w:rsid w:val="00872A94"/>
    <w:rsid w:val="0087413A"/>
    <w:rsid w:val="00875BFB"/>
    <w:rsid w:val="0087644C"/>
    <w:rsid w:val="00876E67"/>
    <w:rsid w:val="0087719A"/>
    <w:rsid w:val="008771C4"/>
    <w:rsid w:val="008805CA"/>
    <w:rsid w:val="00881FB0"/>
    <w:rsid w:val="008824D0"/>
    <w:rsid w:val="008826AC"/>
    <w:rsid w:val="00883911"/>
    <w:rsid w:val="008842A8"/>
    <w:rsid w:val="00884B9B"/>
    <w:rsid w:val="00885629"/>
    <w:rsid w:val="008856AE"/>
    <w:rsid w:val="00887266"/>
    <w:rsid w:val="00887B7C"/>
    <w:rsid w:val="00891E19"/>
    <w:rsid w:val="0089239C"/>
    <w:rsid w:val="00892F3A"/>
    <w:rsid w:val="00893442"/>
    <w:rsid w:val="00894E50"/>
    <w:rsid w:val="00895222"/>
    <w:rsid w:val="008952A1"/>
    <w:rsid w:val="008967A6"/>
    <w:rsid w:val="00896996"/>
    <w:rsid w:val="00896B6C"/>
    <w:rsid w:val="008974D6"/>
    <w:rsid w:val="008975F8"/>
    <w:rsid w:val="008A1316"/>
    <w:rsid w:val="008A1600"/>
    <w:rsid w:val="008A30AB"/>
    <w:rsid w:val="008A388B"/>
    <w:rsid w:val="008A40E7"/>
    <w:rsid w:val="008A4751"/>
    <w:rsid w:val="008A5564"/>
    <w:rsid w:val="008A57B6"/>
    <w:rsid w:val="008B02F7"/>
    <w:rsid w:val="008B065C"/>
    <w:rsid w:val="008B0E10"/>
    <w:rsid w:val="008B1301"/>
    <w:rsid w:val="008B2BA1"/>
    <w:rsid w:val="008B2E48"/>
    <w:rsid w:val="008B4A6D"/>
    <w:rsid w:val="008B5C73"/>
    <w:rsid w:val="008B7339"/>
    <w:rsid w:val="008C15FA"/>
    <w:rsid w:val="008C4138"/>
    <w:rsid w:val="008C4287"/>
    <w:rsid w:val="008C7F17"/>
    <w:rsid w:val="008D06FA"/>
    <w:rsid w:val="008D1412"/>
    <w:rsid w:val="008D170D"/>
    <w:rsid w:val="008D1CCF"/>
    <w:rsid w:val="008D1D54"/>
    <w:rsid w:val="008D26AE"/>
    <w:rsid w:val="008D2855"/>
    <w:rsid w:val="008D3175"/>
    <w:rsid w:val="008D33EE"/>
    <w:rsid w:val="008D4576"/>
    <w:rsid w:val="008D485C"/>
    <w:rsid w:val="008D5612"/>
    <w:rsid w:val="008D7427"/>
    <w:rsid w:val="008D77AB"/>
    <w:rsid w:val="008E0B59"/>
    <w:rsid w:val="008E114A"/>
    <w:rsid w:val="008E1E77"/>
    <w:rsid w:val="008E3060"/>
    <w:rsid w:val="008E33A0"/>
    <w:rsid w:val="008E342D"/>
    <w:rsid w:val="008E527D"/>
    <w:rsid w:val="008E630E"/>
    <w:rsid w:val="008E668F"/>
    <w:rsid w:val="008E6F85"/>
    <w:rsid w:val="008E7C3F"/>
    <w:rsid w:val="008F0C93"/>
    <w:rsid w:val="008F48A6"/>
    <w:rsid w:val="008F52F1"/>
    <w:rsid w:val="008F73E3"/>
    <w:rsid w:val="008F7DC0"/>
    <w:rsid w:val="00902645"/>
    <w:rsid w:val="009031F7"/>
    <w:rsid w:val="009034E6"/>
    <w:rsid w:val="009037FE"/>
    <w:rsid w:val="009043E8"/>
    <w:rsid w:val="00904C1E"/>
    <w:rsid w:val="00905355"/>
    <w:rsid w:val="0090744D"/>
    <w:rsid w:val="00907929"/>
    <w:rsid w:val="00910D62"/>
    <w:rsid w:val="00910D94"/>
    <w:rsid w:val="009113BF"/>
    <w:rsid w:val="00911568"/>
    <w:rsid w:val="00913D22"/>
    <w:rsid w:val="00913D74"/>
    <w:rsid w:val="00914596"/>
    <w:rsid w:val="0091476E"/>
    <w:rsid w:val="0091690F"/>
    <w:rsid w:val="00916AB3"/>
    <w:rsid w:val="00916B9B"/>
    <w:rsid w:val="00917490"/>
    <w:rsid w:val="00920840"/>
    <w:rsid w:val="0092113B"/>
    <w:rsid w:val="00921197"/>
    <w:rsid w:val="0092156F"/>
    <w:rsid w:val="009225C8"/>
    <w:rsid w:val="00922EB8"/>
    <w:rsid w:val="00922F12"/>
    <w:rsid w:val="009236AE"/>
    <w:rsid w:val="00923A94"/>
    <w:rsid w:val="009241C8"/>
    <w:rsid w:val="00924BD7"/>
    <w:rsid w:val="00924D59"/>
    <w:rsid w:val="0092551A"/>
    <w:rsid w:val="00925556"/>
    <w:rsid w:val="0092613A"/>
    <w:rsid w:val="0092718B"/>
    <w:rsid w:val="00927EC9"/>
    <w:rsid w:val="00930A67"/>
    <w:rsid w:val="00930BB6"/>
    <w:rsid w:val="00931962"/>
    <w:rsid w:val="00931B14"/>
    <w:rsid w:val="00931D37"/>
    <w:rsid w:val="009321D7"/>
    <w:rsid w:val="00933535"/>
    <w:rsid w:val="009339E8"/>
    <w:rsid w:val="00933EF8"/>
    <w:rsid w:val="0093420F"/>
    <w:rsid w:val="009342B7"/>
    <w:rsid w:val="009345EA"/>
    <w:rsid w:val="009374BC"/>
    <w:rsid w:val="00937C00"/>
    <w:rsid w:val="00940013"/>
    <w:rsid w:val="009414F6"/>
    <w:rsid w:val="009421AB"/>
    <w:rsid w:val="0094265D"/>
    <w:rsid w:val="00942D81"/>
    <w:rsid w:val="009435E7"/>
    <w:rsid w:val="00943665"/>
    <w:rsid w:val="00944487"/>
    <w:rsid w:val="00944A5E"/>
    <w:rsid w:val="00945A48"/>
    <w:rsid w:val="0094712B"/>
    <w:rsid w:val="00947A55"/>
    <w:rsid w:val="00947A5E"/>
    <w:rsid w:val="00950E07"/>
    <w:rsid w:val="0095123C"/>
    <w:rsid w:val="00951720"/>
    <w:rsid w:val="00951B27"/>
    <w:rsid w:val="0095211F"/>
    <w:rsid w:val="00952C13"/>
    <w:rsid w:val="0095380B"/>
    <w:rsid w:val="00954023"/>
    <w:rsid w:val="00955275"/>
    <w:rsid w:val="009558D3"/>
    <w:rsid w:val="0095697A"/>
    <w:rsid w:val="00957142"/>
    <w:rsid w:val="009602E1"/>
    <w:rsid w:val="00961365"/>
    <w:rsid w:val="00961560"/>
    <w:rsid w:val="00961B79"/>
    <w:rsid w:val="00962F77"/>
    <w:rsid w:val="00963711"/>
    <w:rsid w:val="009639EC"/>
    <w:rsid w:val="00964502"/>
    <w:rsid w:val="0096593D"/>
    <w:rsid w:val="00965EB5"/>
    <w:rsid w:val="009664F9"/>
    <w:rsid w:val="00966AA8"/>
    <w:rsid w:val="009679F6"/>
    <w:rsid w:val="00967EF2"/>
    <w:rsid w:val="00967F3D"/>
    <w:rsid w:val="00970B85"/>
    <w:rsid w:val="00970E6F"/>
    <w:rsid w:val="009711D6"/>
    <w:rsid w:val="0097130A"/>
    <w:rsid w:val="00972745"/>
    <w:rsid w:val="00973088"/>
    <w:rsid w:val="0097425F"/>
    <w:rsid w:val="00974969"/>
    <w:rsid w:val="00980CF8"/>
    <w:rsid w:val="009812D9"/>
    <w:rsid w:val="009817C7"/>
    <w:rsid w:val="00981AAE"/>
    <w:rsid w:val="009822E0"/>
    <w:rsid w:val="00982464"/>
    <w:rsid w:val="00983199"/>
    <w:rsid w:val="009836B2"/>
    <w:rsid w:val="009845F1"/>
    <w:rsid w:val="00986C5C"/>
    <w:rsid w:val="00990A47"/>
    <w:rsid w:val="00991D06"/>
    <w:rsid w:val="00992973"/>
    <w:rsid w:val="00992A3D"/>
    <w:rsid w:val="00993D5C"/>
    <w:rsid w:val="009951ED"/>
    <w:rsid w:val="00995300"/>
    <w:rsid w:val="00996655"/>
    <w:rsid w:val="00996708"/>
    <w:rsid w:val="00996766"/>
    <w:rsid w:val="009969B2"/>
    <w:rsid w:val="00996B88"/>
    <w:rsid w:val="00997A79"/>
    <w:rsid w:val="009A0808"/>
    <w:rsid w:val="009A0A21"/>
    <w:rsid w:val="009A1497"/>
    <w:rsid w:val="009A15BC"/>
    <w:rsid w:val="009A1C6C"/>
    <w:rsid w:val="009A1F3D"/>
    <w:rsid w:val="009A1F9B"/>
    <w:rsid w:val="009A24BB"/>
    <w:rsid w:val="009A263D"/>
    <w:rsid w:val="009A42A9"/>
    <w:rsid w:val="009A4BD3"/>
    <w:rsid w:val="009A4F82"/>
    <w:rsid w:val="009A67BE"/>
    <w:rsid w:val="009A7CB4"/>
    <w:rsid w:val="009A7D1B"/>
    <w:rsid w:val="009B5F4A"/>
    <w:rsid w:val="009B615E"/>
    <w:rsid w:val="009B67C8"/>
    <w:rsid w:val="009B6ABD"/>
    <w:rsid w:val="009C00B5"/>
    <w:rsid w:val="009C21DF"/>
    <w:rsid w:val="009C22ED"/>
    <w:rsid w:val="009C391B"/>
    <w:rsid w:val="009C4D37"/>
    <w:rsid w:val="009C60C3"/>
    <w:rsid w:val="009C6268"/>
    <w:rsid w:val="009C76BF"/>
    <w:rsid w:val="009C79EB"/>
    <w:rsid w:val="009C7D40"/>
    <w:rsid w:val="009C7F8F"/>
    <w:rsid w:val="009D1BDA"/>
    <w:rsid w:val="009D1D01"/>
    <w:rsid w:val="009D1D8E"/>
    <w:rsid w:val="009D1DD7"/>
    <w:rsid w:val="009D2431"/>
    <w:rsid w:val="009D3676"/>
    <w:rsid w:val="009D3E85"/>
    <w:rsid w:val="009D440A"/>
    <w:rsid w:val="009D4BB8"/>
    <w:rsid w:val="009D6F2D"/>
    <w:rsid w:val="009E2774"/>
    <w:rsid w:val="009E306A"/>
    <w:rsid w:val="009E33AD"/>
    <w:rsid w:val="009E5B3B"/>
    <w:rsid w:val="009E5BEF"/>
    <w:rsid w:val="009E6F91"/>
    <w:rsid w:val="009E7F1C"/>
    <w:rsid w:val="009F0002"/>
    <w:rsid w:val="009F001F"/>
    <w:rsid w:val="009F004C"/>
    <w:rsid w:val="009F0225"/>
    <w:rsid w:val="009F10A6"/>
    <w:rsid w:val="009F14E6"/>
    <w:rsid w:val="009F18F1"/>
    <w:rsid w:val="009F23B4"/>
    <w:rsid w:val="009F27C1"/>
    <w:rsid w:val="009F3693"/>
    <w:rsid w:val="009F49F1"/>
    <w:rsid w:val="009F4DEA"/>
    <w:rsid w:val="009F5783"/>
    <w:rsid w:val="009F58AA"/>
    <w:rsid w:val="009F5F4C"/>
    <w:rsid w:val="009F703C"/>
    <w:rsid w:val="009F7093"/>
    <w:rsid w:val="009F785E"/>
    <w:rsid w:val="00A00FD7"/>
    <w:rsid w:val="00A014D2"/>
    <w:rsid w:val="00A01A97"/>
    <w:rsid w:val="00A01F98"/>
    <w:rsid w:val="00A03FFE"/>
    <w:rsid w:val="00A05EDD"/>
    <w:rsid w:val="00A06BD2"/>
    <w:rsid w:val="00A07B91"/>
    <w:rsid w:val="00A07D7E"/>
    <w:rsid w:val="00A07E3A"/>
    <w:rsid w:val="00A10BE1"/>
    <w:rsid w:val="00A112DE"/>
    <w:rsid w:val="00A11D3B"/>
    <w:rsid w:val="00A12CEE"/>
    <w:rsid w:val="00A13269"/>
    <w:rsid w:val="00A13883"/>
    <w:rsid w:val="00A13C89"/>
    <w:rsid w:val="00A140CD"/>
    <w:rsid w:val="00A1460E"/>
    <w:rsid w:val="00A153AD"/>
    <w:rsid w:val="00A163C5"/>
    <w:rsid w:val="00A16C92"/>
    <w:rsid w:val="00A17D3E"/>
    <w:rsid w:val="00A204A9"/>
    <w:rsid w:val="00A20A00"/>
    <w:rsid w:val="00A20DFA"/>
    <w:rsid w:val="00A21D2D"/>
    <w:rsid w:val="00A22260"/>
    <w:rsid w:val="00A22C71"/>
    <w:rsid w:val="00A22D04"/>
    <w:rsid w:val="00A23113"/>
    <w:rsid w:val="00A27B77"/>
    <w:rsid w:val="00A32182"/>
    <w:rsid w:val="00A32C4C"/>
    <w:rsid w:val="00A33BD4"/>
    <w:rsid w:val="00A34226"/>
    <w:rsid w:val="00A3573F"/>
    <w:rsid w:val="00A35C2E"/>
    <w:rsid w:val="00A36A55"/>
    <w:rsid w:val="00A3777F"/>
    <w:rsid w:val="00A40759"/>
    <w:rsid w:val="00A409E0"/>
    <w:rsid w:val="00A40D68"/>
    <w:rsid w:val="00A4292B"/>
    <w:rsid w:val="00A43737"/>
    <w:rsid w:val="00A43DA1"/>
    <w:rsid w:val="00A440E7"/>
    <w:rsid w:val="00A469B9"/>
    <w:rsid w:val="00A471B8"/>
    <w:rsid w:val="00A50B85"/>
    <w:rsid w:val="00A50FA5"/>
    <w:rsid w:val="00A5202A"/>
    <w:rsid w:val="00A5218E"/>
    <w:rsid w:val="00A5295A"/>
    <w:rsid w:val="00A53A8E"/>
    <w:rsid w:val="00A53AE6"/>
    <w:rsid w:val="00A55012"/>
    <w:rsid w:val="00A55799"/>
    <w:rsid w:val="00A55ECA"/>
    <w:rsid w:val="00A572FD"/>
    <w:rsid w:val="00A57689"/>
    <w:rsid w:val="00A57933"/>
    <w:rsid w:val="00A61DA1"/>
    <w:rsid w:val="00A64713"/>
    <w:rsid w:val="00A64BDE"/>
    <w:rsid w:val="00A661F1"/>
    <w:rsid w:val="00A6681B"/>
    <w:rsid w:val="00A71292"/>
    <w:rsid w:val="00A71422"/>
    <w:rsid w:val="00A71F59"/>
    <w:rsid w:val="00A725EC"/>
    <w:rsid w:val="00A72A4A"/>
    <w:rsid w:val="00A72CF6"/>
    <w:rsid w:val="00A72EEF"/>
    <w:rsid w:val="00A731E9"/>
    <w:rsid w:val="00A738E9"/>
    <w:rsid w:val="00A74AB3"/>
    <w:rsid w:val="00A7537B"/>
    <w:rsid w:val="00A75E97"/>
    <w:rsid w:val="00A7612D"/>
    <w:rsid w:val="00A76F0C"/>
    <w:rsid w:val="00A770B0"/>
    <w:rsid w:val="00A81863"/>
    <w:rsid w:val="00A82371"/>
    <w:rsid w:val="00A82373"/>
    <w:rsid w:val="00A83EEA"/>
    <w:rsid w:val="00A844E7"/>
    <w:rsid w:val="00A847E0"/>
    <w:rsid w:val="00A850CF"/>
    <w:rsid w:val="00A8595C"/>
    <w:rsid w:val="00A8681A"/>
    <w:rsid w:val="00A870A7"/>
    <w:rsid w:val="00A87162"/>
    <w:rsid w:val="00A90346"/>
    <w:rsid w:val="00A90A82"/>
    <w:rsid w:val="00A90B13"/>
    <w:rsid w:val="00A90EB5"/>
    <w:rsid w:val="00A92C64"/>
    <w:rsid w:val="00A93AD7"/>
    <w:rsid w:val="00A94ECA"/>
    <w:rsid w:val="00A950DA"/>
    <w:rsid w:val="00A9579B"/>
    <w:rsid w:val="00A95A12"/>
    <w:rsid w:val="00A95E74"/>
    <w:rsid w:val="00AA013A"/>
    <w:rsid w:val="00AA0773"/>
    <w:rsid w:val="00AA08B4"/>
    <w:rsid w:val="00AA0C85"/>
    <w:rsid w:val="00AA2EE5"/>
    <w:rsid w:val="00AA3246"/>
    <w:rsid w:val="00AA3AAA"/>
    <w:rsid w:val="00AA4A73"/>
    <w:rsid w:val="00AA65B6"/>
    <w:rsid w:val="00AA68F7"/>
    <w:rsid w:val="00AA6935"/>
    <w:rsid w:val="00AA6C41"/>
    <w:rsid w:val="00AA720F"/>
    <w:rsid w:val="00AB0808"/>
    <w:rsid w:val="00AB0EA2"/>
    <w:rsid w:val="00AB16E0"/>
    <w:rsid w:val="00AB1AFD"/>
    <w:rsid w:val="00AB2112"/>
    <w:rsid w:val="00AB2E7D"/>
    <w:rsid w:val="00AB40AC"/>
    <w:rsid w:val="00AB4BFD"/>
    <w:rsid w:val="00AB7C63"/>
    <w:rsid w:val="00AC0627"/>
    <w:rsid w:val="00AC158F"/>
    <w:rsid w:val="00AC256A"/>
    <w:rsid w:val="00AC425A"/>
    <w:rsid w:val="00AC7B90"/>
    <w:rsid w:val="00AC7F31"/>
    <w:rsid w:val="00AD0A76"/>
    <w:rsid w:val="00AD14B1"/>
    <w:rsid w:val="00AD1C7B"/>
    <w:rsid w:val="00AD238E"/>
    <w:rsid w:val="00AD32A5"/>
    <w:rsid w:val="00AD3745"/>
    <w:rsid w:val="00AD47AE"/>
    <w:rsid w:val="00AD503A"/>
    <w:rsid w:val="00AD57A3"/>
    <w:rsid w:val="00AD6117"/>
    <w:rsid w:val="00AD62BE"/>
    <w:rsid w:val="00AD722F"/>
    <w:rsid w:val="00AD7498"/>
    <w:rsid w:val="00AE096D"/>
    <w:rsid w:val="00AE09F9"/>
    <w:rsid w:val="00AE250C"/>
    <w:rsid w:val="00AE39FE"/>
    <w:rsid w:val="00AE414E"/>
    <w:rsid w:val="00AE4910"/>
    <w:rsid w:val="00AE6720"/>
    <w:rsid w:val="00AE6EC4"/>
    <w:rsid w:val="00AF05E8"/>
    <w:rsid w:val="00AF12F1"/>
    <w:rsid w:val="00AF1585"/>
    <w:rsid w:val="00AF2038"/>
    <w:rsid w:val="00AF2880"/>
    <w:rsid w:val="00AF2DAC"/>
    <w:rsid w:val="00AF3B5C"/>
    <w:rsid w:val="00AF3C88"/>
    <w:rsid w:val="00AF3ED6"/>
    <w:rsid w:val="00AF435F"/>
    <w:rsid w:val="00AF5D4E"/>
    <w:rsid w:val="00AF658D"/>
    <w:rsid w:val="00AF66B0"/>
    <w:rsid w:val="00AF6CA0"/>
    <w:rsid w:val="00AF6CA1"/>
    <w:rsid w:val="00AF70F9"/>
    <w:rsid w:val="00AF775A"/>
    <w:rsid w:val="00AF7C9B"/>
    <w:rsid w:val="00B004C8"/>
    <w:rsid w:val="00B00AFB"/>
    <w:rsid w:val="00B01C03"/>
    <w:rsid w:val="00B02091"/>
    <w:rsid w:val="00B03694"/>
    <w:rsid w:val="00B03B48"/>
    <w:rsid w:val="00B04454"/>
    <w:rsid w:val="00B05391"/>
    <w:rsid w:val="00B072AB"/>
    <w:rsid w:val="00B10007"/>
    <w:rsid w:val="00B100F4"/>
    <w:rsid w:val="00B107CD"/>
    <w:rsid w:val="00B10DD4"/>
    <w:rsid w:val="00B1191B"/>
    <w:rsid w:val="00B12397"/>
    <w:rsid w:val="00B1654C"/>
    <w:rsid w:val="00B168EB"/>
    <w:rsid w:val="00B16F43"/>
    <w:rsid w:val="00B1704D"/>
    <w:rsid w:val="00B215DB"/>
    <w:rsid w:val="00B2198E"/>
    <w:rsid w:val="00B2209A"/>
    <w:rsid w:val="00B242AD"/>
    <w:rsid w:val="00B252F6"/>
    <w:rsid w:val="00B2634D"/>
    <w:rsid w:val="00B32260"/>
    <w:rsid w:val="00B323CE"/>
    <w:rsid w:val="00B32E96"/>
    <w:rsid w:val="00B33319"/>
    <w:rsid w:val="00B33697"/>
    <w:rsid w:val="00B338E4"/>
    <w:rsid w:val="00B340D7"/>
    <w:rsid w:val="00B358BA"/>
    <w:rsid w:val="00B35DCB"/>
    <w:rsid w:val="00B3794D"/>
    <w:rsid w:val="00B37F98"/>
    <w:rsid w:val="00B41B8E"/>
    <w:rsid w:val="00B42882"/>
    <w:rsid w:val="00B42EA8"/>
    <w:rsid w:val="00B43011"/>
    <w:rsid w:val="00B43BD7"/>
    <w:rsid w:val="00B43FE7"/>
    <w:rsid w:val="00B44090"/>
    <w:rsid w:val="00B447D8"/>
    <w:rsid w:val="00B448E2"/>
    <w:rsid w:val="00B44B4E"/>
    <w:rsid w:val="00B44D2A"/>
    <w:rsid w:val="00B4522A"/>
    <w:rsid w:val="00B46131"/>
    <w:rsid w:val="00B467A1"/>
    <w:rsid w:val="00B469F5"/>
    <w:rsid w:val="00B508B5"/>
    <w:rsid w:val="00B50AD0"/>
    <w:rsid w:val="00B511F8"/>
    <w:rsid w:val="00B5122E"/>
    <w:rsid w:val="00B52A0A"/>
    <w:rsid w:val="00B53191"/>
    <w:rsid w:val="00B53B63"/>
    <w:rsid w:val="00B540D0"/>
    <w:rsid w:val="00B545F0"/>
    <w:rsid w:val="00B54999"/>
    <w:rsid w:val="00B55C7F"/>
    <w:rsid w:val="00B56C6A"/>
    <w:rsid w:val="00B56CB7"/>
    <w:rsid w:val="00B601CE"/>
    <w:rsid w:val="00B61184"/>
    <w:rsid w:val="00B618D1"/>
    <w:rsid w:val="00B62436"/>
    <w:rsid w:val="00B62758"/>
    <w:rsid w:val="00B62925"/>
    <w:rsid w:val="00B6384B"/>
    <w:rsid w:val="00B640A1"/>
    <w:rsid w:val="00B65DE0"/>
    <w:rsid w:val="00B66470"/>
    <w:rsid w:val="00B671D6"/>
    <w:rsid w:val="00B6763C"/>
    <w:rsid w:val="00B67C70"/>
    <w:rsid w:val="00B67F20"/>
    <w:rsid w:val="00B7197B"/>
    <w:rsid w:val="00B720F1"/>
    <w:rsid w:val="00B73CC0"/>
    <w:rsid w:val="00B754D8"/>
    <w:rsid w:val="00B762D6"/>
    <w:rsid w:val="00B8003D"/>
    <w:rsid w:val="00B81489"/>
    <w:rsid w:val="00B8153B"/>
    <w:rsid w:val="00B8171D"/>
    <w:rsid w:val="00B81EE5"/>
    <w:rsid w:val="00B82735"/>
    <w:rsid w:val="00B82918"/>
    <w:rsid w:val="00B83AD3"/>
    <w:rsid w:val="00B842C3"/>
    <w:rsid w:val="00B85CB0"/>
    <w:rsid w:val="00B860E9"/>
    <w:rsid w:val="00B86B0D"/>
    <w:rsid w:val="00B87AAB"/>
    <w:rsid w:val="00B914B7"/>
    <w:rsid w:val="00B91BA1"/>
    <w:rsid w:val="00B924BC"/>
    <w:rsid w:val="00B928D2"/>
    <w:rsid w:val="00B972E9"/>
    <w:rsid w:val="00B9748F"/>
    <w:rsid w:val="00B97B3B"/>
    <w:rsid w:val="00BA2BDE"/>
    <w:rsid w:val="00BA3010"/>
    <w:rsid w:val="00BA304B"/>
    <w:rsid w:val="00BA334A"/>
    <w:rsid w:val="00BA3387"/>
    <w:rsid w:val="00BA338E"/>
    <w:rsid w:val="00BA3CF1"/>
    <w:rsid w:val="00BA3D00"/>
    <w:rsid w:val="00BA3D10"/>
    <w:rsid w:val="00BA5D8D"/>
    <w:rsid w:val="00BA5EF6"/>
    <w:rsid w:val="00BA6C9F"/>
    <w:rsid w:val="00BA7BB5"/>
    <w:rsid w:val="00BA7F1E"/>
    <w:rsid w:val="00BB0684"/>
    <w:rsid w:val="00BB0EE0"/>
    <w:rsid w:val="00BB221F"/>
    <w:rsid w:val="00BB305C"/>
    <w:rsid w:val="00BB38E4"/>
    <w:rsid w:val="00BB3BD2"/>
    <w:rsid w:val="00BB42A4"/>
    <w:rsid w:val="00BB6A04"/>
    <w:rsid w:val="00BB719F"/>
    <w:rsid w:val="00BC0ADE"/>
    <w:rsid w:val="00BC0B01"/>
    <w:rsid w:val="00BC0F26"/>
    <w:rsid w:val="00BC23E3"/>
    <w:rsid w:val="00BC29E2"/>
    <w:rsid w:val="00BC2B9E"/>
    <w:rsid w:val="00BC3001"/>
    <w:rsid w:val="00BC60E2"/>
    <w:rsid w:val="00BC7377"/>
    <w:rsid w:val="00BC739A"/>
    <w:rsid w:val="00BD0142"/>
    <w:rsid w:val="00BD01F8"/>
    <w:rsid w:val="00BD1077"/>
    <w:rsid w:val="00BD2FE8"/>
    <w:rsid w:val="00BD3CE1"/>
    <w:rsid w:val="00BD4B23"/>
    <w:rsid w:val="00BD500C"/>
    <w:rsid w:val="00BD56A8"/>
    <w:rsid w:val="00BD56BA"/>
    <w:rsid w:val="00BD5C15"/>
    <w:rsid w:val="00BD6593"/>
    <w:rsid w:val="00BD678A"/>
    <w:rsid w:val="00BD7AD4"/>
    <w:rsid w:val="00BD7B6A"/>
    <w:rsid w:val="00BE01F5"/>
    <w:rsid w:val="00BE0332"/>
    <w:rsid w:val="00BE065B"/>
    <w:rsid w:val="00BE0C44"/>
    <w:rsid w:val="00BE18F0"/>
    <w:rsid w:val="00BE301F"/>
    <w:rsid w:val="00BE3EA7"/>
    <w:rsid w:val="00BE5BD8"/>
    <w:rsid w:val="00BF24A5"/>
    <w:rsid w:val="00BF25C1"/>
    <w:rsid w:val="00BF36A0"/>
    <w:rsid w:val="00BF4C82"/>
    <w:rsid w:val="00BF4D36"/>
    <w:rsid w:val="00BF671D"/>
    <w:rsid w:val="00BF6C1F"/>
    <w:rsid w:val="00BF6C66"/>
    <w:rsid w:val="00BF72C5"/>
    <w:rsid w:val="00C00CCE"/>
    <w:rsid w:val="00C00F78"/>
    <w:rsid w:val="00C01495"/>
    <w:rsid w:val="00C01A9A"/>
    <w:rsid w:val="00C02BE1"/>
    <w:rsid w:val="00C0322A"/>
    <w:rsid w:val="00C05481"/>
    <w:rsid w:val="00C05583"/>
    <w:rsid w:val="00C05CDB"/>
    <w:rsid w:val="00C05D7F"/>
    <w:rsid w:val="00C074DC"/>
    <w:rsid w:val="00C105D5"/>
    <w:rsid w:val="00C108D6"/>
    <w:rsid w:val="00C1226E"/>
    <w:rsid w:val="00C125EE"/>
    <w:rsid w:val="00C12738"/>
    <w:rsid w:val="00C12F04"/>
    <w:rsid w:val="00C138A7"/>
    <w:rsid w:val="00C13ECB"/>
    <w:rsid w:val="00C140BE"/>
    <w:rsid w:val="00C14507"/>
    <w:rsid w:val="00C1597D"/>
    <w:rsid w:val="00C167B8"/>
    <w:rsid w:val="00C174AF"/>
    <w:rsid w:val="00C1761E"/>
    <w:rsid w:val="00C17C77"/>
    <w:rsid w:val="00C212AF"/>
    <w:rsid w:val="00C21913"/>
    <w:rsid w:val="00C234AF"/>
    <w:rsid w:val="00C238E7"/>
    <w:rsid w:val="00C23DB9"/>
    <w:rsid w:val="00C23E36"/>
    <w:rsid w:val="00C250AE"/>
    <w:rsid w:val="00C2512A"/>
    <w:rsid w:val="00C25B58"/>
    <w:rsid w:val="00C26EC7"/>
    <w:rsid w:val="00C279D2"/>
    <w:rsid w:val="00C3031C"/>
    <w:rsid w:val="00C30685"/>
    <w:rsid w:val="00C311C2"/>
    <w:rsid w:val="00C33468"/>
    <w:rsid w:val="00C33A97"/>
    <w:rsid w:val="00C344F0"/>
    <w:rsid w:val="00C34675"/>
    <w:rsid w:val="00C357F8"/>
    <w:rsid w:val="00C35CA8"/>
    <w:rsid w:val="00C35E1B"/>
    <w:rsid w:val="00C3682D"/>
    <w:rsid w:val="00C404F7"/>
    <w:rsid w:val="00C405FC"/>
    <w:rsid w:val="00C41754"/>
    <w:rsid w:val="00C41E89"/>
    <w:rsid w:val="00C420B7"/>
    <w:rsid w:val="00C45489"/>
    <w:rsid w:val="00C45E2B"/>
    <w:rsid w:val="00C47040"/>
    <w:rsid w:val="00C4731F"/>
    <w:rsid w:val="00C50171"/>
    <w:rsid w:val="00C50191"/>
    <w:rsid w:val="00C50E2E"/>
    <w:rsid w:val="00C51003"/>
    <w:rsid w:val="00C523AC"/>
    <w:rsid w:val="00C52FF4"/>
    <w:rsid w:val="00C53147"/>
    <w:rsid w:val="00C54097"/>
    <w:rsid w:val="00C5443E"/>
    <w:rsid w:val="00C5472B"/>
    <w:rsid w:val="00C547D0"/>
    <w:rsid w:val="00C54A8B"/>
    <w:rsid w:val="00C54CBD"/>
    <w:rsid w:val="00C5587B"/>
    <w:rsid w:val="00C55C2E"/>
    <w:rsid w:val="00C55FD1"/>
    <w:rsid w:val="00C56641"/>
    <w:rsid w:val="00C566DE"/>
    <w:rsid w:val="00C56C5C"/>
    <w:rsid w:val="00C56CF7"/>
    <w:rsid w:val="00C56F3C"/>
    <w:rsid w:val="00C570C5"/>
    <w:rsid w:val="00C60072"/>
    <w:rsid w:val="00C61248"/>
    <w:rsid w:val="00C61D49"/>
    <w:rsid w:val="00C647B4"/>
    <w:rsid w:val="00C657B0"/>
    <w:rsid w:val="00C65D7A"/>
    <w:rsid w:val="00C66B57"/>
    <w:rsid w:val="00C67882"/>
    <w:rsid w:val="00C67CFB"/>
    <w:rsid w:val="00C71827"/>
    <w:rsid w:val="00C71BD5"/>
    <w:rsid w:val="00C71BFB"/>
    <w:rsid w:val="00C73409"/>
    <w:rsid w:val="00C738A6"/>
    <w:rsid w:val="00C73C38"/>
    <w:rsid w:val="00C74672"/>
    <w:rsid w:val="00C76254"/>
    <w:rsid w:val="00C76D9B"/>
    <w:rsid w:val="00C778C7"/>
    <w:rsid w:val="00C778DB"/>
    <w:rsid w:val="00C802F3"/>
    <w:rsid w:val="00C83EC8"/>
    <w:rsid w:val="00C83EED"/>
    <w:rsid w:val="00C844A7"/>
    <w:rsid w:val="00C84D7C"/>
    <w:rsid w:val="00C85F75"/>
    <w:rsid w:val="00C86811"/>
    <w:rsid w:val="00C8767C"/>
    <w:rsid w:val="00C8770B"/>
    <w:rsid w:val="00C87B0E"/>
    <w:rsid w:val="00C87C6E"/>
    <w:rsid w:val="00C908DA"/>
    <w:rsid w:val="00C917A3"/>
    <w:rsid w:val="00C91C4E"/>
    <w:rsid w:val="00C92E7E"/>
    <w:rsid w:val="00C9397D"/>
    <w:rsid w:val="00C93CD3"/>
    <w:rsid w:val="00C93D5F"/>
    <w:rsid w:val="00C9511D"/>
    <w:rsid w:val="00C95327"/>
    <w:rsid w:val="00C96220"/>
    <w:rsid w:val="00C9639C"/>
    <w:rsid w:val="00C96918"/>
    <w:rsid w:val="00C96C3F"/>
    <w:rsid w:val="00CA038A"/>
    <w:rsid w:val="00CA07A9"/>
    <w:rsid w:val="00CA10BD"/>
    <w:rsid w:val="00CA10FB"/>
    <w:rsid w:val="00CA1A1D"/>
    <w:rsid w:val="00CA23F0"/>
    <w:rsid w:val="00CA2730"/>
    <w:rsid w:val="00CA469D"/>
    <w:rsid w:val="00CA4FE3"/>
    <w:rsid w:val="00CA520D"/>
    <w:rsid w:val="00CA5337"/>
    <w:rsid w:val="00CA56F6"/>
    <w:rsid w:val="00CA5AF4"/>
    <w:rsid w:val="00CA5C22"/>
    <w:rsid w:val="00CA6023"/>
    <w:rsid w:val="00CA6A04"/>
    <w:rsid w:val="00CA7A61"/>
    <w:rsid w:val="00CB00C5"/>
    <w:rsid w:val="00CB05CC"/>
    <w:rsid w:val="00CB16E4"/>
    <w:rsid w:val="00CB3FAE"/>
    <w:rsid w:val="00CB411B"/>
    <w:rsid w:val="00CB45FD"/>
    <w:rsid w:val="00CB499F"/>
    <w:rsid w:val="00CB63B1"/>
    <w:rsid w:val="00CB735E"/>
    <w:rsid w:val="00CC0682"/>
    <w:rsid w:val="00CC0F9A"/>
    <w:rsid w:val="00CC1263"/>
    <w:rsid w:val="00CC2C20"/>
    <w:rsid w:val="00CC3930"/>
    <w:rsid w:val="00CC41F3"/>
    <w:rsid w:val="00CC4E32"/>
    <w:rsid w:val="00CC5BEA"/>
    <w:rsid w:val="00CC5C59"/>
    <w:rsid w:val="00CC5F64"/>
    <w:rsid w:val="00CD06DF"/>
    <w:rsid w:val="00CD0D11"/>
    <w:rsid w:val="00CD1A8A"/>
    <w:rsid w:val="00CD23DC"/>
    <w:rsid w:val="00CD2D59"/>
    <w:rsid w:val="00CD3057"/>
    <w:rsid w:val="00CD3F87"/>
    <w:rsid w:val="00CD43A8"/>
    <w:rsid w:val="00CD477C"/>
    <w:rsid w:val="00CD47AA"/>
    <w:rsid w:val="00CD4D0D"/>
    <w:rsid w:val="00CD4FD7"/>
    <w:rsid w:val="00CD58D6"/>
    <w:rsid w:val="00CD7047"/>
    <w:rsid w:val="00CD71BE"/>
    <w:rsid w:val="00CD72AA"/>
    <w:rsid w:val="00CE060E"/>
    <w:rsid w:val="00CE1D9A"/>
    <w:rsid w:val="00CE38AF"/>
    <w:rsid w:val="00CE4A35"/>
    <w:rsid w:val="00CE4BA4"/>
    <w:rsid w:val="00CE5020"/>
    <w:rsid w:val="00CE5C7B"/>
    <w:rsid w:val="00CE6319"/>
    <w:rsid w:val="00CF00EC"/>
    <w:rsid w:val="00CF0B6C"/>
    <w:rsid w:val="00CF1A5B"/>
    <w:rsid w:val="00CF33EA"/>
    <w:rsid w:val="00CF37BA"/>
    <w:rsid w:val="00CF3F0E"/>
    <w:rsid w:val="00CF4267"/>
    <w:rsid w:val="00CF47EB"/>
    <w:rsid w:val="00CF5DD1"/>
    <w:rsid w:val="00CF657E"/>
    <w:rsid w:val="00CF6ED6"/>
    <w:rsid w:val="00CF6EE3"/>
    <w:rsid w:val="00CF78FD"/>
    <w:rsid w:val="00CF7B6B"/>
    <w:rsid w:val="00CF7EBD"/>
    <w:rsid w:val="00D000C1"/>
    <w:rsid w:val="00D009FC"/>
    <w:rsid w:val="00D00E98"/>
    <w:rsid w:val="00D02E68"/>
    <w:rsid w:val="00D064E4"/>
    <w:rsid w:val="00D0684D"/>
    <w:rsid w:val="00D0763D"/>
    <w:rsid w:val="00D1009C"/>
    <w:rsid w:val="00D10450"/>
    <w:rsid w:val="00D10EC0"/>
    <w:rsid w:val="00D11087"/>
    <w:rsid w:val="00D114BC"/>
    <w:rsid w:val="00D11E3A"/>
    <w:rsid w:val="00D1273E"/>
    <w:rsid w:val="00D12BEB"/>
    <w:rsid w:val="00D12CB0"/>
    <w:rsid w:val="00D137F9"/>
    <w:rsid w:val="00D159FA"/>
    <w:rsid w:val="00D16B54"/>
    <w:rsid w:val="00D2100C"/>
    <w:rsid w:val="00D21574"/>
    <w:rsid w:val="00D2162D"/>
    <w:rsid w:val="00D21A3E"/>
    <w:rsid w:val="00D21AAB"/>
    <w:rsid w:val="00D21BC5"/>
    <w:rsid w:val="00D239EE"/>
    <w:rsid w:val="00D23C5D"/>
    <w:rsid w:val="00D24ADB"/>
    <w:rsid w:val="00D2548E"/>
    <w:rsid w:val="00D2580F"/>
    <w:rsid w:val="00D258A3"/>
    <w:rsid w:val="00D25D15"/>
    <w:rsid w:val="00D26032"/>
    <w:rsid w:val="00D2781B"/>
    <w:rsid w:val="00D30AD9"/>
    <w:rsid w:val="00D315D5"/>
    <w:rsid w:val="00D33124"/>
    <w:rsid w:val="00D33B12"/>
    <w:rsid w:val="00D33D34"/>
    <w:rsid w:val="00D34FA5"/>
    <w:rsid w:val="00D358AB"/>
    <w:rsid w:val="00D35FC8"/>
    <w:rsid w:val="00D37909"/>
    <w:rsid w:val="00D41813"/>
    <w:rsid w:val="00D41E47"/>
    <w:rsid w:val="00D41F1D"/>
    <w:rsid w:val="00D41FF6"/>
    <w:rsid w:val="00D44AC1"/>
    <w:rsid w:val="00D46007"/>
    <w:rsid w:val="00D46A41"/>
    <w:rsid w:val="00D47ED7"/>
    <w:rsid w:val="00D50949"/>
    <w:rsid w:val="00D50CA0"/>
    <w:rsid w:val="00D5151D"/>
    <w:rsid w:val="00D518A6"/>
    <w:rsid w:val="00D5190D"/>
    <w:rsid w:val="00D5398E"/>
    <w:rsid w:val="00D53F17"/>
    <w:rsid w:val="00D56349"/>
    <w:rsid w:val="00D571A1"/>
    <w:rsid w:val="00D606DC"/>
    <w:rsid w:val="00D62145"/>
    <w:rsid w:val="00D62B54"/>
    <w:rsid w:val="00D62FD7"/>
    <w:rsid w:val="00D6379B"/>
    <w:rsid w:val="00D64CEA"/>
    <w:rsid w:val="00D6588A"/>
    <w:rsid w:val="00D65C62"/>
    <w:rsid w:val="00D65F7D"/>
    <w:rsid w:val="00D665FC"/>
    <w:rsid w:val="00D66F26"/>
    <w:rsid w:val="00D72ACA"/>
    <w:rsid w:val="00D72D5E"/>
    <w:rsid w:val="00D73103"/>
    <w:rsid w:val="00D734B9"/>
    <w:rsid w:val="00D73507"/>
    <w:rsid w:val="00D74389"/>
    <w:rsid w:val="00D749CF"/>
    <w:rsid w:val="00D757BB"/>
    <w:rsid w:val="00D757FB"/>
    <w:rsid w:val="00D76BA5"/>
    <w:rsid w:val="00D77657"/>
    <w:rsid w:val="00D8028C"/>
    <w:rsid w:val="00D80C8B"/>
    <w:rsid w:val="00D80FEA"/>
    <w:rsid w:val="00D81C02"/>
    <w:rsid w:val="00D82DB9"/>
    <w:rsid w:val="00D835FC"/>
    <w:rsid w:val="00D83858"/>
    <w:rsid w:val="00D84827"/>
    <w:rsid w:val="00D87604"/>
    <w:rsid w:val="00D87FF1"/>
    <w:rsid w:val="00D90884"/>
    <w:rsid w:val="00D90A99"/>
    <w:rsid w:val="00D90BB8"/>
    <w:rsid w:val="00D90CE5"/>
    <w:rsid w:val="00D92E3E"/>
    <w:rsid w:val="00D92EC4"/>
    <w:rsid w:val="00D936A1"/>
    <w:rsid w:val="00D93E45"/>
    <w:rsid w:val="00D94544"/>
    <w:rsid w:val="00D94E24"/>
    <w:rsid w:val="00D964C8"/>
    <w:rsid w:val="00D96A81"/>
    <w:rsid w:val="00DA056C"/>
    <w:rsid w:val="00DA06DE"/>
    <w:rsid w:val="00DA0F9D"/>
    <w:rsid w:val="00DA13B9"/>
    <w:rsid w:val="00DA1F75"/>
    <w:rsid w:val="00DA276E"/>
    <w:rsid w:val="00DA2843"/>
    <w:rsid w:val="00DA28E0"/>
    <w:rsid w:val="00DA2F47"/>
    <w:rsid w:val="00DA355F"/>
    <w:rsid w:val="00DA3727"/>
    <w:rsid w:val="00DA390F"/>
    <w:rsid w:val="00DA3BFA"/>
    <w:rsid w:val="00DA4401"/>
    <w:rsid w:val="00DA53F5"/>
    <w:rsid w:val="00DA5D8E"/>
    <w:rsid w:val="00DA785F"/>
    <w:rsid w:val="00DB0D38"/>
    <w:rsid w:val="00DB0EDC"/>
    <w:rsid w:val="00DB231A"/>
    <w:rsid w:val="00DB2704"/>
    <w:rsid w:val="00DB2F61"/>
    <w:rsid w:val="00DB3BDC"/>
    <w:rsid w:val="00DB4A29"/>
    <w:rsid w:val="00DB574A"/>
    <w:rsid w:val="00DB6DBE"/>
    <w:rsid w:val="00DC15ED"/>
    <w:rsid w:val="00DC24D9"/>
    <w:rsid w:val="00DC2527"/>
    <w:rsid w:val="00DC25ED"/>
    <w:rsid w:val="00DC397D"/>
    <w:rsid w:val="00DD00E1"/>
    <w:rsid w:val="00DD0147"/>
    <w:rsid w:val="00DD1476"/>
    <w:rsid w:val="00DD215E"/>
    <w:rsid w:val="00DD2A29"/>
    <w:rsid w:val="00DD2A48"/>
    <w:rsid w:val="00DD33DC"/>
    <w:rsid w:val="00DD3439"/>
    <w:rsid w:val="00DD3A61"/>
    <w:rsid w:val="00DD44DC"/>
    <w:rsid w:val="00DD4A16"/>
    <w:rsid w:val="00DD5509"/>
    <w:rsid w:val="00DD566B"/>
    <w:rsid w:val="00DD584A"/>
    <w:rsid w:val="00DD609E"/>
    <w:rsid w:val="00DD7514"/>
    <w:rsid w:val="00DD75D3"/>
    <w:rsid w:val="00DD7CA1"/>
    <w:rsid w:val="00DE0BA6"/>
    <w:rsid w:val="00DE2791"/>
    <w:rsid w:val="00DE3015"/>
    <w:rsid w:val="00DE3696"/>
    <w:rsid w:val="00DE3F24"/>
    <w:rsid w:val="00DE548B"/>
    <w:rsid w:val="00DE5767"/>
    <w:rsid w:val="00DE77B0"/>
    <w:rsid w:val="00DE7AE6"/>
    <w:rsid w:val="00DE7DB8"/>
    <w:rsid w:val="00DF09CA"/>
    <w:rsid w:val="00DF1188"/>
    <w:rsid w:val="00DF20F4"/>
    <w:rsid w:val="00DF33A9"/>
    <w:rsid w:val="00DF369D"/>
    <w:rsid w:val="00DF45C6"/>
    <w:rsid w:val="00DF52B7"/>
    <w:rsid w:val="00DF6FBA"/>
    <w:rsid w:val="00DF7409"/>
    <w:rsid w:val="00DF7DB0"/>
    <w:rsid w:val="00E004F6"/>
    <w:rsid w:val="00E01743"/>
    <w:rsid w:val="00E01A27"/>
    <w:rsid w:val="00E03816"/>
    <w:rsid w:val="00E041B4"/>
    <w:rsid w:val="00E048B3"/>
    <w:rsid w:val="00E04FD2"/>
    <w:rsid w:val="00E06589"/>
    <w:rsid w:val="00E0695E"/>
    <w:rsid w:val="00E07606"/>
    <w:rsid w:val="00E07BB4"/>
    <w:rsid w:val="00E10526"/>
    <w:rsid w:val="00E10E5F"/>
    <w:rsid w:val="00E1279C"/>
    <w:rsid w:val="00E12883"/>
    <w:rsid w:val="00E14D73"/>
    <w:rsid w:val="00E15383"/>
    <w:rsid w:val="00E15E52"/>
    <w:rsid w:val="00E16EDB"/>
    <w:rsid w:val="00E16F5B"/>
    <w:rsid w:val="00E17523"/>
    <w:rsid w:val="00E17555"/>
    <w:rsid w:val="00E207C7"/>
    <w:rsid w:val="00E20B5D"/>
    <w:rsid w:val="00E20CA0"/>
    <w:rsid w:val="00E21ECA"/>
    <w:rsid w:val="00E21F73"/>
    <w:rsid w:val="00E2273C"/>
    <w:rsid w:val="00E22F7E"/>
    <w:rsid w:val="00E23B6D"/>
    <w:rsid w:val="00E24748"/>
    <w:rsid w:val="00E24CDE"/>
    <w:rsid w:val="00E253A5"/>
    <w:rsid w:val="00E25FDB"/>
    <w:rsid w:val="00E26F0D"/>
    <w:rsid w:val="00E30269"/>
    <w:rsid w:val="00E302A7"/>
    <w:rsid w:val="00E31C0D"/>
    <w:rsid w:val="00E321CB"/>
    <w:rsid w:val="00E326A3"/>
    <w:rsid w:val="00E32735"/>
    <w:rsid w:val="00E32AA0"/>
    <w:rsid w:val="00E33192"/>
    <w:rsid w:val="00E3332C"/>
    <w:rsid w:val="00E33C10"/>
    <w:rsid w:val="00E34344"/>
    <w:rsid w:val="00E346E6"/>
    <w:rsid w:val="00E358A3"/>
    <w:rsid w:val="00E37F5B"/>
    <w:rsid w:val="00E42341"/>
    <w:rsid w:val="00E44FD4"/>
    <w:rsid w:val="00E45CC6"/>
    <w:rsid w:val="00E476C2"/>
    <w:rsid w:val="00E50BBD"/>
    <w:rsid w:val="00E50E95"/>
    <w:rsid w:val="00E53955"/>
    <w:rsid w:val="00E54503"/>
    <w:rsid w:val="00E5486D"/>
    <w:rsid w:val="00E54C24"/>
    <w:rsid w:val="00E55022"/>
    <w:rsid w:val="00E5526E"/>
    <w:rsid w:val="00E55AFD"/>
    <w:rsid w:val="00E55C9A"/>
    <w:rsid w:val="00E569BE"/>
    <w:rsid w:val="00E56D82"/>
    <w:rsid w:val="00E57E4C"/>
    <w:rsid w:val="00E60152"/>
    <w:rsid w:val="00E609FA"/>
    <w:rsid w:val="00E61D03"/>
    <w:rsid w:val="00E62CAC"/>
    <w:rsid w:val="00E64BC3"/>
    <w:rsid w:val="00E6511E"/>
    <w:rsid w:val="00E659C8"/>
    <w:rsid w:val="00E6634E"/>
    <w:rsid w:val="00E6681E"/>
    <w:rsid w:val="00E6764B"/>
    <w:rsid w:val="00E676F3"/>
    <w:rsid w:val="00E71638"/>
    <w:rsid w:val="00E71A81"/>
    <w:rsid w:val="00E72904"/>
    <w:rsid w:val="00E73A9C"/>
    <w:rsid w:val="00E75027"/>
    <w:rsid w:val="00E7540E"/>
    <w:rsid w:val="00E754C0"/>
    <w:rsid w:val="00E75580"/>
    <w:rsid w:val="00E7736D"/>
    <w:rsid w:val="00E7771F"/>
    <w:rsid w:val="00E77CD3"/>
    <w:rsid w:val="00E803F7"/>
    <w:rsid w:val="00E80A03"/>
    <w:rsid w:val="00E80E88"/>
    <w:rsid w:val="00E81791"/>
    <w:rsid w:val="00E81BE6"/>
    <w:rsid w:val="00E8279B"/>
    <w:rsid w:val="00E84154"/>
    <w:rsid w:val="00E845D7"/>
    <w:rsid w:val="00E85165"/>
    <w:rsid w:val="00E85F51"/>
    <w:rsid w:val="00E9043A"/>
    <w:rsid w:val="00E9084C"/>
    <w:rsid w:val="00E91B97"/>
    <w:rsid w:val="00E92ACA"/>
    <w:rsid w:val="00E93EE6"/>
    <w:rsid w:val="00E96F95"/>
    <w:rsid w:val="00E97052"/>
    <w:rsid w:val="00E9748D"/>
    <w:rsid w:val="00EA1DAF"/>
    <w:rsid w:val="00EA2311"/>
    <w:rsid w:val="00EA2361"/>
    <w:rsid w:val="00EA2639"/>
    <w:rsid w:val="00EA2DC4"/>
    <w:rsid w:val="00EA343C"/>
    <w:rsid w:val="00EA34F2"/>
    <w:rsid w:val="00EB06A4"/>
    <w:rsid w:val="00EB14F1"/>
    <w:rsid w:val="00EB31A3"/>
    <w:rsid w:val="00EB3631"/>
    <w:rsid w:val="00EB41D4"/>
    <w:rsid w:val="00EB56AD"/>
    <w:rsid w:val="00EB65B1"/>
    <w:rsid w:val="00EB6CE7"/>
    <w:rsid w:val="00EB7753"/>
    <w:rsid w:val="00EB7778"/>
    <w:rsid w:val="00EC0A96"/>
    <w:rsid w:val="00EC1EEC"/>
    <w:rsid w:val="00EC3AAD"/>
    <w:rsid w:val="00EC3E48"/>
    <w:rsid w:val="00EC47AA"/>
    <w:rsid w:val="00EC4E71"/>
    <w:rsid w:val="00EC5FF4"/>
    <w:rsid w:val="00EC64D6"/>
    <w:rsid w:val="00EC6C10"/>
    <w:rsid w:val="00ED0703"/>
    <w:rsid w:val="00ED0A94"/>
    <w:rsid w:val="00ED1DC7"/>
    <w:rsid w:val="00ED209B"/>
    <w:rsid w:val="00ED26AC"/>
    <w:rsid w:val="00ED27D2"/>
    <w:rsid w:val="00ED5370"/>
    <w:rsid w:val="00EE0319"/>
    <w:rsid w:val="00EE15B6"/>
    <w:rsid w:val="00EE1B3D"/>
    <w:rsid w:val="00EE3E8F"/>
    <w:rsid w:val="00EE41FE"/>
    <w:rsid w:val="00EE4267"/>
    <w:rsid w:val="00EE4F5A"/>
    <w:rsid w:val="00EE6C30"/>
    <w:rsid w:val="00EF0412"/>
    <w:rsid w:val="00EF1906"/>
    <w:rsid w:val="00EF1C4F"/>
    <w:rsid w:val="00EF30F0"/>
    <w:rsid w:val="00EF3308"/>
    <w:rsid w:val="00EF3788"/>
    <w:rsid w:val="00EF4970"/>
    <w:rsid w:val="00EF67D7"/>
    <w:rsid w:val="00F005A7"/>
    <w:rsid w:val="00F01E25"/>
    <w:rsid w:val="00F022A9"/>
    <w:rsid w:val="00F02383"/>
    <w:rsid w:val="00F03360"/>
    <w:rsid w:val="00F03C34"/>
    <w:rsid w:val="00F03E77"/>
    <w:rsid w:val="00F04238"/>
    <w:rsid w:val="00F047FD"/>
    <w:rsid w:val="00F05187"/>
    <w:rsid w:val="00F0519D"/>
    <w:rsid w:val="00F07A6C"/>
    <w:rsid w:val="00F110A4"/>
    <w:rsid w:val="00F116F7"/>
    <w:rsid w:val="00F12C4B"/>
    <w:rsid w:val="00F143BE"/>
    <w:rsid w:val="00F1458F"/>
    <w:rsid w:val="00F1552E"/>
    <w:rsid w:val="00F15915"/>
    <w:rsid w:val="00F17048"/>
    <w:rsid w:val="00F17614"/>
    <w:rsid w:val="00F204F0"/>
    <w:rsid w:val="00F2063C"/>
    <w:rsid w:val="00F2103E"/>
    <w:rsid w:val="00F22D7A"/>
    <w:rsid w:val="00F23BF8"/>
    <w:rsid w:val="00F23EEE"/>
    <w:rsid w:val="00F24E3E"/>
    <w:rsid w:val="00F25A9F"/>
    <w:rsid w:val="00F25B9D"/>
    <w:rsid w:val="00F276DC"/>
    <w:rsid w:val="00F27B6D"/>
    <w:rsid w:val="00F27BB6"/>
    <w:rsid w:val="00F27BBF"/>
    <w:rsid w:val="00F304E5"/>
    <w:rsid w:val="00F340A9"/>
    <w:rsid w:val="00F342F9"/>
    <w:rsid w:val="00F34379"/>
    <w:rsid w:val="00F34D61"/>
    <w:rsid w:val="00F35C46"/>
    <w:rsid w:val="00F35E54"/>
    <w:rsid w:val="00F3604E"/>
    <w:rsid w:val="00F4214A"/>
    <w:rsid w:val="00F42500"/>
    <w:rsid w:val="00F4381D"/>
    <w:rsid w:val="00F43A09"/>
    <w:rsid w:val="00F444F8"/>
    <w:rsid w:val="00F45F6D"/>
    <w:rsid w:val="00F471A5"/>
    <w:rsid w:val="00F4721B"/>
    <w:rsid w:val="00F5059C"/>
    <w:rsid w:val="00F50E55"/>
    <w:rsid w:val="00F521D0"/>
    <w:rsid w:val="00F52848"/>
    <w:rsid w:val="00F52E6C"/>
    <w:rsid w:val="00F52F2A"/>
    <w:rsid w:val="00F53D15"/>
    <w:rsid w:val="00F54D87"/>
    <w:rsid w:val="00F557F2"/>
    <w:rsid w:val="00F56A93"/>
    <w:rsid w:val="00F56F1D"/>
    <w:rsid w:val="00F5731E"/>
    <w:rsid w:val="00F57581"/>
    <w:rsid w:val="00F614E7"/>
    <w:rsid w:val="00F6156E"/>
    <w:rsid w:val="00F61767"/>
    <w:rsid w:val="00F62B5D"/>
    <w:rsid w:val="00F63755"/>
    <w:rsid w:val="00F646BD"/>
    <w:rsid w:val="00F64E01"/>
    <w:rsid w:val="00F6607C"/>
    <w:rsid w:val="00F66169"/>
    <w:rsid w:val="00F66D7E"/>
    <w:rsid w:val="00F672A4"/>
    <w:rsid w:val="00F67C2D"/>
    <w:rsid w:val="00F708DB"/>
    <w:rsid w:val="00F70FCE"/>
    <w:rsid w:val="00F71BB4"/>
    <w:rsid w:val="00F72F0C"/>
    <w:rsid w:val="00F732CF"/>
    <w:rsid w:val="00F73C6B"/>
    <w:rsid w:val="00F73F86"/>
    <w:rsid w:val="00F75631"/>
    <w:rsid w:val="00F7568B"/>
    <w:rsid w:val="00F75B5E"/>
    <w:rsid w:val="00F763B3"/>
    <w:rsid w:val="00F76A93"/>
    <w:rsid w:val="00F76D15"/>
    <w:rsid w:val="00F80389"/>
    <w:rsid w:val="00F8129F"/>
    <w:rsid w:val="00F828A6"/>
    <w:rsid w:val="00F832A9"/>
    <w:rsid w:val="00F83EFD"/>
    <w:rsid w:val="00F85008"/>
    <w:rsid w:val="00F851D1"/>
    <w:rsid w:val="00F86083"/>
    <w:rsid w:val="00F904DA"/>
    <w:rsid w:val="00F909C7"/>
    <w:rsid w:val="00F9225F"/>
    <w:rsid w:val="00F929F9"/>
    <w:rsid w:val="00F93376"/>
    <w:rsid w:val="00F9488D"/>
    <w:rsid w:val="00F94DB4"/>
    <w:rsid w:val="00F95B3F"/>
    <w:rsid w:val="00F95DFC"/>
    <w:rsid w:val="00F965C5"/>
    <w:rsid w:val="00F97E43"/>
    <w:rsid w:val="00FA0CD5"/>
    <w:rsid w:val="00FA1E23"/>
    <w:rsid w:val="00FA2223"/>
    <w:rsid w:val="00FA28C6"/>
    <w:rsid w:val="00FA510D"/>
    <w:rsid w:val="00FA62E6"/>
    <w:rsid w:val="00FB1555"/>
    <w:rsid w:val="00FB289A"/>
    <w:rsid w:val="00FB37B5"/>
    <w:rsid w:val="00FB3E8C"/>
    <w:rsid w:val="00FB6863"/>
    <w:rsid w:val="00FB735E"/>
    <w:rsid w:val="00FB7659"/>
    <w:rsid w:val="00FB7902"/>
    <w:rsid w:val="00FC0664"/>
    <w:rsid w:val="00FC0802"/>
    <w:rsid w:val="00FC0CF2"/>
    <w:rsid w:val="00FC2DE6"/>
    <w:rsid w:val="00FC398E"/>
    <w:rsid w:val="00FC52F5"/>
    <w:rsid w:val="00FC5C55"/>
    <w:rsid w:val="00FC62BC"/>
    <w:rsid w:val="00FC65D5"/>
    <w:rsid w:val="00FC7AEF"/>
    <w:rsid w:val="00FC7C1B"/>
    <w:rsid w:val="00FC7C96"/>
    <w:rsid w:val="00FD0568"/>
    <w:rsid w:val="00FD05A0"/>
    <w:rsid w:val="00FD3841"/>
    <w:rsid w:val="00FD3E2B"/>
    <w:rsid w:val="00FD7F97"/>
    <w:rsid w:val="00FE047D"/>
    <w:rsid w:val="00FE1166"/>
    <w:rsid w:val="00FE1E4C"/>
    <w:rsid w:val="00FE2A32"/>
    <w:rsid w:val="00FE2B53"/>
    <w:rsid w:val="00FE2E79"/>
    <w:rsid w:val="00FE2F5F"/>
    <w:rsid w:val="00FE3581"/>
    <w:rsid w:val="00FE4017"/>
    <w:rsid w:val="00FE553B"/>
    <w:rsid w:val="00FE599D"/>
    <w:rsid w:val="00FE5C32"/>
    <w:rsid w:val="00FE5DDB"/>
    <w:rsid w:val="00FE66B5"/>
    <w:rsid w:val="00FE67D7"/>
    <w:rsid w:val="00FE6FA7"/>
    <w:rsid w:val="00FE7761"/>
    <w:rsid w:val="00FE7D0D"/>
    <w:rsid w:val="00FE7D88"/>
    <w:rsid w:val="00FF0092"/>
    <w:rsid w:val="00FF081F"/>
    <w:rsid w:val="00FF0BB7"/>
    <w:rsid w:val="00FF0C8C"/>
    <w:rsid w:val="00FF1996"/>
    <w:rsid w:val="00FF1F1F"/>
    <w:rsid w:val="00FF2911"/>
    <w:rsid w:val="00FF310F"/>
    <w:rsid w:val="00FF632C"/>
    <w:rsid w:val="00FF6947"/>
    <w:rsid w:val="00FF6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9F524"/>
  <w15:chartTrackingRefBased/>
  <w15:docId w15:val="{F3FCB61F-9EC2-4E07-84A9-0D6CECE8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qFormat/>
    <w:rsid w:val="009A4BD3"/>
    <w:rPr>
      <w:rFonts w:eastAsia="Calibri"/>
      <w:b/>
      <w:i/>
      <w:sz w:val="28"/>
      <w:shd w:val="clear" w:color="auto" w:fill="FFFFFF"/>
    </w:rPr>
  </w:style>
  <w:style w:type="character" w:customStyle="1" w:styleId="Style2Char">
    <w:name w:val="Style2 Char"/>
    <w:basedOn w:val="DefaultParagraphFont"/>
    <w:link w:val="Style2"/>
    <w:rsid w:val="009A4BD3"/>
    <w:rPr>
      <w:rFonts w:eastAsia="Calibri"/>
      <w:b/>
      <w:i/>
      <w:sz w:val="28"/>
    </w:rPr>
  </w:style>
  <w:style w:type="paragraph" w:customStyle="1" w:styleId="Style1">
    <w:name w:val="Style1"/>
    <w:basedOn w:val="Normal"/>
    <w:link w:val="Style1Char"/>
    <w:qFormat/>
    <w:rsid w:val="009A4BD3"/>
    <w:rPr>
      <w:rFonts w:asciiTheme="majorHAnsi" w:hAnsiTheme="majorHAnsi"/>
      <w:b/>
      <w:sz w:val="28"/>
    </w:rPr>
  </w:style>
  <w:style w:type="character" w:customStyle="1" w:styleId="Style1Char">
    <w:name w:val="Style1 Char"/>
    <w:basedOn w:val="DefaultParagraphFont"/>
    <w:link w:val="Style1"/>
    <w:rsid w:val="009A4BD3"/>
    <w:rPr>
      <w:rFonts w:asciiTheme="majorHAnsi" w:hAnsiTheme="majorHAnsi"/>
      <w:b/>
      <w:sz w:val="28"/>
    </w:rPr>
  </w:style>
  <w:style w:type="paragraph" w:styleId="ListParagraph">
    <w:name w:val="List Paragraph"/>
    <w:basedOn w:val="Normal"/>
    <w:uiPriority w:val="34"/>
    <w:qFormat/>
    <w:rsid w:val="00594600"/>
    <w:pPr>
      <w:ind w:left="720"/>
      <w:contextualSpacing/>
    </w:pPr>
  </w:style>
  <w:style w:type="paragraph" w:styleId="FootnoteText">
    <w:name w:val="footnote text"/>
    <w:basedOn w:val="Normal"/>
    <w:link w:val="FootnoteTextChar"/>
    <w:uiPriority w:val="99"/>
    <w:semiHidden/>
    <w:unhideWhenUsed/>
    <w:rsid w:val="003413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3B8"/>
    <w:rPr>
      <w:sz w:val="20"/>
      <w:szCs w:val="20"/>
    </w:rPr>
  </w:style>
  <w:style w:type="character" w:styleId="FootnoteReference">
    <w:name w:val="footnote reference"/>
    <w:basedOn w:val="DefaultParagraphFont"/>
    <w:uiPriority w:val="99"/>
    <w:semiHidden/>
    <w:unhideWhenUsed/>
    <w:rsid w:val="003413B8"/>
    <w:rPr>
      <w:vertAlign w:val="superscript"/>
    </w:rPr>
  </w:style>
  <w:style w:type="paragraph" w:styleId="BalloonText">
    <w:name w:val="Balloon Text"/>
    <w:basedOn w:val="Normal"/>
    <w:link w:val="BalloonTextChar"/>
    <w:uiPriority w:val="99"/>
    <w:semiHidden/>
    <w:unhideWhenUsed/>
    <w:rsid w:val="00754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4A9"/>
    <w:rPr>
      <w:rFonts w:ascii="Segoe UI" w:hAnsi="Segoe UI" w:cs="Segoe UI"/>
      <w:sz w:val="18"/>
      <w:szCs w:val="18"/>
    </w:rPr>
  </w:style>
  <w:style w:type="table" w:customStyle="1" w:styleId="ListTable6Colorful1">
    <w:name w:val="List Table 6 Colorful1"/>
    <w:basedOn w:val="TableNormal"/>
    <w:uiPriority w:val="51"/>
    <w:rsid w:val="006B7B2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3D3024"/>
    <w:pPr>
      <w:spacing w:after="200" w:line="240" w:lineRule="auto"/>
    </w:pPr>
    <w:rPr>
      <w:i/>
      <w:iCs/>
      <w:color w:val="44546A" w:themeColor="text2"/>
      <w:sz w:val="18"/>
      <w:szCs w:val="18"/>
    </w:rPr>
  </w:style>
  <w:style w:type="table" w:styleId="ListTable6Colorful">
    <w:name w:val="List Table 6 Colorful"/>
    <w:basedOn w:val="TableNormal"/>
    <w:uiPriority w:val="51"/>
    <w:rsid w:val="00E7163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A53A8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A53A8E"/>
    <w:rPr>
      <w:color w:val="0563C1" w:themeColor="hyperlink"/>
      <w:u w:val="single"/>
    </w:rPr>
  </w:style>
  <w:style w:type="table" w:customStyle="1" w:styleId="ListTable21">
    <w:name w:val="List Table 21"/>
    <w:basedOn w:val="TableNormal"/>
    <w:next w:val="ListTable2"/>
    <w:uiPriority w:val="47"/>
    <w:rsid w:val="00785393"/>
    <w:pPr>
      <w:spacing w:after="0" w:line="240" w:lineRule="auto"/>
    </w:pPr>
    <w:rPr>
      <w:rFonts w:ascii="Calibri" w:eastAsia="Calibri" w:hAnsi="Calibri" w:cs="Times New Roman"/>
    </w:rPr>
    <w:tblPr>
      <w:tblStyleRowBandSize w:val="1"/>
      <w:tblStyleColBandSize w:val="1"/>
      <w:tblInd w:w="0" w:type="nil"/>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EA2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639"/>
  </w:style>
  <w:style w:type="paragraph" w:styleId="Footer">
    <w:name w:val="footer"/>
    <w:basedOn w:val="Normal"/>
    <w:link w:val="FooterChar"/>
    <w:uiPriority w:val="99"/>
    <w:unhideWhenUsed/>
    <w:rsid w:val="00EA2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639"/>
  </w:style>
  <w:style w:type="character" w:styleId="CommentReference">
    <w:name w:val="annotation reference"/>
    <w:basedOn w:val="DefaultParagraphFont"/>
    <w:uiPriority w:val="99"/>
    <w:semiHidden/>
    <w:unhideWhenUsed/>
    <w:rsid w:val="000A324E"/>
    <w:rPr>
      <w:sz w:val="16"/>
      <w:szCs w:val="16"/>
    </w:rPr>
  </w:style>
  <w:style w:type="paragraph" w:styleId="CommentText">
    <w:name w:val="annotation text"/>
    <w:basedOn w:val="Normal"/>
    <w:link w:val="CommentTextChar"/>
    <w:uiPriority w:val="99"/>
    <w:semiHidden/>
    <w:unhideWhenUsed/>
    <w:rsid w:val="000A324E"/>
    <w:pPr>
      <w:spacing w:line="240" w:lineRule="auto"/>
    </w:pPr>
    <w:rPr>
      <w:sz w:val="20"/>
      <w:szCs w:val="20"/>
    </w:rPr>
  </w:style>
  <w:style w:type="character" w:customStyle="1" w:styleId="CommentTextChar">
    <w:name w:val="Comment Text Char"/>
    <w:basedOn w:val="DefaultParagraphFont"/>
    <w:link w:val="CommentText"/>
    <w:uiPriority w:val="99"/>
    <w:semiHidden/>
    <w:rsid w:val="000A324E"/>
    <w:rPr>
      <w:sz w:val="20"/>
      <w:szCs w:val="20"/>
    </w:rPr>
  </w:style>
  <w:style w:type="paragraph" w:styleId="CommentSubject">
    <w:name w:val="annotation subject"/>
    <w:basedOn w:val="CommentText"/>
    <w:next w:val="CommentText"/>
    <w:link w:val="CommentSubjectChar"/>
    <w:uiPriority w:val="99"/>
    <w:semiHidden/>
    <w:unhideWhenUsed/>
    <w:rsid w:val="000A324E"/>
    <w:rPr>
      <w:b/>
      <w:bCs/>
    </w:rPr>
  </w:style>
  <w:style w:type="character" w:customStyle="1" w:styleId="CommentSubjectChar">
    <w:name w:val="Comment Subject Char"/>
    <w:basedOn w:val="CommentTextChar"/>
    <w:link w:val="CommentSubject"/>
    <w:uiPriority w:val="99"/>
    <w:semiHidden/>
    <w:rsid w:val="000A324E"/>
    <w:rPr>
      <w:b/>
      <w:bCs/>
      <w:sz w:val="20"/>
      <w:szCs w:val="20"/>
    </w:rPr>
  </w:style>
  <w:style w:type="character" w:customStyle="1" w:styleId="UnresolvedMention1">
    <w:name w:val="Unresolved Mention1"/>
    <w:basedOn w:val="DefaultParagraphFont"/>
    <w:uiPriority w:val="99"/>
    <w:semiHidden/>
    <w:unhideWhenUsed/>
    <w:rsid w:val="00427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206109">
      <w:bodyDiv w:val="1"/>
      <w:marLeft w:val="0"/>
      <w:marRight w:val="0"/>
      <w:marTop w:val="0"/>
      <w:marBottom w:val="0"/>
      <w:divBdr>
        <w:top w:val="none" w:sz="0" w:space="0" w:color="auto"/>
        <w:left w:val="none" w:sz="0" w:space="0" w:color="auto"/>
        <w:bottom w:val="none" w:sz="0" w:space="0" w:color="auto"/>
        <w:right w:val="none" w:sz="0" w:space="0" w:color="auto"/>
      </w:divBdr>
    </w:div>
    <w:div w:id="1043403906">
      <w:bodyDiv w:val="1"/>
      <w:marLeft w:val="0"/>
      <w:marRight w:val="0"/>
      <w:marTop w:val="0"/>
      <w:marBottom w:val="0"/>
      <w:divBdr>
        <w:top w:val="none" w:sz="0" w:space="0" w:color="auto"/>
        <w:left w:val="none" w:sz="0" w:space="0" w:color="auto"/>
        <w:bottom w:val="none" w:sz="0" w:space="0" w:color="auto"/>
        <w:right w:val="none" w:sz="0" w:space="0" w:color="auto"/>
      </w:divBdr>
    </w:div>
    <w:div w:id="1560171646">
      <w:bodyDiv w:val="1"/>
      <w:marLeft w:val="0"/>
      <w:marRight w:val="0"/>
      <w:marTop w:val="0"/>
      <w:marBottom w:val="0"/>
      <w:divBdr>
        <w:top w:val="none" w:sz="0" w:space="0" w:color="auto"/>
        <w:left w:val="none" w:sz="0" w:space="0" w:color="auto"/>
        <w:bottom w:val="none" w:sz="0" w:space="0" w:color="auto"/>
        <w:right w:val="none" w:sz="0" w:space="0" w:color="auto"/>
      </w:divBdr>
    </w:div>
    <w:div w:id="179085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mate-data.org" TargetMode="External"/><Relationship Id="rId13" Type="http://schemas.openxmlformats.org/officeDocument/2006/relationships/hyperlink" Target="http://www.x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43263-6F8C-134B-B796-2D5FDF68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51984</Words>
  <Characters>296314</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Deb Raha</cp:lastModifiedBy>
  <cp:revision>2</cp:revision>
  <cp:lastPrinted>2019-10-31T16:27:00Z</cp:lastPrinted>
  <dcterms:created xsi:type="dcterms:W3CDTF">2020-08-17T22:18:00Z</dcterms:created>
  <dcterms:modified xsi:type="dcterms:W3CDTF">2020-08-17T22:18:00Z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e8f9961e-01f6-3070-ba0e-cbae4190db8c</vt:lpwstr>
  </property>
  <property fmtid="{D5CDD505-2E9C-101B-9397-08002B2CF9AE}" pid="24" name="Mendeley Citation Style_1">
    <vt:lpwstr>http://www.zotero.org/styles/ieee</vt:lpwstr>
  </property>
  <property fmtid="{D5CDD505-2E9C-101B-9397-08002B2CF9AE}" pid="25" name="MSIP_Label_b47d098f-2640-4837-b575-e0be04df0525_Enabled">
    <vt:lpwstr>True</vt:lpwstr>
  </property>
  <property fmtid="{D5CDD505-2E9C-101B-9397-08002B2CF9AE}" pid="26" name="MSIP_Label_b47d098f-2640-4837-b575-e0be04df0525_SiteId">
    <vt:lpwstr>98f1bb3a-5efa-4782-88ba-bd897db60e62</vt:lpwstr>
  </property>
  <property fmtid="{D5CDD505-2E9C-101B-9397-08002B2CF9AE}" pid="27" name="MSIP_Label_b47d098f-2640-4837-b575-e0be04df0525_Owner">
    <vt:lpwstr>784579@derby.ac.uk</vt:lpwstr>
  </property>
  <property fmtid="{D5CDD505-2E9C-101B-9397-08002B2CF9AE}" pid="28" name="MSIP_Label_b47d098f-2640-4837-b575-e0be04df0525_SetDate">
    <vt:lpwstr>2019-10-25T14:35:05.3098181Z</vt:lpwstr>
  </property>
  <property fmtid="{D5CDD505-2E9C-101B-9397-08002B2CF9AE}" pid="29" name="MSIP_Label_b47d098f-2640-4837-b575-e0be04df0525_Name">
    <vt:lpwstr>Internal</vt:lpwstr>
  </property>
  <property fmtid="{D5CDD505-2E9C-101B-9397-08002B2CF9AE}" pid="30" name="MSIP_Label_b47d098f-2640-4837-b575-e0be04df0525_Application">
    <vt:lpwstr>Microsoft Azure Information Protection</vt:lpwstr>
  </property>
  <property fmtid="{D5CDD505-2E9C-101B-9397-08002B2CF9AE}" pid="31" name="MSIP_Label_b47d098f-2640-4837-b575-e0be04df0525_Extended_MSFT_Method">
    <vt:lpwstr>Automatic</vt:lpwstr>
  </property>
  <property fmtid="{D5CDD505-2E9C-101B-9397-08002B2CF9AE}" pid="32" name="MSIP_Label_501a0944-9d81-4c75-b857-2ec7863455b7_Enabled">
    <vt:lpwstr>True</vt:lpwstr>
  </property>
  <property fmtid="{D5CDD505-2E9C-101B-9397-08002B2CF9AE}" pid="33" name="MSIP_Label_501a0944-9d81-4c75-b857-2ec7863455b7_SiteId">
    <vt:lpwstr>98f1bb3a-5efa-4782-88ba-bd897db60e62</vt:lpwstr>
  </property>
  <property fmtid="{D5CDD505-2E9C-101B-9397-08002B2CF9AE}" pid="34" name="MSIP_Label_501a0944-9d81-4c75-b857-2ec7863455b7_Owner">
    <vt:lpwstr>784579@derby.ac.uk</vt:lpwstr>
  </property>
  <property fmtid="{D5CDD505-2E9C-101B-9397-08002B2CF9AE}" pid="35" name="MSIP_Label_501a0944-9d81-4c75-b857-2ec7863455b7_SetDate">
    <vt:lpwstr>2019-10-25T14:35:05.3098181Z</vt:lpwstr>
  </property>
  <property fmtid="{D5CDD505-2E9C-101B-9397-08002B2CF9AE}" pid="36" name="MSIP_Label_501a0944-9d81-4c75-b857-2ec7863455b7_Name">
    <vt:lpwstr>Internal with visible marking</vt:lpwstr>
  </property>
  <property fmtid="{D5CDD505-2E9C-101B-9397-08002B2CF9AE}" pid="37" name="MSIP_Label_501a0944-9d81-4c75-b857-2ec7863455b7_Application">
    <vt:lpwstr>Microsoft Azure Information Protection</vt:lpwstr>
  </property>
  <property fmtid="{D5CDD505-2E9C-101B-9397-08002B2CF9AE}" pid="38" name="MSIP_Label_501a0944-9d81-4c75-b857-2ec7863455b7_Parent">
    <vt:lpwstr>b47d098f-2640-4837-b575-e0be04df0525</vt:lpwstr>
  </property>
  <property fmtid="{D5CDD505-2E9C-101B-9397-08002B2CF9AE}" pid="39" name="MSIP_Label_501a0944-9d81-4c75-b857-2ec7863455b7_Extended_MSFT_Method">
    <vt:lpwstr>Automatic</vt:lpwstr>
  </property>
  <property fmtid="{D5CDD505-2E9C-101B-9397-08002B2CF9AE}" pid="40" name="Sensitivity">
    <vt:lpwstr>Internal Internal with visible marking</vt:lpwstr>
  </property>
</Properties>
</file>