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610E2" w14:textId="3FF8314D" w:rsidR="00D413A8" w:rsidRDefault="00DB0919" w:rsidP="00D413A8">
      <w:pPr>
        <w:pStyle w:val="NormalWeb"/>
        <w:shd w:val="clear" w:color="auto" w:fill="FFFFFF" w:themeFill="background1"/>
        <w:tabs>
          <w:tab w:val="left" w:pos="4310"/>
        </w:tabs>
        <w:spacing w:before="0" w:beforeAutospacing="0" w:after="0" w:afterAutospacing="0"/>
        <w:ind w:firstLine="720"/>
        <w:contextualSpacing/>
        <w:jc w:val="center"/>
        <w:rPr>
          <w:b/>
          <w:sz w:val="22"/>
          <w:szCs w:val="22"/>
        </w:rPr>
      </w:pPr>
      <w:r w:rsidRPr="00451BDA">
        <w:rPr>
          <w:b/>
          <w:sz w:val="22"/>
          <w:szCs w:val="22"/>
        </w:rPr>
        <w:t xml:space="preserve">Faculty </w:t>
      </w:r>
      <w:r w:rsidR="00523849" w:rsidRPr="00451BDA">
        <w:rPr>
          <w:b/>
          <w:sz w:val="22"/>
          <w:szCs w:val="22"/>
        </w:rPr>
        <w:t xml:space="preserve">Members’ </w:t>
      </w:r>
      <w:r w:rsidR="000A32EB" w:rsidRPr="00451BDA">
        <w:rPr>
          <w:b/>
          <w:sz w:val="22"/>
          <w:szCs w:val="22"/>
        </w:rPr>
        <w:t xml:space="preserve">Perceptions of </w:t>
      </w:r>
      <w:r w:rsidRPr="00451BDA">
        <w:rPr>
          <w:b/>
          <w:sz w:val="22"/>
          <w:szCs w:val="22"/>
        </w:rPr>
        <w:t>Internationalization of Curriculum: Globalization and Localization</w:t>
      </w:r>
      <w:r w:rsidR="00161DBD" w:rsidRPr="00451BDA">
        <w:rPr>
          <w:b/>
          <w:sz w:val="22"/>
          <w:szCs w:val="22"/>
        </w:rPr>
        <w:t xml:space="preserve">, a </w:t>
      </w:r>
      <w:r w:rsidR="009B4EFE" w:rsidRPr="00451BDA">
        <w:rPr>
          <w:b/>
          <w:sz w:val="22"/>
          <w:szCs w:val="22"/>
        </w:rPr>
        <w:t>C</w:t>
      </w:r>
      <w:r w:rsidR="00161DBD" w:rsidRPr="00451BDA">
        <w:rPr>
          <w:b/>
          <w:sz w:val="22"/>
          <w:szCs w:val="22"/>
        </w:rPr>
        <w:t xml:space="preserve">omparative </w:t>
      </w:r>
      <w:r w:rsidR="009B4EFE" w:rsidRPr="00451BDA">
        <w:rPr>
          <w:b/>
          <w:sz w:val="22"/>
          <w:szCs w:val="22"/>
        </w:rPr>
        <w:t>S</w:t>
      </w:r>
      <w:r w:rsidR="00161DBD" w:rsidRPr="00451BDA">
        <w:rPr>
          <w:b/>
          <w:sz w:val="22"/>
          <w:szCs w:val="22"/>
        </w:rPr>
        <w:t>tudy</w:t>
      </w:r>
    </w:p>
    <w:p w14:paraId="3AA86E29" w14:textId="77777777" w:rsidR="00451BDA" w:rsidRDefault="00451BDA" w:rsidP="00D413A8">
      <w:pPr>
        <w:pStyle w:val="NormalWeb"/>
        <w:shd w:val="clear" w:color="auto" w:fill="FFFFFF" w:themeFill="background1"/>
        <w:tabs>
          <w:tab w:val="left" w:pos="4310"/>
        </w:tabs>
        <w:spacing w:before="0" w:beforeAutospacing="0" w:after="0" w:afterAutospacing="0"/>
        <w:ind w:firstLine="720"/>
        <w:contextualSpacing/>
        <w:jc w:val="center"/>
        <w:rPr>
          <w:b/>
          <w:sz w:val="22"/>
          <w:szCs w:val="22"/>
        </w:rPr>
      </w:pPr>
    </w:p>
    <w:p w14:paraId="724BC7EF" w14:textId="30BC1618" w:rsidR="00451BDA" w:rsidRPr="0037012B" w:rsidRDefault="00451BDA" w:rsidP="00D413A8">
      <w:pPr>
        <w:pStyle w:val="NormalWeb"/>
        <w:shd w:val="clear" w:color="auto" w:fill="FFFFFF" w:themeFill="background1"/>
        <w:tabs>
          <w:tab w:val="left" w:pos="4310"/>
        </w:tabs>
        <w:spacing w:before="0" w:beforeAutospacing="0" w:after="0" w:afterAutospacing="0"/>
        <w:ind w:firstLine="720"/>
        <w:contextualSpacing/>
        <w:jc w:val="center"/>
        <w:rPr>
          <w:bCs/>
          <w:sz w:val="22"/>
          <w:szCs w:val="22"/>
        </w:rPr>
      </w:pPr>
      <w:r w:rsidRPr="0037012B">
        <w:rPr>
          <w:bCs/>
          <w:sz w:val="22"/>
          <w:szCs w:val="22"/>
        </w:rPr>
        <w:t>Gulnaz Zahid and Siobhan Neary</w:t>
      </w:r>
    </w:p>
    <w:p w14:paraId="3C1243A7" w14:textId="2A92AFDA" w:rsidR="00451BDA" w:rsidRPr="0037012B" w:rsidRDefault="0037012B" w:rsidP="00D413A8">
      <w:pPr>
        <w:pStyle w:val="NormalWeb"/>
        <w:shd w:val="clear" w:color="auto" w:fill="FFFFFF" w:themeFill="background1"/>
        <w:tabs>
          <w:tab w:val="left" w:pos="4310"/>
        </w:tabs>
        <w:spacing w:before="0" w:beforeAutospacing="0" w:after="0" w:afterAutospacing="0"/>
        <w:ind w:firstLine="720"/>
        <w:contextualSpacing/>
        <w:jc w:val="center"/>
        <w:rPr>
          <w:bCs/>
          <w:sz w:val="22"/>
          <w:szCs w:val="22"/>
        </w:rPr>
      </w:pPr>
      <w:r w:rsidRPr="0037012B">
        <w:rPr>
          <w:bCs/>
          <w:sz w:val="22"/>
          <w:szCs w:val="22"/>
        </w:rPr>
        <w:t>Department of Behavioral Sciences, School of Social Sciences and Humanities, National University of Sciences and Technology, Islamabad. Pakistan</w:t>
      </w:r>
    </w:p>
    <w:p w14:paraId="76C42ADB" w14:textId="2E918BF8" w:rsidR="0037012B" w:rsidRPr="0037012B" w:rsidRDefault="0037012B" w:rsidP="0037012B">
      <w:pPr>
        <w:pStyle w:val="NormalWeb"/>
        <w:shd w:val="clear" w:color="auto" w:fill="FFFFFF" w:themeFill="background1"/>
        <w:tabs>
          <w:tab w:val="left" w:pos="4310"/>
        </w:tabs>
        <w:spacing w:before="0" w:beforeAutospacing="0" w:after="0" w:afterAutospacing="0"/>
        <w:ind w:firstLine="720"/>
        <w:contextualSpacing/>
        <w:jc w:val="center"/>
        <w:rPr>
          <w:bCs/>
          <w:sz w:val="22"/>
          <w:szCs w:val="22"/>
        </w:rPr>
      </w:pPr>
      <w:r w:rsidRPr="0037012B">
        <w:rPr>
          <w:bCs/>
          <w:sz w:val="22"/>
          <w:szCs w:val="22"/>
        </w:rPr>
        <w:t>gulnaz.zahid@s3h.nust.edu.pk</w:t>
      </w:r>
    </w:p>
    <w:p w14:paraId="08C8EE4D" w14:textId="62F172C2" w:rsidR="0037012B" w:rsidRPr="0037012B" w:rsidRDefault="0037012B" w:rsidP="00D413A8">
      <w:pPr>
        <w:pStyle w:val="NormalWeb"/>
        <w:shd w:val="clear" w:color="auto" w:fill="FFFFFF" w:themeFill="background1"/>
        <w:tabs>
          <w:tab w:val="left" w:pos="4310"/>
        </w:tabs>
        <w:spacing w:before="0" w:beforeAutospacing="0" w:after="0" w:afterAutospacing="0"/>
        <w:ind w:firstLine="720"/>
        <w:contextualSpacing/>
        <w:jc w:val="center"/>
        <w:rPr>
          <w:bCs/>
          <w:sz w:val="22"/>
          <w:szCs w:val="22"/>
        </w:rPr>
      </w:pPr>
      <w:r w:rsidRPr="0037012B">
        <w:rPr>
          <w:bCs/>
          <w:sz w:val="22"/>
          <w:szCs w:val="22"/>
        </w:rPr>
        <w:t>and</w:t>
      </w:r>
    </w:p>
    <w:p w14:paraId="0224ABF1" w14:textId="482319EA" w:rsidR="0037012B" w:rsidRPr="0037012B" w:rsidRDefault="0037012B" w:rsidP="00D413A8">
      <w:pPr>
        <w:pStyle w:val="NormalWeb"/>
        <w:shd w:val="clear" w:color="auto" w:fill="FFFFFF" w:themeFill="background1"/>
        <w:tabs>
          <w:tab w:val="left" w:pos="4310"/>
        </w:tabs>
        <w:spacing w:before="0" w:beforeAutospacing="0" w:after="0" w:afterAutospacing="0"/>
        <w:ind w:firstLine="720"/>
        <w:contextualSpacing/>
        <w:jc w:val="center"/>
        <w:rPr>
          <w:bCs/>
          <w:sz w:val="22"/>
          <w:szCs w:val="22"/>
        </w:rPr>
      </w:pPr>
      <w:r w:rsidRPr="0037012B">
        <w:rPr>
          <w:bCs/>
          <w:sz w:val="22"/>
          <w:szCs w:val="22"/>
        </w:rPr>
        <w:t xml:space="preserve">International Centre for Guidance Studies, </w:t>
      </w:r>
      <w:proofErr w:type="spellStart"/>
      <w:r w:rsidRPr="0037012B">
        <w:rPr>
          <w:bCs/>
          <w:sz w:val="22"/>
          <w:szCs w:val="22"/>
        </w:rPr>
        <w:t>iCeGs</w:t>
      </w:r>
      <w:proofErr w:type="spellEnd"/>
      <w:r w:rsidRPr="0037012B">
        <w:rPr>
          <w:bCs/>
          <w:sz w:val="22"/>
          <w:szCs w:val="22"/>
        </w:rPr>
        <w:t>, University of Derby, UK</w:t>
      </w:r>
    </w:p>
    <w:p w14:paraId="222E76F0" w14:textId="64C7FAFC" w:rsidR="0037012B" w:rsidRPr="0037012B" w:rsidRDefault="0037012B" w:rsidP="00D413A8">
      <w:pPr>
        <w:pStyle w:val="NormalWeb"/>
        <w:shd w:val="clear" w:color="auto" w:fill="FFFFFF" w:themeFill="background1"/>
        <w:tabs>
          <w:tab w:val="left" w:pos="4310"/>
        </w:tabs>
        <w:spacing w:before="0" w:beforeAutospacing="0" w:after="0" w:afterAutospacing="0"/>
        <w:ind w:firstLine="720"/>
        <w:contextualSpacing/>
        <w:jc w:val="center"/>
        <w:rPr>
          <w:bCs/>
          <w:sz w:val="22"/>
          <w:szCs w:val="22"/>
        </w:rPr>
      </w:pPr>
      <w:r w:rsidRPr="0037012B">
        <w:rPr>
          <w:bCs/>
          <w:sz w:val="22"/>
          <w:szCs w:val="22"/>
        </w:rPr>
        <w:t>s.neary@derby.ac.uk</w:t>
      </w:r>
    </w:p>
    <w:p w14:paraId="78B2659F" w14:textId="77777777" w:rsidR="00D413A8" w:rsidRPr="00451BDA" w:rsidRDefault="00D413A8" w:rsidP="00D413A8">
      <w:pPr>
        <w:pStyle w:val="NormalWeb"/>
        <w:shd w:val="clear" w:color="auto" w:fill="FFFFFF" w:themeFill="background1"/>
        <w:tabs>
          <w:tab w:val="left" w:pos="4310"/>
        </w:tabs>
        <w:spacing w:before="0" w:beforeAutospacing="0" w:after="0" w:afterAutospacing="0"/>
        <w:ind w:firstLine="720"/>
        <w:contextualSpacing/>
        <w:rPr>
          <w:bCs/>
          <w:sz w:val="22"/>
          <w:szCs w:val="22"/>
        </w:rPr>
      </w:pPr>
    </w:p>
    <w:p w14:paraId="346DA34E" w14:textId="49FD22A4" w:rsidR="004B24A3" w:rsidRPr="00451BDA" w:rsidRDefault="00000000" w:rsidP="008F2197">
      <w:pPr>
        <w:pStyle w:val="NormalWeb"/>
        <w:shd w:val="clear" w:color="auto" w:fill="FFFFFF" w:themeFill="background1"/>
        <w:spacing w:before="0" w:beforeAutospacing="0" w:after="0" w:afterAutospacing="0"/>
        <w:contextualSpacing/>
        <w:rPr>
          <w:b/>
          <w:sz w:val="22"/>
          <w:szCs w:val="22"/>
        </w:rPr>
      </w:pPr>
      <w:r w:rsidRPr="00451BDA">
        <w:rPr>
          <w:b/>
          <w:sz w:val="22"/>
          <w:szCs w:val="22"/>
        </w:rPr>
        <w:t>Abstract</w:t>
      </w:r>
    </w:p>
    <w:p w14:paraId="0F26DCA0" w14:textId="3F098B34" w:rsidR="00823C6B" w:rsidRPr="00451BDA" w:rsidRDefault="00000000" w:rsidP="008F2197">
      <w:pPr>
        <w:pStyle w:val="NormalWeb"/>
        <w:shd w:val="clear" w:color="auto" w:fill="FFFFFF" w:themeFill="background1"/>
        <w:spacing w:before="0" w:beforeAutospacing="0" w:after="0" w:afterAutospacing="0"/>
        <w:contextualSpacing/>
        <w:rPr>
          <w:b/>
          <w:sz w:val="22"/>
          <w:szCs w:val="22"/>
        </w:rPr>
      </w:pPr>
      <w:r w:rsidRPr="00451BDA">
        <w:rPr>
          <w:b/>
          <w:sz w:val="22"/>
          <w:szCs w:val="22"/>
        </w:rPr>
        <w:t>Purpose</w:t>
      </w:r>
    </w:p>
    <w:p w14:paraId="0DEDEBC9" w14:textId="18DCFEB1" w:rsidR="00823C6B" w:rsidRPr="00451BDA" w:rsidRDefault="00000000" w:rsidP="0082147A">
      <w:pPr>
        <w:spacing w:line="240" w:lineRule="auto"/>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This study </w:t>
      </w:r>
      <w:r w:rsidR="0022641C" w:rsidRPr="00451BDA">
        <w:rPr>
          <w:rFonts w:ascii="Times New Roman" w:eastAsia="Times New Roman" w:hAnsi="Times New Roman" w:cs="Times New Roman"/>
          <w:bCs/>
        </w:rPr>
        <w:t>explores FM</w:t>
      </w:r>
      <w:r w:rsidR="00523849" w:rsidRPr="00451BDA">
        <w:rPr>
          <w:rFonts w:ascii="Times New Roman" w:eastAsia="Times New Roman" w:hAnsi="Times New Roman" w:cs="Times New Roman"/>
          <w:bCs/>
        </w:rPr>
        <w:t xml:space="preserve"> members’ (FM)</w:t>
      </w:r>
      <w:r w:rsidR="000A32EB" w:rsidRPr="00451BDA">
        <w:rPr>
          <w:rFonts w:ascii="Times New Roman" w:eastAsia="Times New Roman" w:hAnsi="Times New Roman" w:cs="Times New Roman"/>
          <w:bCs/>
        </w:rPr>
        <w:t xml:space="preserve"> perceptions</w:t>
      </w:r>
      <w:r w:rsidRPr="00451BDA">
        <w:rPr>
          <w:rFonts w:ascii="Times New Roman" w:eastAsia="Times New Roman" w:hAnsi="Times New Roman" w:cs="Times New Roman"/>
          <w:bCs/>
        </w:rPr>
        <w:t xml:space="preserve"> </w:t>
      </w:r>
      <w:r w:rsidR="000A32EB" w:rsidRPr="00451BDA">
        <w:rPr>
          <w:rFonts w:ascii="Times New Roman" w:eastAsia="Times New Roman" w:hAnsi="Times New Roman" w:cs="Times New Roman"/>
          <w:bCs/>
        </w:rPr>
        <w:t xml:space="preserve">of </w:t>
      </w:r>
      <w:r w:rsidRPr="00451BDA">
        <w:rPr>
          <w:rFonts w:ascii="Times New Roman" w:eastAsia="Times New Roman" w:hAnsi="Times New Roman" w:cs="Times New Roman"/>
          <w:bCs/>
        </w:rPr>
        <w:t xml:space="preserve">the internationalization of curriculum (IoC) at the undergraduate level through the collection of data from two countries: Pakistan and the UK. The similarities and differences in internationalization strategies were explored. </w:t>
      </w:r>
      <w:r w:rsidR="009749F5" w:rsidRPr="00451BDA">
        <w:rPr>
          <w:rFonts w:ascii="Times New Roman" w:eastAsia="Times New Roman" w:hAnsi="Times New Roman" w:cs="Times New Roman"/>
          <w:bCs/>
        </w:rPr>
        <w:t>Historical and existing educational ties between the two contexts and a</w:t>
      </w:r>
      <w:r w:rsidRPr="00451BDA">
        <w:rPr>
          <w:rFonts w:ascii="Times New Roman" w:eastAsia="Times New Roman" w:hAnsi="Times New Roman" w:cs="Times New Roman"/>
          <w:bCs/>
        </w:rPr>
        <w:t xml:space="preserve">n equally emerging focus on internationalization at home provided a major cornerstone </w:t>
      </w:r>
      <w:r w:rsidR="009749F5" w:rsidRPr="00451BDA">
        <w:rPr>
          <w:rFonts w:ascii="Times New Roman" w:eastAsia="Times New Roman" w:hAnsi="Times New Roman" w:cs="Times New Roman"/>
          <w:bCs/>
        </w:rPr>
        <w:t>for</w:t>
      </w:r>
      <w:r w:rsidRPr="00451BDA">
        <w:rPr>
          <w:rFonts w:ascii="Times New Roman" w:eastAsia="Times New Roman" w:hAnsi="Times New Roman" w:cs="Times New Roman"/>
          <w:bCs/>
        </w:rPr>
        <w:t xml:space="preserve"> this study.</w:t>
      </w:r>
    </w:p>
    <w:p w14:paraId="4157591A" w14:textId="5459B737" w:rsidR="00823C6B" w:rsidRPr="00451BDA" w:rsidRDefault="00000000" w:rsidP="0082147A">
      <w:pPr>
        <w:spacing w:line="240" w:lineRule="auto"/>
        <w:contextualSpacing/>
        <w:rPr>
          <w:rFonts w:ascii="Times New Roman" w:eastAsia="Times New Roman" w:hAnsi="Times New Roman" w:cs="Times New Roman"/>
          <w:b/>
        </w:rPr>
      </w:pPr>
      <w:r w:rsidRPr="00451BDA">
        <w:rPr>
          <w:rFonts w:ascii="Times New Roman" w:eastAsia="Times New Roman" w:hAnsi="Times New Roman" w:cs="Times New Roman"/>
          <w:b/>
        </w:rPr>
        <w:t>Design/Approach/method</w:t>
      </w:r>
    </w:p>
    <w:p w14:paraId="13E5074A" w14:textId="1155AE23" w:rsidR="00823C6B" w:rsidRPr="00451BDA" w:rsidRDefault="00000000" w:rsidP="0082147A">
      <w:pPr>
        <w:spacing w:line="240" w:lineRule="auto"/>
        <w:contextualSpacing/>
        <w:rPr>
          <w:rFonts w:ascii="Times New Roman" w:eastAsia="Times New Roman" w:hAnsi="Times New Roman" w:cs="Times New Roman"/>
          <w:bCs/>
        </w:rPr>
      </w:pPr>
      <w:r w:rsidRPr="00451BDA">
        <w:rPr>
          <w:rFonts w:ascii="Times New Roman" w:eastAsia="Times New Roman" w:hAnsi="Times New Roman" w:cs="Times New Roman"/>
          <w:bCs/>
        </w:rPr>
        <w:t>Quantitative data w</w:t>
      </w:r>
      <w:r w:rsidR="00ED6216" w:rsidRPr="00451BDA">
        <w:rPr>
          <w:rFonts w:ascii="Times New Roman" w:eastAsia="Times New Roman" w:hAnsi="Times New Roman" w:cs="Times New Roman"/>
          <w:bCs/>
        </w:rPr>
        <w:t>ere</w:t>
      </w:r>
      <w:r w:rsidRPr="00451BDA">
        <w:rPr>
          <w:rFonts w:ascii="Times New Roman" w:eastAsia="Times New Roman" w:hAnsi="Times New Roman" w:cs="Times New Roman"/>
          <w:bCs/>
        </w:rPr>
        <w:t xml:space="preserve"> collected from two universities using a cross-sectional and comparative research design by </w:t>
      </w:r>
      <w:r w:rsidR="007312C6" w:rsidRPr="00451BDA">
        <w:rPr>
          <w:rFonts w:ascii="Times New Roman" w:eastAsia="Times New Roman" w:hAnsi="Times New Roman" w:cs="Times New Roman"/>
          <w:bCs/>
        </w:rPr>
        <w:t>employing</w:t>
      </w:r>
      <w:r w:rsidRPr="00451BDA">
        <w:rPr>
          <w:rFonts w:ascii="Times New Roman" w:eastAsia="Times New Roman" w:hAnsi="Times New Roman" w:cs="Times New Roman"/>
          <w:bCs/>
        </w:rPr>
        <w:t xml:space="preserve"> a reliable and valid scale with three subscales: curriculum embedded in labor market information, curriculum embedded in employability skills, and curriculum embedded in global citizenship. A comparison between the </w:t>
      </w:r>
      <w:r w:rsidR="009749F5" w:rsidRPr="00451BDA">
        <w:rPr>
          <w:rFonts w:ascii="Times New Roman" w:eastAsia="Times New Roman" w:hAnsi="Times New Roman" w:cs="Times New Roman"/>
          <w:bCs/>
        </w:rPr>
        <w:t>perceptions</w:t>
      </w:r>
      <w:r w:rsidRPr="00451BDA">
        <w:rPr>
          <w:rFonts w:ascii="Times New Roman" w:eastAsia="Times New Roman" w:hAnsi="Times New Roman" w:cs="Times New Roman"/>
          <w:bCs/>
        </w:rPr>
        <w:t xml:space="preserve"> of the</w:t>
      </w:r>
      <w:r w:rsidR="007312C6" w:rsidRPr="00451BDA">
        <w:rPr>
          <w:rFonts w:ascii="Times New Roman" w:eastAsia="Times New Roman" w:hAnsi="Times New Roman" w:cs="Times New Roman"/>
          <w:bCs/>
        </w:rPr>
        <w:t>se</w:t>
      </w:r>
      <w:r w:rsidRPr="00451BDA">
        <w:rPr>
          <w:rFonts w:ascii="Times New Roman" w:eastAsia="Times New Roman" w:hAnsi="Times New Roman" w:cs="Times New Roman"/>
          <w:bCs/>
        </w:rPr>
        <w:t xml:space="preserve"> two universities, </w:t>
      </w:r>
      <w:r w:rsidR="00523849" w:rsidRPr="00451BDA">
        <w:rPr>
          <w:rFonts w:ascii="Times New Roman" w:eastAsia="Times New Roman" w:hAnsi="Times New Roman" w:cs="Times New Roman"/>
          <w:bCs/>
        </w:rPr>
        <w:t xml:space="preserve">by taking perceptions of FM </w:t>
      </w:r>
      <w:r w:rsidRPr="00451BDA">
        <w:rPr>
          <w:rFonts w:ascii="Times New Roman" w:eastAsia="Times New Roman" w:hAnsi="Times New Roman" w:cs="Times New Roman"/>
          <w:bCs/>
        </w:rPr>
        <w:t>across the</w:t>
      </w:r>
      <w:r w:rsidR="007312C6" w:rsidRPr="00451BDA">
        <w:rPr>
          <w:rFonts w:ascii="Times New Roman" w:eastAsia="Times New Roman" w:hAnsi="Times New Roman" w:cs="Times New Roman"/>
          <w:bCs/>
        </w:rPr>
        <w:t>ir</w:t>
      </w:r>
      <w:r w:rsidRPr="00451BDA">
        <w:rPr>
          <w:rFonts w:ascii="Times New Roman" w:eastAsia="Times New Roman" w:hAnsi="Times New Roman" w:cs="Times New Roman"/>
          <w:bCs/>
        </w:rPr>
        <w:t xml:space="preserve"> disciplines</w:t>
      </w:r>
      <w:r w:rsidR="00F530CA" w:rsidRPr="00451BDA">
        <w:rPr>
          <w:rFonts w:ascii="Times New Roman" w:eastAsia="Times New Roman" w:hAnsi="Times New Roman" w:cs="Times New Roman"/>
          <w:bCs/>
        </w:rPr>
        <w:t>,</w:t>
      </w:r>
      <w:r w:rsidRPr="00451BDA">
        <w:rPr>
          <w:rFonts w:ascii="Times New Roman" w:eastAsia="Times New Roman" w:hAnsi="Times New Roman" w:cs="Times New Roman"/>
          <w:bCs/>
        </w:rPr>
        <w:t xml:space="preserve"> and experienced and less experienced </w:t>
      </w:r>
      <w:r w:rsidR="00523849" w:rsidRPr="00451BDA">
        <w:rPr>
          <w:rFonts w:ascii="Times New Roman" w:eastAsia="Times New Roman" w:hAnsi="Times New Roman" w:cs="Times New Roman"/>
          <w:bCs/>
        </w:rPr>
        <w:t>FM</w:t>
      </w:r>
      <w:r w:rsidRPr="00451BDA">
        <w:rPr>
          <w:rFonts w:ascii="Times New Roman" w:eastAsia="Times New Roman" w:hAnsi="Times New Roman" w:cs="Times New Roman"/>
          <w:bCs/>
        </w:rPr>
        <w:t xml:space="preserve"> was made.</w:t>
      </w:r>
    </w:p>
    <w:p w14:paraId="6B5EDD92" w14:textId="54AF5BF1" w:rsidR="00823C6B" w:rsidRPr="00451BDA" w:rsidRDefault="00000000" w:rsidP="0082147A">
      <w:pPr>
        <w:spacing w:line="240" w:lineRule="auto"/>
        <w:contextualSpacing/>
        <w:rPr>
          <w:rFonts w:ascii="Times New Roman" w:eastAsia="Times New Roman" w:hAnsi="Times New Roman" w:cs="Times New Roman"/>
          <w:b/>
        </w:rPr>
      </w:pPr>
      <w:r w:rsidRPr="00451BDA">
        <w:rPr>
          <w:rFonts w:ascii="Times New Roman" w:eastAsia="Times New Roman" w:hAnsi="Times New Roman" w:cs="Times New Roman"/>
          <w:b/>
        </w:rPr>
        <w:t>Findings</w:t>
      </w:r>
    </w:p>
    <w:p w14:paraId="1C69999A" w14:textId="79292FA0" w:rsidR="00823C6B" w:rsidRPr="00451BDA" w:rsidRDefault="00000000" w:rsidP="0082147A">
      <w:pPr>
        <w:spacing w:line="240" w:lineRule="auto"/>
        <w:contextualSpacing/>
        <w:rPr>
          <w:rFonts w:ascii="Times New Roman" w:eastAsia="Times New Roman" w:hAnsi="Times New Roman" w:cs="Times New Roman"/>
          <w:bCs/>
        </w:rPr>
      </w:pPr>
      <w:r w:rsidRPr="00451BDA">
        <w:rPr>
          <w:rFonts w:ascii="Times New Roman" w:eastAsia="Times New Roman" w:hAnsi="Times New Roman" w:cs="Times New Roman"/>
          <w:bCs/>
        </w:rPr>
        <w:t>The findings indicate a global influence on the local context for internationalizat</w:t>
      </w:r>
      <w:r w:rsidR="009749F5" w:rsidRPr="00451BDA">
        <w:rPr>
          <w:rFonts w:ascii="Times New Roman" w:eastAsia="Times New Roman" w:hAnsi="Times New Roman" w:cs="Times New Roman"/>
          <w:bCs/>
        </w:rPr>
        <w:t xml:space="preserve">ion at home </w:t>
      </w:r>
      <w:r w:rsidRPr="00451BDA">
        <w:rPr>
          <w:rFonts w:ascii="Times New Roman" w:eastAsia="Times New Roman" w:hAnsi="Times New Roman" w:cs="Times New Roman"/>
          <w:bCs/>
        </w:rPr>
        <w:t xml:space="preserve">and the importance of experienced </w:t>
      </w:r>
      <w:r w:rsidR="00523849" w:rsidRPr="00451BDA">
        <w:rPr>
          <w:rFonts w:ascii="Times New Roman" w:eastAsia="Times New Roman" w:hAnsi="Times New Roman" w:cs="Times New Roman"/>
          <w:bCs/>
        </w:rPr>
        <w:t>FM</w:t>
      </w:r>
      <w:r w:rsidRPr="00451BDA">
        <w:rPr>
          <w:rFonts w:ascii="Times New Roman" w:eastAsia="Times New Roman" w:hAnsi="Times New Roman" w:cs="Times New Roman"/>
          <w:bCs/>
        </w:rPr>
        <w:t xml:space="preserve"> members. </w:t>
      </w:r>
      <w:r w:rsidR="007312C6" w:rsidRPr="00451BDA">
        <w:rPr>
          <w:rFonts w:ascii="Times New Roman" w:eastAsia="Times New Roman" w:hAnsi="Times New Roman" w:cs="Times New Roman"/>
          <w:bCs/>
        </w:rPr>
        <w:t xml:space="preserve">Various disciplines in these universities are congruent with respect to these three subscales, except for one, </w:t>
      </w:r>
      <w:r w:rsidRPr="00451BDA">
        <w:rPr>
          <w:rFonts w:ascii="Times New Roman" w:eastAsia="Times New Roman" w:hAnsi="Times New Roman" w:cs="Times New Roman"/>
          <w:bCs/>
        </w:rPr>
        <w:t>the curriculum embedded in global citizenshi</w:t>
      </w:r>
      <w:r w:rsidR="00B51699" w:rsidRPr="00451BDA">
        <w:rPr>
          <w:rFonts w:ascii="Times New Roman" w:eastAsia="Times New Roman" w:hAnsi="Times New Roman" w:cs="Times New Roman"/>
          <w:bCs/>
        </w:rPr>
        <w:t xml:space="preserve">p for engineering and design. </w:t>
      </w:r>
      <w:r w:rsidRPr="00451BDA">
        <w:rPr>
          <w:rFonts w:ascii="Times New Roman" w:eastAsia="Times New Roman" w:hAnsi="Times New Roman" w:cs="Times New Roman"/>
          <w:bCs/>
        </w:rPr>
        <w:t xml:space="preserve">The </w:t>
      </w:r>
      <w:r w:rsidR="00B51699" w:rsidRPr="00451BDA">
        <w:rPr>
          <w:rFonts w:ascii="Times New Roman" w:eastAsia="Times New Roman" w:hAnsi="Times New Roman" w:cs="Times New Roman"/>
          <w:bCs/>
        </w:rPr>
        <w:t xml:space="preserve">findings reveal </w:t>
      </w:r>
      <w:r w:rsidR="0022641C" w:rsidRPr="00451BDA">
        <w:rPr>
          <w:rFonts w:ascii="Times New Roman" w:eastAsia="Times New Roman" w:hAnsi="Times New Roman" w:cs="Times New Roman"/>
          <w:bCs/>
        </w:rPr>
        <w:t>the global</w:t>
      </w:r>
      <w:r w:rsidR="00B51699" w:rsidRPr="00451BDA">
        <w:rPr>
          <w:rFonts w:ascii="Times New Roman" w:eastAsia="Times New Roman" w:hAnsi="Times New Roman" w:cs="Times New Roman"/>
          <w:bCs/>
        </w:rPr>
        <w:t xml:space="preserve"> influences on the local contexts in </w:t>
      </w:r>
      <w:r w:rsidRPr="00451BDA">
        <w:rPr>
          <w:rFonts w:ascii="Times New Roman" w:eastAsia="Times New Roman" w:hAnsi="Times New Roman" w:cs="Times New Roman"/>
          <w:bCs/>
        </w:rPr>
        <w:t xml:space="preserve">the internationalizing curriculum and </w:t>
      </w:r>
      <w:r w:rsidR="00F530CA" w:rsidRPr="00451BDA">
        <w:rPr>
          <w:rFonts w:ascii="Times New Roman" w:eastAsia="Times New Roman" w:hAnsi="Times New Roman" w:cs="Times New Roman"/>
          <w:bCs/>
        </w:rPr>
        <w:t xml:space="preserve">the </w:t>
      </w:r>
      <w:r w:rsidR="00B51699" w:rsidRPr="00451BDA">
        <w:rPr>
          <w:rFonts w:ascii="Times New Roman" w:eastAsia="Times New Roman" w:hAnsi="Times New Roman" w:cs="Times New Roman"/>
          <w:bCs/>
        </w:rPr>
        <w:t xml:space="preserve">relevance of experienced </w:t>
      </w:r>
      <w:r w:rsidR="00523849" w:rsidRPr="00451BDA">
        <w:rPr>
          <w:rFonts w:ascii="Times New Roman" w:eastAsia="Times New Roman" w:hAnsi="Times New Roman" w:cs="Times New Roman"/>
          <w:bCs/>
        </w:rPr>
        <w:t>FM</w:t>
      </w:r>
      <w:r w:rsidR="00B51699" w:rsidRPr="00451BDA">
        <w:rPr>
          <w:rFonts w:ascii="Times New Roman" w:eastAsia="Times New Roman" w:hAnsi="Times New Roman" w:cs="Times New Roman"/>
          <w:bCs/>
        </w:rPr>
        <w:t xml:space="preserve"> in terms of curriculum and labor market experiences</w:t>
      </w:r>
      <w:r w:rsidRPr="00451BDA">
        <w:rPr>
          <w:rFonts w:ascii="Times New Roman" w:eastAsia="Times New Roman" w:hAnsi="Times New Roman" w:cs="Times New Roman"/>
          <w:bCs/>
        </w:rPr>
        <w:t xml:space="preserve"> rather than years of service</w:t>
      </w:r>
      <w:r w:rsidR="00B51699" w:rsidRPr="00451BDA">
        <w:rPr>
          <w:rFonts w:ascii="Times New Roman" w:eastAsia="Times New Roman" w:hAnsi="Times New Roman" w:cs="Times New Roman"/>
          <w:bCs/>
        </w:rPr>
        <w:t>.</w:t>
      </w:r>
      <w:r w:rsidR="00FC1538" w:rsidRPr="00451BDA">
        <w:rPr>
          <w:rFonts w:ascii="Times New Roman" w:eastAsia="Times New Roman" w:hAnsi="Times New Roman" w:cs="Times New Roman"/>
          <w:bCs/>
        </w:rPr>
        <w:t xml:space="preserve"> </w:t>
      </w:r>
    </w:p>
    <w:p w14:paraId="5F72351A" w14:textId="71419A28" w:rsidR="00823C6B" w:rsidRPr="00451BDA" w:rsidRDefault="00000000" w:rsidP="0082147A">
      <w:pPr>
        <w:spacing w:line="240" w:lineRule="auto"/>
        <w:contextualSpacing/>
        <w:rPr>
          <w:rFonts w:ascii="Times New Roman" w:eastAsia="Times New Roman" w:hAnsi="Times New Roman" w:cs="Times New Roman"/>
          <w:b/>
        </w:rPr>
      </w:pPr>
      <w:r w:rsidRPr="00451BDA">
        <w:rPr>
          <w:rFonts w:ascii="Times New Roman" w:eastAsia="Times New Roman" w:hAnsi="Times New Roman" w:cs="Times New Roman"/>
          <w:b/>
        </w:rPr>
        <w:t>Limitations</w:t>
      </w:r>
    </w:p>
    <w:p w14:paraId="7CC3EFFB" w14:textId="23B3FF36" w:rsidR="00823C6B" w:rsidRPr="00451BDA" w:rsidRDefault="00000000" w:rsidP="0082147A">
      <w:pPr>
        <w:spacing w:line="240" w:lineRule="auto"/>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The findings </w:t>
      </w:r>
      <w:r w:rsidR="004547C0" w:rsidRPr="00451BDA">
        <w:rPr>
          <w:rFonts w:ascii="Times New Roman" w:eastAsia="Times New Roman" w:hAnsi="Times New Roman" w:cs="Times New Roman"/>
          <w:bCs/>
        </w:rPr>
        <w:t>examine</w:t>
      </w:r>
      <w:r w:rsidRPr="00451BDA">
        <w:rPr>
          <w:rFonts w:ascii="Times New Roman" w:eastAsia="Times New Roman" w:hAnsi="Times New Roman" w:cs="Times New Roman"/>
          <w:bCs/>
        </w:rPr>
        <w:t xml:space="preserve"> the importance of internationalization at home in </w:t>
      </w:r>
      <w:r w:rsidR="00E4568D" w:rsidRPr="00451BDA">
        <w:rPr>
          <w:rFonts w:ascii="Times New Roman" w:eastAsia="Times New Roman" w:hAnsi="Times New Roman" w:cs="Times New Roman"/>
          <w:bCs/>
        </w:rPr>
        <w:t>both</w:t>
      </w:r>
      <w:r w:rsidRPr="00451BDA">
        <w:rPr>
          <w:rFonts w:ascii="Times New Roman" w:eastAsia="Times New Roman" w:hAnsi="Times New Roman" w:cs="Times New Roman"/>
          <w:bCs/>
        </w:rPr>
        <w:t xml:space="preserve"> contexts.</w:t>
      </w:r>
      <w:r w:rsidR="00F530CA" w:rsidRPr="00451BDA">
        <w:rPr>
          <w:rFonts w:ascii="Times New Roman" w:eastAsia="Times New Roman" w:hAnsi="Times New Roman" w:cs="Times New Roman"/>
          <w:bCs/>
        </w:rPr>
        <w:t xml:space="preserve"> Since the study was quantitative in nature, </w:t>
      </w:r>
      <w:r w:rsidRPr="00451BDA">
        <w:rPr>
          <w:rFonts w:ascii="Times New Roman" w:eastAsia="Times New Roman" w:hAnsi="Times New Roman" w:cs="Times New Roman"/>
          <w:bCs/>
        </w:rPr>
        <w:t xml:space="preserve">an in-depth understanding of </w:t>
      </w:r>
      <w:r w:rsidR="00523849" w:rsidRPr="00451BDA">
        <w:rPr>
          <w:rFonts w:ascii="Times New Roman" w:eastAsia="Times New Roman" w:hAnsi="Times New Roman" w:cs="Times New Roman"/>
          <w:bCs/>
        </w:rPr>
        <w:t>FM</w:t>
      </w:r>
      <w:r w:rsidR="00F530CA" w:rsidRPr="00451BDA">
        <w:rPr>
          <w:rFonts w:ascii="Times New Roman" w:eastAsia="Times New Roman" w:hAnsi="Times New Roman" w:cs="Times New Roman"/>
          <w:bCs/>
        </w:rPr>
        <w:t xml:space="preserve"> experiences could not be obtained.</w:t>
      </w:r>
    </w:p>
    <w:p w14:paraId="34E5D17D" w14:textId="20EE0124" w:rsidR="00823C6B" w:rsidRPr="00451BDA" w:rsidRDefault="00000000" w:rsidP="0082147A">
      <w:pPr>
        <w:spacing w:line="240" w:lineRule="auto"/>
        <w:contextualSpacing/>
        <w:rPr>
          <w:rFonts w:ascii="Times New Roman" w:eastAsia="Times New Roman" w:hAnsi="Times New Roman" w:cs="Times New Roman"/>
          <w:b/>
        </w:rPr>
      </w:pPr>
      <w:r w:rsidRPr="00451BDA">
        <w:rPr>
          <w:rFonts w:ascii="Times New Roman" w:eastAsia="Times New Roman" w:hAnsi="Times New Roman" w:cs="Times New Roman"/>
          <w:b/>
        </w:rPr>
        <w:t>Practical Implications</w:t>
      </w:r>
    </w:p>
    <w:p w14:paraId="2E0BA74F" w14:textId="28DEE2EB" w:rsidR="0082147A" w:rsidRPr="00451BDA" w:rsidRDefault="00000000" w:rsidP="0082147A">
      <w:pPr>
        <w:spacing w:line="240" w:lineRule="auto"/>
        <w:contextualSpacing/>
        <w:rPr>
          <w:rFonts w:ascii="Times New Roman" w:eastAsia="Times New Roman" w:hAnsi="Times New Roman" w:cs="Times New Roman"/>
          <w:bCs/>
        </w:rPr>
      </w:pPr>
      <w:r w:rsidRPr="00451BDA">
        <w:rPr>
          <w:rFonts w:ascii="Times New Roman" w:eastAsia="Times New Roman" w:hAnsi="Times New Roman" w:cs="Times New Roman"/>
          <w:bCs/>
        </w:rPr>
        <w:t>Globalization and intercultural ties have led to internationalization at home,</w:t>
      </w:r>
      <w:r w:rsidR="005618E8" w:rsidRPr="00451BDA">
        <w:rPr>
          <w:rFonts w:ascii="Times New Roman" w:eastAsia="Times New Roman" w:hAnsi="Times New Roman" w:cs="Times New Roman"/>
          <w:bCs/>
        </w:rPr>
        <w:t xml:space="preserve"> as intercultural ties and connections seem to contribute to IoC. Context</w:t>
      </w:r>
      <w:r w:rsidRPr="00451BDA">
        <w:rPr>
          <w:rFonts w:ascii="Times New Roman" w:eastAsia="Times New Roman" w:hAnsi="Times New Roman" w:cs="Times New Roman"/>
          <w:bCs/>
        </w:rPr>
        <w:t xml:space="preserve">- and </w:t>
      </w:r>
      <w:r w:rsidR="0038022F" w:rsidRPr="00451BDA">
        <w:rPr>
          <w:rFonts w:ascii="Times New Roman" w:eastAsia="Times New Roman" w:hAnsi="Times New Roman" w:cs="Times New Roman"/>
          <w:bCs/>
        </w:rPr>
        <w:t xml:space="preserve">discipline-related </w:t>
      </w:r>
      <w:r w:rsidR="005618E8" w:rsidRPr="00451BDA">
        <w:rPr>
          <w:rFonts w:ascii="Times New Roman" w:eastAsia="Times New Roman" w:hAnsi="Times New Roman" w:cs="Times New Roman"/>
          <w:bCs/>
        </w:rPr>
        <w:t>differences provide implications for IoC</w:t>
      </w:r>
      <w:r w:rsidRPr="00451BDA">
        <w:rPr>
          <w:rFonts w:ascii="Times New Roman" w:eastAsia="Times New Roman" w:hAnsi="Times New Roman" w:cs="Times New Roman"/>
          <w:bCs/>
        </w:rPr>
        <w:t>, considering socio-cultural and institutional factors.</w:t>
      </w:r>
    </w:p>
    <w:p w14:paraId="004A8B5C" w14:textId="1DBC6EDF" w:rsidR="00F530CA" w:rsidRPr="00451BDA" w:rsidRDefault="00000000" w:rsidP="0082147A">
      <w:pPr>
        <w:spacing w:line="240" w:lineRule="auto"/>
        <w:contextualSpacing/>
        <w:rPr>
          <w:rFonts w:ascii="Times New Roman" w:eastAsia="Times New Roman" w:hAnsi="Times New Roman" w:cs="Times New Roman"/>
          <w:b/>
        </w:rPr>
      </w:pPr>
      <w:r w:rsidRPr="00451BDA">
        <w:rPr>
          <w:rFonts w:ascii="Times New Roman" w:eastAsia="Times New Roman" w:hAnsi="Times New Roman" w:cs="Times New Roman"/>
          <w:b/>
        </w:rPr>
        <w:t>Originality</w:t>
      </w:r>
    </w:p>
    <w:p w14:paraId="101E4DAE" w14:textId="5B980AEA" w:rsidR="0082147A" w:rsidRPr="00451BDA" w:rsidRDefault="00000000" w:rsidP="0082147A">
      <w:pPr>
        <w:spacing w:line="240" w:lineRule="auto"/>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This study provides a new perspective to </w:t>
      </w:r>
      <w:r w:rsidR="004547C0" w:rsidRPr="00451BDA">
        <w:rPr>
          <w:rFonts w:ascii="Times New Roman" w:eastAsia="Times New Roman" w:hAnsi="Times New Roman" w:cs="Times New Roman"/>
          <w:bCs/>
        </w:rPr>
        <w:t xml:space="preserve">help </w:t>
      </w:r>
      <w:r w:rsidRPr="00451BDA">
        <w:rPr>
          <w:rFonts w:ascii="Times New Roman" w:eastAsia="Times New Roman" w:hAnsi="Times New Roman" w:cs="Times New Roman"/>
          <w:bCs/>
        </w:rPr>
        <w:t>understand the influence of globalization on internationalizing higher education.</w:t>
      </w:r>
    </w:p>
    <w:p w14:paraId="54C65E6B" w14:textId="77777777" w:rsidR="00DA513D" w:rsidRPr="00451BDA" w:rsidRDefault="00DA513D" w:rsidP="0082147A">
      <w:pPr>
        <w:spacing w:line="240" w:lineRule="auto"/>
        <w:contextualSpacing/>
        <w:rPr>
          <w:rFonts w:ascii="Times New Roman" w:eastAsia="Times New Roman" w:hAnsi="Times New Roman" w:cs="Times New Roman"/>
          <w:bCs/>
        </w:rPr>
      </w:pPr>
    </w:p>
    <w:p w14:paraId="7596C6BA" w14:textId="3C3E0F19" w:rsidR="0082147A" w:rsidRPr="00451BDA" w:rsidRDefault="00000000" w:rsidP="0082147A">
      <w:pPr>
        <w:shd w:val="clear" w:color="auto" w:fill="FFFFFF" w:themeFill="background1"/>
        <w:spacing w:line="240" w:lineRule="auto"/>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Keywords: Internationalization of curriculum; higher education; globalization; </w:t>
      </w:r>
      <w:r w:rsidR="00523849" w:rsidRPr="00451BDA">
        <w:rPr>
          <w:rFonts w:ascii="Times New Roman" w:eastAsia="Times New Roman" w:hAnsi="Times New Roman" w:cs="Times New Roman"/>
          <w:bCs/>
        </w:rPr>
        <w:t>FM members</w:t>
      </w:r>
      <w:r w:rsidRPr="00451BDA">
        <w:rPr>
          <w:rFonts w:ascii="Times New Roman" w:eastAsia="Times New Roman" w:hAnsi="Times New Roman" w:cs="Times New Roman"/>
          <w:bCs/>
        </w:rPr>
        <w:t xml:space="preserve">; undergraduate curriculum; local contexts </w:t>
      </w:r>
    </w:p>
    <w:p w14:paraId="675017C7" w14:textId="77777777" w:rsidR="00DB0919" w:rsidRPr="00451BDA" w:rsidRDefault="00DB0919" w:rsidP="0082147A">
      <w:pPr>
        <w:shd w:val="clear" w:color="auto" w:fill="FFFFFF" w:themeFill="background1"/>
        <w:spacing w:line="240" w:lineRule="auto"/>
        <w:contextualSpacing/>
        <w:rPr>
          <w:rFonts w:ascii="Times New Roman" w:eastAsia="Times New Roman" w:hAnsi="Times New Roman" w:cs="Times New Roman"/>
          <w:bCs/>
        </w:rPr>
      </w:pPr>
    </w:p>
    <w:p w14:paraId="13F4066E" w14:textId="595533C7" w:rsidR="00514DC7" w:rsidRPr="00451BDA" w:rsidRDefault="00000000">
      <w:pPr>
        <w:rPr>
          <w:rFonts w:ascii="Times New Roman" w:hAnsi="Times New Roman" w:cs="Times New Roman"/>
        </w:rPr>
      </w:pPr>
      <w:bookmarkStart w:id="0" w:name="funding_statement"/>
      <w:r w:rsidRPr="00451BDA">
        <w:rPr>
          <w:rFonts w:ascii="Times New Roman" w:hAnsi="Times New Roman" w:cs="Times New Roman"/>
        </w:rPr>
        <w:t xml:space="preserve">Funding Statement: </w:t>
      </w:r>
      <w:bookmarkEnd w:id="0"/>
      <w:r w:rsidR="00DB0919" w:rsidRPr="00451BDA">
        <w:rPr>
          <w:rFonts w:ascii="Times New Roman" w:hAnsi="Times New Roman" w:cs="Times New Roman"/>
        </w:rPr>
        <w:t>The study involves no funding support.</w:t>
      </w:r>
    </w:p>
    <w:p w14:paraId="16C6C2B7" w14:textId="00585F85" w:rsidR="00514DC7" w:rsidRPr="00451BDA" w:rsidRDefault="00000000">
      <w:pPr>
        <w:rPr>
          <w:rFonts w:ascii="Times New Roman" w:hAnsi="Times New Roman" w:cs="Times New Roman"/>
        </w:rPr>
      </w:pPr>
      <w:bookmarkStart w:id="1" w:name="ethics_statement"/>
      <w:r w:rsidRPr="00451BDA">
        <w:rPr>
          <w:rFonts w:ascii="Times New Roman" w:hAnsi="Times New Roman" w:cs="Times New Roman"/>
        </w:rPr>
        <w:t xml:space="preserve">Ethical Compliance: All procedures performed in studies involving human participants were in accordance with the ethical standards of the institutional </w:t>
      </w:r>
      <w:bookmarkEnd w:id="1"/>
      <w:r w:rsidR="00DB0919" w:rsidRPr="00451BDA">
        <w:rPr>
          <w:rFonts w:ascii="Times New Roman" w:hAnsi="Times New Roman" w:cs="Times New Roman"/>
        </w:rPr>
        <w:t>committees.</w:t>
      </w:r>
    </w:p>
    <w:p w14:paraId="5FA05B6D" w14:textId="77777777" w:rsidR="004B24A3" w:rsidRPr="00451BDA" w:rsidRDefault="004B24A3" w:rsidP="004B24A3">
      <w:pPr>
        <w:spacing w:line="240" w:lineRule="auto"/>
        <w:contextualSpacing/>
        <w:rPr>
          <w:rFonts w:ascii="Times New Roman" w:eastAsia="Times New Roman" w:hAnsi="Times New Roman" w:cs="Times New Roman"/>
          <w:bCs/>
        </w:rPr>
      </w:pPr>
    </w:p>
    <w:p w14:paraId="61E2509A" w14:textId="77777777" w:rsidR="00DA513D" w:rsidRPr="00451BDA" w:rsidRDefault="00DA513D" w:rsidP="008F2197">
      <w:pPr>
        <w:pStyle w:val="NormalWeb"/>
        <w:shd w:val="clear" w:color="auto" w:fill="FFFFFF" w:themeFill="background1"/>
        <w:spacing w:before="0" w:beforeAutospacing="0" w:after="0" w:afterAutospacing="0"/>
        <w:contextualSpacing/>
        <w:rPr>
          <w:b/>
          <w:sz w:val="22"/>
          <w:szCs w:val="22"/>
        </w:rPr>
      </w:pPr>
    </w:p>
    <w:p w14:paraId="6BE1DCCB" w14:textId="77777777" w:rsidR="00DA513D" w:rsidRPr="00451BDA" w:rsidRDefault="00DA513D" w:rsidP="008F2197">
      <w:pPr>
        <w:pStyle w:val="NormalWeb"/>
        <w:shd w:val="clear" w:color="auto" w:fill="FFFFFF" w:themeFill="background1"/>
        <w:spacing w:before="0" w:beforeAutospacing="0" w:after="0" w:afterAutospacing="0"/>
        <w:contextualSpacing/>
        <w:rPr>
          <w:b/>
          <w:sz w:val="22"/>
          <w:szCs w:val="22"/>
        </w:rPr>
      </w:pPr>
    </w:p>
    <w:p w14:paraId="011CB3BD" w14:textId="77777777" w:rsidR="00DA513D" w:rsidRPr="00451BDA" w:rsidRDefault="00DA513D" w:rsidP="008F2197">
      <w:pPr>
        <w:pStyle w:val="NormalWeb"/>
        <w:shd w:val="clear" w:color="auto" w:fill="FFFFFF" w:themeFill="background1"/>
        <w:spacing w:before="0" w:beforeAutospacing="0" w:after="0" w:afterAutospacing="0"/>
        <w:contextualSpacing/>
        <w:rPr>
          <w:b/>
          <w:sz w:val="22"/>
          <w:szCs w:val="22"/>
        </w:rPr>
      </w:pPr>
    </w:p>
    <w:p w14:paraId="34D16CAE" w14:textId="5F685341" w:rsidR="000B744B" w:rsidRPr="00451BDA" w:rsidRDefault="00000000" w:rsidP="008F2197">
      <w:pPr>
        <w:pStyle w:val="NormalWeb"/>
        <w:shd w:val="clear" w:color="auto" w:fill="FFFFFF" w:themeFill="background1"/>
        <w:spacing w:before="0" w:beforeAutospacing="0" w:after="0" w:afterAutospacing="0"/>
        <w:contextualSpacing/>
        <w:rPr>
          <w:b/>
          <w:sz w:val="22"/>
          <w:szCs w:val="22"/>
        </w:rPr>
      </w:pPr>
      <w:r w:rsidRPr="00451BDA">
        <w:rPr>
          <w:b/>
          <w:sz w:val="22"/>
          <w:szCs w:val="22"/>
        </w:rPr>
        <w:t>Introduction</w:t>
      </w:r>
    </w:p>
    <w:p w14:paraId="4D574141" w14:textId="77777777" w:rsidR="008F2197" w:rsidRPr="00451BDA" w:rsidRDefault="008F2197" w:rsidP="008F2197">
      <w:pPr>
        <w:shd w:val="clear" w:color="auto" w:fill="FFFFFF" w:themeFill="background1"/>
        <w:spacing w:line="240" w:lineRule="auto"/>
        <w:contextualSpacing/>
        <w:rPr>
          <w:rFonts w:ascii="Times New Roman" w:hAnsi="Times New Roman" w:cs="Times New Roman"/>
          <w:bCs/>
        </w:rPr>
      </w:pPr>
    </w:p>
    <w:p w14:paraId="795616D3" w14:textId="77777777" w:rsidR="00FC1538" w:rsidRPr="00451BDA" w:rsidRDefault="00FC1538" w:rsidP="00B51699">
      <w:pPr>
        <w:shd w:val="clear" w:color="auto" w:fill="FFFFFF" w:themeFill="background1"/>
        <w:spacing w:line="240" w:lineRule="auto"/>
        <w:ind w:firstLine="720"/>
        <w:contextualSpacing/>
        <w:rPr>
          <w:rFonts w:ascii="Times New Roman" w:hAnsi="Times New Roman" w:cs="Times New Roman"/>
          <w:bCs/>
        </w:rPr>
      </w:pPr>
    </w:p>
    <w:p w14:paraId="2DB45813" w14:textId="160C1DD4" w:rsidR="004E6C60" w:rsidRPr="00451BDA" w:rsidRDefault="00000000" w:rsidP="00B51699">
      <w:pPr>
        <w:shd w:val="clear" w:color="auto" w:fill="FFFFFF" w:themeFill="background1"/>
        <w:spacing w:line="240" w:lineRule="auto"/>
        <w:ind w:firstLine="720"/>
        <w:contextualSpacing/>
        <w:rPr>
          <w:rFonts w:ascii="Times New Roman" w:hAnsi="Times New Roman" w:cs="Times New Roman"/>
          <w:bCs/>
        </w:rPr>
      </w:pPr>
      <w:r w:rsidRPr="00451BDA">
        <w:rPr>
          <w:rFonts w:ascii="Times New Roman" w:hAnsi="Times New Roman" w:cs="Times New Roman"/>
          <w:bCs/>
        </w:rPr>
        <w:t>Th</w:t>
      </w:r>
      <w:r w:rsidR="003C3AFA" w:rsidRPr="00451BDA">
        <w:rPr>
          <w:rFonts w:ascii="Times New Roman" w:hAnsi="Times New Roman" w:cs="Times New Roman"/>
          <w:bCs/>
        </w:rPr>
        <w:t>e</w:t>
      </w:r>
      <w:r w:rsidRPr="00451BDA">
        <w:rPr>
          <w:rFonts w:ascii="Times New Roman" w:hAnsi="Times New Roman" w:cs="Times New Roman"/>
          <w:bCs/>
        </w:rPr>
        <w:t xml:space="preserve"> globalization of </w:t>
      </w:r>
      <w:r w:rsidR="009E1E1F" w:rsidRPr="00451BDA">
        <w:rPr>
          <w:rFonts w:ascii="Times New Roman" w:hAnsi="Times New Roman" w:cs="Times New Roman"/>
          <w:bCs/>
        </w:rPr>
        <w:t>Higher Education (</w:t>
      </w:r>
      <w:r w:rsidRPr="00451BDA">
        <w:rPr>
          <w:rFonts w:ascii="Times New Roman" w:hAnsi="Times New Roman" w:cs="Times New Roman"/>
          <w:bCs/>
        </w:rPr>
        <w:t>HE</w:t>
      </w:r>
      <w:r w:rsidR="009E1E1F" w:rsidRPr="00451BDA">
        <w:rPr>
          <w:rFonts w:ascii="Times New Roman" w:hAnsi="Times New Roman" w:cs="Times New Roman"/>
          <w:bCs/>
        </w:rPr>
        <w:t>)</w:t>
      </w:r>
      <w:r w:rsidRPr="00451BDA">
        <w:rPr>
          <w:rFonts w:ascii="Times New Roman" w:hAnsi="Times New Roman" w:cs="Times New Roman"/>
          <w:bCs/>
        </w:rPr>
        <w:t xml:space="preserve"> </w:t>
      </w:r>
      <w:r w:rsidR="00D478D1" w:rsidRPr="00451BDA">
        <w:rPr>
          <w:rFonts w:ascii="Times New Roman" w:hAnsi="Times New Roman" w:cs="Times New Roman"/>
          <w:bCs/>
        </w:rPr>
        <w:t>is</w:t>
      </w:r>
      <w:r w:rsidRPr="00451BDA">
        <w:rPr>
          <w:rFonts w:ascii="Times New Roman" w:hAnsi="Times New Roman" w:cs="Times New Roman"/>
          <w:bCs/>
        </w:rPr>
        <w:t xml:space="preserve"> linked with the process of internationalizing through the development of study abroad programs, </w:t>
      </w:r>
      <w:r w:rsidR="003C3AFA" w:rsidRPr="00451BDA">
        <w:rPr>
          <w:rFonts w:ascii="Times New Roman" w:hAnsi="Times New Roman" w:cs="Times New Roman"/>
          <w:bCs/>
        </w:rPr>
        <w:t>assimilation</w:t>
      </w:r>
      <w:r w:rsidRPr="00451BDA">
        <w:rPr>
          <w:rFonts w:ascii="Times New Roman" w:hAnsi="Times New Roman" w:cs="Times New Roman"/>
          <w:bCs/>
        </w:rPr>
        <w:t xml:space="preserve"> </w:t>
      </w:r>
      <w:r w:rsidR="00CA41E9" w:rsidRPr="00451BDA">
        <w:rPr>
          <w:rFonts w:ascii="Times New Roman" w:hAnsi="Times New Roman" w:cs="Times New Roman"/>
          <w:bCs/>
        </w:rPr>
        <w:t xml:space="preserve">of </w:t>
      </w:r>
      <w:r w:rsidRPr="00451BDA">
        <w:rPr>
          <w:rFonts w:ascii="Times New Roman" w:hAnsi="Times New Roman" w:cs="Times New Roman"/>
          <w:bCs/>
        </w:rPr>
        <w:t xml:space="preserve">international students, </w:t>
      </w:r>
      <w:r w:rsidR="00D478D1" w:rsidRPr="00451BDA">
        <w:rPr>
          <w:rFonts w:ascii="Times New Roman" w:hAnsi="Times New Roman" w:cs="Times New Roman"/>
          <w:bCs/>
        </w:rPr>
        <w:t xml:space="preserve">internationalization </w:t>
      </w:r>
      <w:r w:rsidRPr="00451BDA">
        <w:rPr>
          <w:rFonts w:ascii="Times New Roman" w:eastAsia="Calibri" w:hAnsi="Times New Roman" w:cs="Times New Roman"/>
          <w:bCs/>
        </w:rPr>
        <w:t xml:space="preserve">of </w:t>
      </w:r>
      <w:r w:rsidR="00523849" w:rsidRPr="00451BDA">
        <w:rPr>
          <w:rFonts w:ascii="Times New Roman" w:hAnsi="Times New Roman" w:cs="Times New Roman"/>
          <w:bCs/>
        </w:rPr>
        <w:t>FM</w:t>
      </w:r>
      <w:r w:rsidR="00D478D1" w:rsidRPr="00451BDA">
        <w:rPr>
          <w:rFonts w:ascii="Times New Roman" w:hAnsi="Times New Roman" w:cs="Times New Roman"/>
          <w:bCs/>
        </w:rPr>
        <w:t>,</w:t>
      </w:r>
      <w:r w:rsidRPr="00451BDA">
        <w:rPr>
          <w:rFonts w:ascii="Times New Roman" w:hAnsi="Times New Roman" w:cs="Times New Roman"/>
          <w:bCs/>
        </w:rPr>
        <w:t xml:space="preserve"> and curricula </w:t>
      </w:r>
      <w:r w:rsidR="00CE790C" w:rsidRPr="00451BDA">
        <w:rPr>
          <w:rFonts w:ascii="Times New Roman" w:hAnsi="Times New Roman" w:cs="Times New Roman"/>
          <w:bCs/>
        </w:rPr>
        <w:t>(Cantu, 2013).</w:t>
      </w:r>
      <w:r w:rsidR="009E7812" w:rsidRPr="00451BDA">
        <w:rPr>
          <w:rFonts w:ascii="Times New Roman" w:hAnsi="Times New Roman" w:cs="Times New Roman"/>
          <w:bCs/>
        </w:rPr>
        <w:t xml:space="preserve"> This include</w:t>
      </w:r>
      <w:r w:rsidR="001E550C" w:rsidRPr="00451BDA">
        <w:rPr>
          <w:rFonts w:ascii="Times New Roman" w:hAnsi="Times New Roman" w:cs="Times New Roman"/>
          <w:bCs/>
        </w:rPr>
        <w:t>s</w:t>
      </w:r>
      <w:r w:rsidR="009E7812" w:rsidRPr="00451BDA">
        <w:rPr>
          <w:rFonts w:ascii="Times New Roman" w:hAnsi="Times New Roman" w:cs="Times New Roman"/>
          <w:bCs/>
        </w:rPr>
        <w:t xml:space="preserve"> the creation of branch campuses, cross-border collaborative agreements, </w:t>
      </w:r>
      <w:r w:rsidRPr="00451BDA">
        <w:rPr>
          <w:rFonts w:ascii="Times New Roman" w:eastAsia="Calibri" w:hAnsi="Times New Roman" w:cs="Times New Roman"/>
          <w:bCs/>
        </w:rPr>
        <w:t>and international and English-medium programs (</w:t>
      </w:r>
      <w:proofErr w:type="spellStart"/>
      <w:r w:rsidRPr="00451BDA">
        <w:rPr>
          <w:rFonts w:ascii="Times New Roman" w:eastAsia="Calibri" w:hAnsi="Times New Roman" w:cs="Times New Roman"/>
          <w:bCs/>
        </w:rPr>
        <w:t>Altbach</w:t>
      </w:r>
      <w:proofErr w:type="spellEnd"/>
      <w:r w:rsidRPr="00451BDA">
        <w:rPr>
          <w:rFonts w:ascii="Times New Roman" w:eastAsia="Calibri" w:hAnsi="Times New Roman" w:cs="Times New Roman"/>
          <w:bCs/>
        </w:rPr>
        <w:t xml:space="preserve"> and Knight, 2007). </w:t>
      </w:r>
      <w:r w:rsidR="00C64CF3" w:rsidRPr="00451BDA">
        <w:rPr>
          <w:rFonts w:ascii="Times New Roman" w:eastAsia="Times New Roman" w:hAnsi="Times New Roman" w:cs="Times New Roman"/>
          <w:bCs/>
        </w:rPr>
        <w:t xml:space="preserve">A global shift towards internationalized HE </w:t>
      </w:r>
      <w:r w:rsidR="009018FC" w:rsidRPr="00451BDA">
        <w:rPr>
          <w:rFonts w:ascii="Times New Roman" w:eastAsia="Times New Roman" w:hAnsi="Times New Roman" w:cs="Times New Roman"/>
          <w:bCs/>
        </w:rPr>
        <w:t xml:space="preserve">is widely accepted in both Western and </w:t>
      </w:r>
      <w:r w:rsidR="00C64CF3" w:rsidRPr="00451BDA">
        <w:rPr>
          <w:rFonts w:ascii="Times New Roman" w:eastAsia="Times New Roman" w:hAnsi="Times New Roman" w:cs="Times New Roman"/>
          <w:bCs/>
        </w:rPr>
        <w:t xml:space="preserve">non-Western </w:t>
      </w:r>
      <w:r w:rsidR="009B4EFE" w:rsidRPr="00451BDA">
        <w:rPr>
          <w:rFonts w:ascii="Times New Roman" w:eastAsia="Times New Roman" w:hAnsi="Times New Roman" w:cs="Times New Roman"/>
          <w:bCs/>
        </w:rPr>
        <w:t xml:space="preserve">contexts </w:t>
      </w:r>
      <w:r w:rsidR="00C64CF3" w:rsidRPr="00451BDA">
        <w:rPr>
          <w:rFonts w:ascii="Times New Roman" w:eastAsia="Times New Roman" w:hAnsi="Times New Roman" w:cs="Times New Roman"/>
          <w:bCs/>
        </w:rPr>
        <w:t>(</w:t>
      </w:r>
      <w:r w:rsidR="00E372FF" w:rsidRPr="00451BDA">
        <w:rPr>
          <w:rFonts w:ascii="Times New Roman" w:eastAsia="Times New Roman" w:hAnsi="Times New Roman" w:cs="Times New Roman"/>
          <w:bCs/>
        </w:rPr>
        <w:t>D</w:t>
      </w:r>
      <w:r w:rsidR="00C64CF3" w:rsidRPr="00451BDA">
        <w:rPr>
          <w:rFonts w:ascii="Times New Roman" w:eastAsia="Times New Roman" w:hAnsi="Times New Roman" w:cs="Times New Roman"/>
          <w:bCs/>
        </w:rPr>
        <w:t xml:space="preserve">e Wit, 2020). </w:t>
      </w:r>
      <w:r w:rsidR="008C6B57" w:rsidRPr="00451BDA">
        <w:rPr>
          <w:rFonts w:ascii="Times New Roman" w:hAnsi="Times New Roman" w:cs="Times New Roman"/>
          <w:bCs/>
        </w:rPr>
        <w:t xml:space="preserve">Furthermore, </w:t>
      </w:r>
      <w:r w:rsidR="009018FC" w:rsidRPr="00451BDA">
        <w:rPr>
          <w:rFonts w:ascii="Times New Roman" w:hAnsi="Times New Roman" w:cs="Times New Roman"/>
          <w:bCs/>
        </w:rPr>
        <w:t xml:space="preserve">metrics such as </w:t>
      </w:r>
      <w:r w:rsidRPr="00451BDA">
        <w:rPr>
          <w:rFonts w:ascii="Times New Roman" w:eastAsia="Calibri" w:hAnsi="Times New Roman" w:cs="Times New Roman"/>
          <w:bCs/>
        </w:rPr>
        <w:t xml:space="preserve">the </w:t>
      </w:r>
      <w:r w:rsidR="008C6B57" w:rsidRPr="00451BDA">
        <w:rPr>
          <w:rFonts w:ascii="Times New Roman" w:hAnsi="Times New Roman" w:cs="Times New Roman"/>
          <w:bCs/>
        </w:rPr>
        <w:t xml:space="preserve">World </w:t>
      </w:r>
      <w:proofErr w:type="spellStart"/>
      <w:r w:rsidR="008C6B57" w:rsidRPr="00451BDA">
        <w:rPr>
          <w:rFonts w:ascii="Times New Roman" w:hAnsi="Times New Roman" w:cs="Times New Roman"/>
          <w:bCs/>
          <w:shd w:val="clear" w:color="auto" w:fill="FFFFFF"/>
        </w:rPr>
        <w:t>Quacquarelli</w:t>
      </w:r>
      <w:proofErr w:type="spellEnd"/>
      <w:r w:rsidR="008C6B57" w:rsidRPr="00451BDA">
        <w:rPr>
          <w:rFonts w:ascii="Times New Roman" w:hAnsi="Times New Roman" w:cs="Times New Roman"/>
          <w:bCs/>
          <w:shd w:val="clear" w:color="auto" w:fill="FFFFFF"/>
        </w:rPr>
        <w:t xml:space="preserve"> Symonds (</w:t>
      </w:r>
      <w:r w:rsidR="008C6B57" w:rsidRPr="00451BDA">
        <w:rPr>
          <w:rStyle w:val="Emphasis"/>
          <w:rFonts w:ascii="Times New Roman" w:hAnsi="Times New Roman" w:cs="Times New Roman"/>
          <w:bCs/>
          <w:i w:val="0"/>
          <w:iCs w:val="0"/>
          <w:shd w:val="clear" w:color="auto" w:fill="FFFFFF"/>
        </w:rPr>
        <w:t>QS</w:t>
      </w:r>
      <w:r w:rsidR="008C6B57" w:rsidRPr="00451BDA">
        <w:rPr>
          <w:rFonts w:ascii="Times New Roman" w:hAnsi="Times New Roman" w:cs="Times New Roman"/>
          <w:bCs/>
          <w:shd w:val="clear" w:color="auto" w:fill="FFFFFF"/>
        </w:rPr>
        <w:t xml:space="preserve">) </w:t>
      </w:r>
      <w:r w:rsidR="008C6B57" w:rsidRPr="00451BDA">
        <w:rPr>
          <w:rFonts w:ascii="Times New Roman" w:hAnsi="Times New Roman" w:cs="Times New Roman"/>
          <w:bCs/>
        </w:rPr>
        <w:t xml:space="preserve">University Ranking </w:t>
      </w:r>
      <w:r w:rsidR="009018FC" w:rsidRPr="00451BDA">
        <w:rPr>
          <w:rFonts w:ascii="Times New Roman" w:hAnsi="Times New Roman" w:cs="Times New Roman"/>
          <w:bCs/>
        </w:rPr>
        <w:t>have subtly contributed to</w:t>
      </w:r>
      <w:r w:rsidR="008C6B57" w:rsidRPr="00451BDA">
        <w:rPr>
          <w:rFonts w:ascii="Times New Roman" w:hAnsi="Times New Roman" w:cs="Times New Roman"/>
          <w:bCs/>
        </w:rPr>
        <w:t xml:space="preserve"> globally influenced internationali</w:t>
      </w:r>
      <w:r w:rsidR="00D478D1" w:rsidRPr="00451BDA">
        <w:rPr>
          <w:rFonts w:ascii="Times New Roman" w:hAnsi="Times New Roman" w:cs="Times New Roman"/>
          <w:bCs/>
        </w:rPr>
        <w:t>z</w:t>
      </w:r>
      <w:r w:rsidR="008C6B57" w:rsidRPr="00451BDA">
        <w:rPr>
          <w:rFonts w:ascii="Times New Roman" w:hAnsi="Times New Roman" w:cs="Times New Roman"/>
          <w:bCs/>
        </w:rPr>
        <w:t xml:space="preserve">ation </w:t>
      </w:r>
      <w:r w:rsidRPr="00451BDA">
        <w:rPr>
          <w:rFonts w:ascii="Times New Roman" w:hAnsi="Times New Roman" w:cs="Times New Roman"/>
          <w:bCs/>
        </w:rPr>
        <w:t xml:space="preserve">primarily </w:t>
      </w:r>
      <w:r w:rsidR="009018FC" w:rsidRPr="00451BDA">
        <w:rPr>
          <w:rFonts w:ascii="Times New Roman" w:hAnsi="Times New Roman" w:cs="Times New Roman"/>
          <w:bCs/>
        </w:rPr>
        <w:t>by</w:t>
      </w:r>
      <w:r w:rsidR="009B4EFE" w:rsidRPr="00451BDA">
        <w:rPr>
          <w:rFonts w:ascii="Times New Roman" w:hAnsi="Times New Roman" w:cs="Times New Roman"/>
          <w:bCs/>
        </w:rPr>
        <w:t xml:space="preserve"> </w:t>
      </w:r>
      <w:r w:rsidR="009018FC" w:rsidRPr="00451BDA">
        <w:rPr>
          <w:rFonts w:ascii="Times New Roman" w:hAnsi="Times New Roman" w:cs="Times New Roman"/>
          <w:bCs/>
        </w:rPr>
        <w:t>focus</w:t>
      </w:r>
      <w:r w:rsidRPr="00451BDA">
        <w:rPr>
          <w:rFonts w:ascii="Times New Roman" w:hAnsi="Times New Roman" w:cs="Times New Roman"/>
          <w:bCs/>
        </w:rPr>
        <w:t>ing</w:t>
      </w:r>
      <w:r w:rsidR="009018FC" w:rsidRPr="00451BDA">
        <w:rPr>
          <w:rFonts w:ascii="Times New Roman" w:hAnsi="Times New Roman" w:cs="Times New Roman"/>
          <w:bCs/>
        </w:rPr>
        <w:t xml:space="preserve"> </w:t>
      </w:r>
      <w:r w:rsidR="009B4EFE" w:rsidRPr="00451BDA">
        <w:rPr>
          <w:rFonts w:ascii="Times New Roman" w:hAnsi="Times New Roman" w:cs="Times New Roman"/>
          <w:bCs/>
        </w:rPr>
        <w:t xml:space="preserve">on </w:t>
      </w:r>
      <w:r w:rsidR="00411013" w:rsidRPr="00451BDA">
        <w:rPr>
          <w:rFonts w:ascii="Times New Roman" w:hAnsi="Times New Roman" w:cs="Times New Roman"/>
          <w:bCs/>
        </w:rPr>
        <w:t xml:space="preserve">a </w:t>
      </w:r>
      <w:r w:rsidR="009018FC" w:rsidRPr="00451BDA">
        <w:rPr>
          <w:rFonts w:ascii="Times New Roman" w:hAnsi="Times New Roman" w:cs="Times New Roman"/>
          <w:bCs/>
        </w:rPr>
        <w:t>number</w:t>
      </w:r>
      <w:r w:rsidR="008C6B57" w:rsidRPr="00451BDA">
        <w:rPr>
          <w:rFonts w:ascii="Times New Roman" w:hAnsi="Times New Roman" w:cs="Times New Roman"/>
          <w:bCs/>
        </w:rPr>
        <w:t xml:space="preserve"> </w:t>
      </w:r>
      <w:r w:rsidR="007F6FAF" w:rsidRPr="00451BDA">
        <w:rPr>
          <w:rFonts w:ascii="Times New Roman" w:hAnsi="Times New Roman" w:cs="Times New Roman"/>
          <w:bCs/>
        </w:rPr>
        <w:t xml:space="preserve">of </w:t>
      </w:r>
      <w:r w:rsidR="008C6B57" w:rsidRPr="00451BDA">
        <w:rPr>
          <w:rFonts w:ascii="Times New Roman" w:hAnsi="Times New Roman" w:cs="Times New Roman"/>
          <w:bCs/>
        </w:rPr>
        <w:t>international students</w:t>
      </w:r>
      <w:r w:rsidRPr="00451BDA">
        <w:rPr>
          <w:rFonts w:ascii="Times New Roman" w:hAnsi="Times New Roman" w:cs="Times New Roman"/>
          <w:bCs/>
        </w:rPr>
        <w:t xml:space="preserve"> and </w:t>
      </w:r>
      <w:proofErr w:type="gramStart"/>
      <w:r w:rsidR="00523849" w:rsidRPr="00451BDA">
        <w:rPr>
          <w:rFonts w:ascii="Times New Roman" w:hAnsi="Times New Roman" w:cs="Times New Roman"/>
          <w:bCs/>
        </w:rPr>
        <w:t>FM</w:t>
      </w:r>
      <w:r w:rsidR="008C6B57" w:rsidRPr="00451BDA">
        <w:rPr>
          <w:rFonts w:ascii="Times New Roman" w:hAnsi="Times New Roman" w:cs="Times New Roman"/>
          <w:bCs/>
        </w:rPr>
        <w:t>(</w:t>
      </w:r>
      <w:proofErr w:type="gramEnd"/>
      <w:r w:rsidR="008C6B57" w:rsidRPr="00451BDA">
        <w:rPr>
          <w:rFonts w:ascii="Times New Roman" w:hAnsi="Times New Roman" w:cs="Times New Roman"/>
          <w:bCs/>
        </w:rPr>
        <w:t>Craig, 2022).</w:t>
      </w:r>
      <w:r w:rsidR="005D4239" w:rsidRPr="00451BDA">
        <w:rPr>
          <w:rFonts w:ascii="Times New Roman" w:hAnsi="Times New Roman" w:cs="Times New Roman"/>
          <w:bCs/>
        </w:rPr>
        <w:t xml:space="preserve"> </w:t>
      </w:r>
    </w:p>
    <w:p w14:paraId="1D7124F3" w14:textId="77777777" w:rsidR="004E6C60" w:rsidRPr="00451BDA" w:rsidRDefault="004E6C60" w:rsidP="004E6C60">
      <w:pPr>
        <w:shd w:val="clear" w:color="auto" w:fill="FFFFFF" w:themeFill="background1"/>
        <w:spacing w:line="240" w:lineRule="auto"/>
        <w:ind w:firstLine="720"/>
        <w:contextualSpacing/>
        <w:rPr>
          <w:rFonts w:ascii="Times New Roman" w:eastAsia="Times New Roman" w:hAnsi="Times New Roman" w:cs="Times New Roman"/>
          <w:bCs/>
        </w:rPr>
      </w:pPr>
    </w:p>
    <w:p w14:paraId="347636E7" w14:textId="59A4357A" w:rsidR="005D4239" w:rsidRPr="00451BDA" w:rsidRDefault="00815D90" w:rsidP="00F530CA">
      <w:pPr>
        <w:shd w:val="clear" w:color="auto" w:fill="FFFFFF" w:themeFill="background1"/>
        <w:spacing w:line="240" w:lineRule="auto"/>
        <w:ind w:firstLine="720"/>
        <w:contextualSpacing/>
        <w:rPr>
          <w:rFonts w:ascii="Times New Roman" w:eastAsia="Times New Roman" w:hAnsi="Times New Roman" w:cs="Times New Roman"/>
          <w:bCs/>
        </w:rPr>
      </w:pPr>
      <w:r w:rsidRPr="00451BDA">
        <w:rPr>
          <w:rFonts w:ascii="Times New Roman" w:eastAsia="Times New Roman" w:hAnsi="Times New Roman" w:cs="Times New Roman"/>
          <w:bCs/>
        </w:rPr>
        <w:t>Globalization results in an increased number of networked societies beyond the constraints of time and space, leading to augmented mobility and connectedness of people, resulting in complex dynamics and relationships between local and global contexts</w:t>
      </w:r>
      <w:r w:rsidR="00F530CA" w:rsidRPr="00451BDA">
        <w:rPr>
          <w:rFonts w:ascii="Times New Roman" w:eastAsia="Times New Roman" w:hAnsi="Times New Roman" w:cs="Times New Roman"/>
          <w:bCs/>
        </w:rPr>
        <w:t xml:space="preserve"> </w:t>
      </w:r>
      <w:r w:rsidRPr="00451BDA">
        <w:rPr>
          <w:rFonts w:ascii="Times New Roman" w:eastAsia="Times New Roman" w:hAnsi="Times New Roman" w:cs="Times New Roman"/>
          <w:bCs/>
        </w:rPr>
        <w:t>(</w:t>
      </w:r>
      <w:r w:rsidR="005A6AE2" w:rsidRPr="00451BDA">
        <w:rPr>
          <w:rFonts w:ascii="Times New Roman" w:eastAsia="Times New Roman" w:hAnsi="Times New Roman" w:cs="Times New Roman"/>
          <w:bCs/>
        </w:rPr>
        <w:t>Larsen, 2016</w:t>
      </w:r>
      <w:r w:rsidRPr="00451BDA">
        <w:rPr>
          <w:rFonts w:ascii="Times New Roman" w:eastAsia="Times New Roman" w:hAnsi="Times New Roman" w:cs="Times New Roman"/>
          <w:bCs/>
        </w:rPr>
        <w:t xml:space="preserve">). </w:t>
      </w:r>
      <w:r w:rsidR="00C5130E" w:rsidRPr="00451BDA">
        <w:rPr>
          <w:rFonts w:ascii="Times New Roman" w:eastAsia="Times New Roman" w:hAnsi="Times New Roman" w:cs="Times New Roman"/>
          <w:bCs/>
        </w:rPr>
        <w:t>T</w:t>
      </w:r>
      <w:r w:rsidRPr="00451BDA">
        <w:rPr>
          <w:rFonts w:ascii="Times New Roman" w:eastAsia="Times New Roman" w:hAnsi="Times New Roman" w:cs="Times New Roman"/>
          <w:bCs/>
        </w:rPr>
        <w:t xml:space="preserve">his study receives impetus from a dynamic </w:t>
      </w:r>
      <w:r w:rsidR="00E750B2" w:rsidRPr="00451BDA">
        <w:rPr>
          <w:rFonts w:ascii="Times New Roman" w:eastAsia="Times New Roman" w:hAnsi="Times New Roman" w:cs="Times New Roman"/>
          <w:bCs/>
        </w:rPr>
        <w:t xml:space="preserve">systems </w:t>
      </w:r>
      <w:r w:rsidRPr="00451BDA">
        <w:rPr>
          <w:rFonts w:ascii="Times New Roman" w:eastAsia="Times New Roman" w:hAnsi="Times New Roman" w:cs="Times New Roman"/>
          <w:bCs/>
        </w:rPr>
        <w:t xml:space="preserve">framework of internationalization that shows the interconnectedness between the global, national, institutional, and program levels for the internationalization of HE. </w:t>
      </w:r>
      <w:r w:rsidR="00A47B1F" w:rsidRPr="00451BDA">
        <w:rPr>
          <w:rFonts w:ascii="Times New Roman" w:eastAsia="Times New Roman" w:hAnsi="Times New Roman" w:cs="Times New Roman"/>
          <w:bCs/>
        </w:rPr>
        <w:t>G</w:t>
      </w:r>
      <w:r w:rsidRPr="00451BDA">
        <w:rPr>
          <w:rFonts w:ascii="Times New Roman" w:eastAsia="Times New Roman" w:hAnsi="Times New Roman" w:cs="Times New Roman"/>
          <w:bCs/>
        </w:rPr>
        <w:t>lobal influence justifies a comparison between two contexts, and when data from two institutions and similar programs are collected, unique observations may emerge when findings are interpreted from local-level realities (Zhou, 2016).</w:t>
      </w:r>
      <w:r w:rsidR="00C12D57" w:rsidRPr="00451BDA">
        <w:rPr>
          <w:rFonts w:ascii="Times New Roman" w:eastAsia="Times New Roman" w:hAnsi="Times New Roman" w:cs="Times New Roman"/>
          <w:bCs/>
        </w:rPr>
        <w:t xml:space="preserve"> </w:t>
      </w:r>
    </w:p>
    <w:p w14:paraId="255C8FA3" w14:textId="64F8F043" w:rsidR="005C3D26" w:rsidRPr="00451BDA" w:rsidRDefault="00000000" w:rsidP="00A47B1F">
      <w:pPr>
        <w:pStyle w:val="NormalWeb"/>
        <w:shd w:val="clear" w:color="auto" w:fill="FFFFFF" w:themeFill="background1"/>
        <w:spacing w:before="0" w:beforeAutospacing="0" w:after="0" w:afterAutospacing="0"/>
        <w:ind w:firstLine="720"/>
        <w:contextualSpacing/>
        <w:rPr>
          <w:bCs/>
          <w:sz w:val="22"/>
          <w:szCs w:val="22"/>
        </w:rPr>
      </w:pPr>
      <w:r w:rsidRPr="00451BDA">
        <w:rPr>
          <w:bCs/>
          <w:sz w:val="22"/>
          <w:szCs w:val="22"/>
        </w:rPr>
        <w:t>Internationalization of Curriculum (</w:t>
      </w:r>
      <w:r w:rsidR="006717F0" w:rsidRPr="00451BDA">
        <w:rPr>
          <w:bCs/>
          <w:sz w:val="22"/>
          <w:szCs w:val="22"/>
        </w:rPr>
        <w:t>I</w:t>
      </w:r>
      <w:r w:rsidR="009E1E1F" w:rsidRPr="00451BDA">
        <w:rPr>
          <w:bCs/>
          <w:sz w:val="22"/>
          <w:szCs w:val="22"/>
        </w:rPr>
        <w:t>o</w:t>
      </w:r>
      <w:r w:rsidR="006717F0" w:rsidRPr="00451BDA">
        <w:rPr>
          <w:bCs/>
          <w:sz w:val="22"/>
          <w:szCs w:val="22"/>
        </w:rPr>
        <w:t>C</w:t>
      </w:r>
      <w:r w:rsidRPr="00451BDA">
        <w:rPr>
          <w:bCs/>
          <w:sz w:val="22"/>
          <w:szCs w:val="22"/>
        </w:rPr>
        <w:t>)</w:t>
      </w:r>
      <w:r w:rsidR="006717F0" w:rsidRPr="00451BDA">
        <w:rPr>
          <w:bCs/>
          <w:sz w:val="22"/>
          <w:szCs w:val="22"/>
        </w:rPr>
        <w:t xml:space="preserve"> requires</w:t>
      </w:r>
      <w:r w:rsidR="000A4A13" w:rsidRPr="00451BDA">
        <w:rPr>
          <w:bCs/>
          <w:spacing w:val="2"/>
          <w:sz w:val="22"/>
          <w:szCs w:val="22"/>
          <w:bdr w:val="none" w:sz="0" w:space="0" w:color="auto" w:frame="1"/>
          <w:shd w:val="clear" w:color="auto" w:fill="FCFCFC"/>
        </w:rPr>
        <w:t xml:space="preserve"> </w:t>
      </w:r>
      <w:r w:rsidRPr="00451BDA">
        <w:rPr>
          <w:bCs/>
          <w:spacing w:val="2"/>
          <w:sz w:val="22"/>
          <w:szCs w:val="22"/>
        </w:rPr>
        <w:t>the “</w:t>
      </w:r>
      <w:r w:rsidR="000A4A13" w:rsidRPr="00451BDA">
        <w:rPr>
          <w:bCs/>
          <w:sz w:val="22"/>
          <w:szCs w:val="22"/>
          <w:bdr w:val="none" w:sz="0" w:space="0" w:color="auto" w:frame="1"/>
        </w:rPr>
        <w:t xml:space="preserve">incorporation of international, intercultural, and/or global dimensions into the content of the curriculum as well as the learning outcomes, assessment tasks, teaching methods, and support services of a program of study” (Leask 2009 cited in Leask 2015, p. 9). </w:t>
      </w:r>
      <w:r w:rsidR="00020865" w:rsidRPr="00451BDA">
        <w:rPr>
          <w:bCs/>
          <w:sz w:val="22"/>
          <w:szCs w:val="22"/>
        </w:rPr>
        <w:t xml:space="preserve">An important strategy is </w:t>
      </w:r>
      <w:r w:rsidR="0019733D" w:rsidRPr="00451BDA">
        <w:rPr>
          <w:bCs/>
          <w:sz w:val="22"/>
          <w:szCs w:val="22"/>
        </w:rPr>
        <w:t>i</w:t>
      </w:r>
      <w:r w:rsidR="009B4EFE" w:rsidRPr="00451BDA">
        <w:rPr>
          <w:bCs/>
          <w:sz w:val="22"/>
          <w:szCs w:val="22"/>
        </w:rPr>
        <w:t>nternationalization at home</w:t>
      </w:r>
      <w:r w:rsidR="00E372FF" w:rsidRPr="00451BDA">
        <w:rPr>
          <w:bCs/>
          <w:sz w:val="22"/>
          <w:szCs w:val="22"/>
        </w:rPr>
        <w:t xml:space="preserve"> (IaH)</w:t>
      </w:r>
      <w:r w:rsidR="009B4EFE" w:rsidRPr="00451BDA">
        <w:rPr>
          <w:bCs/>
          <w:sz w:val="22"/>
          <w:szCs w:val="22"/>
        </w:rPr>
        <w:t xml:space="preserve">. </w:t>
      </w:r>
      <w:r w:rsidR="00D972DE" w:rsidRPr="00451BDA">
        <w:rPr>
          <w:bCs/>
          <w:sz w:val="22"/>
          <w:szCs w:val="22"/>
        </w:rPr>
        <w:t>Th</w:t>
      </w:r>
      <w:r w:rsidR="00FC1538" w:rsidRPr="00451BDA">
        <w:rPr>
          <w:bCs/>
          <w:sz w:val="22"/>
          <w:szCs w:val="22"/>
        </w:rPr>
        <w:t>is</w:t>
      </w:r>
      <w:r w:rsidR="00D972DE" w:rsidRPr="00451BDA">
        <w:rPr>
          <w:bCs/>
          <w:sz w:val="22"/>
          <w:szCs w:val="22"/>
        </w:rPr>
        <w:t xml:space="preserve"> </w:t>
      </w:r>
      <w:r w:rsidR="00020865" w:rsidRPr="00451BDA">
        <w:rPr>
          <w:bCs/>
          <w:sz w:val="22"/>
          <w:szCs w:val="22"/>
        </w:rPr>
        <w:t>reflects</w:t>
      </w:r>
      <w:r w:rsidR="009B4EFE" w:rsidRPr="00451BDA">
        <w:rPr>
          <w:bCs/>
          <w:sz w:val="22"/>
          <w:szCs w:val="22"/>
        </w:rPr>
        <w:t xml:space="preserve"> </w:t>
      </w:r>
      <w:r w:rsidR="002651C5" w:rsidRPr="00451BDA">
        <w:rPr>
          <w:bCs/>
          <w:sz w:val="22"/>
          <w:szCs w:val="22"/>
        </w:rPr>
        <w:t>“internationalization at the national/sector/institutional levels is the process of integrating an international, intercultural</w:t>
      </w:r>
      <w:r w:rsidRPr="00451BDA">
        <w:rPr>
          <w:bCs/>
          <w:sz w:val="22"/>
          <w:szCs w:val="22"/>
        </w:rPr>
        <w:t xml:space="preserve">, or global dimension into the purpose, </w:t>
      </w:r>
      <w:proofErr w:type="gramStart"/>
      <w:r w:rsidRPr="00451BDA">
        <w:rPr>
          <w:bCs/>
          <w:sz w:val="22"/>
          <w:szCs w:val="22"/>
        </w:rPr>
        <w:t>functions</w:t>
      </w:r>
      <w:proofErr w:type="gramEnd"/>
      <w:r w:rsidRPr="00451BDA">
        <w:rPr>
          <w:bCs/>
          <w:sz w:val="22"/>
          <w:szCs w:val="22"/>
        </w:rPr>
        <w:t xml:space="preserve"> or delivery of higher education at the institutional and national levels</w:t>
      </w:r>
      <w:r w:rsidR="002651C5" w:rsidRPr="00451BDA">
        <w:rPr>
          <w:bCs/>
          <w:sz w:val="22"/>
          <w:szCs w:val="22"/>
        </w:rPr>
        <w:t>’ (Knight, 2008; p. 21)</w:t>
      </w:r>
      <w:r w:rsidR="008020A0" w:rsidRPr="00451BDA">
        <w:rPr>
          <w:bCs/>
          <w:sz w:val="22"/>
          <w:szCs w:val="22"/>
        </w:rPr>
        <w:t>.</w:t>
      </w:r>
      <w:r w:rsidR="009508D6" w:rsidRPr="00451BDA">
        <w:rPr>
          <w:bCs/>
          <w:sz w:val="22"/>
          <w:szCs w:val="22"/>
        </w:rPr>
        <w:t xml:space="preserve"> Institutions are likely to be </w:t>
      </w:r>
      <w:r w:rsidRPr="00451BDA">
        <w:rPr>
          <w:bCs/>
          <w:sz w:val="22"/>
          <w:szCs w:val="22"/>
        </w:rPr>
        <w:t xml:space="preserve">equally </w:t>
      </w:r>
      <w:r w:rsidR="009508D6" w:rsidRPr="00451BDA">
        <w:rPr>
          <w:bCs/>
          <w:sz w:val="22"/>
          <w:szCs w:val="22"/>
        </w:rPr>
        <w:t xml:space="preserve">influenced </w:t>
      </w:r>
      <w:r w:rsidRPr="00451BDA">
        <w:rPr>
          <w:bCs/>
          <w:sz w:val="22"/>
          <w:szCs w:val="22"/>
        </w:rPr>
        <w:t xml:space="preserve">by the need to internationalize curriculum, </w:t>
      </w:r>
      <w:r w:rsidR="00A47B1F" w:rsidRPr="00451BDA">
        <w:rPr>
          <w:bCs/>
          <w:sz w:val="22"/>
          <w:szCs w:val="22"/>
        </w:rPr>
        <w:t xml:space="preserve">as worldwide competition may </w:t>
      </w:r>
      <w:proofErr w:type="gramStart"/>
      <w:r w:rsidR="00A47B1F" w:rsidRPr="00451BDA">
        <w:rPr>
          <w:bCs/>
          <w:sz w:val="22"/>
          <w:szCs w:val="22"/>
        </w:rPr>
        <w:t>lead</w:t>
      </w:r>
      <w:proofErr w:type="gramEnd"/>
      <w:r w:rsidR="00A47B1F" w:rsidRPr="00451BDA">
        <w:rPr>
          <w:bCs/>
          <w:sz w:val="22"/>
          <w:szCs w:val="22"/>
        </w:rPr>
        <w:t xml:space="preserve"> HE to adopt similar solutions</w:t>
      </w:r>
      <w:r w:rsidRPr="00451BDA">
        <w:rPr>
          <w:bCs/>
          <w:sz w:val="22"/>
          <w:szCs w:val="22"/>
        </w:rPr>
        <w:t xml:space="preserve"> </w:t>
      </w:r>
      <w:r w:rsidRPr="00451BDA">
        <w:rPr>
          <w:sz w:val="22"/>
          <w:szCs w:val="22"/>
        </w:rPr>
        <w:t>(Verhoven and De Wit, 2022).</w:t>
      </w:r>
    </w:p>
    <w:p w14:paraId="70F6CF4A" w14:textId="637B50CB" w:rsidR="00B21591" w:rsidRPr="00451BDA" w:rsidRDefault="00000000" w:rsidP="0019733D">
      <w:pPr>
        <w:pStyle w:val="NormalWeb"/>
        <w:shd w:val="clear" w:color="auto" w:fill="FFFFFF" w:themeFill="background1"/>
        <w:spacing w:before="0" w:beforeAutospacing="0" w:after="0" w:afterAutospacing="0"/>
        <w:ind w:firstLine="720"/>
        <w:contextualSpacing/>
        <w:rPr>
          <w:bCs/>
          <w:sz w:val="22"/>
          <w:szCs w:val="22"/>
        </w:rPr>
      </w:pPr>
      <w:r w:rsidRPr="00451BDA">
        <w:rPr>
          <w:bCs/>
          <w:sz w:val="22"/>
          <w:szCs w:val="22"/>
          <w:bdr w:val="none" w:sz="0" w:space="0" w:color="auto" w:frame="1"/>
        </w:rPr>
        <w:t xml:space="preserve">IoC helps attain stability </w:t>
      </w:r>
      <w:r w:rsidR="00A201DA" w:rsidRPr="00451BDA">
        <w:rPr>
          <w:bCs/>
          <w:sz w:val="22"/>
          <w:szCs w:val="22"/>
          <w:bdr w:val="none" w:sz="0" w:space="0" w:color="auto" w:frame="1"/>
        </w:rPr>
        <w:t>among nationalistic</w:t>
      </w:r>
      <w:r w:rsidRPr="00451BDA">
        <w:rPr>
          <w:bCs/>
          <w:sz w:val="22"/>
          <w:szCs w:val="22"/>
          <w:bdr w:val="none" w:sz="0" w:space="0" w:color="auto" w:frame="1"/>
        </w:rPr>
        <w:t xml:space="preserve"> and worldwide demands and may uplift the domestic curriculum through strategi</w:t>
      </w:r>
      <w:r w:rsidR="006717F0" w:rsidRPr="00451BDA">
        <w:rPr>
          <w:bCs/>
          <w:sz w:val="22"/>
          <w:szCs w:val="22"/>
          <w:bdr w:val="none" w:sz="0" w:space="0" w:color="auto" w:frame="1"/>
        </w:rPr>
        <w:t>es</w:t>
      </w:r>
      <w:r w:rsidRPr="00451BDA">
        <w:rPr>
          <w:bCs/>
          <w:sz w:val="22"/>
          <w:szCs w:val="22"/>
          <w:bdr w:val="none" w:sz="0" w:space="0" w:color="auto" w:frame="1"/>
        </w:rPr>
        <w:t xml:space="preserve"> contributi</w:t>
      </w:r>
      <w:r w:rsidR="006717F0" w:rsidRPr="00451BDA">
        <w:rPr>
          <w:bCs/>
          <w:sz w:val="22"/>
          <w:szCs w:val="22"/>
          <w:bdr w:val="none" w:sz="0" w:space="0" w:color="auto" w:frame="1"/>
        </w:rPr>
        <w:t>ng</w:t>
      </w:r>
      <w:r w:rsidRPr="00451BDA">
        <w:rPr>
          <w:bCs/>
          <w:sz w:val="22"/>
          <w:szCs w:val="22"/>
          <w:bdr w:val="none" w:sz="0" w:space="0" w:color="auto" w:frame="1"/>
        </w:rPr>
        <w:t xml:space="preserve"> to internationalization</w:t>
      </w:r>
      <w:r w:rsidR="00FC1538" w:rsidRPr="00451BDA">
        <w:rPr>
          <w:bCs/>
          <w:sz w:val="22"/>
          <w:szCs w:val="22"/>
          <w:bdr w:val="none" w:sz="0" w:space="0" w:color="auto" w:frame="1"/>
        </w:rPr>
        <w:t>,</w:t>
      </w:r>
      <w:r w:rsidRPr="00451BDA">
        <w:rPr>
          <w:bCs/>
          <w:sz w:val="22"/>
          <w:szCs w:val="22"/>
          <w:bdr w:val="none" w:sz="0" w:space="0" w:color="auto" w:frame="1"/>
        </w:rPr>
        <w:t xml:space="preserve"> generally embedded in </w:t>
      </w:r>
      <w:r w:rsidR="00411013" w:rsidRPr="00451BDA">
        <w:rPr>
          <w:bCs/>
          <w:sz w:val="22"/>
          <w:szCs w:val="22"/>
          <w:bdr w:val="none" w:sz="0" w:space="0" w:color="auto" w:frame="1"/>
        </w:rPr>
        <w:t xml:space="preserve">an </w:t>
      </w:r>
      <w:r w:rsidRPr="00451BDA">
        <w:rPr>
          <w:bCs/>
          <w:sz w:val="22"/>
          <w:szCs w:val="22"/>
          <w:bdr w:val="none" w:sz="0" w:space="0" w:color="auto" w:frame="1"/>
        </w:rPr>
        <w:t xml:space="preserve">authorized curriculum that considers the best level of IoC </w:t>
      </w:r>
      <w:r w:rsidR="000A4A13" w:rsidRPr="00451BDA">
        <w:rPr>
          <w:bCs/>
          <w:sz w:val="22"/>
          <w:szCs w:val="22"/>
          <w:bdr w:val="none" w:sz="0" w:space="0" w:color="auto" w:frame="1"/>
        </w:rPr>
        <w:t xml:space="preserve">(Helms, 2021). </w:t>
      </w:r>
      <w:r w:rsidR="00D66778" w:rsidRPr="00451BDA">
        <w:rPr>
          <w:bCs/>
          <w:sz w:val="22"/>
          <w:szCs w:val="22"/>
          <w:bdr w:val="none" w:sz="0" w:space="0" w:color="auto" w:frame="1"/>
        </w:rPr>
        <w:t>This approach can be adopted globally (Jones, 2014)</w:t>
      </w:r>
      <w:r w:rsidR="000E0534" w:rsidRPr="00451BDA">
        <w:rPr>
          <w:bCs/>
          <w:sz w:val="22"/>
          <w:szCs w:val="22"/>
          <w:bdr w:val="none" w:sz="0" w:space="0" w:color="auto" w:frame="1"/>
        </w:rPr>
        <w:t xml:space="preserve"> </w:t>
      </w:r>
      <w:r w:rsidR="00D66778" w:rsidRPr="00451BDA">
        <w:rPr>
          <w:bCs/>
          <w:sz w:val="22"/>
          <w:szCs w:val="22"/>
          <w:bdr w:val="none" w:sz="0" w:space="0" w:color="auto" w:frame="1"/>
        </w:rPr>
        <w:t>and is</w:t>
      </w:r>
      <w:r w:rsidR="000A4A13" w:rsidRPr="00451BDA">
        <w:rPr>
          <w:bCs/>
          <w:sz w:val="22"/>
          <w:szCs w:val="22"/>
          <w:bdr w:val="none" w:sz="0" w:space="0" w:color="auto" w:frame="1"/>
        </w:rPr>
        <w:t xml:space="preserve"> fundamental for countries </w:t>
      </w:r>
      <w:r w:rsidRPr="00451BDA">
        <w:rPr>
          <w:bCs/>
          <w:sz w:val="22"/>
          <w:szCs w:val="22"/>
        </w:rPr>
        <w:t>that lack</w:t>
      </w:r>
      <w:r w:rsidR="000A4A13" w:rsidRPr="00451BDA">
        <w:rPr>
          <w:bCs/>
          <w:sz w:val="22"/>
          <w:szCs w:val="22"/>
          <w:bdr w:val="none" w:sz="0" w:space="0" w:color="auto" w:frame="1"/>
        </w:rPr>
        <w:t xml:space="preserve"> a diverse or </w:t>
      </w:r>
      <w:r w:rsidRPr="00451BDA">
        <w:rPr>
          <w:bCs/>
          <w:sz w:val="22"/>
          <w:szCs w:val="22"/>
        </w:rPr>
        <w:t xml:space="preserve">multicultural society. </w:t>
      </w:r>
      <w:r w:rsidR="005A18E8" w:rsidRPr="00451BDA">
        <w:rPr>
          <w:bCs/>
          <w:sz w:val="22"/>
          <w:szCs w:val="22"/>
          <w:bdr w:val="none" w:sz="0" w:space="0" w:color="auto" w:frame="1"/>
        </w:rPr>
        <w:t>IoC</w:t>
      </w:r>
      <w:r w:rsidR="000A4A13" w:rsidRPr="00451BDA">
        <w:rPr>
          <w:bCs/>
          <w:sz w:val="22"/>
          <w:szCs w:val="22"/>
          <w:bdr w:val="none" w:sz="0" w:space="0" w:color="auto" w:frame="1"/>
        </w:rPr>
        <w:t xml:space="preserve"> is most effective </w:t>
      </w:r>
      <w:r w:rsidR="00584B5A" w:rsidRPr="00451BDA">
        <w:rPr>
          <w:bCs/>
          <w:sz w:val="22"/>
          <w:szCs w:val="22"/>
          <w:bdr w:val="none" w:sz="0" w:space="0" w:color="auto" w:frame="1"/>
        </w:rPr>
        <w:t>as</w:t>
      </w:r>
      <w:r w:rsidR="00660B87" w:rsidRPr="00451BDA">
        <w:rPr>
          <w:bCs/>
          <w:sz w:val="22"/>
          <w:szCs w:val="22"/>
          <w:bdr w:val="none" w:sz="0" w:space="0" w:color="auto" w:frame="1"/>
        </w:rPr>
        <w:t xml:space="preserve"> </w:t>
      </w:r>
      <w:r w:rsidR="000A4A13" w:rsidRPr="00451BDA">
        <w:rPr>
          <w:bCs/>
          <w:sz w:val="22"/>
          <w:szCs w:val="22"/>
          <w:bdr w:val="none" w:sz="0" w:space="0" w:color="auto" w:frame="1"/>
        </w:rPr>
        <w:t xml:space="preserve">part of </w:t>
      </w:r>
      <w:r w:rsidRPr="00451BDA">
        <w:rPr>
          <w:bCs/>
          <w:sz w:val="22"/>
          <w:szCs w:val="22"/>
          <w:bdr w:val="none" w:sz="0" w:space="0" w:color="auto" w:frame="1"/>
        </w:rPr>
        <w:t xml:space="preserve">a </w:t>
      </w:r>
      <w:r w:rsidR="000A4A13" w:rsidRPr="00451BDA">
        <w:rPr>
          <w:bCs/>
          <w:sz w:val="22"/>
          <w:szCs w:val="22"/>
          <w:bdr w:val="none" w:sz="0" w:space="0" w:color="auto" w:frame="1"/>
        </w:rPr>
        <w:t>comprehensive internationalization strategy, which emphasi</w:t>
      </w:r>
      <w:r w:rsidRPr="00451BDA">
        <w:rPr>
          <w:bCs/>
          <w:sz w:val="22"/>
          <w:szCs w:val="22"/>
        </w:rPr>
        <w:t xml:space="preserve">zes </w:t>
      </w:r>
      <w:r w:rsidR="000A4A13" w:rsidRPr="00451BDA">
        <w:rPr>
          <w:bCs/>
          <w:sz w:val="22"/>
          <w:szCs w:val="22"/>
          <w:bdr w:val="none" w:sz="0" w:space="0" w:color="auto" w:frame="1"/>
        </w:rPr>
        <w:t>institutional ethos and outcomes to support the international, intercultural</w:t>
      </w:r>
      <w:r w:rsidR="00AE224C" w:rsidRPr="00451BDA">
        <w:rPr>
          <w:bCs/>
          <w:sz w:val="22"/>
          <w:szCs w:val="22"/>
          <w:bdr w:val="none" w:sz="0" w:space="0" w:color="auto" w:frame="1"/>
        </w:rPr>
        <w:t>,</w:t>
      </w:r>
      <w:r w:rsidR="000A4A13" w:rsidRPr="00451BDA">
        <w:rPr>
          <w:bCs/>
          <w:sz w:val="22"/>
          <w:szCs w:val="22"/>
          <w:bdr w:val="none" w:sz="0" w:space="0" w:color="auto" w:frame="1"/>
        </w:rPr>
        <w:t xml:space="preserve"> and global dimensions (Beelen and Jones, 2015).</w:t>
      </w:r>
      <w:r w:rsidR="00EC527D" w:rsidRPr="00451BDA">
        <w:rPr>
          <w:bCs/>
          <w:sz w:val="22"/>
          <w:szCs w:val="22"/>
          <w:bdr w:val="none" w:sz="0" w:space="0" w:color="auto" w:frame="1"/>
        </w:rPr>
        <w:t xml:space="preserve"> </w:t>
      </w:r>
      <w:r w:rsidR="00FC1538" w:rsidRPr="00451BDA">
        <w:rPr>
          <w:bCs/>
          <w:sz w:val="22"/>
          <w:szCs w:val="22"/>
          <w:bdr w:val="none" w:sz="0" w:space="0" w:color="auto" w:frame="1"/>
        </w:rPr>
        <w:t>Reflectively</w:t>
      </w:r>
      <w:r w:rsidR="00D66778" w:rsidRPr="00451BDA">
        <w:rPr>
          <w:bCs/>
          <w:sz w:val="22"/>
          <w:szCs w:val="22"/>
          <w:bdr w:val="none" w:sz="0" w:space="0" w:color="auto" w:frame="1"/>
        </w:rPr>
        <w:t xml:space="preserve">, </w:t>
      </w:r>
      <w:r w:rsidR="00EC527D" w:rsidRPr="00451BDA">
        <w:rPr>
          <w:bCs/>
          <w:sz w:val="22"/>
          <w:szCs w:val="22"/>
          <w:bdr w:val="none" w:sz="0" w:space="0" w:color="auto" w:frame="1"/>
        </w:rPr>
        <w:t>institutional ethos translate</w:t>
      </w:r>
      <w:r w:rsidRPr="00451BDA">
        <w:rPr>
          <w:bCs/>
          <w:sz w:val="22"/>
          <w:szCs w:val="22"/>
          <w:bdr w:val="none" w:sz="0" w:space="0" w:color="auto" w:frame="1"/>
        </w:rPr>
        <w:t>s</w:t>
      </w:r>
      <w:r w:rsidR="00EC527D" w:rsidRPr="00451BDA">
        <w:rPr>
          <w:bCs/>
          <w:sz w:val="22"/>
          <w:szCs w:val="22"/>
          <w:bdr w:val="none" w:sz="0" w:space="0" w:color="auto" w:frame="1"/>
        </w:rPr>
        <w:t xml:space="preserve"> into teaching</w:t>
      </w:r>
      <w:r w:rsidR="00F25E1B" w:rsidRPr="00451BDA">
        <w:rPr>
          <w:bCs/>
          <w:sz w:val="22"/>
          <w:szCs w:val="22"/>
          <w:bdr w:val="none" w:sz="0" w:space="0" w:color="auto" w:frame="1"/>
        </w:rPr>
        <w:t xml:space="preserve"> and perceptions</w:t>
      </w:r>
      <w:r w:rsidRPr="00451BDA">
        <w:rPr>
          <w:bCs/>
          <w:sz w:val="22"/>
          <w:szCs w:val="22"/>
        </w:rPr>
        <w:t xml:space="preserve">, </w:t>
      </w:r>
      <w:r w:rsidR="00D66778" w:rsidRPr="00451BDA">
        <w:rPr>
          <w:bCs/>
          <w:sz w:val="22"/>
          <w:szCs w:val="22"/>
          <w:bdr w:val="none" w:sz="0" w:space="0" w:color="auto" w:frame="1"/>
        </w:rPr>
        <w:t xml:space="preserve">which </w:t>
      </w:r>
      <w:r w:rsidR="00FC1538" w:rsidRPr="00451BDA">
        <w:rPr>
          <w:bCs/>
          <w:sz w:val="22"/>
          <w:szCs w:val="22"/>
          <w:bdr w:val="none" w:sz="0" w:space="0" w:color="auto" w:frame="1"/>
        </w:rPr>
        <w:t xml:space="preserve">has </w:t>
      </w:r>
      <w:r w:rsidR="00D66778" w:rsidRPr="00451BDA">
        <w:rPr>
          <w:bCs/>
          <w:sz w:val="22"/>
          <w:szCs w:val="22"/>
          <w:bdr w:val="none" w:sz="0" w:space="0" w:color="auto" w:frame="1"/>
        </w:rPr>
        <w:t>provide</w:t>
      </w:r>
      <w:r w:rsidR="00FC1538" w:rsidRPr="00451BDA">
        <w:rPr>
          <w:bCs/>
          <w:sz w:val="22"/>
          <w:szCs w:val="22"/>
          <w:bdr w:val="none" w:sz="0" w:space="0" w:color="auto" w:frame="1"/>
        </w:rPr>
        <w:t>d</w:t>
      </w:r>
      <w:r w:rsidR="00EC527D" w:rsidRPr="00451BDA">
        <w:rPr>
          <w:bCs/>
          <w:sz w:val="22"/>
          <w:szCs w:val="22"/>
          <w:bdr w:val="none" w:sz="0" w:space="0" w:color="auto" w:frame="1"/>
        </w:rPr>
        <w:t xml:space="preserve"> </w:t>
      </w:r>
      <w:r w:rsidR="00D66778" w:rsidRPr="00451BDA">
        <w:rPr>
          <w:bCs/>
          <w:sz w:val="22"/>
          <w:szCs w:val="22"/>
          <w:bdr w:val="none" w:sz="0" w:space="0" w:color="auto" w:frame="1"/>
        </w:rPr>
        <w:t>imp</w:t>
      </w:r>
      <w:r w:rsidR="000169AB" w:rsidRPr="00451BDA">
        <w:rPr>
          <w:bCs/>
          <w:sz w:val="22"/>
          <w:szCs w:val="22"/>
          <w:bdr w:val="none" w:sz="0" w:space="0" w:color="auto" w:frame="1"/>
        </w:rPr>
        <w:t>etus</w:t>
      </w:r>
      <w:r w:rsidR="00D66778" w:rsidRPr="00451BDA">
        <w:rPr>
          <w:bCs/>
          <w:sz w:val="22"/>
          <w:szCs w:val="22"/>
          <w:bdr w:val="none" w:sz="0" w:space="0" w:color="auto" w:frame="1"/>
        </w:rPr>
        <w:t xml:space="preserve"> for this</w:t>
      </w:r>
      <w:r w:rsidR="00227F0A" w:rsidRPr="00451BDA">
        <w:rPr>
          <w:bCs/>
          <w:sz w:val="22"/>
          <w:szCs w:val="22"/>
        </w:rPr>
        <w:t xml:space="preserve"> </w:t>
      </w:r>
      <w:r w:rsidR="00892E83" w:rsidRPr="00451BDA">
        <w:rPr>
          <w:bCs/>
          <w:sz w:val="22"/>
          <w:szCs w:val="22"/>
        </w:rPr>
        <w:t xml:space="preserve">cross-cultural </w:t>
      </w:r>
      <w:r w:rsidR="00685F83" w:rsidRPr="00451BDA">
        <w:rPr>
          <w:bCs/>
          <w:sz w:val="22"/>
          <w:szCs w:val="22"/>
        </w:rPr>
        <w:t>study</w:t>
      </w:r>
      <w:r w:rsidR="00EC527D" w:rsidRPr="00451BDA">
        <w:rPr>
          <w:bCs/>
          <w:sz w:val="22"/>
          <w:szCs w:val="22"/>
        </w:rPr>
        <w:t xml:space="preserve">. </w:t>
      </w:r>
      <w:r w:rsidRPr="00451BDA">
        <w:rPr>
          <w:bCs/>
          <w:sz w:val="22"/>
          <w:szCs w:val="22"/>
        </w:rPr>
        <w:t xml:space="preserve">This study seeks answers </w:t>
      </w:r>
      <w:r w:rsidR="00527A60" w:rsidRPr="00451BDA">
        <w:rPr>
          <w:bCs/>
          <w:sz w:val="22"/>
          <w:szCs w:val="22"/>
        </w:rPr>
        <w:t>to</w:t>
      </w:r>
      <w:r w:rsidRPr="00451BDA">
        <w:rPr>
          <w:bCs/>
          <w:sz w:val="22"/>
          <w:szCs w:val="22"/>
        </w:rPr>
        <w:t xml:space="preserve"> how </w:t>
      </w:r>
      <w:r w:rsidR="00523849" w:rsidRPr="00451BDA">
        <w:rPr>
          <w:bCs/>
          <w:sz w:val="22"/>
          <w:szCs w:val="22"/>
        </w:rPr>
        <w:t>FM</w:t>
      </w:r>
      <w:r w:rsidR="00F25E1B" w:rsidRPr="00451BDA">
        <w:rPr>
          <w:bCs/>
          <w:sz w:val="22"/>
          <w:szCs w:val="22"/>
        </w:rPr>
        <w:t xml:space="preserve"> members</w:t>
      </w:r>
      <w:r w:rsidR="00523849" w:rsidRPr="00451BDA">
        <w:rPr>
          <w:bCs/>
          <w:sz w:val="22"/>
          <w:szCs w:val="22"/>
        </w:rPr>
        <w:t xml:space="preserve"> (FM) </w:t>
      </w:r>
      <w:r w:rsidR="009E1E1F" w:rsidRPr="00451BDA">
        <w:rPr>
          <w:bCs/>
          <w:sz w:val="22"/>
          <w:szCs w:val="22"/>
        </w:rPr>
        <w:t xml:space="preserve">perceive </w:t>
      </w:r>
      <w:r w:rsidR="00F25E1B" w:rsidRPr="00451BDA">
        <w:rPr>
          <w:bCs/>
          <w:sz w:val="22"/>
          <w:szCs w:val="22"/>
        </w:rPr>
        <w:t>IoC</w:t>
      </w:r>
      <w:r w:rsidR="00584B5A" w:rsidRPr="00451BDA">
        <w:rPr>
          <w:bCs/>
          <w:sz w:val="22"/>
          <w:szCs w:val="22"/>
        </w:rPr>
        <w:t xml:space="preserve"> </w:t>
      </w:r>
      <w:proofErr w:type="gramStart"/>
      <w:r w:rsidR="00F25E1B" w:rsidRPr="00451BDA">
        <w:rPr>
          <w:bCs/>
          <w:sz w:val="22"/>
          <w:szCs w:val="22"/>
        </w:rPr>
        <w:t>as a result of</w:t>
      </w:r>
      <w:proofErr w:type="gramEnd"/>
      <w:r w:rsidR="00F25E1B" w:rsidRPr="00451BDA">
        <w:rPr>
          <w:bCs/>
          <w:sz w:val="22"/>
          <w:szCs w:val="22"/>
        </w:rPr>
        <w:t xml:space="preserve"> globalized influences (Wahlstrom et al, 2018)</w:t>
      </w:r>
      <w:r w:rsidR="00584B5A" w:rsidRPr="00451BDA">
        <w:rPr>
          <w:bCs/>
          <w:sz w:val="22"/>
          <w:szCs w:val="22"/>
        </w:rPr>
        <w:t>. This study intends to explore</w:t>
      </w:r>
      <w:r w:rsidR="009E1E1F" w:rsidRPr="00451BDA">
        <w:rPr>
          <w:bCs/>
          <w:sz w:val="22"/>
          <w:szCs w:val="22"/>
        </w:rPr>
        <w:t xml:space="preserve"> how </w:t>
      </w:r>
      <w:r w:rsidR="00523849" w:rsidRPr="00451BDA">
        <w:rPr>
          <w:bCs/>
          <w:sz w:val="22"/>
          <w:szCs w:val="22"/>
        </w:rPr>
        <w:t>FM</w:t>
      </w:r>
      <w:r w:rsidR="009E1E1F" w:rsidRPr="00451BDA">
        <w:rPr>
          <w:bCs/>
          <w:sz w:val="22"/>
          <w:szCs w:val="22"/>
        </w:rPr>
        <w:t xml:space="preserve"> from two institutions in Pakistan and </w:t>
      </w:r>
      <w:r w:rsidRPr="00451BDA">
        <w:rPr>
          <w:bCs/>
          <w:sz w:val="22"/>
          <w:szCs w:val="22"/>
        </w:rPr>
        <w:t>the UK report similarities</w:t>
      </w:r>
      <w:r w:rsidR="00584B5A" w:rsidRPr="00451BDA">
        <w:rPr>
          <w:bCs/>
          <w:sz w:val="22"/>
          <w:szCs w:val="22"/>
        </w:rPr>
        <w:t xml:space="preserve"> </w:t>
      </w:r>
      <w:r w:rsidR="00660B87" w:rsidRPr="00451BDA">
        <w:rPr>
          <w:bCs/>
          <w:sz w:val="22"/>
          <w:szCs w:val="22"/>
        </w:rPr>
        <w:t>because</w:t>
      </w:r>
      <w:r w:rsidR="00584B5A" w:rsidRPr="00451BDA">
        <w:rPr>
          <w:bCs/>
          <w:sz w:val="22"/>
          <w:szCs w:val="22"/>
        </w:rPr>
        <w:t xml:space="preserve"> of globalization</w:t>
      </w:r>
      <w:r w:rsidR="00F25E1B" w:rsidRPr="00451BDA">
        <w:rPr>
          <w:bCs/>
          <w:sz w:val="22"/>
          <w:szCs w:val="22"/>
        </w:rPr>
        <w:t>.</w:t>
      </w:r>
      <w:r w:rsidR="009E1E1F" w:rsidRPr="00451BDA">
        <w:rPr>
          <w:bCs/>
          <w:sz w:val="22"/>
          <w:szCs w:val="22"/>
        </w:rPr>
        <w:t xml:space="preserve"> While </w:t>
      </w:r>
      <w:r w:rsidR="00E100A9" w:rsidRPr="00451BDA">
        <w:rPr>
          <w:bCs/>
          <w:sz w:val="22"/>
          <w:szCs w:val="22"/>
        </w:rPr>
        <w:t xml:space="preserve">differences related to </w:t>
      </w:r>
      <w:r w:rsidRPr="00451BDA">
        <w:rPr>
          <w:bCs/>
          <w:sz w:val="22"/>
          <w:szCs w:val="22"/>
        </w:rPr>
        <w:t>the local</w:t>
      </w:r>
      <w:r w:rsidR="009E1E1F" w:rsidRPr="00451BDA">
        <w:rPr>
          <w:bCs/>
          <w:sz w:val="22"/>
          <w:szCs w:val="22"/>
        </w:rPr>
        <w:t xml:space="preserve"> realities </w:t>
      </w:r>
      <w:r w:rsidR="00B456F4" w:rsidRPr="00451BDA">
        <w:rPr>
          <w:bCs/>
          <w:sz w:val="22"/>
          <w:szCs w:val="22"/>
        </w:rPr>
        <w:t>of internationalization are considered</w:t>
      </w:r>
      <w:r w:rsidR="00F25E1B" w:rsidRPr="00451BDA">
        <w:rPr>
          <w:bCs/>
          <w:sz w:val="22"/>
          <w:szCs w:val="22"/>
        </w:rPr>
        <w:t xml:space="preserve"> theoretically</w:t>
      </w:r>
      <w:r w:rsidR="00B456F4" w:rsidRPr="00451BDA">
        <w:rPr>
          <w:bCs/>
          <w:sz w:val="22"/>
          <w:szCs w:val="22"/>
        </w:rPr>
        <w:t xml:space="preserve">, </w:t>
      </w:r>
      <w:r w:rsidR="009E1E1F" w:rsidRPr="00451BDA">
        <w:rPr>
          <w:bCs/>
          <w:sz w:val="22"/>
          <w:szCs w:val="22"/>
        </w:rPr>
        <w:t>historical-</w:t>
      </w:r>
      <w:proofErr w:type="gramStart"/>
      <w:r w:rsidR="009E1E1F" w:rsidRPr="00451BDA">
        <w:rPr>
          <w:bCs/>
          <w:sz w:val="22"/>
          <w:szCs w:val="22"/>
        </w:rPr>
        <w:t>cultural</w:t>
      </w:r>
      <w:proofErr w:type="gramEnd"/>
      <w:r w:rsidR="009E1E1F" w:rsidRPr="00451BDA">
        <w:rPr>
          <w:bCs/>
          <w:sz w:val="22"/>
          <w:szCs w:val="22"/>
        </w:rPr>
        <w:t xml:space="preserve"> and </w:t>
      </w:r>
      <w:r w:rsidR="00B456F4" w:rsidRPr="00451BDA">
        <w:rPr>
          <w:bCs/>
          <w:sz w:val="22"/>
          <w:szCs w:val="22"/>
        </w:rPr>
        <w:t>global-networked</w:t>
      </w:r>
      <w:r w:rsidR="009E1E1F" w:rsidRPr="00451BDA">
        <w:rPr>
          <w:bCs/>
          <w:sz w:val="22"/>
          <w:szCs w:val="22"/>
        </w:rPr>
        <w:t xml:space="preserve"> perspective</w:t>
      </w:r>
      <w:r w:rsidRPr="00451BDA">
        <w:rPr>
          <w:bCs/>
          <w:sz w:val="22"/>
          <w:szCs w:val="22"/>
        </w:rPr>
        <w:t xml:space="preserve">s </w:t>
      </w:r>
      <w:r w:rsidR="00B456F4" w:rsidRPr="00451BDA">
        <w:rPr>
          <w:bCs/>
          <w:sz w:val="22"/>
          <w:szCs w:val="22"/>
        </w:rPr>
        <w:t xml:space="preserve">are used </w:t>
      </w:r>
      <w:r w:rsidR="00E100A9" w:rsidRPr="00451BDA">
        <w:rPr>
          <w:bCs/>
          <w:sz w:val="22"/>
          <w:szCs w:val="22"/>
        </w:rPr>
        <w:t>to</w:t>
      </w:r>
      <w:r w:rsidR="009E1E1F" w:rsidRPr="00451BDA">
        <w:rPr>
          <w:bCs/>
          <w:sz w:val="22"/>
          <w:szCs w:val="22"/>
        </w:rPr>
        <w:t xml:space="preserve"> interpret the</w:t>
      </w:r>
      <w:r w:rsidRPr="00451BDA">
        <w:rPr>
          <w:bCs/>
          <w:sz w:val="22"/>
          <w:szCs w:val="22"/>
        </w:rPr>
        <w:t>se</w:t>
      </w:r>
      <w:r w:rsidR="00B456F4" w:rsidRPr="00451BDA">
        <w:rPr>
          <w:bCs/>
          <w:sz w:val="22"/>
          <w:szCs w:val="22"/>
        </w:rPr>
        <w:t xml:space="preserve"> similarities</w:t>
      </w:r>
      <w:r w:rsidR="009E1E1F" w:rsidRPr="00451BDA">
        <w:rPr>
          <w:bCs/>
          <w:sz w:val="22"/>
          <w:szCs w:val="22"/>
        </w:rPr>
        <w:t>.</w:t>
      </w:r>
      <w:r w:rsidR="007402DC" w:rsidRPr="00451BDA">
        <w:rPr>
          <w:bCs/>
          <w:sz w:val="22"/>
          <w:szCs w:val="22"/>
        </w:rPr>
        <w:t xml:space="preserve"> Interestingly, the number </w:t>
      </w:r>
      <w:r w:rsidRPr="00451BDA">
        <w:rPr>
          <w:bCs/>
          <w:sz w:val="22"/>
          <w:szCs w:val="22"/>
        </w:rPr>
        <w:t xml:space="preserve">of international students in the UK-based participating university is 10 times higher </w:t>
      </w:r>
      <w:r w:rsidR="007402DC" w:rsidRPr="00451BDA">
        <w:rPr>
          <w:bCs/>
          <w:sz w:val="22"/>
          <w:szCs w:val="22"/>
        </w:rPr>
        <w:t xml:space="preserve">than </w:t>
      </w:r>
      <w:r w:rsidRPr="00451BDA">
        <w:rPr>
          <w:bCs/>
          <w:sz w:val="22"/>
          <w:szCs w:val="22"/>
        </w:rPr>
        <w:t xml:space="preserve">that in the Pakistan-based participating university, which reflects an </w:t>
      </w:r>
      <w:r w:rsidR="007402DC" w:rsidRPr="00451BDA">
        <w:rPr>
          <w:bCs/>
          <w:sz w:val="22"/>
          <w:szCs w:val="22"/>
        </w:rPr>
        <w:t xml:space="preserve">apparent need to internationalize </w:t>
      </w:r>
      <w:r w:rsidRPr="00451BDA">
        <w:rPr>
          <w:bCs/>
          <w:sz w:val="22"/>
          <w:szCs w:val="22"/>
        </w:rPr>
        <w:t xml:space="preserve">the curriculum. </w:t>
      </w:r>
      <w:r w:rsidR="007402DC" w:rsidRPr="00451BDA">
        <w:rPr>
          <w:bCs/>
          <w:sz w:val="22"/>
          <w:szCs w:val="22"/>
        </w:rPr>
        <w:t xml:space="preserve">Data-driven approaches are important for </w:t>
      </w:r>
      <w:r w:rsidR="004342E1" w:rsidRPr="00451BDA">
        <w:rPr>
          <w:bCs/>
          <w:sz w:val="22"/>
          <w:szCs w:val="22"/>
        </w:rPr>
        <w:t>exploring these aspects.</w:t>
      </w:r>
      <w:r w:rsidR="007402DC" w:rsidRPr="00451BDA">
        <w:rPr>
          <w:bCs/>
          <w:sz w:val="22"/>
          <w:szCs w:val="22"/>
        </w:rPr>
        <w:t xml:space="preserve"> </w:t>
      </w:r>
      <w:r w:rsidR="009E1E1F" w:rsidRPr="00451BDA">
        <w:rPr>
          <w:bCs/>
          <w:sz w:val="22"/>
          <w:szCs w:val="22"/>
        </w:rPr>
        <w:t xml:space="preserve"> </w:t>
      </w:r>
    </w:p>
    <w:p w14:paraId="1E79324E" w14:textId="77777777" w:rsidR="00B21591" w:rsidRPr="00451BDA" w:rsidRDefault="00B21591" w:rsidP="0019733D">
      <w:pPr>
        <w:pStyle w:val="NormalWeb"/>
        <w:shd w:val="clear" w:color="auto" w:fill="FFFFFF" w:themeFill="background1"/>
        <w:spacing w:before="0" w:beforeAutospacing="0" w:after="0" w:afterAutospacing="0"/>
        <w:ind w:firstLine="720"/>
        <w:contextualSpacing/>
        <w:rPr>
          <w:bCs/>
          <w:sz w:val="22"/>
          <w:szCs w:val="22"/>
        </w:rPr>
      </w:pPr>
    </w:p>
    <w:p w14:paraId="267CCC7D" w14:textId="77777777" w:rsidR="00C31E82" w:rsidRDefault="00C31E82" w:rsidP="00B51699">
      <w:pPr>
        <w:pStyle w:val="NormalWeb"/>
        <w:shd w:val="clear" w:color="auto" w:fill="FFFFFF" w:themeFill="background1"/>
        <w:spacing w:before="0" w:beforeAutospacing="0" w:after="0" w:afterAutospacing="0"/>
        <w:contextualSpacing/>
        <w:rPr>
          <w:b/>
          <w:sz w:val="22"/>
          <w:szCs w:val="22"/>
        </w:rPr>
      </w:pPr>
    </w:p>
    <w:p w14:paraId="308880FD" w14:textId="77777777" w:rsidR="00C31E82" w:rsidRDefault="00C31E82" w:rsidP="00B51699">
      <w:pPr>
        <w:pStyle w:val="NormalWeb"/>
        <w:shd w:val="clear" w:color="auto" w:fill="FFFFFF" w:themeFill="background1"/>
        <w:spacing w:before="0" w:beforeAutospacing="0" w:after="0" w:afterAutospacing="0"/>
        <w:contextualSpacing/>
        <w:rPr>
          <w:b/>
          <w:sz w:val="22"/>
          <w:szCs w:val="22"/>
        </w:rPr>
      </w:pPr>
    </w:p>
    <w:p w14:paraId="3F48C116" w14:textId="1CBD984D" w:rsidR="000A4A13" w:rsidRPr="00451BDA" w:rsidRDefault="00000000" w:rsidP="00B51699">
      <w:pPr>
        <w:pStyle w:val="NormalWeb"/>
        <w:shd w:val="clear" w:color="auto" w:fill="FFFFFF" w:themeFill="background1"/>
        <w:spacing w:before="0" w:beforeAutospacing="0" w:after="0" w:afterAutospacing="0"/>
        <w:contextualSpacing/>
        <w:rPr>
          <w:b/>
          <w:sz w:val="22"/>
          <w:szCs w:val="22"/>
        </w:rPr>
      </w:pPr>
      <w:r w:rsidRPr="00451BDA">
        <w:rPr>
          <w:b/>
          <w:sz w:val="22"/>
          <w:szCs w:val="22"/>
        </w:rPr>
        <w:lastRenderedPageBreak/>
        <w:t xml:space="preserve">Background and </w:t>
      </w:r>
      <w:r w:rsidR="00BA4217" w:rsidRPr="00451BDA">
        <w:rPr>
          <w:b/>
          <w:sz w:val="22"/>
          <w:szCs w:val="22"/>
        </w:rPr>
        <w:t>C</w:t>
      </w:r>
      <w:r w:rsidRPr="00451BDA">
        <w:rPr>
          <w:b/>
          <w:sz w:val="22"/>
          <w:szCs w:val="22"/>
        </w:rPr>
        <w:t>ontext</w:t>
      </w:r>
    </w:p>
    <w:p w14:paraId="4E1762A1" w14:textId="04161BB9" w:rsidR="00085C50" w:rsidRPr="00451BDA" w:rsidRDefault="00000000" w:rsidP="00085C50">
      <w:pPr>
        <w:shd w:val="clear" w:color="auto" w:fill="FFFFFF" w:themeFill="background1"/>
        <w:spacing w:line="240" w:lineRule="auto"/>
        <w:ind w:firstLine="720"/>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The education system in Pakistan has historically been influenced by colonial British rule. The </w:t>
      </w:r>
      <w:r w:rsidR="00223788" w:rsidRPr="00451BDA">
        <w:rPr>
          <w:rFonts w:ascii="Times New Roman" w:eastAsia="Times New Roman" w:hAnsi="Times New Roman" w:cs="Times New Roman"/>
          <w:bCs/>
        </w:rPr>
        <w:t>introduction</w:t>
      </w:r>
      <w:r w:rsidRPr="00451BDA">
        <w:rPr>
          <w:rFonts w:ascii="Times New Roman" w:eastAsia="Times New Roman" w:hAnsi="Times New Roman" w:cs="Times New Roman"/>
          <w:bCs/>
        </w:rPr>
        <w:t xml:space="preserve"> of English as a medium of education has a significant influence </w:t>
      </w:r>
      <w:proofErr w:type="gramStart"/>
      <w:r w:rsidRPr="00451BDA">
        <w:rPr>
          <w:rFonts w:ascii="Times New Roman" w:eastAsia="Times New Roman" w:hAnsi="Times New Roman" w:cs="Times New Roman"/>
          <w:bCs/>
        </w:rPr>
        <w:t>on</w:t>
      </w:r>
      <w:proofErr w:type="gramEnd"/>
      <w:r w:rsidRPr="00451BDA">
        <w:rPr>
          <w:rFonts w:ascii="Times New Roman" w:eastAsia="Times New Roman" w:hAnsi="Times New Roman" w:cs="Times New Roman"/>
          <w:bCs/>
        </w:rPr>
        <w:t xml:space="preserve"> HE in Pakistan. Greater status and opportunities are reported to exist in Pakistan</w:t>
      </w:r>
      <w:r w:rsidR="00DF1FBD" w:rsidRPr="00451BDA">
        <w:rPr>
          <w:rFonts w:ascii="Times New Roman" w:eastAsia="Times New Roman" w:hAnsi="Times New Roman" w:cs="Times New Roman"/>
          <w:bCs/>
        </w:rPr>
        <w:t xml:space="preserve"> </w:t>
      </w:r>
      <w:r w:rsidRPr="00451BDA">
        <w:rPr>
          <w:rFonts w:ascii="Times New Roman" w:eastAsia="Times New Roman" w:hAnsi="Times New Roman" w:cs="Times New Roman"/>
          <w:bCs/>
        </w:rPr>
        <w:t xml:space="preserve">for those </w:t>
      </w:r>
      <w:r w:rsidR="00DF1FBD" w:rsidRPr="00451BDA">
        <w:rPr>
          <w:rFonts w:ascii="Times New Roman" w:eastAsia="Times New Roman" w:hAnsi="Times New Roman" w:cs="Times New Roman"/>
          <w:bCs/>
        </w:rPr>
        <w:t>who have English fluency and are familiar with Western methods (</w:t>
      </w:r>
      <w:proofErr w:type="spellStart"/>
      <w:r w:rsidR="00DF1FBD" w:rsidRPr="00451BDA">
        <w:rPr>
          <w:rFonts w:ascii="Times New Roman" w:eastAsia="Times New Roman" w:hAnsi="Times New Roman" w:cs="Times New Roman"/>
          <w:bCs/>
        </w:rPr>
        <w:t>Shallwani</w:t>
      </w:r>
      <w:proofErr w:type="spellEnd"/>
      <w:r w:rsidR="00DF1FBD" w:rsidRPr="00451BDA">
        <w:rPr>
          <w:rFonts w:ascii="Times New Roman" w:eastAsia="Times New Roman" w:hAnsi="Times New Roman" w:cs="Times New Roman"/>
          <w:bCs/>
        </w:rPr>
        <w:t>, 2014).</w:t>
      </w:r>
    </w:p>
    <w:p w14:paraId="029E165A" w14:textId="2E4F24A4" w:rsidR="003F4508" w:rsidRPr="00451BDA" w:rsidRDefault="00000000" w:rsidP="00DF1FBD">
      <w:pPr>
        <w:shd w:val="clear" w:color="auto" w:fill="FFFFFF" w:themeFill="background1"/>
        <w:spacing w:line="240" w:lineRule="auto"/>
        <w:ind w:firstLine="720"/>
        <w:contextualSpacing/>
        <w:rPr>
          <w:rFonts w:ascii="Times New Roman" w:eastAsia="Times New Roman" w:hAnsi="Times New Roman" w:cs="Times New Roman"/>
          <w:bCs/>
        </w:rPr>
      </w:pPr>
      <w:r w:rsidRPr="00451BDA">
        <w:rPr>
          <w:rFonts w:ascii="Times New Roman" w:eastAsia="Times New Roman" w:hAnsi="Times New Roman" w:cs="Times New Roman"/>
          <w:bCs/>
        </w:rPr>
        <w:t>The two countries</w:t>
      </w:r>
      <w:r w:rsidR="005229B7" w:rsidRPr="00451BDA">
        <w:rPr>
          <w:rFonts w:ascii="Times New Roman" w:eastAsia="Times New Roman" w:hAnsi="Times New Roman" w:cs="Times New Roman"/>
          <w:bCs/>
        </w:rPr>
        <w:t xml:space="preserve"> yield a few differences in higher education</w:t>
      </w:r>
      <w:r w:rsidRPr="00451BDA">
        <w:rPr>
          <w:rFonts w:ascii="Times New Roman" w:eastAsia="Times New Roman" w:hAnsi="Times New Roman" w:cs="Times New Roman"/>
          <w:bCs/>
        </w:rPr>
        <w:t xml:space="preserve">; for example, in the UK, there are </w:t>
      </w:r>
      <w:r w:rsidR="00085C50" w:rsidRPr="00451BDA">
        <w:rPr>
          <w:rFonts w:ascii="Times New Roman" w:eastAsia="Times New Roman" w:hAnsi="Times New Roman" w:cs="Times New Roman"/>
          <w:bCs/>
        </w:rPr>
        <w:t>one-year</w:t>
      </w:r>
      <w:r w:rsidRPr="00451BDA">
        <w:rPr>
          <w:rFonts w:ascii="Times New Roman" w:eastAsia="Times New Roman" w:hAnsi="Times New Roman" w:cs="Times New Roman"/>
          <w:bCs/>
        </w:rPr>
        <w:t xml:space="preserve"> programs </w:t>
      </w:r>
      <w:r w:rsidR="000169AB" w:rsidRPr="00451BDA">
        <w:rPr>
          <w:rFonts w:ascii="Times New Roman" w:eastAsia="Times New Roman" w:hAnsi="Times New Roman" w:cs="Times New Roman"/>
          <w:bCs/>
        </w:rPr>
        <w:t>for</w:t>
      </w:r>
      <w:r w:rsidRPr="00451BDA">
        <w:rPr>
          <w:rFonts w:ascii="Times New Roman" w:eastAsia="Times New Roman" w:hAnsi="Times New Roman" w:cs="Times New Roman"/>
          <w:bCs/>
        </w:rPr>
        <w:t xml:space="preserve"> </w:t>
      </w:r>
      <w:r w:rsidR="00D478D1" w:rsidRPr="00451BDA">
        <w:rPr>
          <w:rFonts w:ascii="Times New Roman" w:eastAsia="Times New Roman" w:hAnsi="Times New Roman" w:cs="Times New Roman"/>
          <w:bCs/>
        </w:rPr>
        <w:t>master’s</w:t>
      </w:r>
      <w:r w:rsidRPr="00451BDA">
        <w:rPr>
          <w:rFonts w:ascii="Times New Roman" w:eastAsia="Times New Roman" w:hAnsi="Times New Roman" w:cs="Times New Roman"/>
          <w:bCs/>
        </w:rPr>
        <w:t xml:space="preserve"> degree</w:t>
      </w:r>
      <w:r w:rsidR="000169AB" w:rsidRPr="00451BDA">
        <w:rPr>
          <w:rFonts w:ascii="Times New Roman" w:eastAsia="Times New Roman" w:hAnsi="Times New Roman" w:cs="Times New Roman"/>
          <w:bCs/>
        </w:rPr>
        <w:t>s</w:t>
      </w:r>
      <w:r w:rsidRPr="00451BDA">
        <w:rPr>
          <w:rFonts w:ascii="Times New Roman" w:eastAsia="Times New Roman" w:hAnsi="Times New Roman" w:cs="Times New Roman"/>
          <w:bCs/>
        </w:rPr>
        <w:t>, while in Pakistan, it is strictly for two years.</w:t>
      </w:r>
      <w:r w:rsidR="00085C50" w:rsidRPr="00451BDA">
        <w:rPr>
          <w:rFonts w:ascii="Times New Roman" w:eastAsia="Times New Roman" w:hAnsi="Times New Roman" w:cs="Times New Roman"/>
          <w:bCs/>
        </w:rPr>
        <w:t xml:space="preserve"> However, a comparability in the system of two is likely to be achieved because of certain measures taken by Pakistan</w:t>
      </w:r>
      <w:r w:rsidRPr="00451BDA">
        <w:rPr>
          <w:rFonts w:ascii="Times New Roman" w:eastAsia="Times New Roman" w:hAnsi="Times New Roman" w:cs="Times New Roman"/>
          <w:bCs/>
        </w:rPr>
        <w:t xml:space="preserve">i HE, such as spreading undergraduate degree to the span of four years, creating minimum standards for curriculum (Saeed, 2007). </w:t>
      </w:r>
      <w:r w:rsidR="00DF1FBD" w:rsidRPr="00451BDA">
        <w:rPr>
          <w:rFonts w:ascii="Times New Roman" w:eastAsia="Times New Roman" w:hAnsi="Times New Roman" w:cs="Times New Roman"/>
          <w:bCs/>
        </w:rPr>
        <w:t xml:space="preserve">Furthermore, </w:t>
      </w:r>
      <w:r w:rsidRPr="00451BDA">
        <w:rPr>
          <w:rFonts w:ascii="Times New Roman" w:eastAsia="Times New Roman" w:hAnsi="Times New Roman" w:cs="Times New Roman"/>
          <w:bCs/>
        </w:rPr>
        <w:t xml:space="preserve">the Pak-UK Education Gateway </w:t>
      </w:r>
      <w:r w:rsidR="00902693" w:rsidRPr="00451BDA">
        <w:rPr>
          <w:rFonts w:ascii="Times New Roman" w:eastAsia="Times New Roman" w:hAnsi="Times New Roman" w:cs="Times New Roman"/>
          <w:bCs/>
        </w:rPr>
        <w:t xml:space="preserve">for transnational education (British </w:t>
      </w:r>
      <w:r w:rsidR="000169AB" w:rsidRPr="00451BDA">
        <w:rPr>
          <w:rFonts w:ascii="Times New Roman" w:eastAsia="Times New Roman" w:hAnsi="Times New Roman" w:cs="Times New Roman"/>
          <w:bCs/>
        </w:rPr>
        <w:t>C</w:t>
      </w:r>
      <w:r w:rsidR="00902693" w:rsidRPr="00451BDA">
        <w:rPr>
          <w:rFonts w:ascii="Times New Roman" w:eastAsia="Times New Roman" w:hAnsi="Times New Roman" w:cs="Times New Roman"/>
          <w:bCs/>
        </w:rPr>
        <w:t xml:space="preserve">ouncil, 2022) </w:t>
      </w:r>
      <w:r w:rsidR="00DF1FBD" w:rsidRPr="00451BDA">
        <w:rPr>
          <w:rFonts w:ascii="Times New Roman" w:eastAsia="Times New Roman" w:hAnsi="Times New Roman" w:cs="Times New Roman"/>
          <w:bCs/>
        </w:rPr>
        <w:t>tends to open doors for social, cultural, and education</w:t>
      </w:r>
      <w:r w:rsidRPr="00451BDA">
        <w:rPr>
          <w:rFonts w:ascii="Times New Roman" w:eastAsia="Times New Roman" w:hAnsi="Times New Roman" w:cs="Times New Roman"/>
          <w:bCs/>
        </w:rPr>
        <w:t xml:space="preserve">al exchanges and consequently </w:t>
      </w:r>
      <w:r w:rsidR="00223788" w:rsidRPr="00451BDA">
        <w:rPr>
          <w:rFonts w:ascii="Times New Roman" w:eastAsia="Times New Roman" w:hAnsi="Times New Roman" w:cs="Times New Roman"/>
          <w:bCs/>
        </w:rPr>
        <w:t>leads to</w:t>
      </w:r>
      <w:r w:rsidR="00DF1FBD" w:rsidRPr="00451BDA">
        <w:rPr>
          <w:rFonts w:ascii="Times New Roman" w:eastAsia="Times New Roman" w:hAnsi="Times New Roman" w:cs="Times New Roman"/>
          <w:bCs/>
        </w:rPr>
        <w:t xml:space="preserve"> comparability between HE cultures and outcomes. </w:t>
      </w:r>
    </w:p>
    <w:p w14:paraId="1B81B4DA" w14:textId="4DCD1FC5" w:rsidR="000A4A13" w:rsidRPr="00451BDA" w:rsidRDefault="00000000" w:rsidP="004B4620">
      <w:pPr>
        <w:shd w:val="clear" w:color="auto" w:fill="FFFFFF" w:themeFill="background1"/>
        <w:spacing w:line="240" w:lineRule="auto"/>
        <w:ind w:firstLine="720"/>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Both the UK and Pakistan focus on international students, either as hosts or as home countries. UK-based strategies target </w:t>
      </w:r>
      <w:r w:rsidR="00826CFC" w:rsidRPr="00451BDA">
        <w:rPr>
          <w:rFonts w:ascii="Times New Roman" w:eastAsia="Times New Roman" w:hAnsi="Times New Roman" w:cs="Times New Roman"/>
          <w:bCs/>
        </w:rPr>
        <w:t xml:space="preserve">an </w:t>
      </w:r>
      <w:r w:rsidR="001C3355" w:rsidRPr="00451BDA">
        <w:rPr>
          <w:rFonts w:ascii="Times New Roman" w:eastAsia="Times New Roman" w:hAnsi="Times New Roman" w:cs="Times New Roman"/>
          <w:bCs/>
        </w:rPr>
        <w:t>increas</w:t>
      </w:r>
      <w:r w:rsidR="005A18E8" w:rsidRPr="00451BDA">
        <w:rPr>
          <w:rFonts w:ascii="Times New Roman" w:eastAsia="Times New Roman" w:hAnsi="Times New Roman" w:cs="Times New Roman"/>
          <w:bCs/>
        </w:rPr>
        <w:t>e</w:t>
      </w:r>
      <w:r w:rsidRPr="00451BDA">
        <w:rPr>
          <w:rFonts w:ascii="Times New Roman" w:eastAsia="Times New Roman" w:hAnsi="Times New Roman" w:cs="Times New Roman"/>
          <w:bCs/>
        </w:rPr>
        <w:t xml:space="preserve"> in international HE students and</w:t>
      </w:r>
      <w:r w:rsidR="005A18E8" w:rsidRPr="00451BDA">
        <w:rPr>
          <w:rFonts w:ascii="Times New Roman" w:eastAsia="Times New Roman" w:hAnsi="Times New Roman" w:cs="Times New Roman"/>
          <w:bCs/>
        </w:rPr>
        <w:t xml:space="preserve"> </w:t>
      </w:r>
      <w:r w:rsidRPr="00451BDA">
        <w:rPr>
          <w:rFonts w:ascii="Times New Roman" w:eastAsia="Times New Roman" w:hAnsi="Times New Roman" w:cs="Times New Roman"/>
          <w:bCs/>
        </w:rPr>
        <w:t>recruitment to 600,000 each year by 2030 (Department of Education and Department of International Trade UK, 2021)</w:t>
      </w:r>
      <w:r w:rsidR="005A18E8" w:rsidRPr="00451BDA">
        <w:rPr>
          <w:rFonts w:ascii="Times New Roman" w:eastAsia="Times New Roman" w:hAnsi="Times New Roman" w:cs="Times New Roman"/>
          <w:bCs/>
        </w:rPr>
        <w:t xml:space="preserve">. </w:t>
      </w:r>
      <w:r w:rsidRPr="00451BDA">
        <w:rPr>
          <w:rFonts w:ascii="Times New Roman" w:eastAsia="Times New Roman" w:hAnsi="Times New Roman" w:cs="Times New Roman"/>
          <w:bCs/>
        </w:rPr>
        <w:t xml:space="preserve">The UK </w:t>
      </w:r>
      <w:r w:rsidR="001C3355" w:rsidRPr="00451BDA">
        <w:rPr>
          <w:rFonts w:ascii="Times New Roman" w:eastAsia="Times New Roman" w:hAnsi="Times New Roman" w:cs="Times New Roman"/>
          <w:bCs/>
        </w:rPr>
        <w:t>was ranked as</w:t>
      </w:r>
      <w:r w:rsidRPr="00451BDA">
        <w:rPr>
          <w:rFonts w:ascii="Times New Roman" w:eastAsia="Times New Roman" w:hAnsi="Times New Roman" w:cs="Times New Roman"/>
          <w:bCs/>
        </w:rPr>
        <w:t xml:space="preserve"> the top study destination in 2019 (Peak, 2022). In Pakistan, internationalization is mainly focused </w:t>
      </w:r>
      <w:r w:rsidR="005A18E8" w:rsidRPr="00451BDA">
        <w:rPr>
          <w:rFonts w:ascii="Times New Roman" w:eastAsia="Times New Roman" w:hAnsi="Times New Roman" w:cs="Times New Roman"/>
          <w:bCs/>
        </w:rPr>
        <w:t>on students’</w:t>
      </w:r>
      <w:r w:rsidRPr="00451BDA">
        <w:rPr>
          <w:rFonts w:ascii="Times New Roman" w:eastAsia="Times New Roman" w:hAnsi="Times New Roman" w:cs="Times New Roman"/>
          <w:bCs/>
        </w:rPr>
        <w:t xml:space="preserve"> access</w:t>
      </w:r>
      <w:r w:rsidR="005A18E8" w:rsidRPr="00451BDA">
        <w:rPr>
          <w:rFonts w:ascii="Times New Roman" w:eastAsia="Times New Roman" w:hAnsi="Times New Roman" w:cs="Times New Roman"/>
          <w:bCs/>
        </w:rPr>
        <w:t xml:space="preserve"> to</w:t>
      </w:r>
      <w:r w:rsidRPr="00451BDA">
        <w:rPr>
          <w:rFonts w:ascii="Times New Roman" w:eastAsia="Times New Roman" w:hAnsi="Times New Roman" w:cs="Times New Roman"/>
          <w:bCs/>
        </w:rPr>
        <w:t xml:space="preserve"> international educational opportunities (Zakaria et al., 2016). The number of Pakistani students who perused HE in the UK during 2020/21 </w:t>
      </w:r>
      <w:r w:rsidR="004B4620" w:rsidRPr="00451BDA">
        <w:rPr>
          <w:rFonts w:ascii="Times New Roman" w:eastAsia="Times New Roman" w:hAnsi="Times New Roman" w:cs="Times New Roman"/>
          <w:bCs/>
        </w:rPr>
        <w:t>significantly increased compared to 2019/20</w:t>
      </w:r>
      <w:r w:rsidRPr="00451BDA">
        <w:rPr>
          <w:rFonts w:ascii="Times New Roman" w:eastAsia="Times New Roman" w:hAnsi="Times New Roman" w:cs="Times New Roman"/>
          <w:bCs/>
        </w:rPr>
        <w:t xml:space="preserve"> (Yousafzai, 2022). </w:t>
      </w:r>
      <w:r w:rsidR="005A18E8" w:rsidRPr="00451BDA">
        <w:rPr>
          <w:rFonts w:ascii="Times New Roman" w:eastAsia="Times New Roman" w:hAnsi="Times New Roman" w:cs="Times New Roman"/>
          <w:bCs/>
        </w:rPr>
        <w:t>Hence</w:t>
      </w:r>
      <w:r w:rsidRPr="00451BDA">
        <w:rPr>
          <w:rFonts w:ascii="Times New Roman" w:eastAsia="Times New Roman" w:hAnsi="Times New Roman" w:cs="Times New Roman"/>
          <w:bCs/>
        </w:rPr>
        <w:t>, the focus of preparing youth for the global world is centripetal.</w:t>
      </w:r>
    </w:p>
    <w:p w14:paraId="1D2CB0D2" w14:textId="41106BD9" w:rsidR="00ED6709" w:rsidRPr="00451BDA" w:rsidRDefault="00000000" w:rsidP="00824CD1">
      <w:pPr>
        <w:pStyle w:val="NormalWeb"/>
        <w:shd w:val="clear" w:color="auto" w:fill="FFFFFF" w:themeFill="background1"/>
        <w:spacing w:before="0" w:beforeAutospacing="0" w:after="0" w:afterAutospacing="0"/>
        <w:ind w:firstLine="720"/>
        <w:contextualSpacing/>
        <w:rPr>
          <w:bCs/>
          <w:sz w:val="22"/>
          <w:szCs w:val="22"/>
          <w:bdr w:val="none" w:sz="0" w:space="0" w:color="auto" w:frame="1"/>
        </w:rPr>
      </w:pPr>
      <w:r w:rsidRPr="00451BDA">
        <w:rPr>
          <w:bCs/>
          <w:sz w:val="22"/>
          <w:szCs w:val="22"/>
        </w:rPr>
        <w:t>HE mobility prevails</w:t>
      </w:r>
      <w:r w:rsidR="00892E83" w:rsidRPr="00451BDA">
        <w:rPr>
          <w:bCs/>
          <w:sz w:val="22"/>
          <w:szCs w:val="22"/>
        </w:rPr>
        <w:t xml:space="preserve"> </w:t>
      </w:r>
      <w:r w:rsidR="0080160E" w:rsidRPr="00451BDA">
        <w:rPr>
          <w:bCs/>
          <w:sz w:val="22"/>
          <w:szCs w:val="22"/>
          <w:bdr w:val="none" w:sz="0" w:space="0" w:color="auto" w:frame="1"/>
        </w:rPr>
        <w:t xml:space="preserve">despite the </w:t>
      </w:r>
      <w:r w:rsidR="001F51C1" w:rsidRPr="00451BDA">
        <w:rPr>
          <w:bCs/>
          <w:sz w:val="22"/>
          <w:szCs w:val="22"/>
          <w:bdr w:val="none" w:sz="0" w:space="0" w:color="auto" w:frame="1"/>
        </w:rPr>
        <w:t xml:space="preserve">drawbacks associated </w:t>
      </w:r>
      <w:r w:rsidR="009619CF" w:rsidRPr="00451BDA">
        <w:rPr>
          <w:bCs/>
          <w:sz w:val="22"/>
          <w:szCs w:val="22"/>
        </w:rPr>
        <w:t xml:space="preserve">with </w:t>
      </w:r>
      <w:r w:rsidRPr="00451BDA">
        <w:rPr>
          <w:bCs/>
          <w:sz w:val="22"/>
          <w:szCs w:val="22"/>
        </w:rPr>
        <w:t>the loss of cultural identity and brain drain specific to</w:t>
      </w:r>
      <w:r w:rsidR="00DA6173" w:rsidRPr="00451BDA">
        <w:rPr>
          <w:bCs/>
          <w:sz w:val="22"/>
          <w:szCs w:val="22"/>
        </w:rPr>
        <w:t xml:space="preserve"> the Pakistani context</w:t>
      </w:r>
      <w:r w:rsidR="009018FC" w:rsidRPr="00451BDA">
        <w:rPr>
          <w:bCs/>
          <w:sz w:val="22"/>
          <w:szCs w:val="22"/>
        </w:rPr>
        <w:t xml:space="preserve"> </w:t>
      </w:r>
      <w:r w:rsidR="00DA6173" w:rsidRPr="00451BDA">
        <w:rPr>
          <w:bCs/>
          <w:sz w:val="22"/>
          <w:szCs w:val="22"/>
        </w:rPr>
        <w:t>(</w:t>
      </w:r>
      <w:proofErr w:type="spellStart"/>
      <w:r w:rsidR="00DA6173" w:rsidRPr="00451BDA">
        <w:rPr>
          <w:bCs/>
          <w:sz w:val="22"/>
          <w:szCs w:val="22"/>
        </w:rPr>
        <w:t>Jibeen</w:t>
      </w:r>
      <w:proofErr w:type="spellEnd"/>
      <w:r w:rsidR="00DA6173" w:rsidRPr="00451BDA">
        <w:rPr>
          <w:bCs/>
          <w:sz w:val="22"/>
          <w:szCs w:val="22"/>
        </w:rPr>
        <w:t xml:space="preserve"> and</w:t>
      </w:r>
      <w:r w:rsidR="009619CF" w:rsidRPr="00451BDA">
        <w:rPr>
          <w:bCs/>
          <w:sz w:val="22"/>
          <w:szCs w:val="22"/>
        </w:rPr>
        <w:t xml:space="preserve"> Khan, 2015) and a lack of focus on </w:t>
      </w:r>
      <w:r w:rsidR="00E77144" w:rsidRPr="00451BDA">
        <w:rPr>
          <w:bCs/>
          <w:sz w:val="22"/>
          <w:szCs w:val="22"/>
        </w:rPr>
        <w:t xml:space="preserve">the </w:t>
      </w:r>
      <w:r w:rsidR="009619CF" w:rsidRPr="00451BDA">
        <w:rPr>
          <w:bCs/>
          <w:sz w:val="22"/>
          <w:szCs w:val="22"/>
        </w:rPr>
        <w:t xml:space="preserve">national labor market needs specific to </w:t>
      </w:r>
      <w:r w:rsidR="00D054D3" w:rsidRPr="00451BDA">
        <w:rPr>
          <w:bCs/>
          <w:sz w:val="22"/>
          <w:szCs w:val="22"/>
        </w:rPr>
        <w:t xml:space="preserve">the </w:t>
      </w:r>
      <w:r w:rsidR="009619CF" w:rsidRPr="00451BDA">
        <w:rPr>
          <w:bCs/>
          <w:sz w:val="22"/>
          <w:szCs w:val="22"/>
        </w:rPr>
        <w:t xml:space="preserve">UK context for disciplines such as Biosciences (Kirk </w:t>
      </w:r>
      <w:r w:rsidR="001074A0" w:rsidRPr="00451BDA">
        <w:rPr>
          <w:bCs/>
          <w:sz w:val="22"/>
          <w:szCs w:val="22"/>
        </w:rPr>
        <w:t>e</w:t>
      </w:r>
      <w:r w:rsidR="009619CF" w:rsidRPr="00451BDA">
        <w:rPr>
          <w:bCs/>
          <w:sz w:val="22"/>
          <w:szCs w:val="22"/>
        </w:rPr>
        <w:t>t al., 2018).</w:t>
      </w:r>
      <w:r w:rsidR="00DA1AD7" w:rsidRPr="00451BDA">
        <w:rPr>
          <w:bCs/>
          <w:sz w:val="22"/>
          <w:szCs w:val="22"/>
        </w:rPr>
        <w:t xml:space="preserve"> </w:t>
      </w:r>
      <w:r w:rsidR="001C3355" w:rsidRPr="00451BDA">
        <w:rPr>
          <w:bCs/>
          <w:sz w:val="22"/>
          <w:szCs w:val="22"/>
        </w:rPr>
        <w:t>Despite this, t</w:t>
      </w:r>
      <w:r w:rsidR="00DA1AD7" w:rsidRPr="00451BDA">
        <w:rPr>
          <w:bCs/>
          <w:sz w:val="22"/>
          <w:szCs w:val="22"/>
        </w:rPr>
        <w:t>here</w:t>
      </w:r>
      <w:r w:rsidR="00843D4D" w:rsidRPr="00451BDA">
        <w:rPr>
          <w:bCs/>
          <w:sz w:val="22"/>
          <w:szCs w:val="22"/>
        </w:rPr>
        <w:t xml:space="preserve"> is unanimous agreement on </w:t>
      </w:r>
      <w:r w:rsidR="009018FC" w:rsidRPr="00451BDA">
        <w:rPr>
          <w:bCs/>
          <w:sz w:val="22"/>
          <w:szCs w:val="22"/>
        </w:rPr>
        <w:t xml:space="preserve">the </w:t>
      </w:r>
      <w:r w:rsidR="00DA1AD7" w:rsidRPr="00451BDA">
        <w:rPr>
          <w:bCs/>
          <w:sz w:val="22"/>
          <w:szCs w:val="22"/>
        </w:rPr>
        <w:t xml:space="preserve">benefits </w:t>
      </w:r>
      <w:r w:rsidR="00E77144" w:rsidRPr="00451BDA">
        <w:rPr>
          <w:bCs/>
          <w:sz w:val="22"/>
          <w:szCs w:val="22"/>
        </w:rPr>
        <w:t>of</w:t>
      </w:r>
      <w:r w:rsidR="00DA1AD7" w:rsidRPr="00451BDA">
        <w:rPr>
          <w:bCs/>
          <w:sz w:val="22"/>
          <w:szCs w:val="22"/>
        </w:rPr>
        <w:t xml:space="preserve"> global career readiness competencies and cross-cultural competence (</w:t>
      </w:r>
      <w:proofErr w:type="spellStart"/>
      <w:r w:rsidR="0080160E" w:rsidRPr="00451BDA">
        <w:rPr>
          <w:bCs/>
          <w:sz w:val="22"/>
          <w:szCs w:val="22"/>
        </w:rPr>
        <w:t>Akinbod</w:t>
      </w:r>
      <w:proofErr w:type="spellEnd"/>
      <w:r w:rsidR="0080160E" w:rsidRPr="00451BDA">
        <w:rPr>
          <w:bCs/>
          <w:sz w:val="22"/>
          <w:szCs w:val="22"/>
        </w:rPr>
        <w:t xml:space="preserve"> et al., </w:t>
      </w:r>
      <w:r w:rsidR="00227F0A" w:rsidRPr="00451BDA">
        <w:rPr>
          <w:bCs/>
          <w:sz w:val="22"/>
          <w:szCs w:val="22"/>
        </w:rPr>
        <w:t>2017</w:t>
      </w:r>
      <w:r w:rsidR="0080160E" w:rsidRPr="00451BDA">
        <w:rPr>
          <w:bCs/>
          <w:sz w:val="22"/>
          <w:szCs w:val="22"/>
        </w:rPr>
        <w:t xml:space="preserve">; </w:t>
      </w:r>
      <w:r w:rsidR="00DA1AD7" w:rsidRPr="00451BDA">
        <w:rPr>
          <w:bCs/>
          <w:sz w:val="22"/>
          <w:szCs w:val="22"/>
        </w:rPr>
        <w:t>Pinto, 2018</w:t>
      </w:r>
      <w:r w:rsidR="003237CD" w:rsidRPr="00451BDA">
        <w:rPr>
          <w:bCs/>
          <w:sz w:val="22"/>
          <w:szCs w:val="22"/>
        </w:rPr>
        <w:t xml:space="preserve">) other than </w:t>
      </w:r>
      <w:r w:rsidR="009018FC" w:rsidRPr="00451BDA">
        <w:rPr>
          <w:bCs/>
          <w:sz w:val="22"/>
          <w:szCs w:val="22"/>
        </w:rPr>
        <w:t xml:space="preserve">the financial </w:t>
      </w:r>
      <w:r w:rsidR="00DA1AD7" w:rsidRPr="00451BDA">
        <w:rPr>
          <w:bCs/>
          <w:sz w:val="22"/>
          <w:szCs w:val="22"/>
        </w:rPr>
        <w:t xml:space="preserve">benefits associated with </w:t>
      </w:r>
      <w:r w:rsidR="002B0443" w:rsidRPr="00451BDA">
        <w:rPr>
          <w:bCs/>
          <w:sz w:val="22"/>
          <w:szCs w:val="22"/>
        </w:rPr>
        <w:t>having</w:t>
      </w:r>
      <w:r w:rsidR="009018FC" w:rsidRPr="00451BDA">
        <w:rPr>
          <w:bCs/>
          <w:sz w:val="22"/>
          <w:szCs w:val="22"/>
        </w:rPr>
        <w:t xml:space="preserve"> international students</w:t>
      </w:r>
      <w:r w:rsidR="00DA1AD7" w:rsidRPr="00451BDA">
        <w:rPr>
          <w:bCs/>
          <w:sz w:val="22"/>
          <w:szCs w:val="22"/>
        </w:rPr>
        <w:t xml:space="preserve">. </w:t>
      </w:r>
      <w:r w:rsidR="00D81B47" w:rsidRPr="00451BDA">
        <w:rPr>
          <w:bCs/>
          <w:sz w:val="22"/>
          <w:szCs w:val="22"/>
        </w:rPr>
        <w:t>M</w:t>
      </w:r>
      <w:r w:rsidR="001C3355" w:rsidRPr="00451BDA">
        <w:rPr>
          <w:bCs/>
          <w:sz w:val="22"/>
          <w:szCs w:val="22"/>
        </w:rPr>
        <w:t>oreover</w:t>
      </w:r>
      <w:r w:rsidR="00CC1F1E" w:rsidRPr="00451BDA">
        <w:rPr>
          <w:bCs/>
          <w:sz w:val="22"/>
          <w:szCs w:val="22"/>
        </w:rPr>
        <w:t xml:space="preserve">, international students </w:t>
      </w:r>
      <w:r w:rsidR="009018FC" w:rsidRPr="00451BDA">
        <w:rPr>
          <w:bCs/>
          <w:sz w:val="22"/>
          <w:szCs w:val="22"/>
        </w:rPr>
        <w:t xml:space="preserve">on </w:t>
      </w:r>
      <w:r w:rsidR="00CC1F1E" w:rsidRPr="00451BDA">
        <w:rPr>
          <w:bCs/>
          <w:sz w:val="22"/>
          <w:szCs w:val="22"/>
        </w:rPr>
        <w:t>return home</w:t>
      </w:r>
      <w:r w:rsidRPr="00451BDA">
        <w:rPr>
          <w:bCs/>
          <w:sz w:val="22"/>
          <w:szCs w:val="22"/>
        </w:rPr>
        <w:t>s may bring back</w:t>
      </w:r>
      <w:r w:rsidR="000E0534" w:rsidRPr="00451BDA">
        <w:rPr>
          <w:bCs/>
          <w:sz w:val="22"/>
          <w:szCs w:val="22"/>
        </w:rPr>
        <w:t xml:space="preserve"> international</w:t>
      </w:r>
      <w:r w:rsidR="00CC1F1E" w:rsidRPr="00451BDA">
        <w:rPr>
          <w:bCs/>
          <w:sz w:val="22"/>
          <w:szCs w:val="22"/>
        </w:rPr>
        <w:t xml:space="preserve"> linkages </w:t>
      </w:r>
      <w:r w:rsidR="00B40698" w:rsidRPr="00451BDA">
        <w:rPr>
          <w:bCs/>
          <w:sz w:val="22"/>
          <w:szCs w:val="22"/>
        </w:rPr>
        <w:t>(</w:t>
      </w:r>
      <w:r w:rsidR="007039DF" w:rsidRPr="00451BDA">
        <w:rPr>
          <w:bCs/>
          <w:sz w:val="22"/>
          <w:szCs w:val="22"/>
        </w:rPr>
        <w:t>Australian</w:t>
      </w:r>
      <w:r w:rsidR="00B40698" w:rsidRPr="00451BDA">
        <w:rPr>
          <w:bCs/>
          <w:sz w:val="22"/>
          <w:szCs w:val="22"/>
        </w:rPr>
        <w:t xml:space="preserve"> Government, 2015</w:t>
      </w:r>
      <w:r w:rsidR="00685F83" w:rsidRPr="00451BDA">
        <w:rPr>
          <w:bCs/>
          <w:sz w:val="22"/>
          <w:szCs w:val="22"/>
        </w:rPr>
        <w:t>)</w:t>
      </w:r>
      <w:r w:rsidR="001C3355" w:rsidRPr="00451BDA">
        <w:rPr>
          <w:bCs/>
          <w:sz w:val="22"/>
          <w:szCs w:val="22"/>
        </w:rPr>
        <w:t>.</w:t>
      </w:r>
      <w:r w:rsidR="00824CD1" w:rsidRPr="00451BDA">
        <w:rPr>
          <w:bCs/>
          <w:sz w:val="22"/>
          <w:szCs w:val="22"/>
          <w:bdr w:val="none" w:sz="0" w:space="0" w:color="auto" w:frame="1"/>
        </w:rPr>
        <w:t xml:space="preserve"> </w:t>
      </w:r>
      <w:r w:rsidRPr="00451BDA">
        <w:rPr>
          <w:bCs/>
          <w:sz w:val="22"/>
          <w:szCs w:val="22"/>
        </w:rPr>
        <w:t xml:space="preserve">This is often associated with </w:t>
      </w:r>
      <w:r w:rsidR="003C3AFA" w:rsidRPr="00451BDA">
        <w:rPr>
          <w:bCs/>
          <w:sz w:val="22"/>
          <w:szCs w:val="22"/>
          <w:bdr w:val="none" w:sz="0" w:space="0" w:color="auto" w:frame="1"/>
        </w:rPr>
        <w:t>c</w:t>
      </w:r>
      <w:r w:rsidR="0006537B" w:rsidRPr="00451BDA">
        <w:rPr>
          <w:bCs/>
          <w:sz w:val="22"/>
          <w:szCs w:val="22"/>
          <w:bdr w:val="none" w:sz="0" w:space="0" w:color="auto" w:frame="1"/>
        </w:rPr>
        <w:t>ultural</w:t>
      </w:r>
      <w:r w:rsidR="006C69E2" w:rsidRPr="00451BDA">
        <w:rPr>
          <w:bCs/>
          <w:sz w:val="22"/>
          <w:szCs w:val="22"/>
          <w:bdr w:val="none" w:sz="0" w:space="0" w:color="auto" w:frame="1"/>
        </w:rPr>
        <w:t>,</w:t>
      </w:r>
      <w:r w:rsidR="0006537B" w:rsidRPr="00451BDA">
        <w:rPr>
          <w:bCs/>
          <w:sz w:val="22"/>
          <w:szCs w:val="22"/>
          <w:bdr w:val="none" w:sz="0" w:space="0" w:color="auto" w:frame="1"/>
        </w:rPr>
        <w:t xml:space="preserve"> knowledge</w:t>
      </w:r>
      <w:r w:rsidR="00826CFC" w:rsidRPr="00451BDA">
        <w:rPr>
          <w:bCs/>
          <w:sz w:val="22"/>
          <w:szCs w:val="22"/>
          <w:bdr w:val="none" w:sz="0" w:space="0" w:color="auto" w:frame="1"/>
        </w:rPr>
        <w:t>,</w:t>
      </w:r>
      <w:r w:rsidR="009018FC" w:rsidRPr="00451BDA">
        <w:rPr>
          <w:bCs/>
          <w:sz w:val="22"/>
          <w:szCs w:val="22"/>
          <w:bdr w:val="none" w:sz="0" w:space="0" w:color="auto" w:frame="1"/>
        </w:rPr>
        <w:t xml:space="preserve"> </w:t>
      </w:r>
      <w:r w:rsidR="002D406A" w:rsidRPr="00451BDA">
        <w:rPr>
          <w:bCs/>
          <w:sz w:val="22"/>
          <w:szCs w:val="22"/>
          <w:bdr w:val="none" w:sz="0" w:space="0" w:color="auto" w:frame="1"/>
        </w:rPr>
        <w:t>and</w:t>
      </w:r>
      <w:r w:rsidR="0022622A" w:rsidRPr="00451BDA">
        <w:rPr>
          <w:bCs/>
          <w:sz w:val="22"/>
          <w:szCs w:val="22"/>
          <w:bdr w:val="none" w:sz="0" w:space="0" w:color="auto" w:frame="1"/>
        </w:rPr>
        <w:t xml:space="preserve"> economic gains</w:t>
      </w:r>
      <w:r w:rsidR="003C3AFA" w:rsidRPr="00451BDA">
        <w:rPr>
          <w:bCs/>
          <w:sz w:val="22"/>
          <w:szCs w:val="22"/>
          <w:bdr w:val="none" w:sz="0" w:space="0" w:color="auto" w:frame="1"/>
        </w:rPr>
        <w:t xml:space="preserve"> are often associated </w:t>
      </w:r>
      <w:r w:rsidR="00823C6B" w:rsidRPr="00451BDA">
        <w:rPr>
          <w:bCs/>
          <w:sz w:val="22"/>
          <w:szCs w:val="22"/>
          <w:bdr w:val="none" w:sz="0" w:space="0" w:color="auto" w:frame="1"/>
        </w:rPr>
        <w:t>with</w:t>
      </w:r>
      <w:r w:rsidR="003C3AFA" w:rsidRPr="00451BDA">
        <w:rPr>
          <w:bCs/>
          <w:sz w:val="22"/>
          <w:szCs w:val="22"/>
          <w:bdr w:val="none" w:sz="0" w:space="0" w:color="auto" w:frame="1"/>
        </w:rPr>
        <w:t xml:space="preserve"> this</w:t>
      </w:r>
      <w:r w:rsidR="0006537B" w:rsidRPr="00451BDA">
        <w:rPr>
          <w:bCs/>
          <w:sz w:val="22"/>
          <w:szCs w:val="22"/>
          <w:bdr w:val="none" w:sz="0" w:space="0" w:color="auto" w:frame="1"/>
        </w:rPr>
        <w:t xml:space="preserve"> </w:t>
      </w:r>
      <w:r w:rsidR="00DA6173" w:rsidRPr="00451BDA">
        <w:rPr>
          <w:bCs/>
          <w:sz w:val="22"/>
          <w:szCs w:val="22"/>
          <w:bdr w:val="none" w:sz="0" w:space="0" w:color="auto" w:frame="1"/>
        </w:rPr>
        <w:t>(</w:t>
      </w:r>
      <w:r w:rsidR="00A24CD2" w:rsidRPr="00451BDA">
        <w:rPr>
          <w:bCs/>
          <w:sz w:val="22"/>
          <w:szCs w:val="22"/>
          <w:bdr w:val="none" w:sz="0" w:space="0" w:color="auto" w:frame="1"/>
        </w:rPr>
        <w:t>Neary et al.</w:t>
      </w:r>
      <w:r w:rsidR="00EF67AB" w:rsidRPr="00451BDA">
        <w:rPr>
          <w:bCs/>
          <w:sz w:val="22"/>
          <w:szCs w:val="22"/>
          <w:bdr w:val="none" w:sz="0" w:space="0" w:color="auto" w:frame="1"/>
        </w:rPr>
        <w:t xml:space="preserve"> 2014; </w:t>
      </w:r>
      <w:r w:rsidR="00DA6173" w:rsidRPr="00451BDA">
        <w:rPr>
          <w:bCs/>
          <w:sz w:val="22"/>
          <w:szCs w:val="22"/>
          <w:bdr w:val="none" w:sz="0" w:space="0" w:color="auto" w:frame="1"/>
        </w:rPr>
        <w:t>Leask and</w:t>
      </w:r>
      <w:r w:rsidR="00D46B90" w:rsidRPr="00451BDA">
        <w:rPr>
          <w:bCs/>
          <w:sz w:val="22"/>
          <w:szCs w:val="22"/>
          <w:bdr w:val="none" w:sz="0" w:space="0" w:color="auto" w:frame="1"/>
        </w:rPr>
        <w:t xml:space="preserve"> Carroll, 2011)</w:t>
      </w:r>
      <w:r w:rsidR="00824CD1" w:rsidRPr="00451BDA">
        <w:rPr>
          <w:bCs/>
          <w:sz w:val="22"/>
          <w:szCs w:val="22"/>
          <w:bdr w:val="none" w:sz="0" w:space="0" w:color="auto" w:frame="1"/>
        </w:rPr>
        <w:t>.</w:t>
      </w:r>
      <w:r w:rsidR="00CE790C" w:rsidRPr="00451BDA">
        <w:rPr>
          <w:bCs/>
          <w:sz w:val="22"/>
          <w:szCs w:val="22"/>
          <w:bdr w:val="none" w:sz="0" w:space="0" w:color="auto" w:frame="1"/>
        </w:rPr>
        <w:t xml:space="preserve"> </w:t>
      </w:r>
    </w:p>
    <w:p w14:paraId="0DBC6501" w14:textId="6F6BD578" w:rsidR="00104623" w:rsidRPr="00451BDA" w:rsidRDefault="00000000" w:rsidP="006E79B5">
      <w:pPr>
        <w:pStyle w:val="NormalWeb"/>
        <w:shd w:val="clear" w:color="auto" w:fill="FFFFFF" w:themeFill="background1"/>
        <w:spacing w:before="0" w:beforeAutospacing="0" w:after="0" w:afterAutospacing="0"/>
        <w:ind w:firstLine="720"/>
        <w:contextualSpacing/>
        <w:rPr>
          <w:bCs/>
          <w:sz w:val="22"/>
          <w:szCs w:val="22"/>
          <w:bdr w:val="none" w:sz="0" w:space="0" w:color="auto" w:frame="1"/>
        </w:rPr>
      </w:pPr>
      <w:r w:rsidRPr="00451BDA">
        <w:rPr>
          <w:bCs/>
          <w:sz w:val="22"/>
          <w:szCs w:val="22"/>
          <w:bdr w:val="none" w:sz="0" w:space="0" w:color="auto" w:frame="1"/>
        </w:rPr>
        <w:t>W</w:t>
      </w:r>
      <w:r w:rsidR="002D406A" w:rsidRPr="00451BDA">
        <w:rPr>
          <w:bCs/>
          <w:sz w:val="22"/>
          <w:szCs w:val="22"/>
          <w:bdr w:val="none" w:sz="0" w:space="0" w:color="auto" w:frame="1"/>
        </w:rPr>
        <w:t>ith the establishment of</w:t>
      </w:r>
      <w:r w:rsidR="002B0443" w:rsidRPr="00451BDA">
        <w:rPr>
          <w:bCs/>
          <w:sz w:val="22"/>
          <w:szCs w:val="22"/>
          <w:bdr w:val="none" w:sz="0" w:space="0" w:color="auto" w:frame="1"/>
        </w:rPr>
        <w:t xml:space="preserve"> </w:t>
      </w:r>
      <w:r w:rsidR="00826CFC" w:rsidRPr="00451BDA">
        <w:rPr>
          <w:bCs/>
          <w:sz w:val="22"/>
          <w:szCs w:val="22"/>
          <w:bdr w:val="none" w:sz="0" w:space="0" w:color="auto" w:frame="1"/>
        </w:rPr>
        <w:t xml:space="preserve">the </w:t>
      </w:r>
      <w:r w:rsidR="00735DDC" w:rsidRPr="00451BDA">
        <w:rPr>
          <w:bCs/>
          <w:sz w:val="22"/>
          <w:szCs w:val="22"/>
          <w:bdr w:val="none" w:sz="0" w:space="0" w:color="auto" w:frame="1"/>
        </w:rPr>
        <w:t xml:space="preserve">Higher Education </w:t>
      </w:r>
      <w:r w:rsidR="004F0158" w:rsidRPr="00451BDA">
        <w:rPr>
          <w:bCs/>
          <w:sz w:val="22"/>
          <w:szCs w:val="22"/>
          <w:bdr w:val="none" w:sz="0" w:space="0" w:color="auto" w:frame="1"/>
        </w:rPr>
        <w:t>Commission</w:t>
      </w:r>
      <w:r w:rsidR="004B4620" w:rsidRPr="00451BDA">
        <w:rPr>
          <w:bCs/>
          <w:sz w:val="22"/>
          <w:szCs w:val="22"/>
          <w:bdr w:val="none" w:sz="0" w:space="0" w:color="auto" w:frame="1"/>
        </w:rPr>
        <w:t xml:space="preserve"> in 2002</w:t>
      </w:r>
      <w:r w:rsidRPr="00451BDA">
        <w:rPr>
          <w:bCs/>
          <w:sz w:val="22"/>
          <w:szCs w:val="22"/>
          <w:bdr w:val="none" w:sz="0" w:space="0" w:color="auto" w:frame="1"/>
        </w:rPr>
        <w:t xml:space="preserve">, </w:t>
      </w:r>
      <w:r w:rsidRPr="00451BDA">
        <w:rPr>
          <w:bCs/>
          <w:sz w:val="22"/>
          <w:szCs w:val="22"/>
        </w:rPr>
        <w:t>the IaH</w:t>
      </w:r>
      <w:r w:rsidR="006C69E2" w:rsidRPr="00451BDA">
        <w:rPr>
          <w:bCs/>
          <w:sz w:val="22"/>
          <w:szCs w:val="22"/>
          <w:bdr w:val="none" w:sz="0" w:space="0" w:color="auto" w:frame="1"/>
        </w:rPr>
        <w:t xml:space="preserve"> </w:t>
      </w:r>
      <w:r w:rsidR="008F0008" w:rsidRPr="00451BDA">
        <w:rPr>
          <w:bCs/>
          <w:sz w:val="22"/>
          <w:szCs w:val="22"/>
          <w:bdr w:val="none" w:sz="0" w:space="0" w:color="auto" w:frame="1"/>
        </w:rPr>
        <w:t>has</w:t>
      </w:r>
      <w:r w:rsidR="00735DDC" w:rsidRPr="00451BDA">
        <w:rPr>
          <w:bCs/>
          <w:sz w:val="22"/>
          <w:szCs w:val="22"/>
          <w:bdr w:val="none" w:sz="0" w:space="0" w:color="auto" w:frame="1"/>
        </w:rPr>
        <w:t xml:space="preserve"> received </w:t>
      </w:r>
      <w:r w:rsidR="006C69E2" w:rsidRPr="00451BDA">
        <w:rPr>
          <w:bCs/>
          <w:sz w:val="22"/>
          <w:szCs w:val="22"/>
          <w:bdr w:val="none" w:sz="0" w:space="0" w:color="auto" w:frame="1"/>
        </w:rPr>
        <w:t xml:space="preserve">increased </w:t>
      </w:r>
      <w:r w:rsidR="00735DDC" w:rsidRPr="00451BDA">
        <w:rPr>
          <w:bCs/>
          <w:sz w:val="22"/>
          <w:szCs w:val="22"/>
          <w:bdr w:val="none" w:sz="0" w:space="0" w:color="auto" w:frame="1"/>
        </w:rPr>
        <w:t xml:space="preserve">attention </w:t>
      </w:r>
      <w:r w:rsidR="006C69E2" w:rsidRPr="00451BDA">
        <w:rPr>
          <w:bCs/>
          <w:sz w:val="22"/>
          <w:szCs w:val="22"/>
          <w:bdr w:val="none" w:sz="0" w:space="0" w:color="auto" w:frame="1"/>
        </w:rPr>
        <w:t>and is being taken up as a thriving</w:t>
      </w:r>
      <w:r w:rsidR="00735DDC" w:rsidRPr="00451BDA">
        <w:rPr>
          <w:bCs/>
          <w:sz w:val="22"/>
          <w:szCs w:val="22"/>
          <w:bdr w:val="none" w:sz="0" w:space="0" w:color="auto" w:frame="1"/>
        </w:rPr>
        <w:t xml:space="preserve"> institutional approach</w:t>
      </w:r>
      <w:r w:rsidR="00831FAA" w:rsidRPr="00451BDA">
        <w:rPr>
          <w:bCs/>
          <w:sz w:val="22"/>
          <w:szCs w:val="22"/>
          <w:bdr w:val="none" w:sz="0" w:space="0" w:color="auto" w:frame="1"/>
        </w:rPr>
        <w:t xml:space="preserve">. </w:t>
      </w:r>
      <w:r w:rsidR="00826CFC" w:rsidRPr="00451BDA">
        <w:rPr>
          <w:bCs/>
          <w:sz w:val="22"/>
          <w:szCs w:val="22"/>
          <w:bdr w:val="none" w:sz="0" w:space="0" w:color="auto" w:frame="1"/>
        </w:rPr>
        <w:t>A r</w:t>
      </w:r>
      <w:r w:rsidR="00205579" w:rsidRPr="00451BDA">
        <w:rPr>
          <w:bCs/>
          <w:sz w:val="22"/>
          <w:szCs w:val="22"/>
          <w:bdr w:val="none" w:sz="0" w:space="0" w:color="auto" w:frame="1"/>
        </w:rPr>
        <w:t xml:space="preserve">eview </w:t>
      </w:r>
      <w:r w:rsidR="00826CFC" w:rsidRPr="00451BDA">
        <w:rPr>
          <w:bCs/>
          <w:sz w:val="22"/>
          <w:szCs w:val="22"/>
          <w:bdr w:val="none" w:sz="0" w:space="0" w:color="auto" w:frame="1"/>
        </w:rPr>
        <w:t xml:space="preserve">of research </w:t>
      </w:r>
      <w:r w:rsidR="00205579" w:rsidRPr="00451BDA">
        <w:rPr>
          <w:bCs/>
          <w:sz w:val="22"/>
          <w:szCs w:val="22"/>
          <w:bdr w:val="none" w:sz="0" w:space="0" w:color="auto" w:frame="1"/>
        </w:rPr>
        <w:t>from Pakistan</w:t>
      </w:r>
      <w:r w:rsidR="00824CD1" w:rsidRPr="00451BDA">
        <w:rPr>
          <w:bCs/>
          <w:sz w:val="22"/>
          <w:szCs w:val="22"/>
          <w:bdr w:val="none" w:sz="0" w:space="0" w:color="auto" w:frame="1"/>
        </w:rPr>
        <w:t xml:space="preserve"> </w:t>
      </w:r>
      <w:r w:rsidR="00205579" w:rsidRPr="00451BDA">
        <w:rPr>
          <w:bCs/>
          <w:sz w:val="22"/>
          <w:szCs w:val="22"/>
          <w:bdr w:val="none" w:sz="0" w:space="0" w:color="auto" w:frame="1"/>
        </w:rPr>
        <w:t xml:space="preserve">also </w:t>
      </w:r>
      <w:r w:rsidR="00826CFC" w:rsidRPr="00451BDA">
        <w:rPr>
          <w:bCs/>
          <w:sz w:val="22"/>
          <w:szCs w:val="22"/>
          <w:bdr w:val="none" w:sz="0" w:space="0" w:color="auto" w:frame="1"/>
        </w:rPr>
        <w:t>confirms</w:t>
      </w:r>
      <w:r w:rsidR="00205579" w:rsidRPr="00451BDA">
        <w:rPr>
          <w:bCs/>
          <w:sz w:val="22"/>
          <w:szCs w:val="22"/>
          <w:bdr w:val="none" w:sz="0" w:space="0" w:color="auto" w:frame="1"/>
        </w:rPr>
        <w:t xml:space="preserve"> </w:t>
      </w:r>
      <w:r w:rsidR="00824CD1" w:rsidRPr="00451BDA">
        <w:rPr>
          <w:bCs/>
          <w:sz w:val="22"/>
          <w:szCs w:val="22"/>
          <w:bdr w:val="none" w:sz="0" w:space="0" w:color="auto" w:frame="1"/>
        </w:rPr>
        <w:t>that</w:t>
      </w:r>
      <w:r w:rsidR="00831FAA" w:rsidRPr="00451BDA">
        <w:rPr>
          <w:bCs/>
          <w:sz w:val="22"/>
          <w:szCs w:val="22"/>
          <w:bdr w:val="none" w:sz="0" w:space="0" w:color="auto" w:frame="1"/>
        </w:rPr>
        <w:t xml:space="preserve"> universities shall “</w:t>
      </w:r>
      <w:r w:rsidR="006F67AB" w:rsidRPr="00451BDA">
        <w:rPr>
          <w:bCs/>
          <w:sz w:val="22"/>
          <w:szCs w:val="22"/>
        </w:rPr>
        <w:t>d</w:t>
      </w:r>
      <w:r w:rsidR="00831FAA" w:rsidRPr="00451BDA">
        <w:rPr>
          <w:bCs/>
          <w:sz w:val="22"/>
          <w:szCs w:val="22"/>
        </w:rPr>
        <w:t>evelop international standards curriculum that genuinely encompasses international and global issues” (Zakaria et al., 2016; p. 86)</w:t>
      </w:r>
      <w:r w:rsidR="00824CD1" w:rsidRPr="00451BDA">
        <w:rPr>
          <w:bCs/>
          <w:sz w:val="22"/>
          <w:szCs w:val="22"/>
          <w:bdr w:val="none" w:sz="0" w:space="0" w:color="auto" w:frame="1"/>
        </w:rPr>
        <w:t xml:space="preserve"> and </w:t>
      </w:r>
      <w:r w:rsidRPr="00451BDA">
        <w:rPr>
          <w:bCs/>
          <w:sz w:val="22"/>
          <w:szCs w:val="22"/>
          <w:bdr w:val="none" w:sz="0" w:space="0" w:color="auto" w:frame="1"/>
        </w:rPr>
        <w:t>emphasize</w:t>
      </w:r>
      <w:r w:rsidR="00824CD1" w:rsidRPr="00451BDA">
        <w:rPr>
          <w:bCs/>
          <w:sz w:val="22"/>
          <w:szCs w:val="22"/>
          <w:bdr w:val="none" w:sz="0" w:space="0" w:color="auto" w:frame="1"/>
        </w:rPr>
        <w:t>s</w:t>
      </w:r>
      <w:r w:rsidRPr="00451BDA">
        <w:rPr>
          <w:bCs/>
          <w:sz w:val="22"/>
          <w:szCs w:val="22"/>
          <w:bdr w:val="none" w:sz="0" w:space="0" w:color="auto" w:frame="1"/>
        </w:rPr>
        <w:t xml:space="preserve"> the importance of IaH</w:t>
      </w:r>
      <w:r w:rsidR="00824CD1" w:rsidRPr="00451BDA">
        <w:rPr>
          <w:bCs/>
          <w:sz w:val="22"/>
          <w:szCs w:val="22"/>
          <w:bdr w:val="none" w:sz="0" w:space="0" w:color="auto" w:frame="1"/>
        </w:rPr>
        <w:t xml:space="preserve"> (Khan, 2017)</w:t>
      </w:r>
      <w:r w:rsidR="004B4620" w:rsidRPr="00451BDA">
        <w:rPr>
          <w:bCs/>
          <w:sz w:val="22"/>
          <w:szCs w:val="22"/>
          <w:bdr w:val="none" w:sz="0" w:space="0" w:color="auto" w:frame="1"/>
        </w:rPr>
        <w:t>.</w:t>
      </w:r>
      <w:r w:rsidRPr="00451BDA">
        <w:rPr>
          <w:bCs/>
          <w:sz w:val="22"/>
          <w:szCs w:val="22"/>
          <w:bdr w:val="none" w:sz="0" w:space="0" w:color="auto" w:frame="1"/>
        </w:rPr>
        <w:t xml:space="preserve"> </w:t>
      </w:r>
      <w:r w:rsidR="006E79B5" w:rsidRPr="00451BDA">
        <w:rPr>
          <w:bCs/>
          <w:sz w:val="22"/>
          <w:szCs w:val="22"/>
          <w:bdr w:val="none" w:sz="0" w:space="0" w:color="auto" w:frame="1"/>
        </w:rPr>
        <w:t>R</w:t>
      </w:r>
      <w:r w:rsidR="007741F5" w:rsidRPr="00451BDA">
        <w:rPr>
          <w:bCs/>
          <w:sz w:val="22"/>
          <w:szCs w:val="22"/>
          <w:bdr w:val="none" w:sz="0" w:space="0" w:color="auto" w:frame="1"/>
        </w:rPr>
        <w:t>ecently</w:t>
      </w:r>
      <w:r w:rsidRPr="00451BDA">
        <w:rPr>
          <w:bCs/>
          <w:sz w:val="22"/>
          <w:szCs w:val="22"/>
        </w:rPr>
        <w:t>,</w:t>
      </w:r>
      <w:r w:rsidR="0062581E" w:rsidRPr="00451BDA">
        <w:rPr>
          <w:bCs/>
          <w:sz w:val="22"/>
          <w:szCs w:val="22"/>
          <w:bdr w:val="none" w:sz="0" w:space="0" w:color="auto" w:frame="1"/>
        </w:rPr>
        <w:t xml:space="preserve"> a project was launched </w:t>
      </w:r>
      <w:r w:rsidR="009E7812" w:rsidRPr="00451BDA">
        <w:rPr>
          <w:bCs/>
          <w:sz w:val="22"/>
          <w:szCs w:val="22"/>
          <w:bdr w:val="none" w:sz="0" w:space="0" w:color="auto" w:frame="1"/>
        </w:rPr>
        <w:t xml:space="preserve">with a focus on IaH </w:t>
      </w:r>
      <w:r w:rsidR="0062581E" w:rsidRPr="00451BDA">
        <w:rPr>
          <w:bCs/>
          <w:sz w:val="22"/>
          <w:szCs w:val="22"/>
          <w:bdr w:val="none" w:sz="0" w:space="0" w:color="auto" w:frame="1"/>
        </w:rPr>
        <w:t xml:space="preserve">through the partnership and support of </w:t>
      </w:r>
      <w:r w:rsidRPr="00451BDA">
        <w:rPr>
          <w:bCs/>
          <w:sz w:val="22"/>
          <w:szCs w:val="22"/>
        </w:rPr>
        <w:t>the UK and European</w:t>
      </w:r>
      <w:r w:rsidR="0062581E" w:rsidRPr="00451BDA">
        <w:rPr>
          <w:bCs/>
          <w:sz w:val="22"/>
          <w:szCs w:val="22"/>
          <w:bdr w:val="none" w:sz="0" w:space="0" w:color="auto" w:frame="1"/>
        </w:rPr>
        <w:t xml:space="preserve"> universities</w:t>
      </w:r>
      <w:r w:rsidR="00962623" w:rsidRPr="00451BDA">
        <w:rPr>
          <w:bCs/>
          <w:sz w:val="22"/>
          <w:szCs w:val="22"/>
          <w:bdr w:val="none" w:sz="0" w:space="0" w:color="auto" w:frame="1"/>
        </w:rPr>
        <w:t xml:space="preserve"> (</w:t>
      </w:r>
      <w:proofErr w:type="spellStart"/>
      <w:r w:rsidR="00962623" w:rsidRPr="00451BDA">
        <w:rPr>
          <w:bCs/>
          <w:sz w:val="22"/>
          <w:szCs w:val="22"/>
          <w:bdr w:val="none" w:sz="0" w:space="0" w:color="auto" w:frame="1"/>
        </w:rPr>
        <w:t>Universita</w:t>
      </w:r>
      <w:proofErr w:type="spellEnd"/>
      <w:r w:rsidR="00962623" w:rsidRPr="00451BDA">
        <w:rPr>
          <w:bCs/>
          <w:sz w:val="22"/>
          <w:szCs w:val="22"/>
          <w:bdr w:val="none" w:sz="0" w:space="0" w:color="auto" w:frame="1"/>
        </w:rPr>
        <w:t xml:space="preserve"> De Bologna, 2023).</w:t>
      </w:r>
    </w:p>
    <w:p w14:paraId="44CF4EBE" w14:textId="00747CF0" w:rsidR="008C631E" w:rsidRPr="00451BDA" w:rsidRDefault="008F0008" w:rsidP="007A0506">
      <w:pPr>
        <w:pStyle w:val="NormalWeb"/>
        <w:shd w:val="clear" w:color="auto" w:fill="FFFFFF" w:themeFill="background1"/>
        <w:spacing w:before="0" w:beforeAutospacing="0" w:after="0" w:afterAutospacing="0"/>
        <w:ind w:firstLine="720"/>
        <w:contextualSpacing/>
        <w:rPr>
          <w:bCs/>
          <w:sz w:val="22"/>
          <w:szCs w:val="22"/>
        </w:rPr>
      </w:pPr>
      <w:r w:rsidRPr="00451BDA">
        <w:rPr>
          <w:bCs/>
          <w:sz w:val="22"/>
          <w:szCs w:val="22"/>
          <w:bdr w:val="none" w:sz="0" w:space="0" w:color="auto" w:frame="1"/>
        </w:rPr>
        <w:t xml:space="preserve">Internationalization of </w:t>
      </w:r>
      <w:r w:rsidR="00AE5C59" w:rsidRPr="00451BDA">
        <w:rPr>
          <w:bCs/>
          <w:sz w:val="22"/>
          <w:szCs w:val="22"/>
          <w:bdr w:val="none" w:sz="0" w:space="0" w:color="auto" w:frame="1"/>
        </w:rPr>
        <w:t>HE</w:t>
      </w:r>
      <w:r w:rsidR="00434993" w:rsidRPr="00451BDA">
        <w:rPr>
          <w:bCs/>
          <w:sz w:val="22"/>
          <w:szCs w:val="22"/>
          <w:bdr w:val="none" w:sz="0" w:space="0" w:color="auto" w:frame="1"/>
        </w:rPr>
        <w:t xml:space="preserve"> in </w:t>
      </w:r>
      <w:r w:rsidR="00F55E8E" w:rsidRPr="00451BDA">
        <w:rPr>
          <w:bCs/>
          <w:sz w:val="22"/>
          <w:szCs w:val="22"/>
          <w:bdr w:val="none" w:sz="0" w:space="0" w:color="auto" w:frame="1"/>
        </w:rPr>
        <w:t xml:space="preserve">the </w:t>
      </w:r>
      <w:r w:rsidR="00434993" w:rsidRPr="00451BDA">
        <w:rPr>
          <w:bCs/>
          <w:sz w:val="22"/>
          <w:szCs w:val="22"/>
          <w:bdr w:val="none" w:sz="0" w:space="0" w:color="auto" w:frame="1"/>
        </w:rPr>
        <w:t>UK is</w:t>
      </w:r>
      <w:r w:rsidRPr="00451BDA">
        <w:rPr>
          <w:bCs/>
          <w:sz w:val="22"/>
          <w:szCs w:val="22"/>
          <w:bdr w:val="none" w:sz="0" w:space="0" w:color="auto" w:frame="1"/>
        </w:rPr>
        <w:t xml:space="preserve"> nationally</w:t>
      </w:r>
      <w:r w:rsidR="00434993" w:rsidRPr="00451BDA">
        <w:rPr>
          <w:bCs/>
          <w:sz w:val="22"/>
          <w:szCs w:val="22"/>
          <w:bdr w:val="none" w:sz="0" w:space="0" w:color="auto" w:frame="1"/>
        </w:rPr>
        <w:t xml:space="preserve"> driven</w:t>
      </w:r>
      <w:r w:rsidR="00595180" w:rsidRPr="00451BDA">
        <w:rPr>
          <w:bCs/>
          <w:sz w:val="22"/>
          <w:szCs w:val="22"/>
          <w:bdr w:val="none" w:sz="0" w:space="0" w:color="auto" w:frame="1"/>
        </w:rPr>
        <w:t xml:space="preserve"> through the government-</w:t>
      </w:r>
      <w:r w:rsidR="00125E1C" w:rsidRPr="00451BDA">
        <w:rPr>
          <w:bCs/>
          <w:sz w:val="22"/>
          <w:szCs w:val="22"/>
          <w:bdr w:val="none" w:sz="0" w:space="0" w:color="auto" w:frame="1"/>
        </w:rPr>
        <w:t>led</w:t>
      </w:r>
      <w:r w:rsidR="00595180" w:rsidRPr="00451BDA">
        <w:rPr>
          <w:bCs/>
          <w:sz w:val="22"/>
          <w:szCs w:val="22"/>
          <w:bdr w:val="none" w:sz="0" w:space="0" w:color="auto" w:frame="1"/>
        </w:rPr>
        <w:t xml:space="preserve"> </w:t>
      </w:r>
      <w:r w:rsidR="00434993" w:rsidRPr="00451BDA">
        <w:rPr>
          <w:bCs/>
          <w:sz w:val="22"/>
          <w:szCs w:val="22"/>
          <w:bdr w:val="none" w:sz="0" w:space="0" w:color="auto" w:frame="1"/>
        </w:rPr>
        <w:t>broad-based</w:t>
      </w:r>
      <w:r w:rsidRPr="00451BDA">
        <w:rPr>
          <w:bCs/>
          <w:sz w:val="22"/>
          <w:szCs w:val="22"/>
          <w:bdr w:val="none" w:sz="0" w:space="0" w:color="auto" w:frame="1"/>
        </w:rPr>
        <w:t xml:space="preserve"> approach</w:t>
      </w:r>
      <w:r w:rsidRPr="00451BDA">
        <w:rPr>
          <w:bCs/>
          <w:sz w:val="22"/>
          <w:szCs w:val="22"/>
        </w:rPr>
        <w:t>,</w:t>
      </w:r>
      <w:r w:rsidR="004F0158" w:rsidRPr="00451BDA">
        <w:rPr>
          <w:bCs/>
          <w:sz w:val="22"/>
          <w:szCs w:val="22"/>
          <w:bdr w:val="none" w:sz="0" w:space="0" w:color="auto" w:frame="1"/>
        </w:rPr>
        <w:t xml:space="preserve"> </w:t>
      </w:r>
      <w:r w:rsidRPr="00451BDA">
        <w:rPr>
          <w:bCs/>
          <w:sz w:val="22"/>
          <w:szCs w:val="22"/>
          <w:bdr w:val="none" w:sz="0" w:space="0" w:color="auto" w:frame="1"/>
        </w:rPr>
        <w:t xml:space="preserve">which </w:t>
      </w:r>
      <w:r w:rsidR="00434993" w:rsidRPr="00451BDA">
        <w:rPr>
          <w:bCs/>
          <w:sz w:val="22"/>
          <w:szCs w:val="22"/>
          <w:bdr w:val="none" w:sz="0" w:space="0" w:color="auto" w:frame="1"/>
        </w:rPr>
        <w:t>influence</w:t>
      </w:r>
      <w:r w:rsidRPr="00451BDA">
        <w:rPr>
          <w:bCs/>
          <w:sz w:val="22"/>
          <w:szCs w:val="22"/>
        </w:rPr>
        <w:t xml:space="preserve">s </w:t>
      </w:r>
      <w:r w:rsidRPr="00451BDA">
        <w:rPr>
          <w:bCs/>
          <w:sz w:val="22"/>
          <w:szCs w:val="22"/>
          <w:bdr w:val="none" w:sz="0" w:space="0" w:color="auto" w:frame="1"/>
        </w:rPr>
        <w:t xml:space="preserve">a </w:t>
      </w:r>
      <w:r w:rsidR="004F0158" w:rsidRPr="00451BDA">
        <w:rPr>
          <w:bCs/>
          <w:sz w:val="22"/>
          <w:szCs w:val="22"/>
          <w:bdr w:val="none" w:sz="0" w:space="0" w:color="auto" w:frame="1"/>
        </w:rPr>
        <w:t>larger number of educational institutes (</w:t>
      </w:r>
      <w:r w:rsidR="00A47C6A" w:rsidRPr="00451BDA">
        <w:rPr>
          <w:bCs/>
          <w:sz w:val="22"/>
          <w:szCs w:val="22"/>
          <w:bdr w:val="none" w:sz="0" w:space="0" w:color="auto" w:frame="1"/>
        </w:rPr>
        <w:t xml:space="preserve">Department of </w:t>
      </w:r>
      <w:r w:rsidR="006B0151" w:rsidRPr="00451BDA">
        <w:rPr>
          <w:bCs/>
          <w:sz w:val="22"/>
          <w:szCs w:val="22"/>
          <w:bdr w:val="none" w:sz="0" w:space="0" w:color="auto" w:frame="1"/>
        </w:rPr>
        <w:t xml:space="preserve">Education and </w:t>
      </w:r>
      <w:r w:rsidR="00A47C6A" w:rsidRPr="00451BDA">
        <w:rPr>
          <w:bCs/>
          <w:sz w:val="22"/>
          <w:szCs w:val="22"/>
          <w:bdr w:val="none" w:sz="0" w:space="0" w:color="auto" w:frame="1"/>
        </w:rPr>
        <w:t>International Trade, 2021</w:t>
      </w:r>
      <w:r w:rsidR="004F0158" w:rsidRPr="00451BDA">
        <w:rPr>
          <w:bCs/>
          <w:sz w:val="22"/>
          <w:szCs w:val="22"/>
          <w:bdr w:val="none" w:sz="0" w:space="0" w:color="auto" w:frame="1"/>
        </w:rPr>
        <w:t>)</w:t>
      </w:r>
      <w:r w:rsidR="00A47C6A" w:rsidRPr="00451BDA">
        <w:rPr>
          <w:bCs/>
          <w:sz w:val="22"/>
          <w:szCs w:val="22"/>
          <w:bdr w:val="none" w:sz="0" w:space="0" w:color="auto" w:frame="1"/>
        </w:rPr>
        <w:t xml:space="preserve">. </w:t>
      </w:r>
    </w:p>
    <w:p w14:paraId="012D7457" w14:textId="5C72698B" w:rsidR="004E5010" w:rsidRPr="00451BDA" w:rsidRDefault="007741F5" w:rsidP="007A0506">
      <w:pPr>
        <w:pStyle w:val="NormalWeb"/>
        <w:shd w:val="clear" w:color="auto" w:fill="FFFFFF" w:themeFill="background1"/>
        <w:spacing w:before="0" w:beforeAutospacing="0" w:after="0" w:afterAutospacing="0"/>
        <w:ind w:firstLine="720"/>
        <w:contextualSpacing/>
        <w:rPr>
          <w:bCs/>
          <w:sz w:val="22"/>
          <w:szCs w:val="22"/>
          <w:bdr w:val="none" w:sz="0" w:space="0" w:color="auto" w:frame="1"/>
        </w:rPr>
      </w:pPr>
      <w:r w:rsidRPr="00451BDA">
        <w:rPr>
          <w:bCs/>
          <w:sz w:val="22"/>
          <w:szCs w:val="22"/>
        </w:rPr>
        <w:t xml:space="preserve">Within </w:t>
      </w:r>
      <w:r w:rsidR="00A237BA" w:rsidRPr="00451BDA">
        <w:rPr>
          <w:bCs/>
          <w:sz w:val="22"/>
          <w:szCs w:val="22"/>
        </w:rPr>
        <w:t xml:space="preserve">the </w:t>
      </w:r>
      <w:r w:rsidRPr="00451BDA">
        <w:rPr>
          <w:bCs/>
          <w:sz w:val="22"/>
          <w:szCs w:val="22"/>
        </w:rPr>
        <w:t>UK and Pakistani context, IaH</w:t>
      </w:r>
      <w:r w:rsidR="005C3D26" w:rsidRPr="00451BDA">
        <w:rPr>
          <w:bCs/>
          <w:sz w:val="22"/>
          <w:szCs w:val="22"/>
        </w:rPr>
        <w:t xml:space="preserve"> </w:t>
      </w:r>
      <w:r w:rsidRPr="00451BDA">
        <w:rPr>
          <w:bCs/>
          <w:sz w:val="22"/>
          <w:szCs w:val="22"/>
        </w:rPr>
        <w:t xml:space="preserve">is being pursued by </w:t>
      </w:r>
      <w:r w:rsidR="00A237BA" w:rsidRPr="00451BDA">
        <w:rPr>
          <w:bCs/>
          <w:sz w:val="22"/>
          <w:szCs w:val="22"/>
        </w:rPr>
        <w:t xml:space="preserve">utilizing </w:t>
      </w:r>
      <w:r w:rsidR="005C3D26" w:rsidRPr="00451BDA">
        <w:rPr>
          <w:bCs/>
          <w:sz w:val="22"/>
          <w:szCs w:val="22"/>
        </w:rPr>
        <w:t>different strategies to prepare student</w:t>
      </w:r>
      <w:r w:rsidRPr="00451BDA">
        <w:rPr>
          <w:bCs/>
          <w:sz w:val="22"/>
          <w:szCs w:val="22"/>
        </w:rPr>
        <w:t>s</w:t>
      </w:r>
      <w:r w:rsidR="005C3D26" w:rsidRPr="00451BDA">
        <w:rPr>
          <w:bCs/>
          <w:sz w:val="22"/>
          <w:szCs w:val="22"/>
        </w:rPr>
        <w:t xml:space="preserve"> for the global world</w:t>
      </w:r>
      <w:r w:rsidR="001A2455" w:rsidRPr="00451BDA">
        <w:rPr>
          <w:bCs/>
          <w:sz w:val="22"/>
          <w:szCs w:val="22"/>
        </w:rPr>
        <w:t xml:space="preserve">. However, all </w:t>
      </w:r>
      <w:proofErr w:type="gramStart"/>
      <w:r w:rsidR="001A2455" w:rsidRPr="00451BDA">
        <w:rPr>
          <w:bCs/>
          <w:sz w:val="22"/>
          <w:szCs w:val="22"/>
        </w:rPr>
        <w:t>HE</w:t>
      </w:r>
      <w:proofErr w:type="gramEnd"/>
      <w:r w:rsidR="001A2455" w:rsidRPr="00451BDA">
        <w:rPr>
          <w:bCs/>
          <w:sz w:val="22"/>
          <w:szCs w:val="22"/>
        </w:rPr>
        <w:t xml:space="preserve"> institutes were subjected to QS ranking</w:t>
      </w:r>
      <w:r w:rsidR="00584B5A" w:rsidRPr="00451BDA">
        <w:rPr>
          <w:bCs/>
          <w:sz w:val="22"/>
          <w:szCs w:val="22"/>
        </w:rPr>
        <w:t>,</w:t>
      </w:r>
      <w:r w:rsidRPr="00451BDA">
        <w:rPr>
          <w:bCs/>
          <w:sz w:val="22"/>
          <w:szCs w:val="22"/>
        </w:rPr>
        <w:t xml:space="preserve"> which provided</w:t>
      </w:r>
      <w:r w:rsidR="00826CFC" w:rsidRPr="00451BDA">
        <w:rPr>
          <w:bCs/>
          <w:sz w:val="22"/>
          <w:szCs w:val="22"/>
        </w:rPr>
        <w:t xml:space="preserve"> a</w:t>
      </w:r>
      <w:r w:rsidRPr="00451BDA">
        <w:rPr>
          <w:bCs/>
          <w:sz w:val="22"/>
          <w:szCs w:val="22"/>
        </w:rPr>
        <w:t xml:space="preserve"> baseline for the comparative study. </w:t>
      </w:r>
    </w:p>
    <w:p w14:paraId="38A984DF" w14:textId="77777777" w:rsidR="003A0C4A" w:rsidRPr="00451BDA" w:rsidRDefault="003A0C4A" w:rsidP="007A0506">
      <w:pPr>
        <w:pStyle w:val="NormalWeb"/>
        <w:shd w:val="clear" w:color="auto" w:fill="FFFFFF" w:themeFill="background1"/>
        <w:spacing w:before="0" w:beforeAutospacing="0" w:after="0" w:afterAutospacing="0"/>
        <w:ind w:firstLine="720"/>
        <w:contextualSpacing/>
        <w:rPr>
          <w:bCs/>
          <w:sz w:val="22"/>
          <w:szCs w:val="22"/>
        </w:rPr>
      </w:pPr>
    </w:p>
    <w:p w14:paraId="38F27731" w14:textId="57548481" w:rsidR="00E77144" w:rsidRPr="00451BDA" w:rsidRDefault="00000000" w:rsidP="00B51699">
      <w:pPr>
        <w:shd w:val="clear" w:color="auto" w:fill="FFFFFF" w:themeFill="background1"/>
        <w:spacing w:line="240" w:lineRule="auto"/>
        <w:contextualSpacing/>
        <w:rPr>
          <w:rFonts w:ascii="Times New Roman" w:eastAsia="Times New Roman" w:hAnsi="Times New Roman" w:cs="Times New Roman"/>
          <w:b/>
        </w:rPr>
      </w:pPr>
      <w:r w:rsidRPr="00451BDA">
        <w:rPr>
          <w:rFonts w:ascii="Times New Roman" w:eastAsia="Times New Roman" w:hAnsi="Times New Roman" w:cs="Times New Roman"/>
          <w:b/>
        </w:rPr>
        <w:t xml:space="preserve">Rationale and </w:t>
      </w:r>
      <w:r w:rsidR="00BA0BBA" w:rsidRPr="00451BDA">
        <w:rPr>
          <w:rFonts w:ascii="Times New Roman" w:eastAsia="Times New Roman" w:hAnsi="Times New Roman" w:cs="Times New Roman"/>
          <w:b/>
        </w:rPr>
        <w:t>R</w:t>
      </w:r>
      <w:r w:rsidRPr="00451BDA">
        <w:rPr>
          <w:rFonts w:ascii="Times New Roman" w:eastAsia="Times New Roman" w:hAnsi="Times New Roman" w:cs="Times New Roman"/>
          <w:b/>
        </w:rPr>
        <w:t xml:space="preserve">esearch </w:t>
      </w:r>
      <w:r w:rsidR="00BA0BBA" w:rsidRPr="00451BDA">
        <w:rPr>
          <w:rFonts w:ascii="Times New Roman" w:eastAsia="Times New Roman" w:hAnsi="Times New Roman" w:cs="Times New Roman"/>
          <w:b/>
        </w:rPr>
        <w:t>F</w:t>
      </w:r>
      <w:r w:rsidRPr="00451BDA">
        <w:rPr>
          <w:rFonts w:ascii="Times New Roman" w:eastAsia="Times New Roman" w:hAnsi="Times New Roman" w:cs="Times New Roman"/>
          <w:b/>
        </w:rPr>
        <w:t>ocus</w:t>
      </w:r>
    </w:p>
    <w:p w14:paraId="1ACAFD96" w14:textId="58163C8B" w:rsidR="00F172DF" w:rsidRPr="00451BDA" w:rsidRDefault="00000000" w:rsidP="003058D3">
      <w:pPr>
        <w:pStyle w:val="NormalWeb"/>
        <w:shd w:val="clear" w:color="auto" w:fill="FFFFFF" w:themeFill="background1"/>
        <w:spacing w:before="0" w:beforeAutospacing="0" w:after="0" w:afterAutospacing="0"/>
        <w:ind w:firstLine="720"/>
        <w:contextualSpacing/>
        <w:rPr>
          <w:bCs/>
          <w:sz w:val="22"/>
          <w:szCs w:val="22"/>
          <w:bdr w:val="none" w:sz="0" w:space="0" w:color="auto" w:frame="1"/>
        </w:rPr>
      </w:pPr>
      <w:r w:rsidRPr="00451BDA">
        <w:rPr>
          <w:bCs/>
          <w:sz w:val="22"/>
          <w:szCs w:val="22"/>
          <w:bdr w:val="none" w:sz="0" w:space="0" w:color="auto" w:frame="1"/>
        </w:rPr>
        <w:t xml:space="preserve">Existing studies on </w:t>
      </w:r>
      <w:r w:rsidR="00C61B46" w:rsidRPr="00451BDA">
        <w:rPr>
          <w:bCs/>
          <w:sz w:val="22"/>
          <w:szCs w:val="22"/>
          <w:bdr w:val="none" w:sz="0" w:space="0" w:color="auto" w:frame="1"/>
        </w:rPr>
        <w:t>I</w:t>
      </w:r>
      <w:r w:rsidR="0054524E" w:rsidRPr="00451BDA">
        <w:rPr>
          <w:bCs/>
          <w:sz w:val="22"/>
          <w:szCs w:val="22"/>
          <w:bdr w:val="none" w:sz="0" w:space="0" w:color="auto" w:frame="1"/>
        </w:rPr>
        <w:t>o</w:t>
      </w:r>
      <w:r w:rsidR="00C61B46" w:rsidRPr="00451BDA">
        <w:rPr>
          <w:bCs/>
          <w:sz w:val="22"/>
          <w:szCs w:val="22"/>
          <w:bdr w:val="none" w:sz="0" w:space="0" w:color="auto" w:frame="1"/>
        </w:rPr>
        <w:t>C</w:t>
      </w:r>
      <w:r w:rsidRPr="00451BDA">
        <w:rPr>
          <w:bCs/>
          <w:sz w:val="22"/>
          <w:szCs w:val="22"/>
          <w:bdr w:val="none" w:sz="0" w:space="0" w:color="auto" w:frame="1"/>
        </w:rPr>
        <w:t xml:space="preserve"> include case studies (</w:t>
      </w:r>
      <w:proofErr w:type="spellStart"/>
      <w:r w:rsidRPr="00451BDA">
        <w:rPr>
          <w:bCs/>
          <w:sz w:val="22"/>
          <w:szCs w:val="22"/>
          <w:bdr w:val="none" w:sz="0" w:space="0" w:color="auto" w:frame="1"/>
        </w:rPr>
        <w:t>Crosling</w:t>
      </w:r>
      <w:proofErr w:type="spellEnd"/>
      <w:r w:rsidRPr="00451BDA">
        <w:rPr>
          <w:bCs/>
          <w:sz w:val="22"/>
          <w:szCs w:val="22"/>
          <w:bdr w:val="none" w:sz="0" w:space="0" w:color="auto" w:frame="1"/>
        </w:rPr>
        <w:t xml:space="preserve"> </w:t>
      </w:r>
      <w:r w:rsidR="00FF12C9" w:rsidRPr="00451BDA">
        <w:rPr>
          <w:bCs/>
          <w:sz w:val="22"/>
          <w:szCs w:val="22"/>
        </w:rPr>
        <w:t>et al.</w:t>
      </w:r>
      <w:r w:rsidR="00D91901" w:rsidRPr="00451BDA">
        <w:rPr>
          <w:bCs/>
          <w:sz w:val="22"/>
          <w:szCs w:val="22"/>
        </w:rPr>
        <w:t>,</w:t>
      </w:r>
      <w:r w:rsidRPr="00451BDA">
        <w:rPr>
          <w:bCs/>
          <w:sz w:val="22"/>
          <w:szCs w:val="22"/>
          <w:bdr w:val="none" w:sz="0" w:space="0" w:color="auto" w:frame="1"/>
        </w:rPr>
        <w:t xml:space="preserve"> 2008), qualitative or narrative studies (Ledger and </w:t>
      </w:r>
      <w:proofErr w:type="spellStart"/>
      <w:r w:rsidRPr="00451BDA">
        <w:rPr>
          <w:bCs/>
          <w:sz w:val="22"/>
          <w:szCs w:val="22"/>
          <w:bdr w:val="none" w:sz="0" w:space="0" w:color="auto" w:frame="1"/>
        </w:rPr>
        <w:t>Kawalilak</w:t>
      </w:r>
      <w:proofErr w:type="spellEnd"/>
      <w:r w:rsidRPr="00451BDA">
        <w:rPr>
          <w:bCs/>
          <w:sz w:val="22"/>
          <w:szCs w:val="22"/>
          <w:bdr w:val="none" w:sz="0" w:space="0" w:color="auto" w:frame="1"/>
        </w:rPr>
        <w:t>, 2020; Leask and Carroll, 2011</w:t>
      </w:r>
      <w:r w:rsidR="002C66E2" w:rsidRPr="00451BDA">
        <w:rPr>
          <w:bCs/>
          <w:sz w:val="22"/>
          <w:szCs w:val="22"/>
          <w:bdr w:val="none" w:sz="0" w:space="0" w:color="auto" w:frame="1"/>
        </w:rPr>
        <w:t>; Robson, 2015</w:t>
      </w:r>
      <w:r w:rsidRPr="00451BDA">
        <w:rPr>
          <w:bCs/>
          <w:sz w:val="22"/>
          <w:szCs w:val="22"/>
          <w:bdr w:val="none" w:sz="0" w:space="0" w:color="auto" w:frame="1"/>
        </w:rPr>
        <w:t>)</w:t>
      </w:r>
      <w:r w:rsidR="00A24A3D" w:rsidRPr="00451BDA">
        <w:rPr>
          <w:bCs/>
          <w:sz w:val="22"/>
          <w:szCs w:val="22"/>
          <w:bdr w:val="none" w:sz="0" w:space="0" w:color="auto" w:frame="1"/>
        </w:rPr>
        <w:t>,</w:t>
      </w:r>
      <w:r w:rsidRPr="00451BDA">
        <w:rPr>
          <w:bCs/>
          <w:sz w:val="22"/>
          <w:szCs w:val="22"/>
          <w:bdr w:val="none" w:sz="0" w:space="0" w:color="auto" w:frame="1"/>
        </w:rPr>
        <w:t xml:space="preserve"> </w:t>
      </w:r>
      <w:r w:rsidR="00AE224C" w:rsidRPr="00451BDA">
        <w:rPr>
          <w:bCs/>
          <w:sz w:val="22"/>
          <w:szCs w:val="22"/>
          <w:bdr w:val="none" w:sz="0" w:space="0" w:color="auto" w:frame="1"/>
        </w:rPr>
        <w:t>and</w:t>
      </w:r>
      <w:r w:rsidRPr="00451BDA">
        <w:rPr>
          <w:bCs/>
          <w:sz w:val="22"/>
          <w:szCs w:val="22"/>
          <w:bdr w:val="none" w:sz="0" w:space="0" w:color="auto" w:frame="1"/>
        </w:rPr>
        <w:t xml:space="preserve"> comparative studies (</w:t>
      </w:r>
      <w:proofErr w:type="spellStart"/>
      <w:r w:rsidRPr="00451BDA">
        <w:rPr>
          <w:bCs/>
          <w:sz w:val="22"/>
          <w:szCs w:val="22"/>
        </w:rPr>
        <w:t>Mughul</w:t>
      </w:r>
      <w:proofErr w:type="spellEnd"/>
      <w:r w:rsidRPr="00451BDA">
        <w:rPr>
          <w:bCs/>
          <w:sz w:val="22"/>
          <w:szCs w:val="22"/>
        </w:rPr>
        <w:t xml:space="preserve"> and </w:t>
      </w:r>
      <w:proofErr w:type="spellStart"/>
      <w:r w:rsidRPr="00451BDA">
        <w:rPr>
          <w:bCs/>
          <w:sz w:val="22"/>
          <w:szCs w:val="22"/>
        </w:rPr>
        <w:t>Pekkola</w:t>
      </w:r>
      <w:proofErr w:type="spellEnd"/>
      <w:r w:rsidRPr="00451BDA">
        <w:rPr>
          <w:bCs/>
          <w:sz w:val="22"/>
          <w:szCs w:val="22"/>
        </w:rPr>
        <w:t>, 2009</w:t>
      </w:r>
      <w:r w:rsidRPr="00451BDA">
        <w:rPr>
          <w:bCs/>
          <w:sz w:val="22"/>
          <w:szCs w:val="22"/>
          <w:bdr w:val="none" w:sz="0" w:space="0" w:color="auto" w:frame="1"/>
        </w:rPr>
        <w:t>). There is a lack of</w:t>
      </w:r>
      <w:r w:rsidR="00E878C9" w:rsidRPr="00451BDA">
        <w:rPr>
          <w:bCs/>
          <w:sz w:val="22"/>
          <w:szCs w:val="22"/>
          <w:bdr w:val="none" w:sz="0" w:space="0" w:color="auto" w:frame="1"/>
        </w:rPr>
        <w:t xml:space="preserve"> quantitative</w:t>
      </w:r>
      <w:r w:rsidRPr="00451BDA">
        <w:rPr>
          <w:bCs/>
          <w:sz w:val="22"/>
          <w:szCs w:val="22"/>
          <w:bdr w:val="none" w:sz="0" w:space="0" w:color="auto" w:frame="1"/>
        </w:rPr>
        <w:t xml:space="preserve"> research considering </w:t>
      </w:r>
      <w:r w:rsidRPr="00451BDA">
        <w:rPr>
          <w:bCs/>
          <w:sz w:val="22"/>
          <w:szCs w:val="22"/>
        </w:rPr>
        <w:t>the comparab</w:t>
      </w:r>
      <w:r w:rsidR="00E878C9" w:rsidRPr="00451BDA">
        <w:rPr>
          <w:bCs/>
          <w:sz w:val="22"/>
          <w:szCs w:val="22"/>
          <w:bdr w:val="none" w:sz="0" w:space="0" w:color="auto" w:frame="1"/>
        </w:rPr>
        <w:t>ility of</w:t>
      </w:r>
      <w:r w:rsidRPr="00451BDA">
        <w:rPr>
          <w:bCs/>
          <w:sz w:val="22"/>
          <w:szCs w:val="22"/>
          <w:bdr w:val="none" w:sz="0" w:space="0" w:color="auto" w:frame="1"/>
        </w:rPr>
        <w:t xml:space="preserve"> institutions</w:t>
      </w:r>
      <w:r w:rsidR="00D80EA1" w:rsidRPr="00451BDA">
        <w:rPr>
          <w:bCs/>
          <w:sz w:val="22"/>
          <w:szCs w:val="22"/>
          <w:bdr w:val="none" w:sz="0" w:space="0" w:color="auto" w:frame="1"/>
        </w:rPr>
        <w:t xml:space="preserve"> (discipline and focus-wise)</w:t>
      </w:r>
      <w:r w:rsidRPr="00451BDA">
        <w:rPr>
          <w:bCs/>
          <w:sz w:val="22"/>
          <w:szCs w:val="22"/>
          <w:bdr w:val="none" w:sz="0" w:space="0" w:color="auto" w:frame="1"/>
        </w:rPr>
        <w:t xml:space="preserve"> and</w:t>
      </w:r>
      <w:r w:rsidR="00D80EA1" w:rsidRPr="00451BDA">
        <w:rPr>
          <w:bCs/>
          <w:sz w:val="22"/>
          <w:szCs w:val="22"/>
          <w:bdr w:val="none" w:sz="0" w:space="0" w:color="auto" w:frame="1"/>
        </w:rPr>
        <w:t xml:space="preserve"> </w:t>
      </w:r>
      <w:r w:rsidR="00FF6A85" w:rsidRPr="00451BDA">
        <w:rPr>
          <w:bCs/>
          <w:sz w:val="22"/>
          <w:szCs w:val="22"/>
          <w:bdr w:val="none" w:sz="0" w:space="0" w:color="auto" w:frame="1"/>
        </w:rPr>
        <w:t>taking</w:t>
      </w:r>
      <w:r w:rsidRPr="00451BDA">
        <w:rPr>
          <w:bCs/>
          <w:sz w:val="22"/>
          <w:szCs w:val="22"/>
          <w:bdr w:val="none" w:sz="0" w:space="0" w:color="auto" w:frame="1"/>
        </w:rPr>
        <w:t xml:space="preserve"> </w:t>
      </w:r>
      <w:r w:rsidR="00523849" w:rsidRPr="00451BDA">
        <w:rPr>
          <w:bCs/>
          <w:sz w:val="22"/>
          <w:szCs w:val="22"/>
          <w:bdr w:val="none" w:sz="0" w:space="0" w:color="auto" w:frame="1"/>
        </w:rPr>
        <w:t>FM</w:t>
      </w:r>
      <w:r w:rsidRPr="00451BDA">
        <w:rPr>
          <w:bCs/>
          <w:sz w:val="22"/>
          <w:szCs w:val="22"/>
          <w:bdr w:val="none" w:sz="0" w:space="0" w:color="auto" w:frame="1"/>
        </w:rPr>
        <w:t xml:space="preserve"> perceptions </w:t>
      </w:r>
      <w:r w:rsidR="00E878C9" w:rsidRPr="00451BDA">
        <w:rPr>
          <w:bCs/>
          <w:sz w:val="22"/>
          <w:szCs w:val="22"/>
          <w:bdr w:val="none" w:sz="0" w:space="0" w:color="auto" w:frame="1"/>
        </w:rPr>
        <w:t xml:space="preserve">of </w:t>
      </w:r>
      <w:r w:rsidRPr="00451BDA">
        <w:rPr>
          <w:bCs/>
          <w:sz w:val="22"/>
          <w:szCs w:val="22"/>
          <w:bdr w:val="none" w:sz="0" w:space="0" w:color="auto" w:frame="1"/>
        </w:rPr>
        <w:t xml:space="preserve">IoC </w:t>
      </w:r>
      <w:r w:rsidR="00FF6A85" w:rsidRPr="00451BDA">
        <w:rPr>
          <w:bCs/>
          <w:sz w:val="22"/>
          <w:szCs w:val="22"/>
          <w:bdr w:val="none" w:sz="0" w:space="0" w:color="auto" w:frame="1"/>
        </w:rPr>
        <w:t xml:space="preserve">to </w:t>
      </w:r>
      <w:r w:rsidR="00D80EA1" w:rsidRPr="00451BDA">
        <w:rPr>
          <w:bCs/>
          <w:sz w:val="22"/>
          <w:szCs w:val="22"/>
          <w:bdr w:val="none" w:sz="0" w:space="0" w:color="auto" w:frame="1"/>
        </w:rPr>
        <w:t>understand</w:t>
      </w:r>
      <w:r w:rsidR="00FF6A85" w:rsidRPr="00451BDA">
        <w:rPr>
          <w:bCs/>
          <w:sz w:val="22"/>
          <w:szCs w:val="22"/>
          <w:bdr w:val="none" w:sz="0" w:space="0" w:color="auto" w:frame="1"/>
        </w:rPr>
        <w:t xml:space="preserve"> institutional, local</w:t>
      </w:r>
      <w:r w:rsidR="00D80EA1" w:rsidRPr="00451BDA">
        <w:rPr>
          <w:bCs/>
          <w:sz w:val="22"/>
          <w:szCs w:val="22"/>
          <w:bdr w:val="none" w:sz="0" w:space="0" w:color="auto" w:frame="1"/>
        </w:rPr>
        <w:t>,</w:t>
      </w:r>
      <w:r w:rsidR="00FF6A85" w:rsidRPr="00451BDA">
        <w:rPr>
          <w:bCs/>
          <w:sz w:val="22"/>
          <w:szCs w:val="22"/>
          <w:bdr w:val="none" w:sz="0" w:space="0" w:color="auto" w:frame="1"/>
        </w:rPr>
        <w:t xml:space="preserve"> </w:t>
      </w:r>
      <w:r w:rsidR="00E878C9" w:rsidRPr="00451BDA">
        <w:rPr>
          <w:bCs/>
          <w:sz w:val="22"/>
          <w:szCs w:val="22"/>
          <w:bdr w:val="none" w:sz="0" w:space="0" w:color="auto" w:frame="1"/>
        </w:rPr>
        <w:t>and</w:t>
      </w:r>
      <w:r w:rsidR="00FF6A85" w:rsidRPr="00451BDA">
        <w:rPr>
          <w:bCs/>
          <w:sz w:val="22"/>
          <w:szCs w:val="22"/>
          <w:bdr w:val="none" w:sz="0" w:space="0" w:color="auto" w:frame="1"/>
        </w:rPr>
        <w:t xml:space="preserve"> global influences.</w:t>
      </w:r>
    </w:p>
    <w:p w14:paraId="1803C4CD" w14:textId="6E01608D" w:rsidR="00A7701C" w:rsidRPr="00451BDA" w:rsidRDefault="00000000" w:rsidP="00A7701C">
      <w:pPr>
        <w:pStyle w:val="NormalWeb"/>
        <w:shd w:val="clear" w:color="auto" w:fill="FFFFFF" w:themeFill="background1"/>
        <w:spacing w:before="0" w:beforeAutospacing="0" w:after="0" w:afterAutospacing="0"/>
        <w:ind w:firstLine="720"/>
        <w:contextualSpacing/>
        <w:rPr>
          <w:bCs/>
          <w:sz w:val="22"/>
          <w:szCs w:val="22"/>
          <w:bdr w:val="none" w:sz="0" w:space="0" w:color="auto" w:frame="1"/>
        </w:rPr>
      </w:pPr>
      <w:r w:rsidRPr="00451BDA">
        <w:rPr>
          <w:bCs/>
          <w:sz w:val="22"/>
          <w:szCs w:val="22"/>
          <w:bdr w:val="none" w:sz="0" w:space="0" w:color="auto" w:frame="1"/>
        </w:rPr>
        <w:t xml:space="preserve">Considering the central </w:t>
      </w:r>
      <w:r w:rsidR="00D80EA1" w:rsidRPr="00451BDA">
        <w:rPr>
          <w:bCs/>
          <w:sz w:val="22"/>
          <w:szCs w:val="22"/>
          <w:bdr w:val="none" w:sz="0" w:space="0" w:color="auto" w:frame="1"/>
        </w:rPr>
        <w:t xml:space="preserve">role </w:t>
      </w:r>
      <w:r w:rsidRPr="00451BDA">
        <w:rPr>
          <w:bCs/>
          <w:sz w:val="22"/>
          <w:szCs w:val="22"/>
          <w:bdr w:val="none" w:sz="0" w:space="0" w:color="auto" w:frame="1"/>
        </w:rPr>
        <w:t xml:space="preserve">of </w:t>
      </w:r>
      <w:r w:rsidR="00523849" w:rsidRPr="00451BDA">
        <w:rPr>
          <w:bCs/>
          <w:sz w:val="22"/>
          <w:szCs w:val="22"/>
          <w:bdr w:val="none" w:sz="0" w:space="0" w:color="auto" w:frame="1"/>
        </w:rPr>
        <w:t>FM</w:t>
      </w:r>
      <w:r w:rsidRPr="00451BDA">
        <w:rPr>
          <w:bCs/>
          <w:sz w:val="22"/>
          <w:szCs w:val="22"/>
          <w:bdr w:val="none" w:sz="0" w:space="0" w:color="auto" w:frame="1"/>
        </w:rPr>
        <w:t xml:space="preserve"> in </w:t>
      </w:r>
      <w:r w:rsidR="00D80EA1" w:rsidRPr="00451BDA">
        <w:rPr>
          <w:bCs/>
          <w:sz w:val="22"/>
          <w:szCs w:val="22"/>
          <w:bdr w:val="none" w:sz="0" w:space="0" w:color="auto" w:frame="1"/>
        </w:rPr>
        <w:t>IoC</w:t>
      </w:r>
      <w:r w:rsidRPr="00451BDA">
        <w:rPr>
          <w:bCs/>
          <w:sz w:val="22"/>
          <w:szCs w:val="22"/>
        </w:rPr>
        <w:t>,</w:t>
      </w:r>
      <w:r w:rsidR="00E878C9" w:rsidRPr="00451BDA">
        <w:rPr>
          <w:bCs/>
          <w:sz w:val="22"/>
          <w:szCs w:val="22"/>
          <w:bdr w:val="none" w:sz="0" w:space="0" w:color="auto" w:frame="1"/>
        </w:rPr>
        <w:t xml:space="preserve"> </w:t>
      </w:r>
      <w:r w:rsidRPr="00451BDA">
        <w:rPr>
          <w:bCs/>
          <w:sz w:val="22"/>
          <w:szCs w:val="22"/>
          <w:bdr w:val="none" w:sz="0" w:space="0" w:color="auto" w:frame="1"/>
        </w:rPr>
        <w:t xml:space="preserve">we collected data from experienced and less experienced </w:t>
      </w:r>
      <w:r w:rsidR="00523849" w:rsidRPr="00451BDA">
        <w:rPr>
          <w:bCs/>
          <w:sz w:val="22"/>
          <w:szCs w:val="22"/>
          <w:bdr w:val="none" w:sz="0" w:space="0" w:color="auto" w:frame="1"/>
        </w:rPr>
        <w:t>FM</w:t>
      </w:r>
      <w:r w:rsidRPr="00451BDA">
        <w:rPr>
          <w:bCs/>
          <w:sz w:val="22"/>
          <w:szCs w:val="22"/>
          <w:bdr w:val="none" w:sz="0" w:space="0" w:color="auto" w:frame="1"/>
        </w:rPr>
        <w:t xml:space="preserve"> in </w:t>
      </w:r>
      <w:r w:rsidRPr="00451BDA">
        <w:rPr>
          <w:bCs/>
          <w:sz w:val="22"/>
          <w:szCs w:val="22"/>
        </w:rPr>
        <w:t xml:space="preserve">the UK and Pakistan across various academic disciplines. </w:t>
      </w:r>
      <w:r w:rsidR="00E878C9" w:rsidRPr="00451BDA">
        <w:rPr>
          <w:bCs/>
          <w:sz w:val="22"/>
          <w:szCs w:val="22"/>
          <w:bdr w:val="none" w:sz="0" w:space="0" w:color="auto" w:frame="1"/>
        </w:rPr>
        <w:t xml:space="preserve">The criterion of </w:t>
      </w:r>
      <w:r w:rsidR="00523849" w:rsidRPr="00451BDA">
        <w:rPr>
          <w:bCs/>
          <w:sz w:val="22"/>
          <w:szCs w:val="22"/>
          <w:bdr w:val="none" w:sz="0" w:space="0" w:color="auto" w:frame="1"/>
        </w:rPr>
        <w:t>FM</w:t>
      </w:r>
      <w:r w:rsidR="00E878C9" w:rsidRPr="00451BDA">
        <w:rPr>
          <w:bCs/>
          <w:sz w:val="22"/>
          <w:szCs w:val="22"/>
          <w:bdr w:val="none" w:sz="0" w:space="0" w:color="auto" w:frame="1"/>
        </w:rPr>
        <w:t xml:space="preserve"> participation in this research study is based on their subjective experiences in the external labor market</w:t>
      </w:r>
      <w:r w:rsidRPr="00451BDA">
        <w:rPr>
          <w:bCs/>
          <w:sz w:val="22"/>
          <w:szCs w:val="22"/>
          <w:bdr w:val="none" w:sz="0" w:space="0" w:color="auto" w:frame="1"/>
        </w:rPr>
        <w:t xml:space="preserve"> </w:t>
      </w:r>
      <w:r w:rsidRPr="00451BDA">
        <w:rPr>
          <w:bCs/>
          <w:sz w:val="22"/>
          <w:szCs w:val="22"/>
          <w:bdr w:val="none" w:sz="0" w:space="0" w:color="auto" w:frame="1"/>
        </w:rPr>
        <w:lastRenderedPageBreak/>
        <w:t xml:space="preserve">and is not dependent on the longevity of service as </w:t>
      </w:r>
      <w:r w:rsidR="00523849" w:rsidRPr="00451BDA">
        <w:rPr>
          <w:bCs/>
          <w:sz w:val="22"/>
          <w:szCs w:val="22"/>
          <w:bdr w:val="none" w:sz="0" w:space="0" w:color="auto" w:frame="1"/>
        </w:rPr>
        <w:t>FM</w:t>
      </w:r>
      <w:r w:rsidRPr="00451BDA">
        <w:rPr>
          <w:bCs/>
          <w:sz w:val="22"/>
          <w:szCs w:val="22"/>
          <w:bdr w:val="none" w:sz="0" w:space="0" w:color="auto" w:frame="1"/>
        </w:rPr>
        <w:t xml:space="preserve">. </w:t>
      </w:r>
      <w:r w:rsidR="000A4A13" w:rsidRPr="00451BDA">
        <w:rPr>
          <w:bCs/>
          <w:sz w:val="22"/>
          <w:szCs w:val="22"/>
          <w:bdr w:val="none" w:sz="0" w:space="0" w:color="auto" w:frame="1"/>
        </w:rPr>
        <w:t xml:space="preserve">A purposive selection of two institutions </w:t>
      </w:r>
      <w:r w:rsidR="002D406A" w:rsidRPr="00451BDA">
        <w:rPr>
          <w:bCs/>
          <w:sz w:val="22"/>
          <w:szCs w:val="22"/>
          <w:bdr w:val="none" w:sz="0" w:space="0" w:color="auto" w:frame="1"/>
        </w:rPr>
        <w:t>ensure</w:t>
      </w:r>
      <w:r w:rsidR="00FF6A85" w:rsidRPr="00451BDA">
        <w:rPr>
          <w:bCs/>
          <w:sz w:val="22"/>
          <w:szCs w:val="22"/>
          <w:bdr w:val="none" w:sz="0" w:space="0" w:color="auto" w:frame="1"/>
        </w:rPr>
        <w:t>d</w:t>
      </w:r>
      <w:r w:rsidR="002D406A" w:rsidRPr="00451BDA">
        <w:rPr>
          <w:bCs/>
          <w:sz w:val="22"/>
          <w:szCs w:val="22"/>
          <w:bdr w:val="none" w:sz="0" w:space="0" w:color="auto" w:frame="1"/>
        </w:rPr>
        <w:t xml:space="preserve"> </w:t>
      </w:r>
      <w:r w:rsidRPr="00451BDA">
        <w:rPr>
          <w:bCs/>
          <w:sz w:val="22"/>
          <w:szCs w:val="22"/>
        </w:rPr>
        <w:t>an equivalent focus on preparing graduates for the global labor market</w:t>
      </w:r>
      <w:r w:rsidR="000A4A13" w:rsidRPr="00451BDA">
        <w:rPr>
          <w:bCs/>
          <w:sz w:val="22"/>
          <w:szCs w:val="22"/>
          <w:bdr w:val="none" w:sz="0" w:space="0" w:color="auto" w:frame="1"/>
        </w:rPr>
        <w:t xml:space="preserve">, whereby the </w:t>
      </w:r>
      <w:r w:rsidRPr="00451BDA">
        <w:rPr>
          <w:bCs/>
          <w:sz w:val="22"/>
          <w:szCs w:val="22"/>
          <w:bdr w:val="none" w:sz="0" w:space="0" w:color="auto" w:frame="1"/>
        </w:rPr>
        <w:t>performance</w:t>
      </w:r>
      <w:r w:rsidR="000A4A13" w:rsidRPr="00451BDA">
        <w:rPr>
          <w:bCs/>
          <w:sz w:val="22"/>
          <w:szCs w:val="22"/>
          <w:bdr w:val="none" w:sz="0" w:space="0" w:color="auto" w:frame="1"/>
        </w:rPr>
        <w:t xml:space="preserve"> of institutions is inferred through the </w:t>
      </w:r>
      <w:r w:rsidR="00523849" w:rsidRPr="00451BDA">
        <w:rPr>
          <w:bCs/>
          <w:sz w:val="22"/>
          <w:szCs w:val="22"/>
          <w:bdr w:val="none" w:sz="0" w:space="0" w:color="auto" w:frame="1"/>
        </w:rPr>
        <w:t>FM</w:t>
      </w:r>
      <w:r w:rsidRPr="00451BDA">
        <w:rPr>
          <w:bCs/>
          <w:sz w:val="22"/>
          <w:szCs w:val="22"/>
          <w:bdr w:val="none" w:sz="0" w:space="0" w:color="auto" w:frame="1"/>
        </w:rPr>
        <w:t>’s</w:t>
      </w:r>
      <w:r w:rsidR="001074A0" w:rsidRPr="00451BDA">
        <w:rPr>
          <w:bCs/>
          <w:sz w:val="22"/>
          <w:szCs w:val="22"/>
          <w:bdr w:val="none" w:sz="0" w:space="0" w:color="auto" w:frame="1"/>
        </w:rPr>
        <w:t xml:space="preserve"> </w:t>
      </w:r>
      <w:r w:rsidRPr="00451BDA">
        <w:rPr>
          <w:bCs/>
          <w:sz w:val="22"/>
          <w:szCs w:val="22"/>
          <w:bdr w:val="none" w:sz="0" w:space="0" w:color="auto" w:frame="1"/>
        </w:rPr>
        <w:t>responses</w:t>
      </w:r>
      <w:r w:rsidR="001074A0" w:rsidRPr="00451BDA">
        <w:rPr>
          <w:bCs/>
          <w:sz w:val="22"/>
          <w:szCs w:val="22"/>
          <w:bdr w:val="none" w:sz="0" w:space="0" w:color="auto" w:frame="1"/>
        </w:rPr>
        <w:t>.</w:t>
      </w:r>
    </w:p>
    <w:p w14:paraId="6D65BCD6" w14:textId="412152FD" w:rsidR="003058D3" w:rsidRPr="00451BDA" w:rsidRDefault="00000000" w:rsidP="006A3D2C">
      <w:pPr>
        <w:pStyle w:val="NormalWeb"/>
        <w:shd w:val="clear" w:color="auto" w:fill="FFFFFF" w:themeFill="background1"/>
        <w:spacing w:before="0" w:beforeAutospacing="0" w:after="0" w:afterAutospacing="0"/>
        <w:ind w:firstLine="720"/>
        <w:contextualSpacing/>
        <w:rPr>
          <w:bCs/>
          <w:sz w:val="22"/>
          <w:szCs w:val="22"/>
          <w:bdr w:val="none" w:sz="0" w:space="0" w:color="auto" w:frame="1"/>
        </w:rPr>
      </w:pPr>
      <w:r w:rsidRPr="00451BDA">
        <w:rPr>
          <w:bCs/>
          <w:sz w:val="22"/>
          <w:szCs w:val="22"/>
          <w:bdr w:val="none" w:sz="0" w:space="0" w:color="auto" w:frame="1"/>
        </w:rPr>
        <w:t xml:space="preserve"> </w:t>
      </w:r>
      <w:r w:rsidRPr="00451BDA">
        <w:rPr>
          <w:bCs/>
          <w:sz w:val="22"/>
          <w:szCs w:val="22"/>
        </w:rPr>
        <w:t>This study was conducted to seek answers to the following questions</w:t>
      </w:r>
      <w:r w:rsidR="00045ACE" w:rsidRPr="00451BDA">
        <w:rPr>
          <w:bCs/>
          <w:sz w:val="22"/>
          <w:szCs w:val="22"/>
        </w:rPr>
        <w:t>:</w:t>
      </w:r>
    </w:p>
    <w:p w14:paraId="38016255" w14:textId="5060B5CA" w:rsidR="0008004C" w:rsidRPr="00451BDA" w:rsidRDefault="00000000" w:rsidP="006A3D2C">
      <w:pPr>
        <w:pStyle w:val="NormalWeb"/>
        <w:numPr>
          <w:ilvl w:val="0"/>
          <w:numId w:val="6"/>
        </w:numPr>
        <w:rPr>
          <w:bCs/>
          <w:sz w:val="22"/>
          <w:szCs w:val="22"/>
        </w:rPr>
      </w:pPr>
      <w:r w:rsidRPr="00451BDA">
        <w:rPr>
          <w:bCs/>
          <w:sz w:val="22"/>
          <w:szCs w:val="22"/>
        </w:rPr>
        <w:t xml:space="preserve">How can </w:t>
      </w:r>
      <w:r w:rsidR="00C61B46" w:rsidRPr="00451BDA">
        <w:rPr>
          <w:bCs/>
          <w:sz w:val="22"/>
          <w:szCs w:val="22"/>
        </w:rPr>
        <w:t>I</w:t>
      </w:r>
      <w:r w:rsidR="0054524E" w:rsidRPr="00451BDA">
        <w:rPr>
          <w:bCs/>
          <w:sz w:val="22"/>
          <w:szCs w:val="22"/>
        </w:rPr>
        <w:t>o</w:t>
      </w:r>
      <w:r w:rsidR="00C61B46" w:rsidRPr="00451BDA">
        <w:rPr>
          <w:bCs/>
          <w:sz w:val="22"/>
          <w:szCs w:val="22"/>
        </w:rPr>
        <w:t>C</w:t>
      </w:r>
      <w:r w:rsidRPr="00451BDA">
        <w:rPr>
          <w:bCs/>
          <w:sz w:val="22"/>
          <w:szCs w:val="22"/>
        </w:rPr>
        <w:t xml:space="preserve"> at the undergraduate level be theorized, especially when data are ascertained from two different contexts: the UK and Pakistan?</w:t>
      </w:r>
    </w:p>
    <w:p w14:paraId="55CF8465" w14:textId="292AD6EF" w:rsidR="0008004C" w:rsidRPr="00451BDA" w:rsidRDefault="00000000" w:rsidP="0008004C">
      <w:pPr>
        <w:pStyle w:val="NormalWeb"/>
        <w:numPr>
          <w:ilvl w:val="0"/>
          <w:numId w:val="6"/>
        </w:numPr>
        <w:rPr>
          <w:bCs/>
          <w:sz w:val="22"/>
          <w:szCs w:val="22"/>
        </w:rPr>
      </w:pPr>
      <w:r w:rsidRPr="00451BDA">
        <w:rPr>
          <w:bCs/>
          <w:sz w:val="22"/>
          <w:szCs w:val="22"/>
        </w:rPr>
        <w:t xml:space="preserve">How does the </w:t>
      </w:r>
      <w:r w:rsidR="00523849" w:rsidRPr="00451BDA">
        <w:rPr>
          <w:bCs/>
          <w:sz w:val="22"/>
          <w:szCs w:val="22"/>
        </w:rPr>
        <w:t>FM</w:t>
      </w:r>
      <w:r w:rsidRPr="00451BDA">
        <w:rPr>
          <w:bCs/>
          <w:sz w:val="22"/>
          <w:szCs w:val="22"/>
        </w:rPr>
        <w:t xml:space="preserve"> experience of curriculum </w:t>
      </w:r>
      <w:r w:rsidR="00AE224C" w:rsidRPr="00451BDA">
        <w:rPr>
          <w:bCs/>
          <w:sz w:val="22"/>
          <w:szCs w:val="22"/>
        </w:rPr>
        <w:t>work</w:t>
      </w:r>
      <w:r w:rsidRPr="00451BDA">
        <w:rPr>
          <w:bCs/>
          <w:sz w:val="22"/>
          <w:szCs w:val="22"/>
        </w:rPr>
        <w:t xml:space="preserve"> and labor market information perce</w:t>
      </w:r>
      <w:r w:rsidR="00047D9C" w:rsidRPr="00451BDA">
        <w:rPr>
          <w:bCs/>
          <w:sz w:val="22"/>
          <w:szCs w:val="22"/>
        </w:rPr>
        <w:t>ive</w:t>
      </w:r>
      <w:r w:rsidRPr="00451BDA">
        <w:rPr>
          <w:bCs/>
          <w:sz w:val="22"/>
          <w:szCs w:val="22"/>
        </w:rPr>
        <w:t xml:space="preserve"> </w:t>
      </w:r>
      <w:r w:rsidR="00C61B46" w:rsidRPr="00451BDA">
        <w:rPr>
          <w:bCs/>
          <w:sz w:val="22"/>
          <w:szCs w:val="22"/>
        </w:rPr>
        <w:t>I</w:t>
      </w:r>
      <w:r w:rsidR="0054524E" w:rsidRPr="00451BDA">
        <w:rPr>
          <w:bCs/>
          <w:sz w:val="22"/>
          <w:szCs w:val="22"/>
        </w:rPr>
        <w:t>o</w:t>
      </w:r>
      <w:r w:rsidR="00C61B46" w:rsidRPr="00451BDA">
        <w:rPr>
          <w:bCs/>
          <w:sz w:val="22"/>
          <w:szCs w:val="22"/>
        </w:rPr>
        <w:t>C</w:t>
      </w:r>
      <w:r w:rsidRPr="00451BDA">
        <w:rPr>
          <w:bCs/>
          <w:sz w:val="22"/>
          <w:szCs w:val="22"/>
        </w:rPr>
        <w:t xml:space="preserve"> at the undergraduate level?</w:t>
      </w:r>
    </w:p>
    <w:p w14:paraId="438C1C0A" w14:textId="6B844C6A" w:rsidR="00FF12C9" w:rsidRPr="00451BDA" w:rsidRDefault="00000000" w:rsidP="006A3D2C">
      <w:pPr>
        <w:pStyle w:val="NormalWeb"/>
        <w:numPr>
          <w:ilvl w:val="0"/>
          <w:numId w:val="6"/>
        </w:numPr>
        <w:rPr>
          <w:sz w:val="22"/>
          <w:szCs w:val="22"/>
        </w:rPr>
      </w:pPr>
      <w:r w:rsidRPr="00451BDA">
        <w:rPr>
          <w:bCs/>
          <w:sz w:val="22"/>
          <w:szCs w:val="22"/>
        </w:rPr>
        <w:t xml:space="preserve"> </w:t>
      </w:r>
      <w:r w:rsidR="00047D9C" w:rsidRPr="00451BDA">
        <w:rPr>
          <w:bCs/>
          <w:sz w:val="22"/>
          <w:szCs w:val="22"/>
        </w:rPr>
        <w:t xml:space="preserve">How </w:t>
      </w:r>
      <w:r w:rsidRPr="00451BDA">
        <w:rPr>
          <w:bCs/>
          <w:sz w:val="22"/>
          <w:szCs w:val="22"/>
        </w:rPr>
        <w:t xml:space="preserve">do cross-cultural comparisons </w:t>
      </w:r>
      <w:r w:rsidR="00355C1B" w:rsidRPr="00451BDA">
        <w:rPr>
          <w:bCs/>
          <w:sz w:val="22"/>
          <w:szCs w:val="22"/>
        </w:rPr>
        <w:t xml:space="preserve">through data-driven sources and </w:t>
      </w:r>
      <w:r w:rsidRPr="00451BDA">
        <w:rPr>
          <w:bCs/>
          <w:sz w:val="22"/>
          <w:szCs w:val="22"/>
        </w:rPr>
        <w:t xml:space="preserve">the historical-and systems approach </w:t>
      </w:r>
      <w:r w:rsidR="00047D9C" w:rsidRPr="00451BDA">
        <w:rPr>
          <w:bCs/>
          <w:sz w:val="22"/>
          <w:szCs w:val="22"/>
        </w:rPr>
        <w:t>reflect global</w:t>
      </w:r>
      <w:r w:rsidR="00355C1B" w:rsidRPr="00451BDA">
        <w:rPr>
          <w:bCs/>
          <w:sz w:val="22"/>
          <w:szCs w:val="22"/>
        </w:rPr>
        <w:t>-local</w:t>
      </w:r>
      <w:r w:rsidR="00047D9C" w:rsidRPr="00451BDA">
        <w:rPr>
          <w:bCs/>
          <w:sz w:val="22"/>
          <w:szCs w:val="22"/>
        </w:rPr>
        <w:t xml:space="preserve"> realities in IoC </w:t>
      </w:r>
      <w:r w:rsidR="00355C1B" w:rsidRPr="00451BDA">
        <w:rPr>
          <w:bCs/>
          <w:sz w:val="22"/>
          <w:szCs w:val="22"/>
        </w:rPr>
        <w:t>in two different yet interrelated contexts?</w:t>
      </w:r>
    </w:p>
    <w:p w14:paraId="2D91236D" w14:textId="37391533" w:rsidR="00950068" w:rsidRPr="00451BDA" w:rsidRDefault="00000000" w:rsidP="00FF12C9">
      <w:pPr>
        <w:shd w:val="clear" w:color="auto" w:fill="FFFFFF" w:themeFill="background1"/>
        <w:spacing w:line="240" w:lineRule="auto"/>
        <w:contextualSpacing/>
        <w:rPr>
          <w:rFonts w:ascii="Times New Roman" w:hAnsi="Times New Roman" w:cs="Times New Roman"/>
          <w:b/>
        </w:rPr>
      </w:pPr>
      <w:r w:rsidRPr="00451BDA">
        <w:rPr>
          <w:rFonts w:ascii="Times New Roman" w:hAnsi="Times New Roman" w:cs="Times New Roman"/>
          <w:b/>
        </w:rPr>
        <w:t>Literature Review</w:t>
      </w:r>
    </w:p>
    <w:p w14:paraId="7B80F6BF" w14:textId="1857CBA3" w:rsidR="00047D9C" w:rsidRPr="00451BDA" w:rsidRDefault="00000000" w:rsidP="00B51699">
      <w:pPr>
        <w:shd w:val="clear" w:color="auto" w:fill="FFFFFF" w:themeFill="background1"/>
        <w:spacing w:line="240" w:lineRule="auto"/>
        <w:ind w:firstLine="720"/>
        <w:contextualSpacing/>
        <w:rPr>
          <w:rFonts w:ascii="Times New Roman" w:eastAsia="Times New Roman" w:hAnsi="Times New Roman" w:cs="Times New Roman"/>
          <w:b/>
          <w:i/>
          <w:iCs/>
          <w:kern w:val="36"/>
        </w:rPr>
      </w:pPr>
      <w:r w:rsidRPr="00451BDA">
        <w:rPr>
          <w:rFonts w:ascii="Times New Roman" w:eastAsia="Times New Roman" w:hAnsi="Times New Roman" w:cs="Times New Roman"/>
          <w:b/>
          <w:i/>
          <w:iCs/>
          <w:kern w:val="36"/>
        </w:rPr>
        <w:t xml:space="preserve">Internationalizing </w:t>
      </w:r>
      <w:r w:rsidR="00C5130E" w:rsidRPr="00451BDA">
        <w:rPr>
          <w:rFonts w:ascii="Times New Roman" w:eastAsia="Times New Roman" w:hAnsi="Times New Roman" w:cs="Times New Roman"/>
          <w:b/>
          <w:i/>
          <w:iCs/>
          <w:kern w:val="36"/>
        </w:rPr>
        <w:t>HE</w:t>
      </w:r>
    </w:p>
    <w:p w14:paraId="09358E69" w14:textId="75C42F7E" w:rsidR="007E53D7" w:rsidRPr="00451BDA" w:rsidRDefault="00000000" w:rsidP="00B51699">
      <w:pPr>
        <w:shd w:val="clear" w:color="auto" w:fill="FFFFFF" w:themeFill="background1"/>
        <w:spacing w:line="240" w:lineRule="auto"/>
        <w:ind w:firstLine="720"/>
        <w:contextualSpacing/>
        <w:rPr>
          <w:rFonts w:ascii="Times New Roman" w:eastAsia="Times New Roman" w:hAnsi="Times New Roman" w:cs="Times New Roman"/>
          <w:bCs/>
          <w:kern w:val="36"/>
        </w:rPr>
      </w:pPr>
      <w:r w:rsidRPr="00451BDA">
        <w:rPr>
          <w:rFonts w:ascii="Times New Roman" w:eastAsia="Times New Roman" w:hAnsi="Times New Roman" w:cs="Times New Roman"/>
          <w:bCs/>
          <w:kern w:val="36"/>
        </w:rPr>
        <w:t xml:space="preserve">HE </w:t>
      </w:r>
      <w:r w:rsidR="00C44BCE" w:rsidRPr="00451BDA">
        <w:rPr>
          <w:rFonts w:ascii="Times New Roman" w:eastAsia="Times New Roman" w:hAnsi="Times New Roman" w:cs="Times New Roman"/>
          <w:bCs/>
          <w:kern w:val="36"/>
        </w:rPr>
        <w:t xml:space="preserve">is revolutionized due to </w:t>
      </w:r>
      <w:r w:rsidRPr="00451BDA">
        <w:rPr>
          <w:rFonts w:ascii="Times New Roman" w:eastAsia="Times New Roman" w:hAnsi="Times New Roman" w:cs="Times New Roman"/>
          <w:bCs/>
          <w:kern w:val="36"/>
        </w:rPr>
        <w:t>a transition from international education to ‘internationalization’ (</w:t>
      </w:r>
      <w:r w:rsidR="006C4052" w:rsidRPr="00451BDA">
        <w:rPr>
          <w:rFonts w:ascii="Times New Roman" w:eastAsia="Times New Roman" w:hAnsi="Times New Roman" w:cs="Times New Roman"/>
          <w:bCs/>
          <w:kern w:val="36"/>
        </w:rPr>
        <w:t>D</w:t>
      </w:r>
      <w:r w:rsidRPr="00451BDA">
        <w:rPr>
          <w:rFonts w:ascii="Times New Roman" w:eastAsia="Times New Roman" w:hAnsi="Times New Roman" w:cs="Times New Roman"/>
          <w:bCs/>
          <w:kern w:val="36"/>
        </w:rPr>
        <w:t xml:space="preserve">e Wit, 2013). </w:t>
      </w:r>
      <w:r w:rsidR="00C44BCE" w:rsidRPr="00451BDA">
        <w:rPr>
          <w:rFonts w:ascii="Times New Roman" w:eastAsia="Times New Roman" w:hAnsi="Times New Roman" w:cs="Times New Roman"/>
          <w:bCs/>
          <w:kern w:val="36"/>
        </w:rPr>
        <w:t>A</w:t>
      </w:r>
      <w:r w:rsidRPr="00451BDA">
        <w:rPr>
          <w:rFonts w:ascii="Times New Roman" w:eastAsia="Times New Roman" w:hAnsi="Times New Roman" w:cs="Times New Roman"/>
          <w:bCs/>
          <w:kern w:val="36"/>
        </w:rPr>
        <w:t xml:space="preserve"> comprehensive</w:t>
      </w:r>
      <w:r w:rsidR="00916B9A" w:rsidRPr="00451BDA">
        <w:rPr>
          <w:rFonts w:ascii="Times New Roman" w:eastAsia="Times New Roman" w:hAnsi="Times New Roman" w:cs="Times New Roman"/>
          <w:bCs/>
          <w:kern w:val="36"/>
        </w:rPr>
        <w:t>,</w:t>
      </w:r>
      <w:r w:rsidRPr="00451BDA">
        <w:rPr>
          <w:rFonts w:ascii="Times New Roman" w:eastAsia="Times New Roman" w:hAnsi="Times New Roman" w:cs="Times New Roman"/>
          <w:bCs/>
          <w:kern w:val="36"/>
        </w:rPr>
        <w:t xml:space="preserve"> </w:t>
      </w:r>
      <w:r w:rsidR="00916B9A" w:rsidRPr="00451BDA">
        <w:rPr>
          <w:rFonts w:ascii="Times New Roman" w:eastAsia="Times New Roman" w:hAnsi="Times New Roman" w:cs="Times New Roman"/>
          <w:bCs/>
          <w:kern w:val="36"/>
        </w:rPr>
        <w:t>multidimensional</w:t>
      </w:r>
      <w:r w:rsidRPr="00451BDA">
        <w:rPr>
          <w:rFonts w:ascii="Times New Roman" w:eastAsia="Times New Roman" w:hAnsi="Times New Roman" w:cs="Times New Roman"/>
          <w:bCs/>
          <w:kern w:val="36"/>
        </w:rPr>
        <w:t>, and m</w:t>
      </w:r>
      <w:r w:rsidR="00916B9A" w:rsidRPr="00451BDA">
        <w:rPr>
          <w:rFonts w:ascii="Times New Roman" w:eastAsia="Times New Roman" w:hAnsi="Times New Roman" w:cs="Times New Roman"/>
          <w:bCs/>
          <w:kern w:val="36"/>
        </w:rPr>
        <w:t xml:space="preserve">ultilayered </w:t>
      </w:r>
      <w:r w:rsidRPr="00451BDA">
        <w:rPr>
          <w:rFonts w:ascii="Times New Roman" w:eastAsia="Times New Roman" w:hAnsi="Times New Roman" w:cs="Times New Roman"/>
          <w:bCs/>
          <w:kern w:val="36"/>
        </w:rPr>
        <w:t xml:space="preserve">model of HE </w:t>
      </w:r>
      <w:r w:rsidR="00823C6B" w:rsidRPr="00451BDA">
        <w:rPr>
          <w:rFonts w:ascii="Times New Roman" w:eastAsia="Times New Roman" w:hAnsi="Times New Roman" w:cs="Times New Roman"/>
          <w:bCs/>
          <w:kern w:val="36"/>
        </w:rPr>
        <w:t>consist</w:t>
      </w:r>
      <w:r w:rsidR="00E602CD" w:rsidRPr="00451BDA">
        <w:rPr>
          <w:rFonts w:ascii="Times New Roman" w:eastAsia="Times New Roman" w:hAnsi="Times New Roman" w:cs="Times New Roman"/>
          <w:bCs/>
          <w:kern w:val="36"/>
        </w:rPr>
        <w:t>s</w:t>
      </w:r>
      <w:r w:rsidRPr="00451BDA">
        <w:rPr>
          <w:rFonts w:ascii="Times New Roman" w:eastAsia="Times New Roman" w:hAnsi="Times New Roman" w:cs="Times New Roman"/>
          <w:bCs/>
          <w:kern w:val="36"/>
        </w:rPr>
        <w:t xml:space="preserve"> of six key areas: mobility, partnerships, </w:t>
      </w:r>
      <w:r w:rsidR="00523849" w:rsidRPr="00451BDA">
        <w:rPr>
          <w:rFonts w:ascii="Times New Roman" w:eastAsia="Times New Roman" w:hAnsi="Times New Roman" w:cs="Times New Roman"/>
          <w:bCs/>
          <w:kern w:val="36"/>
        </w:rPr>
        <w:t>FM</w:t>
      </w:r>
      <w:r w:rsidRPr="00451BDA">
        <w:rPr>
          <w:rFonts w:ascii="Times New Roman" w:eastAsia="Times New Roman" w:hAnsi="Times New Roman" w:cs="Times New Roman"/>
          <w:bCs/>
          <w:kern w:val="36"/>
        </w:rPr>
        <w:t xml:space="preserve"> and staff support, curriculum and co-curriculum, leadership and structure, and institutional commitment. These six areas are viewed through three lenses: diversity, equity and inclusion</w:t>
      </w:r>
      <w:r w:rsidR="00111399" w:rsidRPr="00451BDA">
        <w:rPr>
          <w:rFonts w:ascii="Times New Roman" w:eastAsia="Times New Roman" w:hAnsi="Times New Roman" w:cs="Times New Roman"/>
          <w:bCs/>
          <w:kern w:val="36"/>
        </w:rPr>
        <w:t>,</w:t>
      </w:r>
      <w:r w:rsidRPr="00451BDA">
        <w:rPr>
          <w:rFonts w:ascii="Times New Roman" w:eastAsia="Times New Roman" w:hAnsi="Times New Roman" w:cs="Times New Roman"/>
          <w:bCs/>
          <w:kern w:val="36"/>
        </w:rPr>
        <w:t xml:space="preserve"> agility and transformation, and data-informed decision-making. Institutions may differ in terms of internationalization and its underlying </w:t>
      </w:r>
      <w:proofErr w:type="gramStart"/>
      <w:r w:rsidRPr="00451BDA">
        <w:rPr>
          <w:rFonts w:ascii="Times New Roman" w:eastAsia="Times New Roman" w:hAnsi="Times New Roman" w:cs="Times New Roman"/>
          <w:bCs/>
          <w:kern w:val="36"/>
        </w:rPr>
        <w:t>purposes,</w:t>
      </w:r>
      <w:r w:rsidR="00B263EF" w:rsidRPr="00451BDA">
        <w:rPr>
          <w:rFonts w:ascii="Times New Roman" w:eastAsia="Times New Roman" w:hAnsi="Times New Roman" w:cs="Times New Roman"/>
          <w:bCs/>
          <w:kern w:val="36"/>
        </w:rPr>
        <w:t xml:space="preserve"> </w:t>
      </w:r>
      <w:r w:rsidR="00823C6B" w:rsidRPr="00451BDA">
        <w:rPr>
          <w:rFonts w:ascii="Times New Roman" w:eastAsia="Times New Roman" w:hAnsi="Times New Roman" w:cs="Times New Roman"/>
          <w:bCs/>
          <w:kern w:val="36"/>
        </w:rPr>
        <w:t>and</w:t>
      </w:r>
      <w:proofErr w:type="gramEnd"/>
      <w:r w:rsidRPr="00451BDA">
        <w:rPr>
          <w:rFonts w:ascii="Times New Roman" w:eastAsia="Times New Roman" w:hAnsi="Times New Roman" w:cs="Times New Roman"/>
          <w:bCs/>
          <w:kern w:val="36"/>
        </w:rPr>
        <w:t xml:space="preserve"> may have marginal or central activities permeating throughout the institution, academic program</w:t>
      </w:r>
      <w:r w:rsidR="00111399" w:rsidRPr="00451BDA">
        <w:rPr>
          <w:rFonts w:ascii="Times New Roman" w:eastAsia="Times New Roman" w:hAnsi="Times New Roman" w:cs="Times New Roman"/>
          <w:bCs/>
          <w:kern w:val="36"/>
        </w:rPr>
        <w:t>s</w:t>
      </w:r>
      <w:r w:rsidRPr="00451BDA">
        <w:rPr>
          <w:rFonts w:ascii="Times New Roman" w:eastAsia="Times New Roman" w:hAnsi="Times New Roman" w:cs="Times New Roman"/>
          <w:bCs/>
          <w:kern w:val="36"/>
        </w:rPr>
        <w:t>, research and scholarly collaboration</w:t>
      </w:r>
      <w:r w:rsidR="00111399" w:rsidRPr="00451BDA">
        <w:rPr>
          <w:rFonts w:ascii="Times New Roman" w:eastAsia="Times New Roman" w:hAnsi="Times New Roman" w:cs="Times New Roman"/>
          <w:bCs/>
          <w:kern w:val="36"/>
        </w:rPr>
        <w:t>s</w:t>
      </w:r>
      <w:r w:rsidRPr="00451BDA">
        <w:rPr>
          <w:rFonts w:ascii="Times New Roman" w:eastAsia="Times New Roman" w:hAnsi="Times New Roman" w:cs="Times New Roman"/>
          <w:bCs/>
          <w:kern w:val="36"/>
        </w:rPr>
        <w:t>, extra-curricular activities, and external relations</w:t>
      </w:r>
      <w:r w:rsidR="00C44BCE" w:rsidRPr="00451BDA">
        <w:rPr>
          <w:rFonts w:ascii="Times New Roman" w:eastAsia="Times New Roman" w:hAnsi="Times New Roman" w:cs="Times New Roman"/>
          <w:bCs/>
          <w:kern w:val="36"/>
        </w:rPr>
        <w:t xml:space="preserve"> </w:t>
      </w:r>
      <w:r w:rsidR="00916B9A" w:rsidRPr="00451BDA">
        <w:rPr>
          <w:rFonts w:ascii="Times New Roman" w:eastAsia="Times New Roman" w:hAnsi="Times New Roman" w:cs="Times New Roman"/>
          <w:bCs/>
          <w:kern w:val="36"/>
        </w:rPr>
        <w:t>(</w:t>
      </w:r>
      <w:r w:rsidR="00C44BCE" w:rsidRPr="00451BDA">
        <w:rPr>
          <w:rFonts w:ascii="Times New Roman" w:eastAsia="Times New Roman" w:hAnsi="Times New Roman" w:cs="Times New Roman"/>
          <w:bCs/>
          <w:kern w:val="36"/>
        </w:rPr>
        <w:t>The American Council on Education</w:t>
      </w:r>
      <w:r w:rsidR="00916B9A" w:rsidRPr="00451BDA">
        <w:rPr>
          <w:rFonts w:ascii="Times New Roman" w:eastAsia="Times New Roman" w:hAnsi="Times New Roman" w:cs="Times New Roman"/>
          <w:bCs/>
          <w:kern w:val="36"/>
        </w:rPr>
        <w:t xml:space="preserve">, </w:t>
      </w:r>
      <w:r w:rsidR="00C44BCE" w:rsidRPr="00451BDA">
        <w:rPr>
          <w:rFonts w:ascii="Times New Roman" w:eastAsia="Times New Roman" w:hAnsi="Times New Roman" w:cs="Times New Roman"/>
          <w:bCs/>
          <w:kern w:val="36"/>
        </w:rPr>
        <w:t>202</w:t>
      </w:r>
      <w:r w:rsidR="002C3154" w:rsidRPr="00451BDA">
        <w:rPr>
          <w:rFonts w:ascii="Times New Roman" w:eastAsia="Times New Roman" w:hAnsi="Times New Roman" w:cs="Times New Roman"/>
          <w:bCs/>
          <w:kern w:val="36"/>
        </w:rPr>
        <w:t>3</w:t>
      </w:r>
      <w:r w:rsidR="00C44BCE" w:rsidRPr="00451BDA">
        <w:rPr>
          <w:rFonts w:ascii="Times New Roman" w:eastAsia="Times New Roman" w:hAnsi="Times New Roman" w:cs="Times New Roman"/>
          <w:bCs/>
          <w:kern w:val="36"/>
        </w:rPr>
        <w:t>)</w:t>
      </w:r>
      <w:r w:rsidRPr="00451BDA">
        <w:rPr>
          <w:rFonts w:ascii="Times New Roman" w:eastAsia="Times New Roman" w:hAnsi="Times New Roman" w:cs="Times New Roman"/>
          <w:bCs/>
          <w:kern w:val="36"/>
        </w:rPr>
        <w:t xml:space="preserve">. </w:t>
      </w:r>
      <w:r w:rsidR="00C44BCE" w:rsidRPr="00451BDA">
        <w:rPr>
          <w:rFonts w:ascii="Times New Roman" w:eastAsia="Times New Roman" w:hAnsi="Times New Roman" w:cs="Times New Roman"/>
          <w:bCs/>
          <w:kern w:val="36"/>
        </w:rPr>
        <w:t>T</w:t>
      </w:r>
      <w:r w:rsidRPr="00451BDA">
        <w:rPr>
          <w:rFonts w:ascii="Times New Roman" w:eastAsia="Times New Roman" w:hAnsi="Times New Roman" w:cs="Times New Roman"/>
          <w:bCs/>
          <w:kern w:val="36"/>
        </w:rPr>
        <w:t xml:space="preserve">he elements of internationalization include governance (leadership, rationale/goals), operations (integration in institutional, organizational, and departmental structures), and institutional support services (counseling, registration, housing, and fundraising). The </w:t>
      </w:r>
      <w:r w:rsidR="00111399" w:rsidRPr="00451BDA">
        <w:rPr>
          <w:rFonts w:ascii="Times New Roman" w:eastAsia="Times New Roman" w:hAnsi="Times New Roman" w:cs="Times New Roman"/>
          <w:bCs/>
          <w:kern w:val="36"/>
        </w:rPr>
        <w:t>context</w:t>
      </w:r>
      <w:r w:rsidRPr="00451BDA">
        <w:rPr>
          <w:rFonts w:ascii="Times New Roman" w:eastAsia="Times New Roman" w:hAnsi="Times New Roman" w:cs="Times New Roman"/>
          <w:bCs/>
          <w:kern w:val="36"/>
        </w:rPr>
        <w:t xml:space="preserve"> for internationalization includes political, economic, </w:t>
      </w:r>
      <w:r w:rsidR="00835392" w:rsidRPr="00451BDA">
        <w:rPr>
          <w:rFonts w:ascii="Times New Roman" w:eastAsia="Times New Roman" w:hAnsi="Times New Roman" w:cs="Times New Roman"/>
          <w:bCs/>
          <w:kern w:val="36"/>
        </w:rPr>
        <w:t>academic,</w:t>
      </w:r>
      <w:r w:rsidRPr="00451BDA">
        <w:rPr>
          <w:rFonts w:ascii="Times New Roman" w:eastAsia="Times New Roman" w:hAnsi="Times New Roman" w:cs="Times New Roman"/>
          <w:bCs/>
          <w:kern w:val="36"/>
        </w:rPr>
        <w:t xml:space="preserve"> cultural, and social agendas</w:t>
      </w:r>
      <w:r w:rsidR="00C44BCE" w:rsidRPr="00451BDA">
        <w:rPr>
          <w:rFonts w:ascii="Times New Roman" w:eastAsia="Times New Roman" w:hAnsi="Times New Roman" w:cs="Times New Roman"/>
          <w:bCs/>
          <w:kern w:val="36"/>
        </w:rPr>
        <w:t xml:space="preserve"> (Qiang, 2003)</w:t>
      </w:r>
      <w:r w:rsidRPr="00451BDA">
        <w:rPr>
          <w:rFonts w:ascii="Times New Roman" w:eastAsia="Times New Roman" w:hAnsi="Times New Roman" w:cs="Times New Roman"/>
          <w:bCs/>
          <w:kern w:val="36"/>
        </w:rPr>
        <w:t xml:space="preserve">. </w:t>
      </w:r>
    </w:p>
    <w:p w14:paraId="5F78F391" w14:textId="47E5F22E" w:rsidR="009B0353" w:rsidRPr="00451BDA" w:rsidRDefault="00000000" w:rsidP="00B51699">
      <w:pPr>
        <w:shd w:val="clear" w:color="auto" w:fill="FFFFFF" w:themeFill="background1"/>
        <w:spacing w:line="240" w:lineRule="auto"/>
        <w:ind w:firstLine="720"/>
        <w:contextualSpacing/>
        <w:rPr>
          <w:rFonts w:ascii="Times New Roman" w:eastAsia="Times New Roman" w:hAnsi="Times New Roman" w:cs="Times New Roman"/>
          <w:bCs/>
          <w:kern w:val="36"/>
        </w:rPr>
      </w:pPr>
      <w:r w:rsidRPr="00451BDA">
        <w:rPr>
          <w:rFonts w:ascii="Times New Roman" w:eastAsia="Times New Roman" w:hAnsi="Times New Roman" w:cs="Times New Roman"/>
          <w:bCs/>
          <w:kern w:val="36"/>
        </w:rPr>
        <w:t xml:space="preserve">Common </w:t>
      </w:r>
      <w:r w:rsidR="00B1614C" w:rsidRPr="00451BDA">
        <w:rPr>
          <w:rFonts w:ascii="Times New Roman" w:eastAsia="Times New Roman" w:hAnsi="Times New Roman" w:cs="Times New Roman"/>
          <w:bCs/>
          <w:kern w:val="36"/>
        </w:rPr>
        <w:t>elements</w:t>
      </w:r>
      <w:r w:rsidRPr="00451BDA">
        <w:rPr>
          <w:rFonts w:ascii="Times New Roman" w:eastAsia="Times New Roman" w:hAnsi="Times New Roman" w:cs="Times New Roman"/>
          <w:bCs/>
          <w:kern w:val="36"/>
        </w:rPr>
        <w:t xml:space="preserve"> </w:t>
      </w:r>
      <w:r w:rsidR="00B1614C" w:rsidRPr="00451BDA">
        <w:rPr>
          <w:rFonts w:ascii="Times New Roman" w:eastAsia="Times New Roman" w:hAnsi="Times New Roman" w:cs="Times New Roman"/>
          <w:bCs/>
          <w:kern w:val="36"/>
        </w:rPr>
        <w:t xml:space="preserve">in </w:t>
      </w:r>
      <w:r w:rsidRPr="00451BDA">
        <w:rPr>
          <w:rFonts w:ascii="Times New Roman" w:eastAsia="Times New Roman" w:hAnsi="Times New Roman" w:cs="Times New Roman"/>
          <w:bCs/>
          <w:kern w:val="36"/>
        </w:rPr>
        <w:t>the</w:t>
      </w:r>
      <w:r w:rsidR="00B1614C" w:rsidRPr="00451BDA">
        <w:rPr>
          <w:rFonts w:ascii="Times New Roman" w:eastAsia="Times New Roman" w:hAnsi="Times New Roman" w:cs="Times New Roman"/>
          <w:bCs/>
          <w:kern w:val="36"/>
        </w:rPr>
        <w:t xml:space="preserve"> processes of</w:t>
      </w:r>
      <w:r w:rsidRPr="00451BDA">
        <w:rPr>
          <w:rFonts w:ascii="Times New Roman" w:eastAsia="Times New Roman" w:hAnsi="Times New Roman" w:cs="Times New Roman"/>
          <w:bCs/>
          <w:kern w:val="36"/>
        </w:rPr>
        <w:t xml:space="preserve"> internationalization of HE include developing a global perspective, intercultural communication, responsive citizenship</w:t>
      </w:r>
      <w:r w:rsidR="00B1614C" w:rsidRPr="00451BDA">
        <w:rPr>
          <w:rFonts w:ascii="Times New Roman" w:eastAsia="Times New Roman" w:hAnsi="Times New Roman" w:cs="Times New Roman"/>
          <w:bCs/>
          <w:kern w:val="36"/>
        </w:rPr>
        <w:t>,</w:t>
      </w:r>
      <w:r w:rsidRPr="00451BDA">
        <w:rPr>
          <w:rFonts w:ascii="Times New Roman" w:eastAsia="Times New Roman" w:hAnsi="Times New Roman" w:cs="Times New Roman"/>
          <w:bCs/>
          <w:kern w:val="36"/>
        </w:rPr>
        <w:t xml:space="preserve"> content covering a range of cultural and international situations, understanding how disciplines operate in different cultures and contexts, international linkages</w:t>
      </w:r>
      <w:r w:rsidR="002D4D53" w:rsidRPr="00451BDA">
        <w:rPr>
          <w:rFonts w:ascii="Times New Roman" w:eastAsia="Times New Roman" w:hAnsi="Times New Roman" w:cs="Times New Roman"/>
          <w:bCs/>
          <w:kern w:val="36"/>
        </w:rPr>
        <w:t xml:space="preserve"> and knowledge, skills, and values</w:t>
      </w:r>
      <w:r w:rsidR="00B1614C" w:rsidRPr="00451BDA">
        <w:rPr>
          <w:rFonts w:ascii="Times New Roman" w:eastAsia="Times New Roman" w:hAnsi="Times New Roman" w:cs="Times New Roman"/>
          <w:bCs/>
          <w:kern w:val="36"/>
        </w:rPr>
        <w:t>;</w:t>
      </w:r>
      <w:r w:rsidRPr="00451BDA">
        <w:rPr>
          <w:rFonts w:ascii="Times New Roman" w:eastAsia="Times New Roman" w:hAnsi="Times New Roman" w:cs="Times New Roman"/>
          <w:bCs/>
          <w:kern w:val="36"/>
        </w:rPr>
        <w:t xml:space="preserve"> creating an opportunity to learn about the world outside HE</w:t>
      </w:r>
      <w:r w:rsidR="00B1614C" w:rsidRPr="00451BDA">
        <w:rPr>
          <w:rFonts w:ascii="Times New Roman" w:eastAsia="Times New Roman" w:hAnsi="Times New Roman" w:cs="Times New Roman"/>
          <w:bCs/>
          <w:kern w:val="36"/>
        </w:rPr>
        <w:t>;</w:t>
      </w:r>
      <w:r w:rsidRPr="00451BDA">
        <w:rPr>
          <w:rFonts w:ascii="Times New Roman" w:eastAsia="Times New Roman" w:hAnsi="Times New Roman" w:cs="Times New Roman"/>
          <w:bCs/>
          <w:kern w:val="36"/>
        </w:rPr>
        <w:t xml:space="preserve"> courses on English language studies or courses related to internationalization</w:t>
      </w:r>
      <w:r w:rsidR="00B1614C" w:rsidRPr="00451BDA">
        <w:rPr>
          <w:rFonts w:ascii="Times New Roman" w:eastAsia="Times New Roman" w:hAnsi="Times New Roman" w:cs="Times New Roman"/>
          <w:bCs/>
          <w:kern w:val="36"/>
        </w:rPr>
        <w:t>;</w:t>
      </w:r>
      <w:r w:rsidRPr="00451BDA">
        <w:rPr>
          <w:rFonts w:ascii="Times New Roman" w:eastAsia="Times New Roman" w:hAnsi="Times New Roman" w:cs="Times New Roman"/>
          <w:bCs/>
          <w:kern w:val="36"/>
        </w:rPr>
        <w:t xml:space="preserve"> campus activities related to internationalization</w:t>
      </w:r>
      <w:r w:rsidR="00B1614C" w:rsidRPr="00451BDA">
        <w:rPr>
          <w:rFonts w:ascii="Times New Roman" w:eastAsia="Times New Roman" w:hAnsi="Times New Roman" w:cs="Times New Roman"/>
          <w:bCs/>
          <w:kern w:val="36"/>
        </w:rPr>
        <w:t>;</w:t>
      </w:r>
      <w:r w:rsidRPr="00451BDA">
        <w:rPr>
          <w:rFonts w:ascii="Times New Roman" w:eastAsia="Times New Roman" w:hAnsi="Times New Roman" w:cs="Times New Roman"/>
          <w:bCs/>
          <w:kern w:val="36"/>
        </w:rPr>
        <w:t xml:space="preserve"> overcoming barriers in multicultural and learning opportunities at home and abroad (Clifford, 2013; Deborah, 2014; Meng et al., 2017; Y</w:t>
      </w:r>
      <w:r w:rsidR="007A4DF8" w:rsidRPr="00451BDA">
        <w:rPr>
          <w:rFonts w:ascii="Times New Roman" w:eastAsia="Times New Roman" w:hAnsi="Times New Roman" w:cs="Times New Roman"/>
          <w:bCs/>
          <w:kern w:val="36"/>
        </w:rPr>
        <w:t>emini</w:t>
      </w:r>
      <w:r w:rsidRPr="00451BDA">
        <w:rPr>
          <w:rFonts w:ascii="Times New Roman" w:eastAsia="Times New Roman" w:hAnsi="Times New Roman" w:cs="Times New Roman"/>
          <w:bCs/>
          <w:kern w:val="36"/>
        </w:rPr>
        <w:t xml:space="preserve"> and Sagie, 2016; </w:t>
      </w:r>
      <w:proofErr w:type="spellStart"/>
      <w:r w:rsidRPr="00451BDA">
        <w:rPr>
          <w:rFonts w:ascii="Times New Roman" w:eastAsia="Times New Roman" w:hAnsi="Times New Roman" w:cs="Times New Roman"/>
          <w:bCs/>
          <w:kern w:val="36"/>
        </w:rPr>
        <w:t>Zimitat</w:t>
      </w:r>
      <w:proofErr w:type="spellEnd"/>
      <w:r w:rsidRPr="00451BDA">
        <w:rPr>
          <w:rFonts w:ascii="Times New Roman" w:eastAsia="Times New Roman" w:hAnsi="Times New Roman" w:cs="Times New Roman"/>
          <w:bCs/>
          <w:kern w:val="36"/>
        </w:rPr>
        <w:t xml:space="preserve">, 2005). </w:t>
      </w:r>
    </w:p>
    <w:p w14:paraId="2B08DED0" w14:textId="658BD2C6" w:rsidR="00835279" w:rsidRPr="00451BDA" w:rsidRDefault="00000000" w:rsidP="00835279">
      <w:pPr>
        <w:shd w:val="clear" w:color="auto" w:fill="FFFFFF" w:themeFill="background1"/>
        <w:spacing w:line="240" w:lineRule="auto"/>
        <w:ind w:firstLine="720"/>
        <w:contextualSpacing/>
        <w:rPr>
          <w:rFonts w:ascii="Times New Roman" w:eastAsia="Times New Roman" w:hAnsi="Times New Roman" w:cs="Times New Roman"/>
          <w:bCs/>
          <w:kern w:val="36"/>
        </w:rPr>
      </w:pPr>
      <w:r w:rsidRPr="00451BDA">
        <w:rPr>
          <w:rFonts w:ascii="Times New Roman" w:eastAsia="Times New Roman" w:hAnsi="Times New Roman" w:cs="Times New Roman"/>
          <w:bCs/>
          <w:kern w:val="36"/>
        </w:rPr>
        <w:t xml:space="preserve">Research on how </w:t>
      </w:r>
      <w:proofErr w:type="spellStart"/>
      <w:r w:rsidRPr="00451BDA">
        <w:rPr>
          <w:rFonts w:ascii="Times New Roman" w:eastAsia="Times New Roman" w:hAnsi="Times New Roman" w:cs="Times New Roman"/>
          <w:bCs/>
          <w:kern w:val="36"/>
        </w:rPr>
        <w:t>IoCs</w:t>
      </w:r>
      <w:proofErr w:type="spellEnd"/>
      <w:r w:rsidRPr="00451BDA">
        <w:rPr>
          <w:rFonts w:ascii="Times New Roman" w:eastAsia="Times New Roman" w:hAnsi="Times New Roman" w:cs="Times New Roman"/>
          <w:bCs/>
          <w:kern w:val="36"/>
        </w:rPr>
        <w:t xml:space="preserve"> are embedded in various disciplines is limited. </w:t>
      </w:r>
      <w:r w:rsidR="00C44BCE" w:rsidRPr="00451BDA">
        <w:rPr>
          <w:rFonts w:ascii="Times New Roman" w:eastAsia="Times New Roman" w:hAnsi="Times New Roman" w:cs="Times New Roman"/>
          <w:bCs/>
          <w:kern w:val="36"/>
        </w:rPr>
        <w:t>A study by Zapp and Lerch (2020)</w:t>
      </w:r>
      <w:r w:rsidRPr="00451BDA">
        <w:rPr>
          <w:rFonts w:ascii="Times New Roman" w:eastAsia="Times New Roman" w:hAnsi="Times New Roman" w:cs="Times New Roman"/>
          <w:bCs/>
          <w:kern w:val="36"/>
        </w:rPr>
        <w:t xml:space="preserve"> indicated that curriculum addresses the needs of the globalized world using disciplinary models such as comparative or interstate models (education, law, sociology, business science), reterritorialized emphasis through secondary textbooks and globalization of scientific fields (development studies and natural sciences), and current paradigms amongst and identity built on older notions (political science and law). </w:t>
      </w:r>
    </w:p>
    <w:p w14:paraId="3BA366B8" w14:textId="24048340" w:rsidR="00047D9C" w:rsidRPr="00451BDA" w:rsidRDefault="00000000" w:rsidP="00B51699">
      <w:pPr>
        <w:shd w:val="clear" w:color="auto" w:fill="FFFFFF" w:themeFill="background1"/>
        <w:spacing w:line="240" w:lineRule="auto"/>
        <w:ind w:firstLine="720"/>
        <w:contextualSpacing/>
        <w:rPr>
          <w:rFonts w:ascii="Times New Roman" w:eastAsia="Times New Roman" w:hAnsi="Times New Roman" w:cs="Times New Roman"/>
          <w:b/>
          <w:i/>
          <w:iCs/>
          <w:kern w:val="36"/>
        </w:rPr>
      </w:pPr>
      <w:r w:rsidRPr="00451BDA">
        <w:rPr>
          <w:rFonts w:ascii="Times New Roman" w:eastAsia="Times New Roman" w:hAnsi="Times New Roman" w:cs="Times New Roman"/>
          <w:b/>
          <w:i/>
          <w:iCs/>
          <w:kern w:val="36"/>
        </w:rPr>
        <w:t xml:space="preserve">Influences of IoC </w:t>
      </w:r>
    </w:p>
    <w:p w14:paraId="3E24FCB5" w14:textId="3A8599BB" w:rsidR="009B0353" w:rsidRPr="00451BDA" w:rsidRDefault="00000000" w:rsidP="00B51699">
      <w:pPr>
        <w:shd w:val="clear" w:color="auto" w:fill="FFFFFF" w:themeFill="background1"/>
        <w:spacing w:line="240" w:lineRule="auto"/>
        <w:ind w:firstLine="720"/>
        <w:contextualSpacing/>
        <w:rPr>
          <w:rFonts w:ascii="Times New Roman" w:eastAsia="Times New Roman" w:hAnsi="Times New Roman" w:cs="Times New Roman"/>
          <w:bCs/>
          <w:kern w:val="36"/>
        </w:rPr>
      </w:pPr>
      <w:r w:rsidRPr="00451BDA">
        <w:rPr>
          <w:rFonts w:ascii="Times New Roman" w:eastAsia="Times New Roman" w:hAnsi="Times New Roman" w:cs="Times New Roman"/>
          <w:bCs/>
          <w:kern w:val="36"/>
        </w:rPr>
        <w:t xml:space="preserve">Studies </w:t>
      </w:r>
      <w:r w:rsidR="00D53C4C" w:rsidRPr="00451BDA">
        <w:rPr>
          <w:rFonts w:ascii="Times New Roman" w:eastAsia="Times New Roman" w:hAnsi="Times New Roman" w:cs="Times New Roman"/>
          <w:bCs/>
          <w:kern w:val="36"/>
        </w:rPr>
        <w:t xml:space="preserve">have investigated </w:t>
      </w:r>
      <w:r w:rsidR="00835392" w:rsidRPr="00451BDA">
        <w:rPr>
          <w:rFonts w:ascii="Times New Roman" w:eastAsia="Times New Roman" w:hAnsi="Times New Roman" w:cs="Times New Roman"/>
          <w:bCs/>
          <w:kern w:val="36"/>
        </w:rPr>
        <w:t>the influence</w:t>
      </w:r>
      <w:r w:rsidR="00D53C4C" w:rsidRPr="00451BDA">
        <w:rPr>
          <w:rFonts w:ascii="Times New Roman" w:eastAsia="Times New Roman" w:hAnsi="Times New Roman" w:cs="Times New Roman"/>
          <w:bCs/>
          <w:kern w:val="36"/>
        </w:rPr>
        <w:t xml:space="preserve"> of IoC</w:t>
      </w:r>
      <w:r w:rsidRPr="00451BDA">
        <w:rPr>
          <w:rFonts w:ascii="Times New Roman" w:eastAsia="Times New Roman" w:hAnsi="Times New Roman" w:cs="Times New Roman"/>
          <w:bCs/>
          <w:kern w:val="36"/>
        </w:rPr>
        <w:t xml:space="preserve"> </w:t>
      </w:r>
      <w:r w:rsidR="00D53C4C" w:rsidRPr="00451BDA">
        <w:rPr>
          <w:rFonts w:ascii="Times New Roman" w:eastAsia="Times New Roman" w:hAnsi="Times New Roman" w:cs="Times New Roman"/>
          <w:bCs/>
          <w:kern w:val="36"/>
        </w:rPr>
        <w:t>on</w:t>
      </w:r>
      <w:r w:rsidRPr="00451BDA">
        <w:rPr>
          <w:rFonts w:ascii="Times New Roman" w:eastAsia="Times New Roman" w:hAnsi="Times New Roman" w:cs="Times New Roman"/>
          <w:bCs/>
          <w:kern w:val="36"/>
        </w:rPr>
        <w:t xml:space="preserve"> students</w:t>
      </w:r>
      <w:r w:rsidR="00D53C4C" w:rsidRPr="00451BDA">
        <w:rPr>
          <w:rFonts w:ascii="Times New Roman" w:eastAsia="Times New Roman" w:hAnsi="Times New Roman" w:cs="Times New Roman"/>
          <w:bCs/>
          <w:kern w:val="36"/>
        </w:rPr>
        <w:t xml:space="preserve"> and </w:t>
      </w:r>
      <w:r w:rsidR="00523849" w:rsidRPr="00451BDA">
        <w:rPr>
          <w:rFonts w:ascii="Times New Roman" w:eastAsia="Times New Roman" w:hAnsi="Times New Roman" w:cs="Times New Roman"/>
          <w:bCs/>
          <w:kern w:val="36"/>
        </w:rPr>
        <w:t>FM</w:t>
      </w:r>
      <w:r w:rsidRPr="00451BDA">
        <w:rPr>
          <w:rFonts w:ascii="Times New Roman" w:eastAsia="Times New Roman" w:hAnsi="Times New Roman" w:cs="Times New Roman"/>
          <w:bCs/>
          <w:kern w:val="36"/>
        </w:rPr>
        <w:t>,</w:t>
      </w:r>
      <w:r w:rsidR="004C1D85" w:rsidRPr="00451BDA">
        <w:rPr>
          <w:rFonts w:ascii="Times New Roman" w:eastAsia="Times New Roman" w:hAnsi="Times New Roman" w:cs="Times New Roman"/>
          <w:bCs/>
          <w:kern w:val="36"/>
        </w:rPr>
        <w:t xml:space="preserve"> with a </w:t>
      </w:r>
      <w:r w:rsidRPr="00451BDA">
        <w:rPr>
          <w:rFonts w:ascii="Times New Roman" w:eastAsia="Times New Roman" w:hAnsi="Times New Roman" w:cs="Times New Roman"/>
          <w:bCs/>
          <w:kern w:val="36"/>
        </w:rPr>
        <w:t xml:space="preserve">central focus on IaH. </w:t>
      </w:r>
      <w:r w:rsidR="002729C8" w:rsidRPr="00451BDA">
        <w:rPr>
          <w:rFonts w:ascii="Times New Roman" w:eastAsia="Times New Roman" w:hAnsi="Times New Roman" w:cs="Times New Roman"/>
          <w:bCs/>
          <w:kern w:val="36"/>
        </w:rPr>
        <w:t>Earlier</w:t>
      </w:r>
      <w:r w:rsidR="00015478" w:rsidRPr="00451BDA">
        <w:rPr>
          <w:rFonts w:ascii="Times New Roman" w:eastAsia="Times New Roman" w:hAnsi="Times New Roman" w:cs="Times New Roman"/>
          <w:bCs/>
          <w:kern w:val="36"/>
        </w:rPr>
        <w:t xml:space="preserve"> studies</w:t>
      </w:r>
      <w:r w:rsidRPr="00451BDA">
        <w:rPr>
          <w:rFonts w:ascii="Times New Roman" w:eastAsia="Times New Roman" w:hAnsi="Times New Roman" w:cs="Times New Roman"/>
          <w:bCs/>
          <w:kern w:val="36"/>
        </w:rPr>
        <w:t>,</w:t>
      </w:r>
      <w:r w:rsidR="002729C8" w:rsidRPr="00451BDA">
        <w:rPr>
          <w:rFonts w:ascii="Times New Roman" w:eastAsia="Times New Roman" w:hAnsi="Times New Roman" w:cs="Times New Roman"/>
          <w:bCs/>
          <w:kern w:val="36"/>
        </w:rPr>
        <w:t xml:space="preserve"> such as Harman (2005)</w:t>
      </w:r>
      <w:r w:rsidRPr="00451BDA">
        <w:rPr>
          <w:rFonts w:ascii="Times New Roman" w:eastAsia="Times New Roman" w:hAnsi="Times New Roman" w:cs="Times New Roman"/>
          <w:bCs/>
          <w:kern w:val="36"/>
        </w:rPr>
        <w:t>,</w:t>
      </w:r>
      <w:r w:rsidR="00015478" w:rsidRPr="00451BDA">
        <w:rPr>
          <w:rFonts w:ascii="Times New Roman" w:eastAsia="Times New Roman" w:hAnsi="Times New Roman" w:cs="Times New Roman"/>
          <w:bCs/>
          <w:kern w:val="36"/>
        </w:rPr>
        <w:t xml:space="preserve"> </w:t>
      </w:r>
      <w:r w:rsidR="00C44BCE" w:rsidRPr="00451BDA">
        <w:rPr>
          <w:rFonts w:ascii="Times New Roman" w:eastAsia="Times New Roman" w:hAnsi="Times New Roman" w:cs="Times New Roman"/>
          <w:bCs/>
          <w:kern w:val="36"/>
        </w:rPr>
        <w:t>have</w:t>
      </w:r>
      <w:r w:rsidRPr="00451BDA">
        <w:rPr>
          <w:rFonts w:ascii="Times New Roman" w:eastAsia="Times New Roman" w:hAnsi="Times New Roman" w:cs="Times New Roman"/>
          <w:bCs/>
          <w:kern w:val="36"/>
        </w:rPr>
        <w:t xml:space="preserve"> </w:t>
      </w:r>
      <w:r w:rsidR="00015478" w:rsidRPr="00451BDA">
        <w:rPr>
          <w:rFonts w:ascii="Times New Roman" w:eastAsia="Times New Roman" w:hAnsi="Times New Roman" w:cs="Times New Roman"/>
          <w:bCs/>
          <w:kern w:val="36"/>
        </w:rPr>
        <w:t xml:space="preserve">provided </w:t>
      </w:r>
      <w:r w:rsidRPr="00451BDA">
        <w:rPr>
          <w:rFonts w:ascii="Times New Roman" w:eastAsia="Times New Roman" w:hAnsi="Times New Roman" w:cs="Times New Roman"/>
          <w:bCs/>
          <w:kern w:val="36"/>
        </w:rPr>
        <w:t xml:space="preserve">a niche </w:t>
      </w:r>
      <w:r w:rsidR="002729C8" w:rsidRPr="00451BDA">
        <w:rPr>
          <w:rFonts w:ascii="Times New Roman" w:eastAsia="Times New Roman" w:hAnsi="Times New Roman" w:cs="Times New Roman"/>
          <w:bCs/>
          <w:kern w:val="36"/>
        </w:rPr>
        <w:t>for</w:t>
      </w:r>
      <w:r w:rsidR="00015478" w:rsidRPr="00451BDA">
        <w:rPr>
          <w:rFonts w:ascii="Times New Roman" w:eastAsia="Times New Roman" w:hAnsi="Times New Roman" w:cs="Times New Roman"/>
          <w:bCs/>
          <w:kern w:val="36"/>
        </w:rPr>
        <w:t xml:space="preserve"> IaH</w:t>
      </w:r>
      <w:r w:rsidR="00C44BCE" w:rsidRPr="00451BDA">
        <w:rPr>
          <w:rFonts w:ascii="Times New Roman" w:eastAsia="Times New Roman" w:hAnsi="Times New Roman" w:cs="Times New Roman"/>
          <w:bCs/>
          <w:kern w:val="36"/>
        </w:rPr>
        <w:t xml:space="preserve"> by focusing on home students </w:t>
      </w:r>
      <w:proofErr w:type="gramStart"/>
      <w:r w:rsidR="00C44BCE" w:rsidRPr="00451BDA">
        <w:rPr>
          <w:rFonts w:ascii="Times New Roman" w:eastAsia="Times New Roman" w:hAnsi="Times New Roman" w:cs="Times New Roman"/>
          <w:bCs/>
          <w:kern w:val="36"/>
        </w:rPr>
        <w:t xml:space="preserve">as a </w:t>
      </w:r>
      <w:r w:rsidR="00E602CD" w:rsidRPr="00451BDA">
        <w:rPr>
          <w:rFonts w:ascii="Times New Roman" w:eastAsia="Times New Roman" w:hAnsi="Times New Roman" w:cs="Times New Roman"/>
          <w:bCs/>
          <w:kern w:val="36"/>
        </w:rPr>
        <w:t>result</w:t>
      </w:r>
      <w:r w:rsidR="00C44BCE" w:rsidRPr="00451BDA">
        <w:rPr>
          <w:rFonts w:ascii="Times New Roman" w:eastAsia="Times New Roman" w:hAnsi="Times New Roman" w:cs="Times New Roman"/>
          <w:bCs/>
          <w:kern w:val="36"/>
        </w:rPr>
        <w:t xml:space="preserve"> of</w:t>
      </w:r>
      <w:proofErr w:type="gramEnd"/>
      <w:r w:rsidR="00C44BCE" w:rsidRPr="00451BDA">
        <w:rPr>
          <w:rFonts w:ascii="Times New Roman" w:eastAsia="Times New Roman" w:hAnsi="Times New Roman" w:cs="Times New Roman"/>
          <w:bCs/>
          <w:kern w:val="36"/>
        </w:rPr>
        <w:t xml:space="preserve"> internationalization</w:t>
      </w:r>
      <w:r w:rsidRPr="00451BDA">
        <w:rPr>
          <w:rFonts w:ascii="Times New Roman" w:eastAsia="Times New Roman" w:hAnsi="Times New Roman" w:cs="Times New Roman"/>
          <w:bCs/>
          <w:kern w:val="36"/>
        </w:rPr>
        <w:t xml:space="preserve">. Research </w:t>
      </w:r>
      <w:r w:rsidR="00C44BCE" w:rsidRPr="00451BDA">
        <w:rPr>
          <w:rFonts w:ascii="Times New Roman" w:eastAsia="Times New Roman" w:hAnsi="Times New Roman" w:cs="Times New Roman"/>
          <w:bCs/>
          <w:kern w:val="36"/>
        </w:rPr>
        <w:t>demonstrates</w:t>
      </w:r>
      <w:r w:rsidRPr="00451BDA">
        <w:rPr>
          <w:rFonts w:ascii="Times New Roman" w:eastAsia="Times New Roman" w:hAnsi="Times New Roman" w:cs="Times New Roman"/>
          <w:bCs/>
          <w:kern w:val="36"/>
        </w:rPr>
        <w:t xml:space="preserve"> gains in general education, intellectual development, and leadership skills </w:t>
      </w:r>
      <w:r w:rsidR="00E11A6D" w:rsidRPr="00451BDA">
        <w:rPr>
          <w:rFonts w:ascii="Times New Roman" w:eastAsia="Times New Roman" w:hAnsi="Times New Roman" w:cs="Times New Roman"/>
          <w:bCs/>
          <w:kern w:val="36"/>
        </w:rPr>
        <w:t>among</w:t>
      </w:r>
      <w:r w:rsidRPr="00451BDA">
        <w:rPr>
          <w:rFonts w:ascii="Times New Roman" w:eastAsia="Times New Roman" w:hAnsi="Times New Roman" w:cs="Times New Roman"/>
          <w:bCs/>
          <w:kern w:val="36"/>
        </w:rPr>
        <w:t xml:space="preserve"> US students due to interaction with international students, </w:t>
      </w:r>
      <w:r w:rsidR="00524414" w:rsidRPr="00451BDA">
        <w:rPr>
          <w:rFonts w:ascii="Times New Roman" w:eastAsia="Times New Roman" w:hAnsi="Times New Roman" w:cs="Times New Roman"/>
          <w:bCs/>
          <w:kern w:val="36"/>
        </w:rPr>
        <w:t>as</w:t>
      </w:r>
      <w:r w:rsidR="00D53C4C" w:rsidRPr="00451BDA">
        <w:rPr>
          <w:rFonts w:ascii="Times New Roman" w:eastAsia="Times New Roman" w:hAnsi="Times New Roman" w:cs="Times New Roman"/>
          <w:bCs/>
          <w:kern w:val="36"/>
        </w:rPr>
        <w:t xml:space="preserve"> this challenges</w:t>
      </w:r>
      <w:r w:rsidRPr="00451BDA">
        <w:rPr>
          <w:rFonts w:ascii="Times New Roman" w:eastAsia="Times New Roman" w:hAnsi="Times New Roman" w:cs="Times New Roman"/>
          <w:bCs/>
          <w:kern w:val="36"/>
        </w:rPr>
        <w:t xml:space="preserve"> their own beliefs and values (Luo and </w:t>
      </w:r>
      <w:proofErr w:type="spellStart"/>
      <w:r w:rsidRPr="00451BDA">
        <w:rPr>
          <w:rFonts w:ascii="Times New Roman" w:eastAsia="Times New Roman" w:hAnsi="Times New Roman" w:cs="Times New Roman"/>
          <w:bCs/>
          <w:kern w:val="36"/>
        </w:rPr>
        <w:t>Jemieson</w:t>
      </w:r>
      <w:proofErr w:type="spellEnd"/>
      <w:r w:rsidRPr="00451BDA">
        <w:rPr>
          <w:rFonts w:ascii="Times New Roman" w:eastAsia="Times New Roman" w:hAnsi="Times New Roman" w:cs="Times New Roman"/>
          <w:bCs/>
          <w:kern w:val="36"/>
        </w:rPr>
        <w:t xml:space="preserve">-Drake, 2013). </w:t>
      </w:r>
      <w:r w:rsidR="002729C8" w:rsidRPr="00451BDA">
        <w:rPr>
          <w:rFonts w:ascii="Times New Roman" w:eastAsia="Times New Roman" w:hAnsi="Times New Roman" w:cs="Times New Roman"/>
          <w:bCs/>
          <w:kern w:val="36"/>
        </w:rPr>
        <w:t xml:space="preserve">A study from the UK highlighted </w:t>
      </w:r>
      <w:r w:rsidRPr="00451BDA">
        <w:rPr>
          <w:rFonts w:ascii="Times New Roman" w:eastAsia="Times New Roman" w:hAnsi="Times New Roman" w:cs="Times New Roman"/>
          <w:bCs/>
          <w:kern w:val="36"/>
        </w:rPr>
        <w:t>that inclusiv</w:t>
      </w:r>
      <w:r w:rsidR="002729C8" w:rsidRPr="00451BDA">
        <w:rPr>
          <w:rFonts w:ascii="Times New Roman" w:eastAsia="Times New Roman" w:hAnsi="Times New Roman" w:cs="Times New Roman"/>
          <w:bCs/>
          <w:kern w:val="36"/>
        </w:rPr>
        <w:t xml:space="preserve">ity and globally relevant curricula </w:t>
      </w:r>
      <w:r w:rsidR="006C73AA" w:rsidRPr="00451BDA">
        <w:rPr>
          <w:rFonts w:ascii="Times New Roman" w:eastAsia="Times New Roman" w:hAnsi="Times New Roman" w:cs="Times New Roman"/>
          <w:bCs/>
          <w:kern w:val="36"/>
        </w:rPr>
        <w:t>enable</w:t>
      </w:r>
      <w:r w:rsidR="002729C8" w:rsidRPr="00451BDA">
        <w:rPr>
          <w:rFonts w:ascii="Times New Roman" w:eastAsia="Times New Roman" w:hAnsi="Times New Roman" w:cs="Times New Roman"/>
          <w:bCs/>
          <w:kern w:val="36"/>
        </w:rPr>
        <w:t xml:space="preserve"> the development of </w:t>
      </w:r>
      <w:r w:rsidR="00237223" w:rsidRPr="00451BDA">
        <w:rPr>
          <w:rFonts w:ascii="Times New Roman" w:eastAsia="Times New Roman" w:hAnsi="Times New Roman" w:cs="Times New Roman"/>
          <w:bCs/>
          <w:kern w:val="36"/>
        </w:rPr>
        <w:t>intercultural</w:t>
      </w:r>
      <w:r w:rsidR="002729C8" w:rsidRPr="00451BDA">
        <w:rPr>
          <w:rFonts w:ascii="Times New Roman" w:eastAsia="Times New Roman" w:hAnsi="Times New Roman" w:cs="Times New Roman"/>
          <w:bCs/>
          <w:kern w:val="36"/>
        </w:rPr>
        <w:t xml:space="preserve"> competence</w:t>
      </w:r>
      <w:r w:rsidR="00C44BCE" w:rsidRPr="00451BDA">
        <w:rPr>
          <w:rFonts w:ascii="Times New Roman" w:eastAsia="Times New Roman" w:hAnsi="Times New Roman" w:cs="Times New Roman"/>
          <w:bCs/>
          <w:kern w:val="36"/>
        </w:rPr>
        <w:t xml:space="preserve"> (M</w:t>
      </w:r>
      <w:r w:rsidR="002729C8" w:rsidRPr="00451BDA">
        <w:rPr>
          <w:rFonts w:ascii="Times New Roman" w:eastAsia="Times New Roman" w:hAnsi="Times New Roman" w:cs="Times New Roman"/>
          <w:bCs/>
          <w:kern w:val="36"/>
        </w:rPr>
        <w:t xml:space="preserve">agne, 2014). </w:t>
      </w:r>
      <w:r w:rsidR="00523849" w:rsidRPr="00451BDA">
        <w:rPr>
          <w:rFonts w:ascii="Times New Roman" w:eastAsia="Times New Roman" w:hAnsi="Times New Roman" w:cs="Times New Roman"/>
          <w:bCs/>
          <w:kern w:val="36"/>
        </w:rPr>
        <w:t>FM</w:t>
      </w:r>
      <w:r w:rsidR="00D53C4C" w:rsidRPr="00451BDA">
        <w:rPr>
          <w:rFonts w:ascii="Times New Roman" w:eastAsia="Times New Roman" w:hAnsi="Times New Roman" w:cs="Times New Roman"/>
          <w:bCs/>
          <w:kern w:val="36"/>
        </w:rPr>
        <w:t xml:space="preserve"> </w:t>
      </w:r>
      <w:r w:rsidR="004B4620" w:rsidRPr="00451BDA">
        <w:rPr>
          <w:rFonts w:ascii="Times New Roman" w:eastAsia="Times New Roman" w:hAnsi="Times New Roman" w:cs="Times New Roman"/>
          <w:bCs/>
          <w:kern w:val="36"/>
        </w:rPr>
        <w:t>is</w:t>
      </w:r>
      <w:r w:rsidR="00D53C4C" w:rsidRPr="00451BDA">
        <w:rPr>
          <w:rFonts w:ascii="Times New Roman" w:eastAsia="Times New Roman" w:hAnsi="Times New Roman" w:cs="Times New Roman"/>
          <w:bCs/>
          <w:kern w:val="36"/>
        </w:rPr>
        <w:t xml:space="preserve"> reported to</w:t>
      </w:r>
      <w:r w:rsidRPr="00451BDA">
        <w:rPr>
          <w:rFonts w:ascii="Times New Roman" w:eastAsia="Times New Roman" w:hAnsi="Times New Roman" w:cs="Times New Roman"/>
          <w:bCs/>
          <w:kern w:val="36"/>
        </w:rPr>
        <w:t xml:space="preserve"> </w:t>
      </w:r>
      <w:r w:rsidR="00524414" w:rsidRPr="00451BDA">
        <w:rPr>
          <w:rFonts w:ascii="Times New Roman" w:eastAsia="Times New Roman" w:hAnsi="Times New Roman" w:cs="Times New Roman"/>
          <w:bCs/>
          <w:kern w:val="36"/>
        </w:rPr>
        <w:t xml:space="preserve">have believed that </w:t>
      </w:r>
      <w:r w:rsidRPr="00451BDA">
        <w:rPr>
          <w:rFonts w:ascii="Times New Roman" w:eastAsia="Times New Roman" w:hAnsi="Times New Roman" w:cs="Times New Roman"/>
          <w:bCs/>
          <w:kern w:val="36"/>
        </w:rPr>
        <w:t>international students bring about diverse cultural perspectives (</w:t>
      </w:r>
      <w:proofErr w:type="spellStart"/>
      <w:r w:rsidRPr="00451BDA">
        <w:rPr>
          <w:rFonts w:ascii="Times New Roman" w:eastAsia="Times New Roman" w:hAnsi="Times New Roman" w:cs="Times New Roman"/>
          <w:bCs/>
          <w:kern w:val="36"/>
        </w:rPr>
        <w:t>Jin</w:t>
      </w:r>
      <w:proofErr w:type="spellEnd"/>
      <w:r w:rsidRPr="00451BDA">
        <w:rPr>
          <w:rFonts w:ascii="Times New Roman" w:eastAsia="Times New Roman" w:hAnsi="Times New Roman" w:cs="Times New Roman"/>
          <w:bCs/>
          <w:kern w:val="36"/>
        </w:rPr>
        <w:t xml:space="preserve"> and </w:t>
      </w:r>
      <w:proofErr w:type="spellStart"/>
      <w:r w:rsidRPr="00451BDA">
        <w:rPr>
          <w:rFonts w:ascii="Times New Roman" w:eastAsia="Times New Roman" w:hAnsi="Times New Roman" w:cs="Times New Roman"/>
          <w:bCs/>
          <w:kern w:val="36"/>
        </w:rPr>
        <w:t>Schneieder</w:t>
      </w:r>
      <w:proofErr w:type="spellEnd"/>
      <w:r w:rsidRPr="00451BDA">
        <w:rPr>
          <w:rFonts w:ascii="Times New Roman" w:eastAsia="Times New Roman" w:hAnsi="Times New Roman" w:cs="Times New Roman"/>
          <w:bCs/>
          <w:kern w:val="36"/>
        </w:rPr>
        <w:t>, 2019).</w:t>
      </w:r>
    </w:p>
    <w:p w14:paraId="31AA1323" w14:textId="77777777" w:rsidR="0037012B" w:rsidRDefault="0037012B" w:rsidP="00944861">
      <w:pPr>
        <w:shd w:val="clear" w:color="auto" w:fill="FFFFFF" w:themeFill="background1"/>
        <w:spacing w:line="240" w:lineRule="auto"/>
        <w:ind w:firstLine="720"/>
        <w:contextualSpacing/>
        <w:rPr>
          <w:rFonts w:ascii="Times New Roman" w:eastAsia="Times New Roman" w:hAnsi="Times New Roman" w:cs="Times New Roman"/>
          <w:b/>
          <w:i/>
          <w:iCs/>
          <w:kern w:val="36"/>
        </w:rPr>
      </w:pPr>
    </w:p>
    <w:p w14:paraId="51192307" w14:textId="0EA38175" w:rsidR="00047D9C" w:rsidRPr="00451BDA" w:rsidRDefault="00000000" w:rsidP="00944861">
      <w:pPr>
        <w:shd w:val="clear" w:color="auto" w:fill="FFFFFF" w:themeFill="background1"/>
        <w:spacing w:line="240" w:lineRule="auto"/>
        <w:ind w:firstLine="720"/>
        <w:contextualSpacing/>
        <w:rPr>
          <w:rFonts w:ascii="Times New Roman" w:eastAsia="Times New Roman" w:hAnsi="Times New Roman" w:cs="Times New Roman"/>
          <w:b/>
          <w:i/>
          <w:iCs/>
          <w:kern w:val="36"/>
        </w:rPr>
      </w:pPr>
      <w:r w:rsidRPr="00451BDA">
        <w:rPr>
          <w:rFonts w:ascii="Times New Roman" w:eastAsia="Times New Roman" w:hAnsi="Times New Roman" w:cs="Times New Roman"/>
          <w:b/>
          <w:i/>
          <w:iCs/>
          <w:kern w:val="36"/>
        </w:rPr>
        <w:t>Role of institutions for IoC</w:t>
      </w:r>
    </w:p>
    <w:p w14:paraId="125AA314" w14:textId="5B88BCEE" w:rsidR="004B4620" w:rsidRPr="00451BDA" w:rsidRDefault="00000000" w:rsidP="00944861">
      <w:pPr>
        <w:shd w:val="clear" w:color="auto" w:fill="FFFFFF" w:themeFill="background1"/>
        <w:spacing w:line="240" w:lineRule="auto"/>
        <w:ind w:firstLine="720"/>
        <w:contextualSpacing/>
        <w:rPr>
          <w:rFonts w:ascii="Times New Roman" w:eastAsia="Times New Roman" w:hAnsi="Times New Roman" w:cs="Times New Roman"/>
          <w:bCs/>
          <w:kern w:val="36"/>
        </w:rPr>
      </w:pPr>
      <w:r w:rsidRPr="00451BDA">
        <w:rPr>
          <w:rFonts w:ascii="Times New Roman" w:eastAsia="Times New Roman" w:hAnsi="Times New Roman" w:cs="Times New Roman"/>
          <w:bCs/>
          <w:kern w:val="36"/>
        </w:rPr>
        <w:lastRenderedPageBreak/>
        <w:t>I</w:t>
      </w:r>
      <w:r w:rsidR="009B0353" w:rsidRPr="00451BDA">
        <w:rPr>
          <w:rFonts w:ascii="Times New Roman" w:eastAsia="Times New Roman" w:hAnsi="Times New Roman" w:cs="Times New Roman"/>
          <w:bCs/>
          <w:kern w:val="36"/>
        </w:rPr>
        <w:t>nternational development activities</w:t>
      </w:r>
      <w:r w:rsidR="00916B9A" w:rsidRPr="00451BDA">
        <w:rPr>
          <w:rFonts w:ascii="Times New Roman" w:eastAsia="Times New Roman" w:hAnsi="Times New Roman" w:cs="Times New Roman"/>
          <w:bCs/>
          <w:kern w:val="36"/>
        </w:rPr>
        <w:t xml:space="preserve"> and international visits</w:t>
      </w:r>
      <w:r w:rsidR="009B0353" w:rsidRPr="00451BDA">
        <w:rPr>
          <w:rFonts w:ascii="Times New Roman" w:eastAsia="Times New Roman" w:hAnsi="Times New Roman" w:cs="Times New Roman"/>
          <w:bCs/>
          <w:kern w:val="36"/>
        </w:rPr>
        <w:t xml:space="preserve"> are reported as rewarding for intercultural learning</w:t>
      </w:r>
      <w:r w:rsidR="00DA3230" w:rsidRPr="00451BDA">
        <w:rPr>
          <w:rFonts w:ascii="Times New Roman" w:eastAsia="Times New Roman" w:hAnsi="Times New Roman" w:cs="Times New Roman"/>
          <w:bCs/>
          <w:kern w:val="36"/>
        </w:rPr>
        <w:t xml:space="preserve"> </w:t>
      </w:r>
      <w:r w:rsidR="00015478" w:rsidRPr="00451BDA">
        <w:rPr>
          <w:rFonts w:ascii="Times New Roman" w:eastAsia="Times New Roman" w:hAnsi="Times New Roman" w:cs="Times New Roman"/>
          <w:bCs/>
          <w:kern w:val="36"/>
        </w:rPr>
        <w:t xml:space="preserve">of </w:t>
      </w:r>
      <w:r w:rsidR="00523849" w:rsidRPr="00451BDA">
        <w:rPr>
          <w:rFonts w:ascii="Times New Roman" w:eastAsia="Times New Roman" w:hAnsi="Times New Roman" w:cs="Times New Roman"/>
          <w:bCs/>
          <w:kern w:val="36"/>
        </w:rPr>
        <w:t>FM</w:t>
      </w:r>
      <w:r w:rsidR="009B0353" w:rsidRPr="00451BDA">
        <w:rPr>
          <w:rFonts w:ascii="Times New Roman" w:eastAsia="Times New Roman" w:hAnsi="Times New Roman" w:cs="Times New Roman"/>
          <w:bCs/>
          <w:kern w:val="36"/>
        </w:rPr>
        <w:t xml:space="preserve"> (</w:t>
      </w:r>
      <w:r w:rsidR="00916B9A" w:rsidRPr="00451BDA">
        <w:rPr>
          <w:rFonts w:ascii="Times New Roman" w:eastAsia="Times New Roman" w:hAnsi="Times New Roman" w:cs="Times New Roman"/>
          <w:bCs/>
          <w:kern w:val="36"/>
        </w:rPr>
        <w:t xml:space="preserve">Gouldthorpe et al., 2012; </w:t>
      </w:r>
      <w:r w:rsidR="009B0353" w:rsidRPr="00451BDA">
        <w:rPr>
          <w:rFonts w:ascii="Times New Roman" w:eastAsia="Times New Roman" w:hAnsi="Times New Roman" w:cs="Times New Roman"/>
          <w:bCs/>
          <w:kern w:val="36"/>
        </w:rPr>
        <w:t xml:space="preserve">Roberts et al., 2008). </w:t>
      </w:r>
    </w:p>
    <w:p w14:paraId="2B3F6F01" w14:textId="0BA0FFE5" w:rsidR="009B0353" w:rsidRPr="00451BDA" w:rsidRDefault="00000000" w:rsidP="003C3AFA">
      <w:pPr>
        <w:shd w:val="clear" w:color="auto" w:fill="FFFFFF" w:themeFill="background1"/>
        <w:spacing w:line="240" w:lineRule="auto"/>
        <w:ind w:firstLine="720"/>
        <w:contextualSpacing/>
        <w:rPr>
          <w:rFonts w:ascii="Times New Roman" w:eastAsia="Times New Roman" w:hAnsi="Times New Roman" w:cs="Times New Roman"/>
          <w:bCs/>
          <w:kern w:val="36"/>
        </w:rPr>
      </w:pPr>
      <w:r w:rsidRPr="00451BDA">
        <w:rPr>
          <w:rFonts w:ascii="Times New Roman" w:eastAsia="Times New Roman" w:hAnsi="Times New Roman" w:cs="Times New Roman"/>
          <w:bCs/>
          <w:kern w:val="36"/>
        </w:rPr>
        <w:t xml:space="preserve">A cross-cultural study identified </w:t>
      </w:r>
      <w:r w:rsidR="00F220B5" w:rsidRPr="00451BDA">
        <w:rPr>
          <w:rFonts w:ascii="Times New Roman" w:eastAsia="Times New Roman" w:hAnsi="Times New Roman" w:cs="Times New Roman"/>
          <w:bCs/>
          <w:kern w:val="36"/>
        </w:rPr>
        <w:t>that</w:t>
      </w:r>
      <w:r w:rsidRPr="00451BDA">
        <w:rPr>
          <w:rFonts w:ascii="Times New Roman" w:eastAsia="Times New Roman" w:hAnsi="Times New Roman" w:cs="Times New Roman"/>
          <w:bCs/>
          <w:kern w:val="36"/>
        </w:rPr>
        <w:t xml:space="preserve"> </w:t>
      </w:r>
      <w:proofErr w:type="gramStart"/>
      <w:r w:rsidRPr="00451BDA">
        <w:rPr>
          <w:rFonts w:ascii="Times New Roman" w:eastAsia="Times New Roman" w:hAnsi="Times New Roman" w:cs="Times New Roman"/>
          <w:bCs/>
          <w:kern w:val="36"/>
        </w:rPr>
        <w:t>a number of</w:t>
      </w:r>
      <w:proofErr w:type="gramEnd"/>
      <w:r w:rsidRPr="00451BDA">
        <w:rPr>
          <w:rFonts w:ascii="Times New Roman" w:eastAsia="Times New Roman" w:hAnsi="Times New Roman" w:cs="Times New Roman"/>
          <w:bCs/>
          <w:kern w:val="36"/>
        </w:rPr>
        <w:t xml:space="preserve"> factors ranging from </w:t>
      </w:r>
      <w:r w:rsidR="00E602CD" w:rsidRPr="00451BDA">
        <w:rPr>
          <w:rFonts w:ascii="Times New Roman" w:eastAsia="Times New Roman" w:hAnsi="Times New Roman" w:cs="Times New Roman"/>
          <w:bCs/>
          <w:kern w:val="36"/>
        </w:rPr>
        <w:t>attitudes</w:t>
      </w:r>
      <w:r w:rsidRPr="00451BDA">
        <w:rPr>
          <w:rFonts w:ascii="Times New Roman" w:eastAsia="Times New Roman" w:hAnsi="Times New Roman" w:cs="Times New Roman"/>
          <w:bCs/>
          <w:kern w:val="36"/>
        </w:rPr>
        <w:t xml:space="preserve"> </w:t>
      </w:r>
      <w:r w:rsidR="00DA5232" w:rsidRPr="00451BDA">
        <w:rPr>
          <w:rFonts w:ascii="Times New Roman" w:eastAsia="Times New Roman" w:hAnsi="Times New Roman" w:cs="Times New Roman"/>
          <w:bCs/>
          <w:kern w:val="36"/>
        </w:rPr>
        <w:t xml:space="preserve">to international and intercultural experiences </w:t>
      </w:r>
      <w:r w:rsidRPr="00451BDA">
        <w:rPr>
          <w:rFonts w:ascii="Times New Roman" w:eastAsia="Times New Roman" w:hAnsi="Times New Roman" w:cs="Times New Roman"/>
          <w:bCs/>
          <w:kern w:val="36"/>
        </w:rPr>
        <w:t>contribut</w:t>
      </w:r>
      <w:r w:rsidR="00FF6A85" w:rsidRPr="00451BDA">
        <w:rPr>
          <w:rFonts w:ascii="Times New Roman" w:eastAsia="Times New Roman" w:hAnsi="Times New Roman" w:cs="Times New Roman"/>
          <w:bCs/>
          <w:kern w:val="36"/>
        </w:rPr>
        <w:t>e</w:t>
      </w:r>
      <w:r w:rsidRPr="00451BDA">
        <w:rPr>
          <w:rFonts w:ascii="Times New Roman" w:eastAsia="Times New Roman" w:hAnsi="Times New Roman" w:cs="Times New Roman"/>
          <w:bCs/>
          <w:kern w:val="36"/>
        </w:rPr>
        <w:t xml:space="preserve"> to </w:t>
      </w:r>
      <w:r w:rsidR="00523849" w:rsidRPr="00451BDA">
        <w:rPr>
          <w:rFonts w:ascii="Times New Roman" w:eastAsia="Times New Roman" w:hAnsi="Times New Roman" w:cs="Times New Roman"/>
          <w:bCs/>
          <w:kern w:val="36"/>
        </w:rPr>
        <w:t>FM</w:t>
      </w:r>
      <w:r w:rsidR="00DB0919" w:rsidRPr="00451BDA">
        <w:rPr>
          <w:rFonts w:ascii="Times New Roman" w:eastAsia="Times New Roman" w:hAnsi="Times New Roman" w:cs="Times New Roman"/>
          <w:bCs/>
          <w:kern w:val="36"/>
        </w:rPr>
        <w:t xml:space="preserve">s’ </w:t>
      </w:r>
      <w:r w:rsidRPr="00451BDA">
        <w:rPr>
          <w:rFonts w:ascii="Times New Roman" w:eastAsia="Times New Roman" w:hAnsi="Times New Roman" w:cs="Times New Roman"/>
          <w:bCs/>
          <w:kern w:val="36"/>
        </w:rPr>
        <w:t>knowledge</w:t>
      </w:r>
      <w:r w:rsidR="00F220B5" w:rsidRPr="00451BDA">
        <w:rPr>
          <w:rFonts w:ascii="Times New Roman" w:eastAsia="Times New Roman" w:hAnsi="Times New Roman" w:cs="Times New Roman"/>
          <w:bCs/>
          <w:kern w:val="36"/>
        </w:rPr>
        <w:t xml:space="preserve"> of IoC</w:t>
      </w:r>
      <w:r w:rsidR="00146528" w:rsidRPr="00451BDA">
        <w:rPr>
          <w:rFonts w:ascii="Times New Roman" w:eastAsia="Times New Roman" w:hAnsi="Times New Roman" w:cs="Times New Roman"/>
          <w:bCs/>
          <w:kern w:val="36"/>
        </w:rPr>
        <w:t xml:space="preserve"> (Gopal, 2011)</w:t>
      </w:r>
      <w:r w:rsidRPr="00451BDA">
        <w:rPr>
          <w:rFonts w:ascii="Times New Roman" w:eastAsia="Times New Roman" w:hAnsi="Times New Roman" w:cs="Times New Roman"/>
          <w:bCs/>
          <w:kern w:val="36"/>
        </w:rPr>
        <w:t xml:space="preserve">. </w:t>
      </w:r>
      <w:r w:rsidR="006C73AA" w:rsidRPr="00451BDA">
        <w:rPr>
          <w:rFonts w:ascii="Times New Roman" w:eastAsia="Times New Roman" w:hAnsi="Times New Roman" w:cs="Times New Roman"/>
          <w:bCs/>
          <w:kern w:val="36"/>
        </w:rPr>
        <w:t>To</w:t>
      </w:r>
      <w:r w:rsidR="004808F0" w:rsidRPr="00451BDA">
        <w:rPr>
          <w:rFonts w:ascii="Times New Roman" w:eastAsia="Times New Roman" w:hAnsi="Times New Roman" w:cs="Times New Roman"/>
          <w:bCs/>
          <w:kern w:val="36"/>
        </w:rPr>
        <w:t xml:space="preserve"> </w:t>
      </w:r>
      <w:r w:rsidRPr="00451BDA">
        <w:rPr>
          <w:rFonts w:ascii="Times New Roman" w:eastAsia="Times New Roman" w:hAnsi="Times New Roman" w:cs="Times New Roman"/>
          <w:bCs/>
          <w:kern w:val="36"/>
        </w:rPr>
        <w:t>overcome the reluctance and barriers to IoC</w:t>
      </w:r>
      <w:r w:rsidR="00F220B5" w:rsidRPr="00451BDA">
        <w:rPr>
          <w:rFonts w:ascii="Times New Roman" w:eastAsia="Times New Roman" w:hAnsi="Times New Roman" w:cs="Times New Roman"/>
          <w:bCs/>
          <w:kern w:val="36"/>
        </w:rPr>
        <w:t>,</w:t>
      </w:r>
      <w:r w:rsidRPr="00451BDA">
        <w:rPr>
          <w:rFonts w:ascii="Times New Roman" w:eastAsia="Times New Roman" w:hAnsi="Times New Roman" w:cs="Times New Roman"/>
          <w:bCs/>
          <w:kern w:val="36"/>
        </w:rPr>
        <w:t xml:space="preserve"> </w:t>
      </w:r>
      <w:r w:rsidR="00523849" w:rsidRPr="00451BDA">
        <w:rPr>
          <w:rFonts w:ascii="Times New Roman" w:eastAsia="Times New Roman" w:hAnsi="Times New Roman" w:cs="Times New Roman"/>
          <w:bCs/>
          <w:kern w:val="36"/>
        </w:rPr>
        <w:t>FM</w:t>
      </w:r>
      <w:r w:rsidRPr="00451BDA">
        <w:rPr>
          <w:rFonts w:ascii="Times New Roman" w:eastAsia="Times New Roman" w:hAnsi="Times New Roman" w:cs="Times New Roman"/>
          <w:bCs/>
          <w:kern w:val="36"/>
        </w:rPr>
        <w:t xml:space="preserve"> autonomy and the supportive role of management are important (</w:t>
      </w:r>
      <w:proofErr w:type="spellStart"/>
      <w:r w:rsidRPr="00451BDA">
        <w:rPr>
          <w:rFonts w:ascii="Times New Roman" w:eastAsia="Times New Roman" w:hAnsi="Times New Roman" w:cs="Times New Roman"/>
          <w:bCs/>
          <w:kern w:val="36"/>
        </w:rPr>
        <w:t>Crosling</w:t>
      </w:r>
      <w:proofErr w:type="spellEnd"/>
      <w:r w:rsidRPr="00451BDA">
        <w:rPr>
          <w:rFonts w:ascii="Times New Roman" w:eastAsia="Times New Roman" w:hAnsi="Times New Roman" w:cs="Times New Roman"/>
          <w:bCs/>
          <w:kern w:val="36"/>
        </w:rPr>
        <w:t xml:space="preserve"> et al., 2008). </w:t>
      </w:r>
      <w:r w:rsidR="00015478" w:rsidRPr="00451BDA">
        <w:rPr>
          <w:rFonts w:ascii="Times New Roman" w:eastAsia="Times New Roman" w:hAnsi="Times New Roman" w:cs="Times New Roman"/>
          <w:bCs/>
          <w:kern w:val="36"/>
        </w:rPr>
        <w:t xml:space="preserve">However, internationalization of </w:t>
      </w:r>
      <w:r w:rsidR="00523849" w:rsidRPr="00451BDA">
        <w:rPr>
          <w:rFonts w:ascii="Times New Roman" w:eastAsia="Times New Roman" w:hAnsi="Times New Roman" w:cs="Times New Roman"/>
          <w:bCs/>
          <w:kern w:val="36"/>
        </w:rPr>
        <w:t>FM</w:t>
      </w:r>
      <w:r w:rsidR="00015478" w:rsidRPr="00451BDA">
        <w:rPr>
          <w:rFonts w:ascii="Times New Roman" w:eastAsia="Times New Roman" w:hAnsi="Times New Roman" w:cs="Times New Roman"/>
          <w:bCs/>
          <w:kern w:val="36"/>
        </w:rPr>
        <w:t xml:space="preserve"> is dependent upon receiving support from international development programs (Niehaus and Williams, 2016); hence</w:t>
      </w:r>
      <w:r w:rsidRPr="00451BDA">
        <w:rPr>
          <w:rFonts w:ascii="Times New Roman" w:eastAsia="Times New Roman" w:hAnsi="Times New Roman" w:cs="Times New Roman"/>
          <w:bCs/>
          <w:kern w:val="36"/>
        </w:rPr>
        <w:t>,</w:t>
      </w:r>
      <w:r w:rsidR="00015478" w:rsidRPr="00451BDA">
        <w:rPr>
          <w:rFonts w:ascii="Times New Roman" w:eastAsia="Times New Roman" w:hAnsi="Times New Roman" w:cs="Times New Roman"/>
          <w:bCs/>
          <w:kern w:val="36"/>
        </w:rPr>
        <w:t xml:space="preserve"> institutional context, leadership support, and resource allocation play a </w:t>
      </w:r>
      <w:r w:rsidR="00E260D5" w:rsidRPr="00451BDA">
        <w:rPr>
          <w:rFonts w:ascii="Times New Roman" w:eastAsia="Times New Roman" w:hAnsi="Times New Roman" w:cs="Times New Roman"/>
          <w:bCs/>
          <w:kern w:val="36"/>
        </w:rPr>
        <w:t>pi</w:t>
      </w:r>
      <w:r w:rsidR="00015478" w:rsidRPr="00451BDA">
        <w:rPr>
          <w:rFonts w:ascii="Times New Roman" w:eastAsia="Times New Roman" w:hAnsi="Times New Roman" w:cs="Times New Roman"/>
          <w:bCs/>
          <w:kern w:val="36"/>
        </w:rPr>
        <w:t>v</w:t>
      </w:r>
      <w:r w:rsidR="00E260D5" w:rsidRPr="00451BDA">
        <w:rPr>
          <w:rFonts w:ascii="Times New Roman" w:eastAsia="Times New Roman" w:hAnsi="Times New Roman" w:cs="Times New Roman"/>
          <w:bCs/>
          <w:kern w:val="36"/>
        </w:rPr>
        <w:t>o</w:t>
      </w:r>
      <w:r w:rsidR="00015478" w:rsidRPr="00451BDA">
        <w:rPr>
          <w:rFonts w:ascii="Times New Roman" w:eastAsia="Times New Roman" w:hAnsi="Times New Roman" w:cs="Times New Roman"/>
          <w:bCs/>
          <w:kern w:val="36"/>
        </w:rPr>
        <w:t xml:space="preserve">tal role (Unangst and Barone, 2019). </w:t>
      </w:r>
      <w:r w:rsidR="00E260D5" w:rsidRPr="00451BDA">
        <w:rPr>
          <w:rFonts w:ascii="Times New Roman" w:eastAsia="Times New Roman" w:hAnsi="Times New Roman" w:cs="Times New Roman"/>
          <w:bCs/>
          <w:kern w:val="36"/>
        </w:rPr>
        <w:t>Notably</w:t>
      </w:r>
      <w:r w:rsidR="004C1D85" w:rsidRPr="00451BDA">
        <w:rPr>
          <w:rFonts w:ascii="Times New Roman" w:eastAsia="Times New Roman" w:hAnsi="Times New Roman" w:cs="Times New Roman"/>
          <w:bCs/>
          <w:kern w:val="36"/>
        </w:rPr>
        <w:t xml:space="preserve">, </w:t>
      </w:r>
      <w:r w:rsidRPr="00451BDA">
        <w:rPr>
          <w:rFonts w:ascii="Times New Roman" w:eastAsia="Times New Roman" w:hAnsi="Times New Roman" w:cs="Times New Roman"/>
          <w:bCs/>
          <w:kern w:val="36"/>
        </w:rPr>
        <w:t>challenges</w:t>
      </w:r>
      <w:r w:rsidR="004C1D85" w:rsidRPr="00451BDA">
        <w:rPr>
          <w:rFonts w:ascii="Times New Roman" w:eastAsia="Times New Roman" w:hAnsi="Times New Roman" w:cs="Times New Roman"/>
          <w:bCs/>
          <w:kern w:val="36"/>
        </w:rPr>
        <w:t xml:space="preserve"> have been reported</w:t>
      </w:r>
      <w:r w:rsidRPr="00451BDA">
        <w:rPr>
          <w:rFonts w:ascii="Times New Roman" w:eastAsia="Times New Roman" w:hAnsi="Times New Roman" w:cs="Times New Roman"/>
          <w:bCs/>
          <w:kern w:val="36"/>
        </w:rPr>
        <w:t xml:space="preserve"> </w:t>
      </w:r>
      <w:r w:rsidR="00835392" w:rsidRPr="00451BDA">
        <w:rPr>
          <w:rFonts w:ascii="Times New Roman" w:eastAsia="Times New Roman" w:hAnsi="Times New Roman" w:cs="Times New Roman"/>
          <w:bCs/>
          <w:kern w:val="36"/>
        </w:rPr>
        <w:t>in</w:t>
      </w:r>
      <w:r w:rsidRPr="00451BDA">
        <w:rPr>
          <w:rFonts w:ascii="Times New Roman" w:eastAsia="Times New Roman" w:hAnsi="Times New Roman" w:cs="Times New Roman"/>
          <w:bCs/>
          <w:kern w:val="36"/>
        </w:rPr>
        <w:t xml:space="preserve"> balanc</w:t>
      </w:r>
      <w:r w:rsidR="00835392" w:rsidRPr="00451BDA">
        <w:rPr>
          <w:rFonts w:ascii="Times New Roman" w:eastAsia="Times New Roman" w:hAnsi="Times New Roman" w:cs="Times New Roman"/>
          <w:bCs/>
          <w:kern w:val="36"/>
        </w:rPr>
        <w:t>ing</w:t>
      </w:r>
      <w:r w:rsidRPr="00451BDA">
        <w:rPr>
          <w:rFonts w:ascii="Times New Roman" w:eastAsia="Times New Roman" w:hAnsi="Times New Roman" w:cs="Times New Roman"/>
          <w:bCs/>
          <w:kern w:val="36"/>
        </w:rPr>
        <w:t xml:space="preserve"> the local and global contexts for internationalization in East Asian countries (Horta and Mok, 2020). </w:t>
      </w:r>
    </w:p>
    <w:p w14:paraId="4E646155" w14:textId="77777777" w:rsidR="00047D9C" w:rsidRPr="00451BDA" w:rsidRDefault="00047D9C" w:rsidP="00A668B8">
      <w:pPr>
        <w:shd w:val="clear" w:color="auto" w:fill="FFFFFF" w:themeFill="background1"/>
        <w:spacing w:line="240" w:lineRule="auto"/>
        <w:ind w:firstLine="720"/>
        <w:contextualSpacing/>
        <w:rPr>
          <w:rFonts w:ascii="Times New Roman" w:eastAsia="Times New Roman" w:hAnsi="Times New Roman" w:cs="Times New Roman"/>
          <w:b/>
          <w:i/>
          <w:iCs/>
          <w:kern w:val="36"/>
        </w:rPr>
      </w:pPr>
    </w:p>
    <w:p w14:paraId="78327C71" w14:textId="046F7BB1" w:rsidR="00047D9C" w:rsidRPr="00451BDA" w:rsidRDefault="00000000" w:rsidP="00A668B8">
      <w:pPr>
        <w:shd w:val="clear" w:color="auto" w:fill="FFFFFF" w:themeFill="background1"/>
        <w:spacing w:line="240" w:lineRule="auto"/>
        <w:ind w:firstLine="720"/>
        <w:contextualSpacing/>
        <w:rPr>
          <w:rFonts w:ascii="Times New Roman" w:eastAsia="Times New Roman" w:hAnsi="Times New Roman" w:cs="Times New Roman"/>
          <w:b/>
          <w:i/>
          <w:iCs/>
          <w:kern w:val="36"/>
        </w:rPr>
      </w:pPr>
      <w:bookmarkStart w:id="2" w:name="_Hlk138535841"/>
      <w:r w:rsidRPr="00451BDA">
        <w:rPr>
          <w:rFonts w:ascii="Times New Roman" w:eastAsia="Times New Roman" w:hAnsi="Times New Roman" w:cs="Times New Roman"/>
          <w:b/>
          <w:i/>
          <w:iCs/>
          <w:kern w:val="36"/>
        </w:rPr>
        <w:t>Research from Pakistan and UK on IoC</w:t>
      </w:r>
      <w:bookmarkEnd w:id="2"/>
    </w:p>
    <w:p w14:paraId="4A56298D" w14:textId="77777777" w:rsidR="00816118" w:rsidRPr="00451BDA" w:rsidRDefault="00816118" w:rsidP="00A668B8">
      <w:pPr>
        <w:shd w:val="clear" w:color="auto" w:fill="FFFFFF" w:themeFill="background1"/>
        <w:spacing w:line="240" w:lineRule="auto"/>
        <w:ind w:firstLine="720"/>
        <w:contextualSpacing/>
        <w:rPr>
          <w:rFonts w:ascii="Times New Roman" w:eastAsia="Times New Roman" w:hAnsi="Times New Roman" w:cs="Times New Roman"/>
          <w:bCs/>
          <w:kern w:val="36"/>
        </w:rPr>
      </w:pPr>
    </w:p>
    <w:p w14:paraId="074199E8" w14:textId="5D685871" w:rsidR="008873F0" w:rsidRPr="00451BDA" w:rsidRDefault="00000000" w:rsidP="00A668B8">
      <w:pPr>
        <w:shd w:val="clear" w:color="auto" w:fill="FFFFFF" w:themeFill="background1"/>
        <w:spacing w:line="240" w:lineRule="auto"/>
        <w:ind w:firstLine="720"/>
        <w:contextualSpacing/>
        <w:rPr>
          <w:rFonts w:ascii="Times New Roman" w:eastAsia="Times New Roman" w:hAnsi="Times New Roman" w:cs="Times New Roman"/>
          <w:bCs/>
          <w:kern w:val="36"/>
        </w:rPr>
      </w:pPr>
      <w:r w:rsidRPr="00451BDA">
        <w:rPr>
          <w:rFonts w:ascii="Times New Roman" w:eastAsia="Times New Roman" w:hAnsi="Times New Roman" w:cs="Times New Roman"/>
          <w:bCs/>
          <w:kern w:val="36"/>
        </w:rPr>
        <w:t>R</w:t>
      </w:r>
      <w:r w:rsidR="00816118" w:rsidRPr="00451BDA">
        <w:rPr>
          <w:rFonts w:ascii="Times New Roman" w:eastAsia="Times New Roman" w:hAnsi="Times New Roman" w:cs="Times New Roman"/>
          <w:bCs/>
          <w:kern w:val="36"/>
        </w:rPr>
        <w:t xml:space="preserve">esearch </w:t>
      </w:r>
      <w:r w:rsidR="00E260D5" w:rsidRPr="00451BDA">
        <w:rPr>
          <w:rFonts w:ascii="Times New Roman" w:eastAsia="Times New Roman" w:hAnsi="Times New Roman" w:cs="Times New Roman"/>
          <w:bCs/>
          <w:kern w:val="36"/>
        </w:rPr>
        <w:t xml:space="preserve">has </w:t>
      </w:r>
      <w:r w:rsidR="00033273" w:rsidRPr="00451BDA">
        <w:rPr>
          <w:rFonts w:ascii="Times New Roman" w:eastAsia="Times New Roman" w:hAnsi="Times New Roman" w:cs="Times New Roman"/>
          <w:bCs/>
          <w:kern w:val="36"/>
        </w:rPr>
        <w:t xml:space="preserve">recently </w:t>
      </w:r>
      <w:r w:rsidR="00E260D5" w:rsidRPr="00451BDA">
        <w:rPr>
          <w:rFonts w:ascii="Times New Roman" w:eastAsia="Times New Roman" w:hAnsi="Times New Roman" w:cs="Times New Roman"/>
          <w:bCs/>
          <w:kern w:val="36"/>
        </w:rPr>
        <w:t>grown</w:t>
      </w:r>
      <w:r w:rsidR="00816118" w:rsidRPr="00451BDA">
        <w:rPr>
          <w:rFonts w:ascii="Times New Roman" w:eastAsia="Times New Roman" w:hAnsi="Times New Roman" w:cs="Times New Roman"/>
          <w:bCs/>
          <w:kern w:val="36"/>
        </w:rPr>
        <w:t xml:space="preserve"> in both Pakistan and </w:t>
      </w:r>
      <w:r w:rsidRPr="00451BDA">
        <w:rPr>
          <w:rFonts w:ascii="Times New Roman" w:eastAsia="Times New Roman" w:hAnsi="Times New Roman" w:cs="Times New Roman"/>
          <w:bCs/>
          <w:kern w:val="36"/>
        </w:rPr>
        <w:t>the UK</w:t>
      </w:r>
      <w:r w:rsidR="00E260D5" w:rsidRPr="00451BDA">
        <w:rPr>
          <w:rFonts w:ascii="Times New Roman" w:eastAsia="Times New Roman" w:hAnsi="Times New Roman" w:cs="Times New Roman"/>
          <w:bCs/>
          <w:kern w:val="36"/>
        </w:rPr>
        <w:t>, but</w:t>
      </w:r>
      <w:r w:rsidR="00816118" w:rsidRPr="00451BDA">
        <w:rPr>
          <w:rFonts w:ascii="Times New Roman" w:eastAsia="Times New Roman" w:hAnsi="Times New Roman" w:cs="Times New Roman"/>
          <w:bCs/>
          <w:kern w:val="36"/>
        </w:rPr>
        <w:t xml:space="preserve"> </w:t>
      </w:r>
      <w:r w:rsidR="00E260D5" w:rsidRPr="00451BDA">
        <w:rPr>
          <w:rFonts w:ascii="Times New Roman" w:eastAsia="Times New Roman" w:hAnsi="Times New Roman" w:cs="Times New Roman"/>
          <w:bCs/>
          <w:kern w:val="36"/>
        </w:rPr>
        <w:t>t</w:t>
      </w:r>
      <w:r w:rsidR="00816118" w:rsidRPr="00451BDA">
        <w:rPr>
          <w:rFonts w:ascii="Times New Roman" w:eastAsia="Times New Roman" w:hAnsi="Times New Roman" w:cs="Times New Roman"/>
          <w:bCs/>
          <w:kern w:val="36"/>
        </w:rPr>
        <w:t xml:space="preserve">he focus of studies differs </w:t>
      </w:r>
      <w:r w:rsidR="00E260D5" w:rsidRPr="00451BDA">
        <w:rPr>
          <w:rFonts w:ascii="Times New Roman" w:eastAsia="Times New Roman" w:hAnsi="Times New Roman" w:cs="Times New Roman"/>
          <w:bCs/>
          <w:kern w:val="36"/>
        </w:rPr>
        <w:t>in terms of</w:t>
      </w:r>
      <w:r w:rsidRPr="00451BDA">
        <w:rPr>
          <w:rFonts w:ascii="Times New Roman" w:eastAsia="Times New Roman" w:hAnsi="Times New Roman" w:cs="Times New Roman"/>
          <w:bCs/>
          <w:kern w:val="36"/>
        </w:rPr>
        <w:t xml:space="preserve"> their differential</w:t>
      </w:r>
      <w:r w:rsidR="00816118" w:rsidRPr="00451BDA">
        <w:rPr>
          <w:rFonts w:ascii="Times New Roman" w:eastAsia="Times New Roman" w:hAnsi="Times New Roman" w:cs="Times New Roman"/>
          <w:bCs/>
          <w:kern w:val="36"/>
        </w:rPr>
        <w:t xml:space="preserve"> nature, scope, and issues.</w:t>
      </w:r>
      <w:r w:rsidR="006C73AA" w:rsidRPr="00451BDA">
        <w:rPr>
          <w:rFonts w:ascii="Times New Roman" w:eastAsia="Times New Roman" w:hAnsi="Times New Roman" w:cs="Times New Roman"/>
          <w:bCs/>
          <w:kern w:val="36"/>
        </w:rPr>
        <w:t xml:space="preserve"> Nonetheless, the importance of </w:t>
      </w:r>
      <w:r w:rsidRPr="00451BDA">
        <w:rPr>
          <w:rFonts w:ascii="Times New Roman" w:eastAsia="Times New Roman" w:hAnsi="Times New Roman" w:cs="Times New Roman"/>
          <w:bCs/>
          <w:kern w:val="36"/>
        </w:rPr>
        <w:t>the IaH prevails in both contexts.</w:t>
      </w:r>
      <w:r w:rsidR="00816118" w:rsidRPr="00451BDA">
        <w:rPr>
          <w:rFonts w:ascii="Times New Roman" w:eastAsia="Times New Roman" w:hAnsi="Times New Roman" w:cs="Times New Roman"/>
          <w:bCs/>
          <w:kern w:val="36"/>
        </w:rPr>
        <w:t xml:space="preserve"> Research in </w:t>
      </w:r>
      <w:r w:rsidRPr="00451BDA">
        <w:rPr>
          <w:rFonts w:ascii="Times New Roman" w:eastAsia="Times New Roman" w:hAnsi="Times New Roman" w:cs="Times New Roman"/>
          <w:bCs/>
          <w:kern w:val="36"/>
        </w:rPr>
        <w:t>Pakistan mainly</w:t>
      </w:r>
      <w:r w:rsidR="00816118" w:rsidRPr="00451BDA">
        <w:rPr>
          <w:rFonts w:ascii="Times New Roman" w:eastAsia="Times New Roman" w:hAnsi="Times New Roman" w:cs="Times New Roman"/>
          <w:bCs/>
          <w:kern w:val="36"/>
        </w:rPr>
        <w:t xml:space="preserve"> reflects local issues, mobility</w:t>
      </w:r>
      <w:r w:rsidRPr="00451BDA">
        <w:rPr>
          <w:rFonts w:ascii="Times New Roman" w:eastAsia="Times New Roman" w:hAnsi="Times New Roman" w:cs="Times New Roman"/>
          <w:bCs/>
          <w:kern w:val="36"/>
        </w:rPr>
        <w:t>,</w:t>
      </w:r>
      <w:r w:rsidR="00816118" w:rsidRPr="00451BDA">
        <w:rPr>
          <w:rFonts w:ascii="Times New Roman" w:eastAsia="Times New Roman" w:hAnsi="Times New Roman" w:cs="Times New Roman"/>
          <w:bCs/>
          <w:kern w:val="36"/>
        </w:rPr>
        <w:t xml:space="preserve"> intentions</w:t>
      </w:r>
      <w:r w:rsidRPr="00451BDA">
        <w:rPr>
          <w:rFonts w:ascii="Times New Roman" w:eastAsia="Times New Roman" w:hAnsi="Times New Roman" w:cs="Times New Roman"/>
          <w:bCs/>
          <w:kern w:val="36"/>
        </w:rPr>
        <w:t>, and institutional responses to internationalizing HE</w:t>
      </w:r>
      <w:r w:rsidR="006C73AA" w:rsidRPr="00451BDA">
        <w:rPr>
          <w:rFonts w:ascii="Times New Roman" w:eastAsia="Times New Roman" w:hAnsi="Times New Roman" w:cs="Times New Roman"/>
          <w:bCs/>
          <w:kern w:val="36"/>
        </w:rPr>
        <w:t xml:space="preserve">. </w:t>
      </w:r>
      <w:r w:rsidR="002729C8" w:rsidRPr="00451BDA">
        <w:rPr>
          <w:rFonts w:ascii="Times New Roman" w:eastAsia="Times New Roman" w:hAnsi="Times New Roman" w:cs="Times New Roman"/>
          <w:bCs/>
          <w:kern w:val="36"/>
        </w:rPr>
        <w:t>However,</w:t>
      </w:r>
      <w:r w:rsidR="00816118" w:rsidRPr="00451BDA">
        <w:rPr>
          <w:rFonts w:ascii="Times New Roman" w:eastAsia="Times New Roman" w:hAnsi="Times New Roman" w:cs="Times New Roman"/>
          <w:bCs/>
          <w:kern w:val="36"/>
        </w:rPr>
        <w:t xml:space="preserve"> research in the UK </w:t>
      </w:r>
      <w:r w:rsidRPr="00451BDA">
        <w:rPr>
          <w:rFonts w:ascii="Times New Roman" w:eastAsia="Times New Roman" w:hAnsi="Times New Roman" w:cs="Times New Roman"/>
          <w:bCs/>
          <w:kern w:val="36"/>
        </w:rPr>
        <w:t>with an</w:t>
      </w:r>
      <w:r w:rsidR="00816118" w:rsidRPr="00451BDA">
        <w:rPr>
          <w:rFonts w:ascii="Times New Roman" w:eastAsia="Times New Roman" w:hAnsi="Times New Roman" w:cs="Times New Roman"/>
          <w:bCs/>
          <w:kern w:val="36"/>
        </w:rPr>
        <w:t xml:space="preserve"> increas</w:t>
      </w:r>
      <w:r w:rsidR="00BE3885" w:rsidRPr="00451BDA">
        <w:rPr>
          <w:rFonts w:ascii="Times New Roman" w:eastAsia="Times New Roman" w:hAnsi="Times New Roman" w:cs="Times New Roman"/>
          <w:bCs/>
          <w:kern w:val="36"/>
        </w:rPr>
        <w:t>e</w:t>
      </w:r>
      <w:r w:rsidR="00816118" w:rsidRPr="00451BDA">
        <w:rPr>
          <w:rFonts w:ascii="Times New Roman" w:eastAsia="Times New Roman" w:hAnsi="Times New Roman" w:cs="Times New Roman"/>
          <w:bCs/>
          <w:kern w:val="36"/>
        </w:rPr>
        <w:t xml:space="preserve"> </w:t>
      </w:r>
      <w:r w:rsidR="00033273" w:rsidRPr="00451BDA">
        <w:rPr>
          <w:rFonts w:ascii="Times New Roman" w:eastAsia="Times New Roman" w:hAnsi="Times New Roman" w:cs="Times New Roman"/>
          <w:bCs/>
          <w:kern w:val="36"/>
        </w:rPr>
        <w:t xml:space="preserve">in </w:t>
      </w:r>
      <w:r w:rsidR="00816118" w:rsidRPr="00451BDA">
        <w:rPr>
          <w:rFonts w:ascii="Times New Roman" w:eastAsia="Times New Roman" w:hAnsi="Times New Roman" w:cs="Times New Roman"/>
          <w:bCs/>
          <w:kern w:val="36"/>
        </w:rPr>
        <w:t>both depth and breadth</w:t>
      </w:r>
      <w:r w:rsidRPr="00451BDA">
        <w:rPr>
          <w:rFonts w:ascii="Times New Roman" w:eastAsia="Times New Roman" w:hAnsi="Times New Roman" w:cs="Times New Roman"/>
          <w:bCs/>
          <w:kern w:val="36"/>
        </w:rPr>
        <w:t xml:space="preserve"> has</w:t>
      </w:r>
      <w:r w:rsidR="00816118" w:rsidRPr="00451BDA">
        <w:rPr>
          <w:rFonts w:ascii="Times New Roman" w:eastAsia="Times New Roman" w:hAnsi="Times New Roman" w:cs="Times New Roman"/>
          <w:bCs/>
          <w:kern w:val="36"/>
        </w:rPr>
        <w:t xml:space="preserve"> an emphasis on </w:t>
      </w:r>
      <w:r w:rsidRPr="00451BDA">
        <w:rPr>
          <w:rFonts w:ascii="Times New Roman" w:eastAsia="Times New Roman" w:hAnsi="Times New Roman" w:cs="Times New Roman"/>
          <w:bCs/>
          <w:kern w:val="36"/>
        </w:rPr>
        <w:t>diverse perspectives</w:t>
      </w:r>
      <w:r w:rsidR="00E260D5" w:rsidRPr="00451BDA">
        <w:rPr>
          <w:rFonts w:ascii="Times New Roman" w:eastAsia="Times New Roman" w:hAnsi="Times New Roman" w:cs="Times New Roman"/>
          <w:bCs/>
          <w:kern w:val="36"/>
        </w:rPr>
        <w:t>,</w:t>
      </w:r>
      <w:r w:rsidRPr="00451BDA">
        <w:rPr>
          <w:rFonts w:ascii="Times New Roman" w:eastAsia="Times New Roman" w:hAnsi="Times New Roman" w:cs="Times New Roman"/>
          <w:bCs/>
          <w:kern w:val="36"/>
        </w:rPr>
        <w:t xml:space="preserve"> </w:t>
      </w:r>
      <w:r w:rsidR="00E260D5" w:rsidRPr="00451BDA">
        <w:rPr>
          <w:rFonts w:ascii="Times New Roman" w:eastAsia="Times New Roman" w:hAnsi="Times New Roman" w:cs="Times New Roman"/>
          <w:bCs/>
          <w:kern w:val="36"/>
        </w:rPr>
        <w:t>tend</w:t>
      </w:r>
      <w:r w:rsidR="00033273" w:rsidRPr="00451BDA">
        <w:rPr>
          <w:rFonts w:ascii="Times New Roman" w:eastAsia="Times New Roman" w:hAnsi="Times New Roman" w:cs="Times New Roman"/>
          <w:bCs/>
          <w:kern w:val="36"/>
        </w:rPr>
        <w:t>ing</w:t>
      </w:r>
      <w:r w:rsidR="00E260D5" w:rsidRPr="00451BDA">
        <w:rPr>
          <w:rFonts w:ascii="Times New Roman" w:eastAsia="Times New Roman" w:hAnsi="Times New Roman" w:cs="Times New Roman"/>
          <w:bCs/>
          <w:kern w:val="36"/>
        </w:rPr>
        <w:t xml:space="preserve"> to</w:t>
      </w:r>
      <w:r w:rsidRPr="00451BDA">
        <w:rPr>
          <w:rFonts w:ascii="Times New Roman" w:eastAsia="Times New Roman" w:hAnsi="Times New Roman" w:cs="Times New Roman"/>
          <w:bCs/>
          <w:kern w:val="36"/>
        </w:rPr>
        <w:t xml:space="preserve"> review global responses to internationalization and current challenges in the UK </w:t>
      </w:r>
      <w:r w:rsidR="00033273" w:rsidRPr="00451BDA">
        <w:rPr>
          <w:rFonts w:ascii="Times New Roman" w:eastAsia="Times New Roman" w:hAnsi="Times New Roman" w:cs="Times New Roman"/>
          <w:bCs/>
          <w:kern w:val="36"/>
        </w:rPr>
        <w:t>due to</w:t>
      </w:r>
      <w:r w:rsidR="00BE3885" w:rsidRPr="00451BDA">
        <w:rPr>
          <w:rFonts w:ascii="Times New Roman" w:eastAsia="Times New Roman" w:hAnsi="Times New Roman" w:cs="Times New Roman"/>
          <w:bCs/>
          <w:kern w:val="36"/>
        </w:rPr>
        <w:t xml:space="preserve"> </w:t>
      </w:r>
      <w:r w:rsidRPr="00451BDA">
        <w:rPr>
          <w:rFonts w:ascii="Times New Roman" w:eastAsia="Times New Roman" w:hAnsi="Times New Roman" w:cs="Times New Roman"/>
          <w:bCs/>
          <w:kern w:val="36"/>
        </w:rPr>
        <w:t xml:space="preserve">Brexit. </w:t>
      </w:r>
    </w:p>
    <w:p w14:paraId="4AED5448" w14:textId="4986BBDC" w:rsidR="002729C8" w:rsidRPr="00451BDA" w:rsidRDefault="00000000" w:rsidP="00C913A4">
      <w:pPr>
        <w:shd w:val="clear" w:color="auto" w:fill="FFFFFF" w:themeFill="background1"/>
        <w:spacing w:line="240" w:lineRule="auto"/>
        <w:ind w:firstLine="720"/>
        <w:contextualSpacing/>
        <w:rPr>
          <w:rFonts w:ascii="Times New Roman" w:eastAsia="Times New Roman" w:hAnsi="Times New Roman" w:cs="Times New Roman"/>
          <w:bCs/>
          <w:kern w:val="36"/>
        </w:rPr>
      </w:pPr>
      <w:r w:rsidRPr="00451BDA">
        <w:rPr>
          <w:rFonts w:ascii="Times New Roman" w:eastAsia="Times New Roman" w:hAnsi="Times New Roman" w:cs="Times New Roman"/>
          <w:bCs/>
          <w:kern w:val="36"/>
        </w:rPr>
        <w:t xml:space="preserve">Social and economic factors influencing study-abroad aspirations have been found to influence Pakistani students. </w:t>
      </w:r>
      <w:r w:rsidR="00C913A4" w:rsidRPr="00451BDA">
        <w:rPr>
          <w:rFonts w:ascii="Times New Roman" w:eastAsia="Times New Roman" w:hAnsi="Times New Roman" w:cs="Times New Roman"/>
          <w:bCs/>
          <w:kern w:val="36"/>
        </w:rPr>
        <w:t>S</w:t>
      </w:r>
      <w:r w:rsidRPr="00451BDA">
        <w:rPr>
          <w:rFonts w:ascii="Times New Roman" w:eastAsia="Times New Roman" w:hAnsi="Times New Roman" w:cs="Times New Roman"/>
          <w:bCs/>
          <w:kern w:val="36"/>
        </w:rPr>
        <w:t xml:space="preserve">tudents </w:t>
      </w:r>
      <w:r w:rsidR="00C913A4" w:rsidRPr="00451BDA">
        <w:rPr>
          <w:rFonts w:ascii="Times New Roman" w:eastAsia="Times New Roman" w:hAnsi="Times New Roman" w:cs="Times New Roman"/>
          <w:bCs/>
          <w:kern w:val="36"/>
        </w:rPr>
        <w:t>aspir</w:t>
      </w:r>
      <w:r w:rsidR="00E260D5" w:rsidRPr="00451BDA">
        <w:rPr>
          <w:rFonts w:ascii="Times New Roman" w:eastAsia="Times New Roman" w:hAnsi="Times New Roman" w:cs="Times New Roman"/>
          <w:bCs/>
          <w:kern w:val="36"/>
        </w:rPr>
        <w:t>e</w:t>
      </w:r>
      <w:r w:rsidRPr="00451BDA">
        <w:rPr>
          <w:rFonts w:ascii="Times New Roman" w:eastAsia="Times New Roman" w:hAnsi="Times New Roman" w:cs="Times New Roman"/>
          <w:bCs/>
          <w:kern w:val="36"/>
        </w:rPr>
        <w:t xml:space="preserve"> to study abroad to experience a new culture and quality education other than seeking immigration opportunities (Javed et al., 2019).</w:t>
      </w:r>
      <w:r w:rsidR="00C913A4" w:rsidRPr="00451BDA">
        <w:rPr>
          <w:rFonts w:ascii="Times New Roman" w:eastAsia="Times New Roman" w:hAnsi="Times New Roman" w:cs="Times New Roman"/>
          <w:bCs/>
          <w:kern w:val="36"/>
        </w:rPr>
        <w:t xml:space="preserve"> A focus on</w:t>
      </w:r>
      <w:r w:rsidR="007F3924" w:rsidRPr="00451BDA">
        <w:rPr>
          <w:rFonts w:ascii="Times New Roman" w:eastAsia="Times New Roman" w:hAnsi="Times New Roman" w:cs="Times New Roman"/>
          <w:bCs/>
          <w:kern w:val="36"/>
        </w:rPr>
        <w:t xml:space="preserve"> comprehensive and sustainable approaches involving </w:t>
      </w:r>
      <w:r w:rsidR="00523849" w:rsidRPr="00451BDA">
        <w:rPr>
          <w:rFonts w:ascii="Times New Roman" w:eastAsia="Times New Roman" w:hAnsi="Times New Roman" w:cs="Times New Roman"/>
          <w:bCs/>
          <w:kern w:val="36"/>
        </w:rPr>
        <w:t>FM</w:t>
      </w:r>
      <w:r w:rsidR="007F3924" w:rsidRPr="00451BDA">
        <w:rPr>
          <w:rFonts w:ascii="Times New Roman" w:eastAsia="Times New Roman" w:hAnsi="Times New Roman" w:cs="Times New Roman"/>
          <w:bCs/>
          <w:kern w:val="36"/>
        </w:rPr>
        <w:t xml:space="preserve"> training to internationalize HE</w:t>
      </w:r>
      <w:r w:rsidR="00C913A4" w:rsidRPr="00451BDA">
        <w:rPr>
          <w:rFonts w:ascii="Times New Roman" w:eastAsia="Times New Roman" w:hAnsi="Times New Roman" w:cs="Times New Roman"/>
          <w:bCs/>
          <w:kern w:val="36"/>
        </w:rPr>
        <w:t xml:space="preserve"> has emerged (Imran et al., 2022). </w:t>
      </w:r>
      <w:r w:rsidRPr="00451BDA">
        <w:rPr>
          <w:rFonts w:ascii="Times New Roman" w:eastAsia="Times New Roman" w:hAnsi="Times New Roman" w:cs="Times New Roman"/>
          <w:bCs/>
          <w:kern w:val="36"/>
        </w:rPr>
        <w:t>A recent review reflect</w:t>
      </w:r>
      <w:r w:rsidR="00E260D5" w:rsidRPr="00451BDA">
        <w:rPr>
          <w:rFonts w:ascii="Times New Roman" w:eastAsia="Times New Roman" w:hAnsi="Times New Roman" w:cs="Times New Roman"/>
          <w:bCs/>
          <w:kern w:val="36"/>
        </w:rPr>
        <w:t>s</w:t>
      </w:r>
      <w:r w:rsidRPr="00451BDA">
        <w:rPr>
          <w:rFonts w:ascii="Times New Roman" w:eastAsia="Times New Roman" w:hAnsi="Times New Roman" w:cs="Times New Roman"/>
          <w:bCs/>
          <w:kern w:val="36"/>
        </w:rPr>
        <w:t xml:space="preserve"> </w:t>
      </w:r>
      <w:r w:rsidR="00C913A4" w:rsidRPr="00451BDA">
        <w:rPr>
          <w:rFonts w:ascii="Times New Roman" w:eastAsia="Times New Roman" w:hAnsi="Times New Roman" w:cs="Times New Roman"/>
          <w:bCs/>
          <w:kern w:val="36"/>
        </w:rPr>
        <w:t xml:space="preserve">on </w:t>
      </w:r>
      <w:r w:rsidRPr="00451BDA">
        <w:rPr>
          <w:rFonts w:ascii="Times New Roman" w:eastAsia="Times New Roman" w:hAnsi="Times New Roman" w:cs="Times New Roman"/>
          <w:bCs/>
          <w:kern w:val="36"/>
        </w:rPr>
        <w:t>internationalization</w:t>
      </w:r>
      <w:r w:rsidR="00C913A4" w:rsidRPr="00451BDA">
        <w:rPr>
          <w:rFonts w:ascii="Times New Roman" w:eastAsia="Times New Roman" w:hAnsi="Times New Roman" w:cs="Times New Roman"/>
          <w:bCs/>
          <w:kern w:val="36"/>
        </w:rPr>
        <w:t>-related</w:t>
      </w:r>
      <w:r w:rsidRPr="00451BDA">
        <w:rPr>
          <w:rFonts w:ascii="Times New Roman" w:eastAsia="Times New Roman" w:hAnsi="Times New Roman" w:cs="Times New Roman"/>
          <w:bCs/>
          <w:kern w:val="36"/>
        </w:rPr>
        <w:t xml:space="preserve"> initiatives in HE of Pakistan, which include attracting students from neighboring countries and various initiatives </w:t>
      </w:r>
      <w:r w:rsidR="00C913A4" w:rsidRPr="00451BDA">
        <w:rPr>
          <w:rFonts w:ascii="Times New Roman" w:eastAsia="Times New Roman" w:hAnsi="Times New Roman" w:cs="Times New Roman"/>
          <w:bCs/>
          <w:kern w:val="36"/>
        </w:rPr>
        <w:t xml:space="preserve">and standing in </w:t>
      </w:r>
      <w:r w:rsidRPr="00451BDA">
        <w:rPr>
          <w:rFonts w:ascii="Times New Roman" w:eastAsia="Times New Roman" w:hAnsi="Times New Roman" w:cs="Times New Roman"/>
          <w:bCs/>
          <w:kern w:val="36"/>
        </w:rPr>
        <w:t>QS ranking</w:t>
      </w:r>
      <w:r w:rsidR="00C913A4" w:rsidRPr="00451BDA">
        <w:rPr>
          <w:rFonts w:ascii="Times New Roman" w:eastAsia="Times New Roman" w:hAnsi="Times New Roman" w:cs="Times New Roman"/>
          <w:bCs/>
          <w:kern w:val="36"/>
        </w:rPr>
        <w:t xml:space="preserve"> by a few universities</w:t>
      </w:r>
      <w:r w:rsidR="00D60527" w:rsidRPr="00451BDA">
        <w:rPr>
          <w:rFonts w:ascii="Times New Roman" w:eastAsia="Times New Roman" w:hAnsi="Times New Roman" w:cs="Times New Roman"/>
          <w:bCs/>
          <w:kern w:val="36"/>
        </w:rPr>
        <w:t xml:space="preserve"> </w:t>
      </w:r>
      <w:r w:rsidR="00791161" w:rsidRPr="00451BDA">
        <w:rPr>
          <w:rFonts w:ascii="Times New Roman" w:eastAsia="Times New Roman" w:hAnsi="Times New Roman" w:cs="Times New Roman"/>
          <w:bCs/>
          <w:kern w:val="36"/>
        </w:rPr>
        <w:t>(</w:t>
      </w:r>
      <w:r w:rsidR="00D60527" w:rsidRPr="00451BDA">
        <w:rPr>
          <w:rFonts w:ascii="Times New Roman" w:eastAsia="Times New Roman" w:hAnsi="Times New Roman" w:cs="Times New Roman"/>
          <w:bCs/>
          <w:kern w:val="36"/>
        </w:rPr>
        <w:t xml:space="preserve">Jamil and Jaffar, 2023). </w:t>
      </w:r>
      <w:r w:rsidRPr="00451BDA">
        <w:rPr>
          <w:rFonts w:ascii="Times New Roman" w:eastAsia="Times New Roman" w:hAnsi="Times New Roman" w:cs="Times New Roman"/>
          <w:bCs/>
          <w:kern w:val="36"/>
        </w:rPr>
        <w:t xml:space="preserve"> </w:t>
      </w:r>
    </w:p>
    <w:p w14:paraId="641B13F2" w14:textId="7DB00166" w:rsidR="0022553F" w:rsidRPr="00451BDA" w:rsidRDefault="00000000" w:rsidP="0022553F">
      <w:pPr>
        <w:shd w:val="clear" w:color="auto" w:fill="FFFFFF" w:themeFill="background1"/>
        <w:spacing w:line="240" w:lineRule="auto"/>
        <w:ind w:firstLine="720"/>
        <w:contextualSpacing/>
        <w:rPr>
          <w:rFonts w:ascii="Times New Roman" w:eastAsia="Times New Roman" w:hAnsi="Times New Roman" w:cs="Times New Roman"/>
          <w:bCs/>
          <w:kern w:val="36"/>
        </w:rPr>
      </w:pPr>
      <w:r w:rsidRPr="00451BDA">
        <w:rPr>
          <w:rFonts w:ascii="Times New Roman" w:eastAsia="Times New Roman" w:hAnsi="Times New Roman" w:cs="Times New Roman"/>
          <w:bCs/>
          <w:kern w:val="36"/>
        </w:rPr>
        <w:t xml:space="preserve"> </w:t>
      </w:r>
      <w:r w:rsidR="007B32BB" w:rsidRPr="00451BDA">
        <w:rPr>
          <w:rFonts w:ascii="Times New Roman" w:eastAsia="Times New Roman" w:hAnsi="Times New Roman" w:cs="Times New Roman"/>
          <w:bCs/>
          <w:kern w:val="36"/>
        </w:rPr>
        <w:t xml:space="preserve">Chankseliani (2017) </w:t>
      </w:r>
      <w:r w:rsidRPr="00451BDA">
        <w:rPr>
          <w:rFonts w:ascii="Times New Roman" w:eastAsia="Times New Roman" w:hAnsi="Times New Roman" w:cs="Times New Roman"/>
          <w:bCs/>
          <w:kern w:val="36"/>
        </w:rPr>
        <w:t>found economic gains and increase</w:t>
      </w:r>
      <w:r w:rsidR="00033273" w:rsidRPr="00451BDA">
        <w:rPr>
          <w:rFonts w:ascii="Times New Roman" w:eastAsia="Times New Roman" w:hAnsi="Times New Roman" w:cs="Times New Roman"/>
          <w:bCs/>
          <w:kern w:val="36"/>
        </w:rPr>
        <w:t>s</w:t>
      </w:r>
      <w:r w:rsidRPr="00451BDA">
        <w:rPr>
          <w:rFonts w:ascii="Times New Roman" w:eastAsia="Times New Roman" w:hAnsi="Times New Roman" w:cs="Times New Roman"/>
          <w:bCs/>
          <w:kern w:val="36"/>
        </w:rPr>
        <w:t xml:space="preserve"> in project funding due to collaborations, </w:t>
      </w:r>
      <w:r w:rsidR="000E0534" w:rsidRPr="00451BDA">
        <w:rPr>
          <w:rFonts w:ascii="Times New Roman" w:eastAsia="Times New Roman" w:hAnsi="Times New Roman" w:cs="Times New Roman"/>
          <w:bCs/>
          <w:kern w:val="36"/>
        </w:rPr>
        <w:t xml:space="preserve">which </w:t>
      </w:r>
      <w:r w:rsidR="00033273" w:rsidRPr="00451BDA">
        <w:rPr>
          <w:rFonts w:ascii="Times New Roman" w:eastAsia="Times New Roman" w:hAnsi="Times New Roman" w:cs="Times New Roman"/>
          <w:bCs/>
          <w:kern w:val="36"/>
        </w:rPr>
        <w:t xml:space="preserve">provide </w:t>
      </w:r>
      <w:r w:rsidRPr="00451BDA">
        <w:rPr>
          <w:rFonts w:ascii="Times New Roman" w:eastAsia="Times New Roman" w:hAnsi="Times New Roman" w:cs="Times New Roman"/>
          <w:bCs/>
          <w:kern w:val="36"/>
        </w:rPr>
        <w:t xml:space="preserve">major reasons for students from </w:t>
      </w:r>
      <w:r w:rsidR="00A8781F" w:rsidRPr="00451BDA">
        <w:rPr>
          <w:rFonts w:ascii="Times New Roman" w:eastAsia="Times New Roman" w:hAnsi="Times New Roman" w:cs="Times New Roman"/>
          <w:bCs/>
          <w:kern w:val="36"/>
        </w:rPr>
        <w:t>other regions</w:t>
      </w:r>
      <w:r w:rsidR="00FF15FD" w:rsidRPr="00451BDA">
        <w:rPr>
          <w:rFonts w:ascii="Times New Roman" w:eastAsia="Times New Roman" w:hAnsi="Times New Roman" w:cs="Times New Roman"/>
          <w:bCs/>
          <w:kern w:val="36"/>
        </w:rPr>
        <w:t xml:space="preserve"> </w:t>
      </w:r>
      <w:r w:rsidRPr="00451BDA">
        <w:rPr>
          <w:rFonts w:ascii="Times New Roman" w:eastAsia="Times New Roman" w:hAnsi="Times New Roman" w:cs="Times New Roman"/>
          <w:bCs/>
          <w:kern w:val="36"/>
        </w:rPr>
        <w:t>to study in the UK.</w:t>
      </w:r>
      <w:r w:rsidR="007B32BB" w:rsidRPr="00451BDA">
        <w:rPr>
          <w:rFonts w:ascii="Times New Roman" w:eastAsia="Times New Roman" w:hAnsi="Times New Roman" w:cs="Times New Roman"/>
          <w:bCs/>
          <w:kern w:val="36"/>
        </w:rPr>
        <w:t xml:space="preserve"> </w:t>
      </w:r>
      <w:r w:rsidRPr="00451BDA">
        <w:rPr>
          <w:rFonts w:ascii="Times New Roman" w:eastAsia="Times New Roman" w:hAnsi="Times New Roman" w:cs="Times New Roman"/>
          <w:bCs/>
          <w:kern w:val="36"/>
        </w:rPr>
        <w:t>A</w:t>
      </w:r>
      <w:r w:rsidR="003D554C" w:rsidRPr="00451BDA">
        <w:rPr>
          <w:rFonts w:ascii="Times New Roman" w:eastAsia="Times New Roman" w:hAnsi="Times New Roman" w:cs="Times New Roman"/>
          <w:bCs/>
          <w:kern w:val="36"/>
        </w:rPr>
        <w:t xml:space="preserve">pproaches that transcend </w:t>
      </w:r>
      <w:r w:rsidRPr="00451BDA">
        <w:rPr>
          <w:rFonts w:ascii="Times New Roman" w:eastAsia="Times New Roman" w:hAnsi="Times New Roman" w:cs="Times New Roman"/>
          <w:bCs/>
          <w:kern w:val="36"/>
        </w:rPr>
        <w:t>institutional</w:t>
      </w:r>
      <w:r w:rsidR="003D554C" w:rsidRPr="00451BDA">
        <w:rPr>
          <w:rFonts w:ascii="Times New Roman" w:eastAsia="Times New Roman" w:hAnsi="Times New Roman" w:cs="Times New Roman"/>
          <w:bCs/>
          <w:kern w:val="36"/>
        </w:rPr>
        <w:t>, disciplinary</w:t>
      </w:r>
      <w:r w:rsidRPr="00451BDA">
        <w:rPr>
          <w:rFonts w:ascii="Times New Roman" w:eastAsia="Times New Roman" w:hAnsi="Times New Roman" w:cs="Times New Roman"/>
          <w:bCs/>
          <w:kern w:val="36"/>
        </w:rPr>
        <w:t>,</w:t>
      </w:r>
      <w:r w:rsidR="003D554C" w:rsidRPr="00451BDA">
        <w:rPr>
          <w:rFonts w:ascii="Times New Roman" w:eastAsia="Times New Roman" w:hAnsi="Times New Roman" w:cs="Times New Roman"/>
          <w:bCs/>
          <w:kern w:val="36"/>
        </w:rPr>
        <w:t xml:space="preserve"> and </w:t>
      </w:r>
      <w:r w:rsidRPr="00451BDA">
        <w:rPr>
          <w:rFonts w:ascii="Times New Roman" w:eastAsia="Times New Roman" w:hAnsi="Times New Roman" w:cs="Times New Roman"/>
          <w:bCs/>
          <w:kern w:val="36"/>
        </w:rPr>
        <w:t>national</w:t>
      </w:r>
      <w:r w:rsidR="003D554C" w:rsidRPr="00451BDA">
        <w:rPr>
          <w:rFonts w:ascii="Times New Roman" w:eastAsia="Times New Roman" w:hAnsi="Times New Roman" w:cs="Times New Roman"/>
          <w:bCs/>
          <w:kern w:val="36"/>
        </w:rPr>
        <w:t xml:space="preserve"> boundaries </w:t>
      </w:r>
      <w:r w:rsidRPr="00451BDA">
        <w:rPr>
          <w:rFonts w:ascii="Times New Roman" w:eastAsia="Times New Roman" w:hAnsi="Times New Roman" w:cs="Times New Roman"/>
          <w:bCs/>
          <w:kern w:val="36"/>
        </w:rPr>
        <w:t xml:space="preserve">are considered because of their potential </w:t>
      </w:r>
      <w:r w:rsidR="003D554C" w:rsidRPr="00451BDA">
        <w:rPr>
          <w:rFonts w:ascii="Times New Roman" w:eastAsia="Times New Roman" w:hAnsi="Times New Roman" w:cs="Times New Roman"/>
          <w:bCs/>
          <w:kern w:val="36"/>
        </w:rPr>
        <w:t>to offer new analytical approaches and frameworks</w:t>
      </w:r>
      <w:r w:rsidRPr="00451BDA">
        <w:rPr>
          <w:rFonts w:ascii="Times New Roman" w:eastAsia="Times New Roman" w:hAnsi="Times New Roman" w:cs="Times New Roman"/>
          <w:bCs/>
          <w:kern w:val="36"/>
        </w:rPr>
        <w:t xml:space="preserve"> </w:t>
      </w:r>
      <w:r w:rsidR="000E0534" w:rsidRPr="00451BDA">
        <w:rPr>
          <w:rFonts w:ascii="Times New Roman" w:eastAsia="Times New Roman" w:hAnsi="Times New Roman" w:cs="Times New Roman"/>
          <w:bCs/>
          <w:kern w:val="36"/>
        </w:rPr>
        <w:t>(</w:t>
      </w:r>
      <w:r w:rsidRPr="00451BDA">
        <w:rPr>
          <w:rFonts w:ascii="Times New Roman" w:eastAsia="Times New Roman" w:hAnsi="Times New Roman" w:cs="Times New Roman"/>
          <w:bCs/>
          <w:kern w:val="36"/>
        </w:rPr>
        <w:t>Robson and Wihlborg</w:t>
      </w:r>
      <w:r w:rsidR="000E0534" w:rsidRPr="00451BDA">
        <w:rPr>
          <w:rFonts w:ascii="Times New Roman" w:eastAsia="Times New Roman" w:hAnsi="Times New Roman" w:cs="Times New Roman"/>
          <w:bCs/>
          <w:kern w:val="36"/>
        </w:rPr>
        <w:t xml:space="preserve">, </w:t>
      </w:r>
      <w:r w:rsidRPr="00451BDA">
        <w:rPr>
          <w:rFonts w:ascii="Times New Roman" w:eastAsia="Times New Roman" w:hAnsi="Times New Roman" w:cs="Times New Roman"/>
          <w:bCs/>
          <w:kern w:val="36"/>
        </w:rPr>
        <w:t>2019)</w:t>
      </w:r>
      <w:r w:rsidR="003D554C" w:rsidRPr="00451BDA">
        <w:rPr>
          <w:rFonts w:ascii="Times New Roman" w:eastAsia="Times New Roman" w:hAnsi="Times New Roman" w:cs="Times New Roman"/>
          <w:bCs/>
          <w:kern w:val="36"/>
        </w:rPr>
        <w:t>.</w:t>
      </w:r>
    </w:p>
    <w:p w14:paraId="30561D92" w14:textId="58F70ECE" w:rsidR="00C44BCE" w:rsidRPr="00451BDA" w:rsidRDefault="00000000" w:rsidP="006A3D2C">
      <w:pPr>
        <w:shd w:val="clear" w:color="auto" w:fill="FFFFFF" w:themeFill="background1"/>
        <w:spacing w:line="240" w:lineRule="auto"/>
        <w:ind w:firstLine="720"/>
        <w:contextualSpacing/>
        <w:rPr>
          <w:rFonts w:ascii="Times New Roman" w:hAnsi="Times New Roman" w:cs="Times New Roman"/>
          <w:bCs/>
          <w:kern w:val="36"/>
        </w:rPr>
      </w:pPr>
      <w:r w:rsidRPr="00451BDA">
        <w:rPr>
          <w:rFonts w:ascii="Times New Roman" w:eastAsia="Times New Roman" w:hAnsi="Times New Roman" w:cs="Times New Roman"/>
          <w:bCs/>
          <w:kern w:val="36"/>
        </w:rPr>
        <w:t xml:space="preserve">Exploration of </w:t>
      </w:r>
      <w:r w:rsidR="006C73AA" w:rsidRPr="00451BDA">
        <w:rPr>
          <w:rFonts w:ascii="Times New Roman" w:eastAsia="Times New Roman" w:hAnsi="Times New Roman" w:cs="Times New Roman"/>
          <w:bCs/>
          <w:kern w:val="36"/>
        </w:rPr>
        <w:t>global trends</w:t>
      </w:r>
      <w:r w:rsidRPr="00451BDA">
        <w:rPr>
          <w:rFonts w:ascii="Times New Roman" w:eastAsia="Times New Roman" w:hAnsi="Times New Roman" w:cs="Times New Roman"/>
          <w:bCs/>
          <w:kern w:val="36"/>
        </w:rPr>
        <w:t xml:space="preserve"> </w:t>
      </w:r>
      <w:r w:rsidR="00E260D5" w:rsidRPr="00451BDA">
        <w:rPr>
          <w:rFonts w:ascii="Times New Roman" w:eastAsia="Times New Roman" w:hAnsi="Times New Roman" w:cs="Times New Roman"/>
          <w:bCs/>
          <w:kern w:val="36"/>
        </w:rPr>
        <w:t>through</w:t>
      </w:r>
      <w:r w:rsidRPr="00451BDA">
        <w:rPr>
          <w:rFonts w:ascii="Times New Roman" w:eastAsia="Times New Roman" w:hAnsi="Times New Roman" w:cs="Times New Roman"/>
          <w:bCs/>
          <w:kern w:val="36"/>
        </w:rPr>
        <w:t xml:space="preserve"> </w:t>
      </w:r>
      <w:r w:rsidR="006C73AA" w:rsidRPr="00451BDA">
        <w:rPr>
          <w:rFonts w:ascii="Times New Roman" w:eastAsia="Times New Roman" w:hAnsi="Times New Roman" w:cs="Times New Roman"/>
          <w:bCs/>
          <w:kern w:val="36"/>
        </w:rPr>
        <w:t>secondary</w:t>
      </w:r>
      <w:r w:rsidRPr="00451BDA">
        <w:rPr>
          <w:rFonts w:ascii="Times New Roman" w:eastAsia="Times New Roman" w:hAnsi="Times New Roman" w:cs="Times New Roman"/>
          <w:bCs/>
          <w:kern w:val="36"/>
        </w:rPr>
        <w:t xml:space="preserve"> reviews is also prevalent in the UK.</w:t>
      </w:r>
      <w:r w:rsidR="006C73AA" w:rsidRPr="00451BDA">
        <w:rPr>
          <w:rFonts w:ascii="Times New Roman" w:eastAsia="Times New Roman" w:hAnsi="Times New Roman" w:cs="Times New Roman"/>
          <w:bCs/>
          <w:kern w:val="36"/>
        </w:rPr>
        <w:t xml:space="preserve"> </w:t>
      </w:r>
      <w:r w:rsidR="00E260D5" w:rsidRPr="00451BDA">
        <w:rPr>
          <w:rFonts w:ascii="Times New Roman" w:eastAsia="Times New Roman" w:hAnsi="Times New Roman" w:cs="Times New Roman"/>
          <w:bCs/>
          <w:kern w:val="36"/>
        </w:rPr>
        <w:t>A</w:t>
      </w:r>
      <w:r w:rsidRPr="00451BDA">
        <w:rPr>
          <w:rFonts w:ascii="Times New Roman" w:eastAsia="Times New Roman" w:hAnsi="Times New Roman" w:cs="Times New Roman"/>
          <w:bCs/>
          <w:kern w:val="36"/>
        </w:rPr>
        <w:t xml:space="preserve"> </w:t>
      </w:r>
      <w:r w:rsidR="007B32BB" w:rsidRPr="00451BDA">
        <w:rPr>
          <w:rFonts w:ascii="Times New Roman" w:eastAsia="Times New Roman" w:hAnsi="Times New Roman" w:cs="Times New Roman"/>
          <w:bCs/>
          <w:kern w:val="36"/>
        </w:rPr>
        <w:t>systematic review of 151 articles</w:t>
      </w:r>
      <w:r w:rsidR="003D554C" w:rsidRPr="00451BDA">
        <w:rPr>
          <w:rFonts w:ascii="Times New Roman" w:eastAsia="Times New Roman" w:hAnsi="Times New Roman" w:cs="Times New Roman"/>
          <w:bCs/>
          <w:kern w:val="36"/>
        </w:rPr>
        <w:t xml:space="preserve"> </w:t>
      </w:r>
      <w:r w:rsidR="00E260D5" w:rsidRPr="00451BDA">
        <w:rPr>
          <w:rFonts w:ascii="Times New Roman" w:eastAsia="Times New Roman" w:hAnsi="Times New Roman" w:cs="Times New Roman"/>
          <w:bCs/>
          <w:kern w:val="36"/>
        </w:rPr>
        <w:t>showed that</w:t>
      </w:r>
      <w:r w:rsidR="003D554C" w:rsidRPr="00451BDA">
        <w:rPr>
          <w:rFonts w:ascii="Times New Roman" w:eastAsia="Times New Roman" w:hAnsi="Times New Roman" w:cs="Times New Roman"/>
          <w:bCs/>
          <w:kern w:val="36"/>
        </w:rPr>
        <w:t xml:space="preserve"> a greater number of studies</w:t>
      </w:r>
      <w:r w:rsidR="006C73AA" w:rsidRPr="00451BDA">
        <w:rPr>
          <w:rFonts w:ascii="Times New Roman" w:eastAsia="Times New Roman" w:hAnsi="Times New Roman" w:cs="Times New Roman"/>
          <w:bCs/>
          <w:kern w:val="36"/>
        </w:rPr>
        <w:t xml:space="preserve"> on IoC</w:t>
      </w:r>
      <w:r w:rsidR="003D554C" w:rsidRPr="00451BDA">
        <w:rPr>
          <w:rFonts w:ascii="Times New Roman" w:eastAsia="Times New Roman" w:hAnsi="Times New Roman" w:cs="Times New Roman"/>
          <w:bCs/>
          <w:kern w:val="36"/>
        </w:rPr>
        <w:t xml:space="preserve"> appear from </w:t>
      </w:r>
      <w:r w:rsidR="00033273" w:rsidRPr="00451BDA">
        <w:rPr>
          <w:rFonts w:ascii="Times New Roman" w:eastAsia="Times New Roman" w:hAnsi="Times New Roman" w:cs="Times New Roman"/>
          <w:bCs/>
          <w:kern w:val="36"/>
        </w:rPr>
        <w:t xml:space="preserve">the </w:t>
      </w:r>
      <w:r w:rsidR="003D554C" w:rsidRPr="00451BDA">
        <w:rPr>
          <w:rFonts w:ascii="Times New Roman" w:eastAsia="Times New Roman" w:hAnsi="Times New Roman" w:cs="Times New Roman"/>
          <w:bCs/>
          <w:kern w:val="36"/>
        </w:rPr>
        <w:t>Global North, especially Australia</w:t>
      </w:r>
      <w:r w:rsidRPr="00451BDA">
        <w:rPr>
          <w:rFonts w:ascii="Times New Roman" w:eastAsia="Times New Roman" w:hAnsi="Times New Roman" w:cs="Times New Roman"/>
          <w:bCs/>
          <w:kern w:val="36"/>
        </w:rPr>
        <w:t xml:space="preserve">, with </w:t>
      </w:r>
      <w:r w:rsidR="003D554C" w:rsidRPr="00451BDA">
        <w:rPr>
          <w:rFonts w:ascii="Times New Roman" w:eastAsia="Times New Roman" w:hAnsi="Times New Roman" w:cs="Times New Roman"/>
          <w:bCs/>
          <w:kern w:val="36"/>
        </w:rPr>
        <w:t>the least number of studies appear</w:t>
      </w:r>
      <w:r w:rsidRPr="00451BDA">
        <w:rPr>
          <w:rFonts w:ascii="Times New Roman" w:eastAsia="Times New Roman" w:hAnsi="Times New Roman" w:cs="Times New Roman"/>
          <w:bCs/>
          <w:kern w:val="36"/>
        </w:rPr>
        <w:t xml:space="preserve">ing from the Global South. </w:t>
      </w:r>
      <w:r w:rsidR="003D554C" w:rsidRPr="00451BDA">
        <w:rPr>
          <w:rFonts w:ascii="Times New Roman" w:eastAsia="Times New Roman" w:hAnsi="Times New Roman" w:cs="Times New Roman"/>
          <w:bCs/>
          <w:kern w:val="36"/>
        </w:rPr>
        <w:t>In addition</w:t>
      </w:r>
      <w:r w:rsidR="00FC2984" w:rsidRPr="00451BDA">
        <w:rPr>
          <w:rFonts w:ascii="Times New Roman" w:eastAsia="Times New Roman" w:hAnsi="Times New Roman" w:cs="Times New Roman"/>
          <w:bCs/>
          <w:kern w:val="36"/>
        </w:rPr>
        <w:t>,</w:t>
      </w:r>
      <w:r w:rsidR="003D554C" w:rsidRPr="00451BDA">
        <w:rPr>
          <w:rFonts w:ascii="Times New Roman" w:eastAsia="Times New Roman" w:hAnsi="Times New Roman" w:cs="Times New Roman"/>
          <w:bCs/>
          <w:kern w:val="36"/>
        </w:rPr>
        <w:t xml:space="preserve"> there is a scarcity of critical analyses</w:t>
      </w:r>
      <w:r w:rsidRPr="00451BDA">
        <w:rPr>
          <w:rFonts w:ascii="Times New Roman" w:eastAsia="Times New Roman" w:hAnsi="Times New Roman" w:cs="Times New Roman"/>
          <w:bCs/>
          <w:kern w:val="36"/>
        </w:rPr>
        <w:t xml:space="preserve">, as international students are largely seen with a deficit perspective by viewing them </w:t>
      </w:r>
      <w:r w:rsidR="00033273" w:rsidRPr="00451BDA">
        <w:rPr>
          <w:rFonts w:ascii="Times New Roman" w:eastAsia="Times New Roman" w:hAnsi="Times New Roman" w:cs="Times New Roman"/>
          <w:bCs/>
          <w:kern w:val="36"/>
        </w:rPr>
        <w:t>as lacking in</w:t>
      </w:r>
      <w:r w:rsidR="003D554C" w:rsidRPr="00451BDA">
        <w:rPr>
          <w:rFonts w:ascii="Times New Roman" w:eastAsia="Times New Roman" w:hAnsi="Times New Roman" w:cs="Times New Roman"/>
          <w:bCs/>
          <w:kern w:val="36"/>
        </w:rPr>
        <w:t xml:space="preserve"> abilities</w:t>
      </w:r>
      <w:r w:rsidR="00E260D5" w:rsidRPr="00451BDA">
        <w:rPr>
          <w:rFonts w:ascii="Times New Roman" w:eastAsia="Times New Roman" w:hAnsi="Times New Roman" w:cs="Times New Roman"/>
          <w:bCs/>
          <w:kern w:val="36"/>
        </w:rPr>
        <w:t xml:space="preserve"> (</w:t>
      </w:r>
      <w:proofErr w:type="spellStart"/>
      <w:r w:rsidR="00E260D5" w:rsidRPr="00451BDA">
        <w:rPr>
          <w:rFonts w:ascii="Times New Roman" w:eastAsia="Times New Roman" w:hAnsi="Times New Roman" w:cs="Times New Roman"/>
          <w:bCs/>
          <w:kern w:val="36"/>
        </w:rPr>
        <w:t>Mittelmeier</w:t>
      </w:r>
      <w:proofErr w:type="spellEnd"/>
      <w:r w:rsidR="00E260D5" w:rsidRPr="00451BDA">
        <w:rPr>
          <w:rFonts w:ascii="Times New Roman" w:eastAsia="Times New Roman" w:hAnsi="Times New Roman" w:cs="Times New Roman"/>
          <w:bCs/>
          <w:kern w:val="36"/>
        </w:rPr>
        <w:t xml:space="preserve"> and Yang, 2022)</w:t>
      </w:r>
      <w:r w:rsidR="003D554C" w:rsidRPr="00451BDA">
        <w:rPr>
          <w:rFonts w:ascii="Times New Roman" w:eastAsia="Times New Roman" w:hAnsi="Times New Roman" w:cs="Times New Roman"/>
          <w:bCs/>
          <w:kern w:val="36"/>
        </w:rPr>
        <w:t xml:space="preserve">. </w:t>
      </w:r>
      <w:r w:rsidR="00E260D5" w:rsidRPr="00451BDA">
        <w:rPr>
          <w:rFonts w:ascii="Times New Roman" w:eastAsia="Times New Roman" w:hAnsi="Times New Roman" w:cs="Times New Roman"/>
          <w:bCs/>
          <w:kern w:val="36"/>
        </w:rPr>
        <w:t>A</w:t>
      </w:r>
      <w:r w:rsidR="006C73AA" w:rsidRPr="00451BDA">
        <w:rPr>
          <w:rFonts w:ascii="Times New Roman" w:eastAsia="Times New Roman" w:hAnsi="Times New Roman" w:cs="Times New Roman"/>
          <w:bCs/>
          <w:kern w:val="36"/>
        </w:rPr>
        <w:t>nother</w:t>
      </w:r>
      <w:r w:rsidR="00FC2984" w:rsidRPr="00451BDA">
        <w:rPr>
          <w:rFonts w:ascii="Times New Roman" w:eastAsia="Times New Roman" w:hAnsi="Times New Roman" w:cs="Times New Roman"/>
          <w:bCs/>
          <w:kern w:val="36"/>
        </w:rPr>
        <w:t xml:space="preserve"> systematic review reported </w:t>
      </w:r>
      <w:r w:rsidR="00B34F40" w:rsidRPr="00451BDA">
        <w:rPr>
          <w:rFonts w:ascii="Times New Roman" w:eastAsia="Times New Roman" w:hAnsi="Times New Roman" w:cs="Times New Roman"/>
          <w:bCs/>
          <w:kern w:val="36"/>
        </w:rPr>
        <w:t xml:space="preserve">that </w:t>
      </w:r>
      <w:r w:rsidRPr="00451BDA">
        <w:rPr>
          <w:rFonts w:ascii="Times New Roman" w:eastAsia="Times New Roman" w:hAnsi="Times New Roman" w:cs="Times New Roman"/>
          <w:bCs/>
          <w:kern w:val="36"/>
        </w:rPr>
        <w:t xml:space="preserve">the internationalization of HE has grown beyond the West (Tight, 2022). </w:t>
      </w:r>
      <w:r w:rsidR="006C73AA" w:rsidRPr="00451BDA">
        <w:rPr>
          <w:rFonts w:ascii="Times New Roman" w:hAnsi="Times New Roman" w:cs="Times New Roman"/>
          <w:bCs/>
          <w:kern w:val="36"/>
        </w:rPr>
        <w:t xml:space="preserve">Considering the equivalent importance of IaH in both contexts and </w:t>
      </w:r>
      <w:r w:rsidR="000E0534" w:rsidRPr="00451BDA">
        <w:rPr>
          <w:rFonts w:ascii="Times New Roman" w:hAnsi="Times New Roman" w:cs="Times New Roman"/>
          <w:bCs/>
          <w:kern w:val="36"/>
        </w:rPr>
        <w:t>i</w:t>
      </w:r>
      <w:r w:rsidR="00E260D5" w:rsidRPr="00451BDA">
        <w:rPr>
          <w:rFonts w:ascii="Times New Roman" w:hAnsi="Times New Roman" w:cs="Times New Roman"/>
          <w:bCs/>
          <w:kern w:val="36"/>
        </w:rPr>
        <w:t xml:space="preserve">nternationalizing HE beyond </w:t>
      </w:r>
      <w:r w:rsidR="00AF6664" w:rsidRPr="00451BDA">
        <w:rPr>
          <w:rFonts w:ascii="Times New Roman" w:hAnsi="Times New Roman" w:cs="Times New Roman"/>
          <w:bCs/>
          <w:kern w:val="36"/>
        </w:rPr>
        <w:t>the W</w:t>
      </w:r>
      <w:r w:rsidR="00E260D5" w:rsidRPr="00451BDA">
        <w:rPr>
          <w:rFonts w:ascii="Times New Roman" w:hAnsi="Times New Roman" w:cs="Times New Roman"/>
          <w:bCs/>
          <w:kern w:val="36"/>
        </w:rPr>
        <w:t xml:space="preserve">est, </w:t>
      </w:r>
      <w:r w:rsidR="006C73AA" w:rsidRPr="00451BDA">
        <w:rPr>
          <w:rFonts w:ascii="Times New Roman" w:hAnsi="Times New Roman" w:cs="Times New Roman"/>
          <w:bCs/>
          <w:kern w:val="36"/>
        </w:rPr>
        <w:t xml:space="preserve">this study was conducted to explore </w:t>
      </w:r>
      <w:r w:rsidR="00AF6664" w:rsidRPr="00451BDA">
        <w:rPr>
          <w:rFonts w:ascii="Times New Roman" w:hAnsi="Times New Roman" w:cs="Times New Roman"/>
          <w:bCs/>
          <w:kern w:val="36"/>
        </w:rPr>
        <w:t xml:space="preserve">a </w:t>
      </w:r>
      <w:r w:rsidR="006C73AA" w:rsidRPr="00451BDA">
        <w:rPr>
          <w:rFonts w:ascii="Times New Roman" w:hAnsi="Times New Roman" w:cs="Times New Roman"/>
          <w:bCs/>
          <w:kern w:val="36"/>
        </w:rPr>
        <w:t>transnational context</w:t>
      </w:r>
      <w:r w:rsidR="00B34F40" w:rsidRPr="00451BDA">
        <w:rPr>
          <w:rFonts w:ascii="Times New Roman" w:hAnsi="Times New Roman" w:cs="Times New Roman"/>
          <w:bCs/>
          <w:kern w:val="36"/>
        </w:rPr>
        <w:t>.</w:t>
      </w:r>
      <w:r w:rsidR="006C73AA" w:rsidRPr="00451BDA">
        <w:rPr>
          <w:rFonts w:ascii="Times New Roman" w:hAnsi="Times New Roman" w:cs="Times New Roman"/>
          <w:bCs/>
          <w:kern w:val="36"/>
        </w:rPr>
        <w:t xml:space="preserve"> </w:t>
      </w:r>
    </w:p>
    <w:p w14:paraId="1537F27A" w14:textId="77777777" w:rsidR="001929B2" w:rsidRPr="00451BDA" w:rsidRDefault="00000000" w:rsidP="00E42F56">
      <w:pPr>
        <w:pStyle w:val="Heading1"/>
        <w:shd w:val="clear" w:color="auto" w:fill="FFFFFF" w:themeFill="background1"/>
        <w:contextualSpacing/>
        <w:rPr>
          <w:bCs w:val="0"/>
          <w:sz w:val="22"/>
          <w:szCs w:val="22"/>
        </w:rPr>
      </w:pPr>
      <w:r w:rsidRPr="00451BDA">
        <w:rPr>
          <w:bCs w:val="0"/>
          <w:sz w:val="22"/>
          <w:szCs w:val="22"/>
        </w:rPr>
        <w:t>Methodology</w:t>
      </w:r>
    </w:p>
    <w:p w14:paraId="11480D92" w14:textId="768C6D22" w:rsidR="005F2D86" w:rsidRPr="00451BDA" w:rsidRDefault="00000000">
      <w:pPr>
        <w:shd w:val="clear" w:color="auto" w:fill="FFFFFF" w:themeFill="background1"/>
        <w:spacing w:line="240" w:lineRule="auto"/>
        <w:ind w:firstLine="720"/>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This quantitative </w:t>
      </w:r>
      <w:r w:rsidR="00F04667" w:rsidRPr="00451BDA">
        <w:rPr>
          <w:rFonts w:ascii="Times New Roman" w:eastAsia="Times New Roman" w:hAnsi="Times New Roman" w:cs="Times New Roman"/>
          <w:bCs/>
        </w:rPr>
        <w:t>study</w:t>
      </w:r>
      <w:r w:rsidR="003C288B" w:rsidRPr="00451BDA">
        <w:rPr>
          <w:rFonts w:ascii="Times New Roman" w:eastAsia="Times New Roman" w:hAnsi="Times New Roman" w:cs="Times New Roman"/>
          <w:bCs/>
        </w:rPr>
        <w:t xml:space="preserve"> utilized a </w:t>
      </w:r>
      <w:r w:rsidRPr="00451BDA">
        <w:rPr>
          <w:rFonts w:ascii="Times New Roman" w:eastAsia="Times New Roman" w:hAnsi="Times New Roman" w:cs="Times New Roman"/>
          <w:bCs/>
        </w:rPr>
        <w:t xml:space="preserve">cross-sectional and comparative case study research design. </w:t>
      </w:r>
      <w:r w:rsidR="00F60C1D" w:rsidRPr="00451BDA">
        <w:rPr>
          <w:rFonts w:ascii="Times New Roman" w:eastAsia="Times New Roman" w:hAnsi="Times New Roman" w:cs="Times New Roman"/>
          <w:bCs/>
        </w:rPr>
        <w:t>The two institutes have</w:t>
      </w:r>
      <w:r w:rsidRPr="00451BDA">
        <w:rPr>
          <w:rFonts w:ascii="Times New Roman" w:eastAsia="Times New Roman" w:hAnsi="Times New Roman" w:cs="Times New Roman"/>
          <w:bCs/>
        </w:rPr>
        <w:t xml:space="preserve"> an</w:t>
      </w:r>
      <w:r w:rsidR="00F60C1D" w:rsidRPr="00451BDA">
        <w:rPr>
          <w:rFonts w:ascii="Times New Roman" w:eastAsia="Times New Roman" w:hAnsi="Times New Roman" w:cs="Times New Roman"/>
          <w:bCs/>
        </w:rPr>
        <w:t xml:space="preserve"> equivalent focus </w:t>
      </w:r>
      <w:r w:rsidRPr="00451BDA">
        <w:rPr>
          <w:rFonts w:ascii="Times New Roman" w:eastAsia="Times New Roman" w:hAnsi="Times New Roman" w:cs="Times New Roman"/>
          <w:bCs/>
        </w:rPr>
        <w:t xml:space="preserve">on diversity, inclusivity, student grooming, and creating spaces in the national and global world. The </w:t>
      </w:r>
      <w:r w:rsidR="005618E8" w:rsidRPr="00451BDA">
        <w:rPr>
          <w:rFonts w:ascii="Times New Roman" w:eastAsia="Times New Roman" w:hAnsi="Times New Roman" w:cs="Times New Roman"/>
          <w:bCs/>
        </w:rPr>
        <w:t>h</w:t>
      </w:r>
      <w:r w:rsidR="008B60FE" w:rsidRPr="00451BDA">
        <w:rPr>
          <w:rFonts w:ascii="Times New Roman" w:eastAsia="Times New Roman" w:hAnsi="Times New Roman" w:cs="Times New Roman"/>
          <w:bCs/>
        </w:rPr>
        <w:t>igh QS ranking of Pakistan-based universities was considered essential for comparison with UK-based universities</w:t>
      </w:r>
      <w:r w:rsidR="005618E8" w:rsidRPr="00451BDA">
        <w:rPr>
          <w:rFonts w:ascii="Times New Roman" w:eastAsia="Times New Roman" w:hAnsi="Times New Roman" w:cs="Times New Roman"/>
          <w:bCs/>
        </w:rPr>
        <w:t>, as this was taken as an indicator of internationalization.</w:t>
      </w:r>
    </w:p>
    <w:p w14:paraId="12963CAC" w14:textId="232833D8" w:rsidR="001929B2" w:rsidRPr="00451BDA" w:rsidRDefault="00000000" w:rsidP="00B51699">
      <w:pPr>
        <w:shd w:val="clear" w:color="auto" w:fill="FFFFFF" w:themeFill="background1"/>
        <w:spacing w:line="240" w:lineRule="auto"/>
        <w:ind w:firstLine="720"/>
        <w:contextualSpacing/>
        <w:rPr>
          <w:rFonts w:ascii="Times New Roman" w:eastAsia="Times New Roman" w:hAnsi="Times New Roman" w:cs="Times New Roman"/>
          <w:bCs/>
        </w:rPr>
      </w:pPr>
      <w:r w:rsidRPr="00451BDA">
        <w:rPr>
          <w:rFonts w:ascii="Times New Roman" w:eastAsia="Times New Roman" w:hAnsi="Times New Roman" w:cs="Times New Roman"/>
          <w:bCs/>
        </w:rPr>
        <w:t>Quantitative data w</w:t>
      </w:r>
      <w:r w:rsidR="00ED6216" w:rsidRPr="00451BDA">
        <w:rPr>
          <w:rFonts w:ascii="Times New Roman" w:eastAsia="Times New Roman" w:hAnsi="Times New Roman" w:cs="Times New Roman"/>
          <w:bCs/>
        </w:rPr>
        <w:t>ere</w:t>
      </w:r>
      <w:r w:rsidRPr="00451BDA">
        <w:rPr>
          <w:rFonts w:ascii="Times New Roman" w:eastAsia="Times New Roman" w:hAnsi="Times New Roman" w:cs="Times New Roman"/>
          <w:bCs/>
        </w:rPr>
        <w:t xml:space="preserve"> collected</w:t>
      </w:r>
      <w:r w:rsidR="003C288B" w:rsidRPr="00451BDA">
        <w:rPr>
          <w:rFonts w:ascii="Times New Roman" w:eastAsia="Times New Roman" w:hAnsi="Times New Roman" w:cs="Times New Roman"/>
          <w:bCs/>
        </w:rPr>
        <w:t xml:space="preserve"> </w:t>
      </w:r>
      <w:r w:rsidR="00F31459" w:rsidRPr="00451BDA">
        <w:rPr>
          <w:rFonts w:ascii="Times New Roman" w:eastAsia="Times New Roman" w:hAnsi="Times New Roman" w:cs="Times New Roman"/>
          <w:bCs/>
        </w:rPr>
        <w:t>using a</w:t>
      </w:r>
      <w:r w:rsidR="004F52DB" w:rsidRPr="00451BDA">
        <w:rPr>
          <w:rFonts w:ascii="Times New Roman" w:eastAsia="Times New Roman" w:hAnsi="Times New Roman" w:cs="Times New Roman"/>
          <w:bCs/>
        </w:rPr>
        <w:t>n</w:t>
      </w:r>
      <w:r w:rsidR="00DA3230" w:rsidRPr="00451BDA">
        <w:rPr>
          <w:rFonts w:ascii="Times New Roman" w:eastAsia="Times New Roman" w:hAnsi="Times New Roman" w:cs="Times New Roman"/>
          <w:bCs/>
        </w:rPr>
        <w:t xml:space="preserve"> </w:t>
      </w:r>
      <w:r w:rsidR="003C288B" w:rsidRPr="00451BDA">
        <w:rPr>
          <w:rFonts w:ascii="Times New Roman" w:eastAsia="Times New Roman" w:hAnsi="Times New Roman" w:cs="Times New Roman"/>
          <w:bCs/>
        </w:rPr>
        <w:t xml:space="preserve">online </w:t>
      </w:r>
      <w:r w:rsidRPr="00451BDA">
        <w:rPr>
          <w:rFonts w:ascii="Times New Roman" w:eastAsia="Times New Roman" w:hAnsi="Times New Roman" w:cs="Times New Roman"/>
          <w:bCs/>
        </w:rPr>
        <w:t xml:space="preserve">survey </w:t>
      </w:r>
      <w:r w:rsidR="003C288B" w:rsidRPr="00451BDA">
        <w:rPr>
          <w:rFonts w:ascii="Times New Roman" w:eastAsia="Times New Roman" w:hAnsi="Times New Roman" w:cs="Times New Roman"/>
          <w:bCs/>
        </w:rPr>
        <w:t xml:space="preserve">tool </w:t>
      </w:r>
      <w:r w:rsidR="0066393E" w:rsidRPr="00451BDA">
        <w:rPr>
          <w:rFonts w:ascii="Times New Roman" w:eastAsia="Times New Roman" w:hAnsi="Times New Roman" w:cs="Times New Roman"/>
          <w:bCs/>
        </w:rPr>
        <w:t>administered to</w:t>
      </w:r>
      <w:r w:rsidRPr="00451BDA">
        <w:rPr>
          <w:rFonts w:ascii="Times New Roman" w:eastAsia="Times New Roman" w:hAnsi="Times New Roman" w:cs="Times New Roman"/>
          <w:bCs/>
        </w:rPr>
        <w:t xml:space="preserve"> </w:t>
      </w:r>
      <w:r w:rsidR="00523849" w:rsidRPr="00451BDA">
        <w:rPr>
          <w:rFonts w:ascii="Times New Roman" w:eastAsia="Times New Roman" w:hAnsi="Times New Roman" w:cs="Times New Roman"/>
          <w:bCs/>
        </w:rPr>
        <w:t>FM</w:t>
      </w:r>
      <w:r w:rsidRPr="00451BDA">
        <w:rPr>
          <w:rFonts w:ascii="Times New Roman" w:eastAsia="Times New Roman" w:hAnsi="Times New Roman" w:cs="Times New Roman"/>
          <w:bCs/>
        </w:rPr>
        <w:t xml:space="preserve"> teachers at the undergraduate level in two universities from </w:t>
      </w:r>
      <w:r w:rsidR="00F31459" w:rsidRPr="00451BDA">
        <w:rPr>
          <w:rFonts w:ascii="Times New Roman" w:eastAsia="Times New Roman" w:hAnsi="Times New Roman" w:cs="Times New Roman"/>
          <w:bCs/>
        </w:rPr>
        <w:t xml:space="preserve">the </w:t>
      </w:r>
      <w:r w:rsidRPr="00451BDA">
        <w:rPr>
          <w:rFonts w:ascii="Times New Roman" w:eastAsia="Times New Roman" w:hAnsi="Times New Roman" w:cs="Times New Roman"/>
          <w:bCs/>
        </w:rPr>
        <w:t>UK and Pakistan</w:t>
      </w:r>
      <w:r w:rsidR="003C288B" w:rsidRPr="00451BDA">
        <w:rPr>
          <w:rFonts w:ascii="Times New Roman" w:eastAsia="Times New Roman" w:hAnsi="Times New Roman" w:cs="Times New Roman"/>
          <w:bCs/>
        </w:rPr>
        <w:t xml:space="preserve"> (referred to as University </w:t>
      </w:r>
      <w:r w:rsidR="00F8459D" w:rsidRPr="00451BDA">
        <w:rPr>
          <w:rFonts w:ascii="Times New Roman" w:eastAsia="Times New Roman" w:hAnsi="Times New Roman" w:cs="Times New Roman"/>
          <w:bCs/>
        </w:rPr>
        <w:t xml:space="preserve">A and </w:t>
      </w:r>
      <w:r w:rsidR="003C288B" w:rsidRPr="00451BDA">
        <w:rPr>
          <w:rFonts w:ascii="Times New Roman" w:eastAsia="Times New Roman" w:hAnsi="Times New Roman" w:cs="Times New Roman"/>
          <w:bCs/>
        </w:rPr>
        <w:t>B</w:t>
      </w:r>
      <w:r w:rsidR="00F8459D" w:rsidRPr="00451BDA">
        <w:rPr>
          <w:rFonts w:ascii="Times New Roman" w:eastAsia="Times New Roman" w:hAnsi="Times New Roman" w:cs="Times New Roman"/>
          <w:bCs/>
        </w:rPr>
        <w:t xml:space="preserve"> to maintain anonymity)</w:t>
      </w:r>
      <w:r w:rsidRPr="00451BDA">
        <w:rPr>
          <w:rFonts w:ascii="Times New Roman" w:eastAsia="Times New Roman" w:hAnsi="Times New Roman" w:cs="Times New Roman"/>
          <w:bCs/>
        </w:rPr>
        <w:t xml:space="preserve">. </w:t>
      </w:r>
      <w:r w:rsidR="005F2D86" w:rsidRPr="00451BDA">
        <w:rPr>
          <w:rFonts w:ascii="Times New Roman" w:eastAsia="Times New Roman" w:hAnsi="Times New Roman" w:cs="Times New Roman"/>
          <w:bCs/>
        </w:rPr>
        <w:t>Both universities offer</w:t>
      </w:r>
      <w:r w:rsidR="003C288B" w:rsidRPr="00451BDA">
        <w:rPr>
          <w:rFonts w:ascii="Times New Roman" w:eastAsia="Times New Roman" w:hAnsi="Times New Roman" w:cs="Times New Roman"/>
          <w:bCs/>
        </w:rPr>
        <w:t xml:space="preserve"> </w:t>
      </w:r>
      <w:r w:rsidRPr="00451BDA">
        <w:rPr>
          <w:rFonts w:ascii="Times New Roman" w:eastAsia="Times New Roman" w:hAnsi="Times New Roman" w:cs="Times New Roman"/>
          <w:bCs/>
        </w:rPr>
        <w:t>undergraduate engineering and hu</w:t>
      </w:r>
      <w:r w:rsidR="009D573D" w:rsidRPr="00451BDA">
        <w:rPr>
          <w:rFonts w:ascii="Times New Roman" w:eastAsia="Times New Roman" w:hAnsi="Times New Roman" w:cs="Times New Roman"/>
          <w:bCs/>
        </w:rPr>
        <w:t>manities program</w:t>
      </w:r>
      <w:r w:rsidR="003C288B" w:rsidRPr="00451BDA">
        <w:rPr>
          <w:rFonts w:ascii="Times New Roman" w:eastAsia="Times New Roman" w:hAnsi="Times New Roman" w:cs="Times New Roman"/>
          <w:bCs/>
        </w:rPr>
        <w:t xml:space="preserve">s. Ethical approval was obtained from both institutions. </w:t>
      </w:r>
    </w:p>
    <w:p w14:paraId="05AF5888" w14:textId="39941330" w:rsidR="008B60FE" w:rsidRPr="00451BDA" w:rsidRDefault="00000000" w:rsidP="008B60FE">
      <w:pPr>
        <w:shd w:val="clear" w:color="auto" w:fill="FFFFFF" w:themeFill="background1"/>
        <w:spacing w:line="240" w:lineRule="auto"/>
        <w:ind w:firstLine="720"/>
        <w:contextualSpacing/>
        <w:rPr>
          <w:rFonts w:ascii="Times New Roman" w:eastAsia="Times New Roman" w:hAnsi="Times New Roman" w:cs="Times New Roman"/>
        </w:rPr>
      </w:pPr>
      <w:r w:rsidRPr="00451BDA">
        <w:rPr>
          <w:rFonts w:ascii="Times New Roman" w:eastAsia="Times New Roman" w:hAnsi="Times New Roman" w:cs="Times New Roman"/>
        </w:rPr>
        <w:lastRenderedPageBreak/>
        <w:t xml:space="preserve">The demographic information covered responses related to gender, type of service (full-time or visiting), and the percentage of </w:t>
      </w:r>
      <w:r w:rsidR="00523849" w:rsidRPr="00451BDA">
        <w:rPr>
          <w:rFonts w:ascii="Times New Roman" w:eastAsia="Times New Roman" w:hAnsi="Times New Roman" w:cs="Times New Roman"/>
        </w:rPr>
        <w:t>FM</w:t>
      </w:r>
      <w:r w:rsidRPr="00451BDA">
        <w:rPr>
          <w:rFonts w:ascii="Times New Roman" w:eastAsia="Times New Roman" w:hAnsi="Times New Roman" w:cs="Times New Roman"/>
        </w:rPr>
        <w:t xml:space="preserve"> with curriculum development, revision, and labor market experience. Among the sample, 52 participants were </w:t>
      </w:r>
      <w:proofErr w:type="gramStart"/>
      <w:r w:rsidRPr="00451BDA">
        <w:rPr>
          <w:rFonts w:ascii="Times New Roman" w:eastAsia="Times New Roman" w:hAnsi="Times New Roman" w:cs="Times New Roman"/>
        </w:rPr>
        <w:t>male</w:t>
      </w:r>
      <w:proofErr w:type="gramEnd"/>
      <w:r w:rsidRPr="00451BDA">
        <w:rPr>
          <w:rFonts w:ascii="Times New Roman" w:eastAsia="Times New Roman" w:hAnsi="Times New Roman" w:cs="Times New Roman"/>
        </w:rPr>
        <w:t xml:space="preserve"> and the rest were female. The survey was intended to include full-time employees. Only two participants had a position </w:t>
      </w:r>
      <w:proofErr w:type="gramStart"/>
      <w:r w:rsidRPr="00451BDA">
        <w:rPr>
          <w:rFonts w:ascii="Times New Roman" w:eastAsia="Times New Roman" w:hAnsi="Times New Roman" w:cs="Times New Roman"/>
        </w:rPr>
        <w:t>of visiting</w:t>
      </w:r>
      <w:proofErr w:type="gramEnd"/>
      <w:r w:rsidRPr="00451BDA">
        <w:rPr>
          <w:rFonts w:ascii="Times New Roman" w:eastAsia="Times New Roman" w:hAnsi="Times New Roman" w:cs="Times New Roman"/>
        </w:rPr>
        <w:t xml:space="preserve"> the </w:t>
      </w:r>
      <w:r w:rsidR="00523849" w:rsidRPr="00451BDA">
        <w:rPr>
          <w:rFonts w:ascii="Times New Roman" w:eastAsia="Times New Roman" w:hAnsi="Times New Roman" w:cs="Times New Roman"/>
        </w:rPr>
        <w:t>FM</w:t>
      </w:r>
      <w:r w:rsidRPr="00451BDA">
        <w:rPr>
          <w:rFonts w:ascii="Times New Roman" w:eastAsia="Times New Roman" w:hAnsi="Times New Roman" w:cs="Times New Roman"/>
        </w:rPr>
        <w:t>.</w:t>
      </w:r>
    </w:p>
    <w:p w14:paraId="241DE84F" w14:textId="57B08E75" w:rsidR="004C67C9" w:rsidRPr="00451BDA" w:rsidRDefault="00000000" w:rsidP="007A0506">
      <w:pPr>
        <w:shd w:val="clear" w:color="auto" w:fill="FFFFFF" w:themeFill="background1"/>
        <w:spacing w:line="240" w:lineRule="auto"/>
        <w:ind w:firstLine="720"/>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The online </w:t>
      </w:r>
      <w:r w:rsidR="003C288B" w:rsidRPr="00451BDA">
        <w:rPr>
          <w:rFonts w:ascii="Times New Roman" w:eastAsia="Times New Roman" w:hAnsi="Times New Roman" w:cs="Times New Roman"/>
          <w:bCs/>
        </w:rPr>
        <w:t>survey tool</w:t>
      </w:r>
      <w:r w:rsidRPr="00451BDA">
        <w:rPr>
          <w:rFonts w:ascii="Times New Roman" w:eastAsia="Times New Roman" w:hAnsi="Times New Roman" w:cs="Times New Roman"/>
          <w:bCs/>
        </w:rPr>
        <w:t xml:space="preserve"> comprised </w:t>
      </w:r>
      <w:r w:rsidR="00C053C9" w:rsidRPr="00451BDA">
        <w:rPr>
          <w:rFonts w:ascii="Times New Roman" w:eastAsia="Times New Roman" w:hAnsi="Times New Roman" w:cs="Times New Roman"/>
          <w:bCs/>
        </w:rPr>
        <w:t>a</w:t>
      </w:r>
      <w:r w:rsidRPr="00451BDA">
        <w:rPr>
          <w:rFonts w:ascii="Times New Roman" w:eastAsia="Times New Roman" w:hAnsi="Times New Roman" w:cs="Times New Roman"/>
          <w:bCs/>
        </w:rPr>
        <w:t xml:space="preserve"> pool of 33 items, followed by questions related to </w:t>
      </w:r>
      <w:r w:rsidR="00523849" w:rsidRPr="00451BDA">
        <w:rPr>
          <w:rFonts w:ascii="Times New Roman" w:eastAsia="Times New Roman" w:hAnsi="Times New Roman" w:cs="Times New Roman"/>
          <w:bCs/>
        </w:rPr>
        <w:t>FM</w:t>
      </w:r>
      <w:r w:rsidRPr="00451BDA">
        <w:rPr>
          <w:rFonts w:ascii="Times New Roman" w:eastAsia="Times New Roman" w:hAnsi="Times New Roman" w:cs="Times New Roman"/>
          <w:bCs/>
        </w:rPr>
        <w:t xml:space="preserve"> experience</w:t>
      </w:r>
      <w:r w:rsidR="006C61D6" w:rsidRPr="00451BDA">
        <w:rPr>
          <w:rFonts w:ascii="Times New Roman" w:eastAsia="Times New Roman" w:hAnsi="Times New Roman" w:cs="Times New Roman"/>
          <w:bCs/>
        </w:rPr>
        <w:t>.</w:t>
      </w:r>
      <w:r w:rsidRPr="00451BDA">
        <w:rPr>
          <w:rFonts w:ascii="Times New Roman" w:eastAsia="Times New Roman" w:hAnsi="Times New Roman" w:cs="Times New Roman"/>
          <w:bCs/>
        </w:rPr>
        <w:t xml:space="preserve"> This included questions about </w:t>
      </w:r>
      <w:r w:rsidR="00523849" w:rsidRPr="00451BDA">
        <w:rPr>
          <w:rFonts w:ascii="Times New Roman" w:eastAsia="Times New Roman" w:hAnsi="Times New Roman" w:cs="Times New Roman"/>
          <w:bCs/>
        </w:rPr>
        <w:t>FM</w:t>
      </w:r>
      <w:r w:rsidRPr="00451BDA">
        <w:rPr>
          <w:rFonts w:ascii="Times New Roman" w:eastAsia="Times New Roman" w:hAnsi="Times New Roman" w:cs="Times New Roman"/>
          <w:bCs/>
        </w:rPr>
        <w:t xml:space="preserve"> experience</w:t>
      </w:r>
      <w:r w:rsidR="0066393E" w:rsidRPr="00451BDA">
        <w:rPr>
          <w:rFonts w:ascii="Times New Roman" w:eastAsia="Times New Roman" w:hAnsi="Times New Roman" w:cs="Times New Roman"/>
          <w:bCs/>
        </w:rPr>
        <w:t>s</w:t>
      </w:r>
      <w:r w:rsidRPr="00451BDA">
        <w:rPr>
          <w:rFonts w:ascii="Times New Roman" w:eastAsia="Times New Roman" w:hAnsi="Times New Roman" w:cs="Times New Roman"/>
          <w:bCs/>
        </w:rPr>
        <w:t xml:space="preserve"> related to curriculum development</w:t>
      </w:r>
      <w:r w:rsidR="0066393E" w:rsidRPr="00451BDA">
        <w:rPr>
          <w:rFonts w:ascii="Times New Roman" w:eastAsia="Times New Roman" w:hAnsi="Times New Roman" w:cs="Times New Roman"/>
          <w:bCs/>
        </w:rPr>
        <w:t>,</w:t>
      </w:r>
      <w:r w:rsidRPr="00451BDA">
        <w:rPr>
          <w:rFonts w:ascii="Times New Roman" w:eastAsia="Times New Roman" w:hAnsi="Times New Roman" w:cs="Times New Roman"/>
          <w:bCs/>
        </w:rPr>
        <w:t xml:space="preserve"> </w:t>
      </w:r>
      <w:r w:rsidR="00657638" w:rsidRPr="00451BDA">
        <w:rPr>
          <w:rFonts w:ascii="Times New Roman" w:eastAsia="Times New Roman" w:hAnsi="Times New Roman" w:cs="Times New Roman"/>
          <w:bCs/>
        </w:rPr>
        <w:t xml:space="preserve">regular </w:t>
      </w:r>
      <w:r w:rsidRPr="00451BDA">
        <w:rPr>
          <w:rFonts w:ascii="Times New Roman" w:eastAsia="Times New Roman" w:hAnsi="Times New Roman" w:cs="Times New Roman"/>
          <w:bCs/>
        </w:rPr>
        <w:t>curriculum revision</w:t>
      </w:r>
      <w:r w:rsidR="0066393E" w:rsidRPr="00451BDA">
        <w:rPr>
          <w:rFonts w:ascii="Times New Roman" w:eastAsia="Times New Roman" w:hAnsi="Times New Roman" w:cs="Times New Roman"/>
          <w:bCs/>
        </w:rPr>
        <w:t>,</w:t>
      </w:r>
      <w:r w:rsidRPr="00451BDA">
        <w:rPr>
          <w:rFonts w:ascii="Times New Roman" w:eastAsia="Times New Roman" w:hAnsi="Times New Roman" w:cs="Times New Roman"/>
          <w:bCs/>
        </w:rPr>
        <w:t xml:space="preserve"> year</w:t>
      </w:r>
      <w:r w:rsidR="00F31459" w:rsidRPr="00451BDA">
        <w:rPr>
          <w:rFonts w:ascii="Times New Roman" w:eastAsia="Times New Roman" w:hAnsi="Times New Roman" w:cs="Times New Roman"/>
          <w:bCs/>
        </w:rPr>
        <w:t>s</w:t>
      </w:r>
      <w:r w:rsidRPr="00451BDA">
        <w:rPr>
          <w:rFonts w:ascii="Times New Roman" w:eastAsia="Times New Roman" w:hAnsi="Times New Roman" w:cs="Times New Roman"/>
          <w:bCs/>
        </w:rPr>
        <w:t xml:space="preserve"> of service</w:t>
      </w:r>
      <w:r w:rsidR="0066393E" w:rsidRPr="00451BDA">
        <w:rPr>
          <w:rFonts w:ascii="Times New Roman" w:eastAsia="Times New Roman" w:hAnsi="Times New Roman" w:cs="Times New Roman"/>
          <w:bCs/>
        </w:rPr>
        <w:t>,</w:t>
      </w:r>
      <w:r w:rsidRPr="00451BDA">
        <w:rPr>
          <w:rFonts w:ascii="Times New Roman" w:eastAsia="Times New Roman" w:hAnsi="Times New Roman" w:cs="Times New Roman"/>
          <w:bCs/>
        </w:rPr>
        <w:t xml:space="preserve"> international certification </w:t>
      </w:r>
      <w:r w:rsidR="00657638" w:rsidRPr="00451BDA">
        <w:rPr>
          <w:rFonts w:ascii="Times New Roman" w:eastAsia="Times New Roman" w:hAnsi="Times New Roman" w:cs="Times New Roman"/>
          <w:bCs/>
        </w:rPr>
        <w:t xml:space="preserve">(such as </w:t>
      </w:r>
      <w:r w:rsidRPr="00451BDA">
        <w:rPr>
          <w:rFonts w:ascii="Times New Roman" w:eastAsia="Times New Roman" w:hAnsi="Times New Roman" w:cs="Times New Roman"/>
          <w:bCs/>
        </w:rPr>
        <w:t>participation experience in international conferences</w:t>
      </w:r>
      <w:r w:rsidR="00657638" w:rsidRPr="00451BDA">
        <w:rPr>
          <w:rFonts w:ascii="Times New Roman" w:eastAsia="Times New Roman" w:hAnsi="Times New Roman" w:cs="Times New Roman"/>
          <w:bCs/>
        </w:rPr>
        <w:t>)</w:t>
      </w:r>
      <w:r w:rsidR="0066393E" w:rsidRPr="00451BDA">
        <w:rPr>
          <w:rFonts w:ascii="Times New Roman" w:eastAsia="Times New Roman" w:hAnsi="Times New Roman" w:cs="Times New Roman"/>
          <w:bCs/>
        </w:rPr>
        <w:t>,</w:t>
      </w:r>
      <w:r w:rsidR="00C053C9" w:rsidRPr="00451BDA">
        <w:rPr>
          <w:rFonts w:ascii="Times New Roman" w:eastAsia="Times New Roman" w:hAnsi="Times New Roman" w:cs="Times New Roman"/>
          <w:bCs/>
        </w:rPr>
        <w:t xml:space="preserve"> </w:t>
      </w:r>
      <w:r w:rsidRPr="00451BDA">
        <w:rPr>
          <w:rFonts w:ascii="Times New Roman" w:eastAsia="Times New Roman" w:hAnsi="Times New Roman" w:cs="Times New Roman"/>
          <w:bCs/>
        </w:rPr>
        <w:t>and information about the labor market (</w:t>
      </w:r>
      <w:r w:rsidR="00F31459" w:rsidRPr="00451BDA">
        <w:rPr>
          <w:rFonts w:ascii="Times New Roman" w:eastAsia="Times New Roman" w:hAnsi="Times New Roman" w:cs="Times New Roman"/>
          <w:bCs/>
        </w:rPr>
        <w:t>including</w:t>
      </w:r>
      <w:r w:rsidRPr="00451BDA">
        <w:rPr>
          <w:rFonts w:ascii="Times New Roman" w:eastAsia="Times New Roman" w:hAnsi="Times New Roman" w:cs="Times New Roman"/>
          <w:bCs/>
        </w:rPr>
        <w:t xml:space="preserve"> information about </w:t>
      </w:r>
      <w:r w:rsidR="00657638" w:rsidRPr="00451BDA">
        <w:rPr>
          <w:rFonts w:ascii="Times New Roman" w:eastAsia="Times New Roman" w:hAnsi="Times New Roman" w:cs="Times New Roman"/>
          <w:bCs/>
        </w:rPr>
        <w:t xml:space="preserve">existing jobs, </w:t>
      </w:r>
      <w:r w:rsidRPr="00451BDA">
        <w:rPr>
          <w:rFonts w:ascii="Times New Roman" w:eastAsia="Times New Roman" w:hAnsi="Times New Roman" w:cs="Times New Roman"/>
          <w:bCs/>
        </w:rPr>
        <w:t>careers</w:t>
      </w:r>
      <w:r w:rsidR="00B8440B" w:rsidRPr="00451BDA">
        <w:rPr>
          <w:rFonts w:ascii="Times New Roman" w:eastAsia="Times New Roman" w:hAnsi="Times New Roman" w:cs="Times New Roman"/>
          <w:bCs/>
        </w:rPr>
        <w:t>,</w:t>
      </w:r>
      <w:r w:rsidR="00657638" w:rsidRPr="00451BDA">
        <w:rPr>
          <w:rFonts w:ascii="Times New Roman" w:eastAsia="Times New Roman" w:hAnsi="Times New Roman" w:cs="Times New Roman"/>
          <w:bCs/>
        </w:rPr>
        <w:t xml:space="preserve"> opportunities</w:t>
      </w:r>
      <w:r w:rsidR="00B8440B" w:rsidRPr="00451BDA">
        <w:rPr>
          <w:rFonts w:ascii="Times New Roman" w:eastAsia="Times New Roman" w:hAnsi="Times New Roman" w:cs="Times New Roman"/>
          <w:bCs/>
        </w:rPr>
        <w:t>, now</w:t>
      </w:r>
      <w:r w:rsidRPr="00451BDA">
        <w:rPr>
          <w:rFonts w:ascii="Times New Roman" w:eastAsia="Times New Roman" w:hAnsi="Times New Roman" w:cs="Times New Roman"/>
          <w:bCs/>
        </w:rPr>
        <w:t>, and how they are changing</w:t>
      </w:r>
      <w:r w:rsidR="00657638" w:rsidRPr="00451BDA">
        <w:rPr>
          <w:rFonts w:ascii="Times New Roman" w:eastAsia="Times New Roman" w:hAnsi="Times New Roman" w:cs="Times New Roman"/>
          <w:bCs/>
        </w:rPr>
        <w:t xml:space="preserve"> both nationally and internationally</w:t>
      </w:r>
      <w:r w:rsidRPr="00451BDA">
        <w:rPr>
          <w:rFonts w:ascii="Times New Roman" w:eastAsia="Times New Roman" w:hAnsi="Times New Roman" w:cs="Times New Roman"/>
          <w:bCs/>
        </w:rPr>
        <w:t>)</w:t>
      </w:r>
      <w:r w:rsidR="00B8440B" w:rsidRPr="00451BDA">
        <w:rPr>
          <w:rFonts w:ascii="Times New Roman" w:eastAsia="Times New Roman" w:hAnsi="Times New Roman" w:cs="Times New Roman"/>
          <w:bCs/>
        </w:rPr>
        <w:t>.</w:t>
      </w:r>
    </w:p>
    <w:p w14:paraId="777EFC36" w14:textId="0FAE83D8" w:rsidR="001929B2" w:rsidRPr="00451BDA" w:rsidRDefault="00000000" w:rsidP="007A0506">
      <w:pPr>
        <w:shd w:val="clear" w:color="auto" w:fill="FFFFFF" w:themeFill="background1"/>
        <w:spacing w:line="240" w:lineRule="auto"/>
        <w:ind w:firstLine="720"/>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 The answer</w:t>
      </w:r>
      <w:r w:rsidR="00DA3230" w:rsidRPr="00451BDA">
        <w:rPr>
          <w:rFonts w:ascii="Times New Roman" w:eastAsia="Times New Roman" w:hAnsi="Times New Roman" w:cs="Times New Roman"/>
          <w:bCs/>
        </w:rPr>
        <w:t>s</w:t>
      </w:r>
      <w:r w:rsidRPr="00451BDA">
        <w:rPr>
          <w:rFonts w:ascii="Times New Roman" w:eastAsia="Times New Roman" w:hAnsi="Times New Roman" w:cs="Times New Roman"/>
          <w:bCs/>
        </w:rPr>
        <w:t xml:space="preserve"> </w:t>
      </w:r>
      <w:r w:rsidR="00F31459" w:rsidRPr="00451BDA">
        <w:rPr>
          <w:rFonts w:ascii="Times New Roman" w:eastAsia="Times New Roman" w:hAnsi="Times New Roman" w:cs="Times New Roman"/>
          <w:bCs/>
        </w:rPr>
        <w:t xml:space="preserve">were </w:t>
      </w:r>
      <w:r w:rsidRPr="00451BDA">
        <w:rPr>
          <w:rFonts w:ascii="Times New Roman" w:eastAsia="Times New Roman" w:hAnsi="Times New Roman" w:cs="Times New Roman"/>
          <w:bCs/>
        </w:rPr>
        <w:t xml:space="preserve">restricted to binominal categories (yes/no) </w:t>
      </w:r>
      <w:r w:rsidR="005F2D86" w:rsidRPr="00451BDA">
        <w:rPr>
          <w:rFonts w:ascii="Times New Roman" w:eastAsia="Times New Roman" w:hAnsi="Times New Roman" w:cs="Times New Roman"/>
          <w:bCs/>
        </w:rPr>
        <w:t>that supported</w:t>
      </w:r>
      <w:r w:rsidRPr="00451BDA">
        <w:rPr>
          <w:rFonts w:ascii="Times New Roman" w:eastAsia="Times New Roman" w:hAnsi="Times New Roman" w:cs="Times New Roman"/>
          <w:bCs/>
        </w:rPr>
        <w:t xml:space="preserve"> </w:t>
      </w:r>
      <w:r w:rsidR="00F31459" w:rsidRPr="00451BDA">
        <w:rPr>
          <w:rFonts w:ascii="Times New Roman" w:eastAsia="Times New Roman" w:hAnsi="Times New Roman" w:cs="Times New Roman"/>
          <w:bCs/>
        </w:rPr>
        <w:t>overcom</w:t>
      </w:r>
      <w:r w:rsidR="005F2D86" w:rsidRPr="00451BDA">
        <w:rPr>
          <w:rFonts w:ascii="Times New Roman" w:eastAsia="Times New Roman" w:hAnsi="Times New Roman" w:cs="Times New Roman"/>
          <w:bCs/>
        </w:rPr>
        <w:t>ing</w:t>
      </w:r>
      <w:r w:rsidR="00F31459" w:rsidRPr="00451BDA">
        <w:rPr>
          <w:rFonts w:ascii="Times New Roman" w:eastAsia="Times New Roman" w:hAnsi="Times New Roman" w:cs="Times New Roman"/>
          <w:bCs/>
        </w:rPr>
        <w:t xml:space="preserve"> contextual</w:t>
      </w:r>
      <w:r w:rsidR="003C288B" w:rsidRPr="00451BDA">
        <w:rPr>
          <w:rFonts w:ascii="Times New Roman" w:eastAsia="Times New Roman" w:hAnsi="Times New Roman" w:cs="Times New Roman"/>
          <w:bCs/>
        </w:rPr>
        <w:t xml:space="preserve"> </w:t>
      </w:r>
      <w:r w:rsidRPr="00451BDA">
        <w:rPr>
          <w:rFonts w:ascii="Times New Roman" w:eastAsia="Times New Roman" w:hAnsi="Times New Roman" w:cs="Times New Roman"/>
          <w:bCs/>
        </w:rPr>
        <w:t xml:space="preserve">differences </w:t>
      </w:r>
      <w:r w:rsidR="003C288B" w:rsidRPr="00451BDA">
        <w:rPr>
          <w:rFonts w:ascii="Times New Roman" w:eastAsia="Times New Roman" w:hAnsi="Times New Roman" w:cs="Times New Roman"/>
          <w:bCs/>
        </w:rPr>
        <w:t xml:space="preserve">and </w:t>
      </w:r>
      <w:r w:rsidRPr="00451BDA">
        <w:rPr>
          <w:rFonts w:ascii="Times New Roman" w:eastAsia="Times New Roman" w:hAnsi="Times New Roman" w:cs="Times New Roman"/>
          <w:bCs/>
        </w:rPr>
        <w:t>related practices</w:t>
      </w:r>
      <w:r w:rsidR="00E74F22" w:rsidRPr="00451BDA">
        <w:rPr>
          <w:rFonts w:ascii="Times New Roman" w:eastAsia="Times New Roman" w:hAnsi="Times New Roman" w:cs="Times New Roman"/>
          <w:bCs/>
        </w:rPr>
        <w:t>.</w:t>
      </w:r>
      <w:r w:rsidRPr="00451BDA">
        <w:rPr>
          <w:rFonts w:ascii="Times New Roman" w:eastAsia="Times New Roman" w:hAnsi="Times New Roman" w:cs="Times New Roman"/>
          <w:bCs/>
        </w:rPr>
        <w:t xml:space="preserve"> Data </w:t>
      </w:r>
      <w:proofErr w:type="gramStart"/>
      <w:r w:rsidR="005F2D86" w:rsidRPr="00451BDA">
        <w:rPr>
          <w:rFonts w:ascii="Times New Roman" w:eastAsia="Times New Roman" w:hAnsi="Times New Roman" w:cs="Times New Roman"/>
          <w:bCs/>
        </w:rPr>
        <w:t>w</w:t>
      </w:r>
      <w:r w:rsidR="009D31C2" w:rsidRPr="00451BDA">
        <w:rPr>
          <w:rFonts w:ascii="Times New Roman" w:eastAsia="Times New Roman" w:hAnsi="Times New Roman" w:cs="Times New Roman"/>
          <w:bCs/>
        </w:rPr>
        <w:t>ere</w:t>
      </w:r>
      <w:proofErr w:type="gramEnd"/>
      <w:r w:rsidR="005F2D86" w:rsidRPr="00451BDA">
        <w:rPr>
          <w:rFonts w:ascii="Times New Roman" w:eastAsia="Times New Roman" w:hAnsi="Times New Roman" w:cs="Times New Roman"/>
          <w:bCs/>
        </w:rPr>
        <w:t xml:space="preserve"> </w:t>
      </w:r>
      <w:r w:rsidRPr="00451BDA">
        <w:rPr>
          <w:rFonts w:ascii="Times New Roman" w:eastAsia="Times New Roman" w:hAnsi="Times New Roman" w:cs="Times New Roman"/>
          <w:bCs/>
        </w:rPr>
        <w:t>collected from ful</w:t>
      </w:r>
      <w:r w:rsidR="003C288B" w:rsidRPr="00451BDA">
        <w:rPr>
          <w:rFonts w:ascii="Times New Roman" w:eastAsia="Times New Roman" w:hAnsi="Times New Roman" w:cs="Times New Roman"/>
          <w:bCs/>
        </w:rPr>
        <w:t>l-</w:t>
      </w:r>
      <w:r w:rsidR="00E74F22" w:rsidRPr="00451BDA">
        <w:rPr>
          <w:rFonts w:ascii="Times New Roman" w:eastAsia="Times New Roman" w:hAnsi="Times New Roman" w:cs="Times New Roman"/>
          <w:bCs/>
        </w:rPr>
        <w:t xml:space="preserve">time </w:t>
      </w:r>
      <w:r w:rsidR="00523849" w:rsidRPr="00451BDA">
        <w:rPr>
          <w:rFonts w:ascii="Times New Roman" w:eastAsia="Times New Roman" w:hAnsi="Times New Roman" w:cs="Times New Roman"/>
          <w:bCs/>
        </w:rPr>
        <w:t>FM</w:t>
      </w:r>
      <w:r w:rsidR="00E74F22" w:rsidRPr="00451BDA">
        <w:rPr>
          <w:rFonts w:ascii="Times New Roman" w:eastAsia="Times New Roman" w:hAnsi="Times New Roman" w:cs="Times New Roman"/>
          <w:bCs/>
        </w:rPr>
        <w:t xml:space="preserve"> </w:t>
      </w:r>
      <w:r w:rsidR="003C288B" w:rsidRPr="00451BDA">
        <w:rPr>
          <w:rFonts w:ascii="Times New Roman" w:eastAsia="Times New Roman" w:hAnsi="Times New Roman" w:cs="Times New Roman"/>
          <w:bCs/>
        </w:rPr>
        <w:t>members</w:t>
      </w:r>
      <w:r w:rsidRPr="00451BDA">
        <w:rPr>
          <w:rFonts w:ascii="Times New Roman" w:eastAsia="Times New Roman" w:hAnsi="Times New Roman" w:cs="Times New Roman"/>
          <w:bCs/>
        </w:rPr>
        <w:t xml:space="preserve">, </w:t>
      </w:r>
      <w:r w:rsidR="00E74F22" w:rsidRPr="00451BDA">
        <w:rPr>
          <w:rFonts w:ascii="Times New Roman" w:eastAsia="Times New Roman" w:hAnsi="Times New Roman" w:cs="Times New Roman"/>
          <w:bCs/>
        </w:rPr>
        <w:t xml:space="preserve">as </w:t>
      </w:r>
      <w:r w:rsidR="005F2D86" w:rsidRPr="00451BDA">
        <w:rPr>
          <w:rFonts w:ascii="Times New Roman" w:eastAsia="Times New Roman" w:hAnsi="Times New Roman" w:cs="Times New Roman"/>
          <w:bCs/>
        </w:rPr>
        <w:t>they are</w:t>
      </w:r>
      <w:r w:rsidR="00E74F22" w:rsidRPr="00451BDA">
        <w:rPr>
          <w:rFonts w:ascii="Times New Roman" w:eastAsia="Times New Roman" w:hAnsi="Times New Roman" w:cs="Times New Roman"/>
          <w:bCs/>
        </w:rPr>
        <w:t xml:space="preserve"> </w:t>
      </w:r>
      <w:r w:rsidR="003C288B" w:rsidRPr="00451BDA">
        <w:rPr>
          <w:rFonts w:ascii="Times New Roman" w:eastAsia="Times New Roman" w:hAnsi="Times New Roman" w:cs="Times New Roman"/>
          <w:bCs/>
        </w:rPr>
        <w:t>more</w:t>
      </w:r>
      <w:r w:rsidR="005F2D86" w:rsidRPr="00451BDA">
        <w:rPr>
          <w:rFonts w:ascii="Times New Roman" w:eastAsia="Times New Roman" w:hAnsi="Times New Roman" w:cs="Times New Roman"/>
          <w:bCs/>
        </w:rPr>
        <w:t xml:space="preserve"> likely to be</w:t>
      </w:r>
      <w:r w:rsidR="003C288B" w:rsidRPr="00451BDA">
        <w:rPr>
          <w:rFonts w:ascii="Times New Roman" w:eastAsia="Times New Roman" w:hAnsi="Times New Roman" w:cs="Times New Roman"/>
          <w:bCs/>
        </w:rPr>
        <w:t xml:space="preserve"> </w:t>
      </w:r>
      <w:r w:rsidR="005F2D86" w:rsidRPr="00451BDA">
        <w:rPr>
          <w:rFonts w:ascii="Times New Roman" w:eastAsia="Times New Roman" w:hAnsi="Times New Roman" w:cs="Times New Roman"/>
          <w:bCs/>
        </w:rPr>
        <w:t>influenced by</w:t>
      </w:r>
      <w:r w:rsidRPr="00451BDA">
        <w:rPr>
          <w:rFonts w:ascii="Times New Roman" w:eastAsia="Times New Roman" w:hAnsi="Times New Roman" w:cs="Times New Roman"/>
          <w:bCs/>
        </w:rPr>
        <w:t xml:space="preserve"> </w:t>
      </w:r>
      <w:r w:rsidR="00E74F22" w:rsidRPr="00451BDA">
        <w:rPr>
          <w:rFonts w:ascii="Times New Roman" w:eastAsia="Times New Roman" w:hAnsi="Times New Roman" w:cs="Times New Roman"/>
          <w:bCs/>
        </w:rPr>
        <w:t xml:space="preserve">institutional policy and goals than visiting </w:t>
      </w:r>
      <w:r w:rsidR="00523849" w:rsidRPr="00451BDA">
        <w:rPr>
          <w:rFonts w:ascii="Times New Roman" w:eastAsia="Times New Roman" w:hAnsi="Times New Roman" w:cs="Times New Roman"/>
          <w:bCs/>
        </w:rPr>
        <w:t>FM</w:t>
      </w:r>
      <w:r w:rsidR="00E74F22" w:rsidRPr="00451BDA">
        <w:rPr>
          <w:rFonts w:ascii="Times New Roman" w:eastAsia="Times New Roman" w:hAnsi="Times New Roman" w:cs="Times New Roman"/>
          <w:bCs/>
        </w:rPr>
        <w:t>.</w:t>
      </w:r>
      <w:r w:rsidR="00BB14D5" w:rsidRPr="00451BDA">
        <w:rPr>
          <w:rFonts w:ascii="Times New Roman" w:eastAsia="Times New Roman" w:hAnsi="Times New Roman" w:cs="Times New Roman"/>
          <w:bCs/>
        </w:rPr>
        <w:t xml:space="preserve"> Data were analyzed using the Statistical </w:t>
      </w:r>
      <w:r w:rsidR="004F52DB" w:rsidRPr="00451BDA">
        <w:rPr>
          <w:rFonts w:ascii="Times New Roman" w:eastAsia="Times New Roman" w:hAnsi="Times New Roman" w:cs="Times New Roman"/>
          <w:bCs/>
        </w:rPr>
        <w:t>P</w:t>
      </w:r>
      <w:r w:rsidR="00BB14D5" w:rsidRPr="00451BDA">
        <w:rPr>
          <w:rFonts w:ascii="Times New Roman" w:eastAsia="Times New Roman" w:hAnsi="Times New Roman" w:cs="Times New Roman"/>
          <w:bCs/>
        </w:rPr>
        <w:t>ackage of Social Sciences.</w:t>
      </w:r>
    </w:p>
    <w:p w14:paraId="5D9EACBC" w14:textId="77777777" w:rsidR="001929B2" w:rsidRPr="00451BDA" w:rsidRDefault="00000000" w:rsidP="007A0506">
      <w:pPr>
        <w:shd w:val="clear" w:color="auto" w:fill="FFFFFF" w:themeFill="background1"/>
        <w:spacing w:line="240" w:lineRule="auto"/>
        <w:contextualSpacing/>
        <w:rPr>
          <w:rFonts w:ascii="Times New Roman" w:eastAsia="Times New Roman" w:hAnsi="Times New Roman" w:cs="Times New Roman"/>
          <w:b/>
        </w:rPr>
      </w:pPr>
      <w:r w:rsidRPr="00451BDA">
        <w:rPr>
          <w:rFonts w:ascii="Times New Roman" w:eastAsia="Times New Roman" w:hAnsi="Times New Roman" w:cs="Times New Roman"/>
          <w:b/>
        </w:rPr>
        <w:t>Instrumentation</w:t>
      </w:r>
    </w:p>
    <w:p w14:paraId="2B5591B9" w14:textId="72969F46" w:rsidR="001929B2" w:rsidRPr="00451BDA" w:rsidRDefault="00000000" w:rsidP="00B51699">
      <w:pPr>
        <w:shd w:val="clear" w:color="auto" w:fill="FFFFFF" w:themeFill="background1"/>
        <w:spacing w:line="240" w:lineRule="auto"/>
        <w:ind w:firstLine="720"/>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A scale was developed using a multi-stage procedure to assess </w:t>
      </w:r>
      <w:r w:rsidR="00523849" w:rsidRPr="00451BDA">
        <w:rPr>
          <w:rFonts w:ascii="Times New Roman" w:eastAsia="Times New Roman" w:hAnsi="Times New Roman" w:cs="Times New Roman"/>
          <w:bCs/>
        </w:rPr>
        <w:t>FM</w:t>
      </w:r>
      <w:r w:rsidRPr="00451BDA">
        <w:rPr>
          <w:rFonts w:ascii="Times New Roman" w:eastAsia="Times New Roman" w:hAnsi="Times New Roman" w:cs="Times New Roman"/>
          <w:bCs/>
        </w:rPr>
        <w:t xml:space="preserve"> members’ perceptions of </w:t>
      </w:r>
      <w:r w:rsidR="009D31C2" w:rsidRPr="00451BDA">
        <w:rPr>
          <w:rFonts w:ascii="Times New Roman" w:eastAsia="Times New Roman" w:hAnsi="Times New Roman" w:cs="Times New Roman"/>
          <w:bCs/>
        </w:rPr>
        <w:t>IoC.</w:t>
      </w:r>
      <w:r w:rsidRPr="00451BDA">
        <w:rPr>
          <w:rFonts w:ascii="Times New Roman" w:eastAsia="Times New Roman" w:hAnsi="Times New Roman" w:cs="Times New Roman"/>
          <w:bCs/>
        </w:rPr>
        <w:t xml:space="preserve"> Internationalization of the undergraduate curriculum is defined as a curriculum embedded</w:t>
      </w:r>
      <w:r w:rsidR="003C288B" w:rsidRPr="00451BDA">
        <w:rPr>
          <w:rFonts w:ascii="Times New Roman" w:eastAsia="Times New Roman" w:hAnsi="Times New Roman" w:cs="Times New Roman"/>
          <w:bCs/>
        </w:rPr>
        <w:t xml:space="preserve"> with </w:t>
      </w:r>
      <w:r w:rsidRPr="00451BDA">
        <w:rPr>
          <w:rFonts w:ascii="Times New Roman" w:eastAsia="Times New Roman" w:hAnsi="Times New Roman" w:cs="Times New Roman"/>
          <w:bCs/>
        </w:rPr>
        <w:t>employability skills and global citizenship. Review</w:t>
      </w:r>
      <w:r w:rsidR="003C288B" w:rsidRPr="00451BDA">
        <w:rPr>
          <w:rFonts w:ascii="Times New Roman" w:eastAsia="Times New Roman" w:hAnsi="Times New Roman" w:cs="Times New Roman"/>
          <w:bCs/>
        </w:rPr>
        <w:t>ing</w:t>
      </w:r>
      <w:r w:rsidRPr="00451BDA">
        <w:rPr>
          <w:rFonts w:ascii="Times New Roman" w:eastAsia="Times New Roman" w:hAnsi="Times New Roman" w:cs="Times New Roman"/>
          <w:bCs/>
        </w:rPr>
        <w:t xml:space="preserve"> the relevant literature by De Jager (2004) and Morais and Ogden (2010) helped to identify the key indicators of employability skills and global citizenship that can influence </w:t>
      </w:r>
      <w:r w:rsidR="00C61B46" w:rsidRPr="00451BDA">
        <w:rPr>
          <w:rFonts w:ascii="Times New Roman" w:eastAsia="Times New Roman" w:hAnsi="Times New Roman" w:cs="Times New Roman"/>
          <w:bCs/>
        </w:rPr>
        <w:t>I</w:t>
      </w:r>
      <w:r w:rsidR="0054524E" w:rsidRPr="00451BDA">
        <w:rPr>
          <w:rFonts w:ascii="Times New Roman" w:eastAsia="Times New Roman" w:hAnsi="Times New Roman" w:cs="Times New Roman"/>
          <w:bCs/>
        </w:rPr>
        <w:t>o</w:t>
      </w:r>
      <w:r w:rsidR="00C61B46" w:rsidRPr="00451BDA">
        <w:rPr>
          <w:rFonts w:ascii="Times New Roman" w:eastAsia="Times New Roman" w:hAnsi="Times New Roman" w:cs="Times New Roman"/>
          <w:bCs/>
        </w:rPr>
        <w:t>C</w:t>
      </w:r>
      <w:r w:rsidRPr="00451BDA">
        <w:rPr>
          <w:rFonts w:ascii="Times New Roman" w:eastAsia="Times New Roman" w:hAnsi="Times New Roman" w:cs="Times New Roman"/>
          <w:bCs/>
        </w:rPr>
        <w:t xml:space="preserve">. Items for the scale </w:t>
      </w:r>
      <w:r w:rsidR="003C288B" w:rsidRPr="00451BDA">
        <w:rPr>
          <w:rFonts w:ascii="Times New Roman" w:eastAsia="Times New Roman" w:hAnsi="Times New Roman" w:cs="Times New Roman"/>
          <w:bCs/>
        </w:rPr>
        <w:t>focused on</w:t>
      </w:r>
      <w:r w:rsidRPr="00451BDA">
        <w:rPr>
          <w:rFonts w:ascii="Times New Roman" w:eastAsia="Times New Roman" w:hAnsi="Times New Roman" w:cs="Times New Roman"/>
          <w:bCs/>
        </w:rPr>
        <w:t xml:space="preserve"> key</w:t>
      </w:r>
      <w:r w:rsidR="009D31C2" w:rsidRPr="00451BDA">
        <w:rPr>
          <w:rFonts w:ascii="Times New Roman" w:eastAsia="Times New Roman" w:hAnsi="Times New Roman" w:cs="Times New Roman"/>
          <w:bCs/>
        </w:rPr>
        <w:t xml:space="preserve"> </w:t>
      </w:r>
      <w:r w:rsidRPr="00451BDA">
        <w:rPr>
          <w:rFonts w:ascii="Times New Roman" w:eastAsia="Times New Roman" w:hAnsi="Times New Roman" w:cs="Times New Roman"/>
          <w:bCs/>
        </w:rPr>
        <w:t xml:space="preserve">personal and generic skills considered global </w:t>
      </w:r>
      <w:r w:rsidR="003C288B" w:rsidRPr="00451BDA">
        <w:rPr>
          <w:rFonts w:ascii="Times New Roman" w:eastAsia="Times New Roman" w:hAnsi="Times New Roman" w:cs="Times New Roman"/>
          <w:bCs/>
        </w:rPr>
        <w:t>in</w:t>
      </w:r>
      <w:r w:rsidR="00CF218C" w:rsidRPr="00451BDA">
        <w:rPr>
          <w:rFonts w:ascii="Times New Roman" w:eastAsia="Times New Roman" w:hAnsi="Times New Roman" w:cs="Times New Roman"/>
          <w:bCs/>
        </w:rPr>
        <w:t xml:space="preserve"> </w:t>
      </w:r>
      <w:proofErr w:type="gramStart"/>
      <w:r w:rsidR="00DB0919" w:rsidRPr="00451BDA">
        <w:rPr>
          <w:rFonts w:ascii="Times New Roman" w:eastAsia="Times New Roman" w:hAnsi="Times New Roman" w:cs="Times New Roman"/>
          <w:bCs/>
        </w:rPr>
        <w:t>the literature</w:t>
      </w:r>
      <w:proofErr w:type="gramEnd"/>
      <w:r w:rsidR="00CF218C" w:rsidRPr="00451BDA">
        <w:rPr>
          <w:rFonts w:ascii="Times New Roman" w:eastAsia="Times New Roman" w:hAnsi="Times New Roman" w:cs="Times New Roman"/>
          <w:bCs/>
        </w:rPr>
        <w:t xml:space="preserve"> (Agrawal and Dasgupta; 2018; Saunders and</w:t>
      </w:r>
      <w:r w:rsidRPr="00451BDA">
        <w:rPr>
          <w:rFonts w:ascii="Times New Roman" w:eastAsia="Times New Roman" w:hAnsi="Times New Roman" w:cs="Times New Roman"/>
          <w:bCs/>
        </w:rPr>
        <w:t xml:space="preserve"> </w:t>
      </w:r>
      <w:proofErr w:type="spellStart"/>
      <w:r w:rsidRPr="00451BDA">
        <w:rPr>
          <w:rFonts w:ascii="Times New Roman" w:eastAsia="Times New Roman" w:hAnsi="Times New Roman" w:cs="Times New Roman"/>
          <w:bCs/>
        </w:rPr>
        <w:t>Zuzel</w:t>
      </w:r>
      <w:proofErr w:type="spellEnd"/>
      <w:r w:rsidRPr="00451BDA">
        <w:rPr>
          <w:rFonts w:ascii="Times New Roman" w:eastAsia="Times New Roman" w:hAnsi="Times New Roman" w:cs="Times New Roman"/>
          <w:bCs/>
        </w:rPr>
        <w:t>, 2015).</w:t>
      </w:r>
    </w:p>
    <w:p w14:paraId="0CC42F7E" w14:textId="08FE77D6" w:rsidR="001929B2" w:rsidRPr="00451BDA" w:rsidRDefault="00000000" w:rsidP="007A0506">
      <w:pPr>
        <w:shd w:val="clear" w:color="auto" w:fill="FFFFFF" w:themeFill="background1"/>
        <w:spacing w:line="240" w:lineRule="auto"/>
        <w:ind w:firstLine="720"/>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After the development of </w:t>
      </w:r>
      <w:r w:rsidR="006B0151" w:rsidRPr="00451BDA">
        <w:rPr>
          <w:rFonts w:ascii="Times New Roman" w:eastAsia="Times New Roman" w:hAnsi="Times New Roman" w:cs="Times New Roman"/>
          <w:bCs/>
        </w:rPr>
        <w:t>the item pool</w:t>
      </w:r>
      <w:r w:rsidRPr="00451BDA">
        <w:rPr>
          <w:rFonts w:ascii="Times New Roman" w:eastAsia="Times New Roman" w:hAnsi="Times New Roman" w:cs="Times New Roman"/>
          <w:bCs/>
        </w:rPr>
        <w:t xml:space="preserve"> by the first author, three experts from a UK-based university reviewed it t</w:t>
      </w:r>
      <w:r w:rsidR="00147106" w:rsidRPr="00451BDA">
        <w:rPr>
          <w:rFonts w:ascii="Times New Roman" w:eastAsia="Times New Roman" w:hAnsi="Times New Roman" w:cs="Times New Roman"/>
          <w:bCs/>
        </w:rPr>
        <w:t>o</w:t>
      </w:r>
      <w:r w:rsidRPr="00451BDA">
        <w:rPr>
          <w:rFonts w:ascii="Times New Roman" w:eastAsia="Times New Roman" w:hAnsi="Times New Roman" w:cs="Times New Roman"/>
          <w:bCs/>
        </w:rPr>
        <w:t xml:space="preserve"> establish its face validit</w:t>
      </w:r>
      <w:r w:rsidR="00E51AC2" w:rsidRPr="00451BDA">
        <w:rPr>
          <w:rFonts w:ascii="Times New Roman" w:eastAsia="Times New Roman" w:hAnsi="Times New Roman" w:cs="Times New Roman"/>
          <w:bCs/>
        </w:rPr>
        <w:t>y</w:t>
      </w:r>
      <w:r w:rsidR="00147106" w:rsidRPr="00451BDA">
        <w:rPr>
          <w:rFonts w:ascii="Times New Roman" w:eastAsia="Times New Roman" w:hAnsi="Times New Roman" w:cs="Times New Roman"/>
          <w:bCs/>
        </w:rPr>
        <w:t>.</w:t>
      </w:r>
      <w:r w:rsidRPr="00451BDA">
        <w:rPr>
          <w:rFonts w:ascii="Times New Roman" w:eastAsia="Times New Roman" w:hAnsi="Times New Roman" w:cs="Times New Roman"/>
          <w:bCs/>
        </w:rPr>
        <w:t xml:space="preserve"> A </w:t>
      </w:r>
      <w:r w:rsidR="00BB0D99" w:rsidRPr="00451BDA">
        <w:rPr>
          <w:rFonts w:ascii="Times New Roman" w:eastAsia="Times New Roman" w:hAnsi="Times New Roman" w:cs="Times New Roman"/>
          <w:bCs/>
        </w:rPr>
        <w:t xml:space="preserve">Google form </w:t>
      </w:r>
      <w:r w:rsidRPr="00451BDA">
        <w:rPr>
          <w:rFonts w:ascii="Times New Roman" w:eastAsia="Times New Roman" w:hAnsi="Times New Roman" w:cs="Times New Roman"/>
          <w:bCs/>
        </w:rPr>
        <w:t>containing</w:t>
      </w:r>
      <w:r w:rsidR="003C288B" w:rsidRPr="00451BDA">
        <w:rPr>
          <w:rFonts w:ascii="Times New Roman" w:eastAsia="Times New Roman" w:hAnsi="Times New Roman" w:cs="Times New Roman"/>
          <w:bCs/>
        </w:rPr>
        <w:t xml:space="preserve"> the</w:t>
      </w:r>
      <w:r w:rsidRPr="00451BDA">
        <w:rPr>
          <w:rFonts w:ascii="Times New Roman" w:eastAsia="Times New Roman" w:hAnsi="Times New Roman" w:cs="Times New Roman"/>
          <w:bCs/>
        </w:rPr>
        <w:t xml:space="preserve"> </w:t>
      </w:r>
      <w:r w:rsidR="006B0151" w:rsidRPr="00451BDA">
        <w:rPr>
          <w:rFonts w:ascii="Times New Roman" w:eastAsia="Times New Roman" w:hAnsi="Times New Roman" w:cs="Times New Roman"/>
          <w:bCs/>
        </w:rPr>
        <w:t>item pool</w:t>
      </w:r>
      <w:r w:rsidRPr="00451BDA">
        <w:rPr>
          <w:rFonts w:ascii="Times New Roman" w:eastAsia="Times New Roman" w:hAnsi="Times New Roman" w:cs="Times New Roman"/>
          <w:bCs/>
        </w:rPr>
        <w:t xml:space="preserve"> was prepared, followed by questions on </w:t>
      </w:r>
      <w:r w:rsidR="00523849" w:rsidRPr="00451BDA">
        <w:rPr>
          <w:rFonts w:ascii="Times New Roman" w:eastAsia="Times New Roman" w:hAnsi="Times New Roman" w:cs="Times New Roman"/>
          <w:bCs/>
        </w:rPr>
        <w:t>FM</w:t>
      </w:r>
      <w:r w:rsidRPr="00451BDA">
        <w:rPr>
          <w:rFonts w:ascii="Times New Roman" w:eastAsia="Times New Roman" w:hAnsi="Times New Roman" w:cs="Times New Roman"/>
          <w:bCs/>
        </w:rPr>
        <w:t xml:space="preserve"> experiences. Data </w:t>
      </w:r>
      <w:proofErr w:type="gramStart"/>
      <w:r w:rsidRPr="00451BDA">
        <w:rPr>
          <w:rFonts w:ascii="Times New Roman" w:eastAsia="Times New Roman" w:hAnsi="Times New Roman" w:cs="Times New Roman"/>
          <w:bCs/>
        </w:rPr>
        <w:t>w</w:t>
      </w:r>
      <w:r w:rsidR="00ED6216" w:rsidRPr="00451BDA">
        <w:rPr>
          <w:rFonts w:ascii="Times New Roman" w:eastAsia="Times New Roman" w:hAnsi="Times New Roman" w:cs="Times New Roman"/>
          <w:bCs/>
        </w:rPr>
        <w:t>ere</w:t>
      </w:r>
      <w:proofErr w:type="gramEnd"/>
      <w:r w:rsidRPr="00451BDA">
        <w:rPr>
          <w:rFonts w:ascii="Times New Roman" w:eastAsia="Times New Roman" w:hAnsi="Times New Roman" w:cs="Times New Roman"/>
          <w:bCs/>
        </w:rPr>
        <w:t xml:space="preserve"> collected from 109 </w:t>
      </w:r>
      <w:r w:rsidR="00523849" w:rsidRPr="00451BDA">
        <w:rPr>
          <w:rFonts w:ascii="Times New Roman" w:eastAsia="Times New Roman" w:hAnsi="Times New Roman" w:cs="Times New Roman"/>
          <w:bCs/>
        </w:rPr>
        <w:t>FM</w:t>
      </w:r>
      <w:r w:rsidRPr="00451BDA">
        <w:rPr>
          <w:rFonts w:ascii="Times New Roman" w:eastAsia="Times New Roman" w:hAnsi="Times New Roman" w:cs="Times New Roman"/>
          <w:bCs/>
        </w:rPr>
        <w:t xml:space="preserve"> members (N=109). After deleting data </w:t>
      </w:r>
      <w:r w:rsidR="009D31C2" w:rsidRPr="00451BDA">
        <w:rPr>
          <w:rFonts w:ascii="Times New Roman" w:eastAsia="Times New Roman" w:hAnsi="Times New Roman" w:cs="Times New Roman"/>
          <w:bCs/>
        </w:rPr>
        <w:t>for</w:t>
      </w:r>
      <w:r w:rsidRPr="00451BDA">
        <w:rPr>
          <w:rFonts w:ascii="Times New Roman" w:eastAsia="Times New Roman" w:hAnsi="Times New Roman" w:cs="Times New Roman"/>
          <w:bCs/>
        </w:rPr>
        <w:t xml:space="preserve"> outliers, data from 90 </w:t>
      </w:r>
      <w:r w:rsidR="00523849" w:rsidRPr="00451BDA">
        <w:rPr>
          <w:rFonts w:ascii="Times New Roman" w:eastAsia="Times New Roman" w:hAnsi="Times New Roman" w:cs="Times New Roman"/>
          <w:bCs/>
        </w:rPr>
        <w:t>FM</w:t>
      </w:r>
      <w:r w:rsidR="003C288B" w:rsidRPr="00451BDA">
        <w:rPr>
          <w:rFonts w:ascii="Times New Roman" w:eastAsia="Times New Roman" w:hAnsi="Times New Roman" w:cs="Times New Roman"/>
          <w:bCs/>
        </w:rPr>
        <w:t xml:space="preserve"> members</w:t>
      </w:r>
      <w:r w:rsidRPr="00451BDA">
        <w:rPr>
          <w:rFonts w:ascii="Times New Roman" w:eastAsia="Times New Roman" w:hAnsi="Times New Roman" w:cs="Times New Roman"/>
          <w:bCs/>
        </w:rPr>
        <w:t xml:space="preserve"> were retained for analysis.</w:t>
      </w:r>
    </w:p>
    <w:p w14:paraId="5D5E9A9C" w14:textId="77931C59" w:rsidR="001929B2" w:rsidRPr="00451BDA" w:rsidRDefault="00000000" w:rsidP="007A0506">
      <w:pPr>
        <w:shd w:val="clear" w:color="auto" w:fill="FFFFFF" w:themeFill="background1"/>
        <w:spacing w:line="240" w:lineRule="auto"/>
        <w:ind w:firstLine="720"/>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The scale, </w:t>
      </w:r>
      <w:r w:rsidR="003C288B" w:rsidRPr="00451BDA">
        <w:rPr>
          <w:rFonts w:ascii="Times New Roman" w:eastAsia="Times New Roman" w:hAnsi="Times New Roman" w:cs="Times New Roman"/>
          <w:bCs/>
        </w:rPr>
        <w:t xml:space="preserve">which </w:t>
      </w:r>
      <w:r w:rsidRPr="00451BDA">
        <w:rPr>
          <w:rFonts w:ascii="Times New Roman" w:eastAsia="Times New Roman" w:hAnsi="Times New Roman" w:cs="Times New Roman"/>
          <w:bCs/>
        </w:rPr>
        <w:t xml:space="preserve">comprised 33 items, was found </w:t>
      </w:r>
      <w:r w:rsidR="003C288B" w:rsidRPr="00451BDA">
        <w:rPr>
          <w:rFonts w:ascii="Times New Roman" w:eastAsia="Times New Roman" w:hAnsi="Times New Roman" w:cs="Times New Roman"/>
          <w:bCs/>
        </w:rPr>
        <w:t xml:space="preserve">to be </w:t>
      </w:r>
      <w:r w:rsidRPr="00451BDA">
        <w:rPr>
          <w:rFonts w:ascii="Times New Roman" w:eastAsia="Times New Roman" w:hAnsi="Times New Roman" w:cs="Times New Roman"/>
          <w:bCs/>
        </w:rPr>
        <w:t>reliable (</w:t>
      </w:r>
      <w:r w:rsidRPr="00451BDA">
        <w:rPr>
          <w:rFonts w:ascii="Times New Roman" w:eastAsia="Times New Roman" w:hAnsi="Times New Roman" w:cs="Times New Roman"/>
          <w:bCs/>
          <w:i/>
        </w:rPr>
        <w:t>r</w:t>
      </w:r>
      <w:r w:rsidRPr="00451BDA">
        <w:rPr>
          <w:rFonts w:ascii="Times New Roman" w:eastAsia="Times New Roman" w:hAnsi="Times New Roman" w:cs="Times New Roman"/>
          <w:bCs/>
        </w:rPr>
        <w:t>= .91).</w:t>
      </w:r>
      <w:r w:rsidR="00E51AC2" w:rsidRPr="00451BDA">
        <w:rPr>
          <w:rFonts w:ascii="Times New Roman" w:eastAsia="Times New Roman" w:hAnsi="Times New Roman" w:cs="Times New Roman"/>
          <w:bCs/>
        </w:rPr>
        <w:t xml:space="preserve"> </w:t>
      </w:r>
      <w:r w:rsidRPr="00451BDA">
        <w:rPr>
          <w:rFonts w:ascii="Times New Roman" w:eastAsia="Times New Roman" w:hAnsi="Times New Roman" w:cs="Times New Roman"/>
          <w:bCs/>
        </w:rPr>
        <w:t xml:space="preserve">Factorial validity of the scale was established (Table </w:t>
      </w:r>
      <w:r w:rsidR="00D71CEE" w:rsidRPr="00451BDA">
        <w:rPr>
          <w:rFonts w:ascii="Times New Roman" w:eastAsia="Times New Roman" w:hAnsi="Times New Roman" w:cs="Times New Roman"/>
          <w:bCs/>
        </w:rPr>
        <w:t>1</w:t>
      </w:r>
      <w:r w:rsidRPr="00451BDA">
        <w:rPr>
          <w:rFonts w:ascii="Times New Roman" w:eastAsia="Times New Roman" w:hAnsi="Times New Roman" w:cs="Times New Roman"/>
          <w:bCs/>
        </w:rPr>
        <w:t xml:space="preserve">). Using an exploratory factor analysis (principal factor analysis), three factors were identified. These factors yielded </w:t>
      </w:r>
      <w:r w:rsidR="00BB0D99" w:rsidRPr="00451BDA">
        <w:rPr>
          <w:rFonts w:ascii="Times New Roman" w:eastAsia="Times New Roman" w:hAnsi="Times New Roman" w:cs="Times New Roman"/>
          <w:bCs/>
        </w:rPr>
        <w:t>good</w:t>
      </w:r>
      <w:r w:rsidRPr="00451BDA">
        <w:rPr>
          <w:rFonts w:ascii="Times New Roman" w:eastAsia="Times New Roman" w:hAnsi="Times New Roman" w:cs="Times New Roman"/>
          <w:bCs/>
        </w:rPr>
        <w:t xml:space="preserve"> reliability and were correlated with the total score. The scale was labelled the</w:t>
      </w:r>
      <w:r w:rsidR="00C053C9" w:rsidRPr="00451BDA">
        <w:rPr>
          <w:rFonts w:ascii="Times New Roman" w:eastAsia="Times New Roman" w:hAnsi="Times New Roman" w:cs="Times New Roman"/>
          <w:bCs/>
        </w:rPr>
        <w:t xml:space="preserve"> </w:t>
      </w:r>
      <w:r w:rsidR="00C61B46" w:rsidRPr="00451BDA">
        <w:rPr>
          <w:rFonts w:ascii="Times New Roman" w:eastAsia="Times New Roman" w:hAnsi="Times New Roman" w:cs="Times New Roman"/>
          <w:bCs/>
        </w:rPr>
        <w:t>Perception of IoC-</w:t>
      </w:r>
      <w:r w:rsidR="00523849" w:rsidRPr="00451BDA">
        <w:rPr>
          <w:rFonts w:ascii="Times New Roman" w:eastAsia="Times New Roman" w:hAnsi="Times New Roman" w:cs="Times New Roman"/>
          <w:bCs/>
        </w:rPr>
        <w:t>FM</w:t>
      </w:r>
      <w:r w:rsidR="00C61B46" w:rsidRPr="00451BDA">
        <w:rPr>
          <w:rFonts w:ascii="Times New Roman" w:eastAsia="Times New Roman" w:hAnsi="Times New Roman" w:cs="Times New Roman"/>
          <w:bCs/>
        </w:rPr>
        <w:t xml:space="preserve"> (P</w:t>
      </w:r>
      <w:r w:rsidR="00C053C9" w:rsidRPr="00451BDA">
        <w:rPr>
          <w:rFonts w:ascii="Times New Roman" w:eastAsia="Times New Roman" w:hAnsi="Times New Roman" w:cs="Times New Roman"/>
          <w:bCs/>
        </w:rPr>
        <w:t>IC-</w:t>
      </w:r>
      <w:r w:rsidR="00C61B46" w:rsidRPr="00451BDA">
        <w:rPr>
          <w:rFonts w:ascii="Times New Roman" w:eastAsia="Times New Roman" w:hAnsi="Times New Roman" w:cs="Times New Roman"/>
          <w:bCs/>
        </w:rPr>
        <w:t>F)</w:t>
      </w:r>
      <w:r w:rsidRPr="00451BDA">
        <w:rPr>
          <w:rFonts w:ascii="Times New Roman" w:eastAsia="Times New Roman" w:hAnsi="Times New Roman" w:cs="Times New Roman"/>
          <w:bCs/>
        </w:rPr>
        <w:t xml:space="preserve"> scale</w:t>
      </w:r>
      <w:r w:rsidR="009D31C2" w:rsidRPr="00451BDA">
        <w:rPr>
          <w:rFonts w:ascii="Times New Roman" w:eastAsia="Times New Roman" w:hAnsi="Times New Roman" w:cs="Times New Roman"/>
          <w:bCs/>
        </w:rPr>
        <w:t>.</w:t>
      </w:r>
    </w:p>
    <w:p w14:paraId="70F77FF2" w14:textId="77777777" w:rsidR="001929B2" w:rsidRPr="00451BDA" w:rsidRDefault="00000000" w:rsidP="00E42F56">
      <w:pPr>
        <w:pStyle w:val="Heading1"/>
        <w:shd w:val="clear" w:color="auto" w:fill="FFFFFF" w:themeFill="background1"/>
        <w:contextualSpacing/>
        <w:rPr>
          <w:bCs w:val="0"/>
          <w:sz w:val="22"/>
          <w:szCs w:val="22"/>
        </w:rPr>
      </w:pPr>
      <w:r w:rsidRPr="00451BDA">
        <w:rPr>
          <w:bCs w:val="0"/>
          <w:sz w:val="22"/>
          <w:szCs w:val="22"/>
        </w:rPr>
        <w:t>Results</w:t>
      </w:r>
    </w:p>
    <w:p w14:paraId="61F44DCA" w14:textId="4EEEA1D2" w:rsidR="001929B2" w:rsidRPr="00451BDA" w:rsidRDefault="00000000" w:rsidP="00B51699">
      <w:pPr>
        <w:shd w:val="clear" w:color="auto" w:fill="FFFFFF" w:themeFill="background1"/>
        <w:spacing w:line="240" w:lineRule="auto"/>
        <w:ind w:firstLine="720"/>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This section </w:t>
      </w:r>
      <w:r w:rsidR="003C288B" w:rsidRPr="00451BDA">
        <w:rPr>
          <w:rFonts w:ascii="Times New Roman" w:eastAsia="Times New Roman" w:hAnsi="Times New Roman" w:cs="Times New Roman"/>
          <w:bCs/>
        </w:rPr>
        <w:t xml:space="preserve">presents the </w:t>
      </w:r>
      <w:r w:rsidRPr="00451BDA">
        <w:rPr>
          <w:rFonts w:ascii="Times New Roman" w:eastAsia="Times New Roman" w:hAnsi="Times New Roman" w:cs="Times New Roman"/>
          <w:bCs/>
        </w:rPr>
        <w:t>results</w:t>
      </w:r>
      <w:r w:rsidR="00492388" w:rsidRPr="00451BDA">
        <w:rPr>
          <w:rFonts w:ascii="Times New Roman" w:eastAsia="Times New Roman" w:hAnsi="Times New Roman" w:cs="Times New Roman"/>
          <w:bCs/>
        </w:rPr>
        <w:t>, including</w:t>
      </w:r>
      <w:r w:rsidR="003C288B" w:rsidRPr="00451BDA">
        <w:rPr>
          <w:rFonts w:ascii="Times New Roman" w:eastAsia="Times New Roman" w:hAnsi="Times New Roman" w:cs="Times New Roman"/>
          <w:bCs/>
        </w:rPr>
        <w:t xml:space="preserve"> </w:t>
      </w:r>
      <w:r w:rsidR="00192774" w:rsidRPr="00451BDA">
        <w:rPr>
          <w:rFonts w:ascii="Times New Roman" w:eastAsia="Times New Roman" w:hAnsi="Times New Roman" w:cs="Times New Roman"/>
          <w:bCs/>
        </w:rPr>
        <w:t>exploratory analyses</w:t>
      </w:r>
      <w:r w:rsidRPr="00451BDA">
        <w:rPr>
          <w:rFonts w:ascii="Times New Roman" w:eastAsia="Times New Roman" w:hAnsi="Times New Roman" w:cs="Times New Roman"/>
          <w:bCs/>
        </w:rPr>
        <w:t xml:space="preserve"> followed by factorial validity and reliability</w:t>
      </w:r>
      <w:r w:rsidR="00E138F3" w:rsidRPr="00451BDA">
        <w:rPr>
          <w:rFonts w:ascii="Times New Roman" w:eastAsia="Times New Roman" w:hAnsi="Times New Roman" w:cs="Times New Roman"/>
          <w:bCs/>
        </w:rPr>
        <w:t>,</w:t>
      </w:r>
      <w:r w:rsidRPr="00451BDA">
        <w:rPr>
          <w:rFonts w:ascii="Times New Roman" w:eastAsia="Times New Roman" w:hAnsi="Times New Roman" w:cs="Times New Roman"/>
          <w:bCs/>
        </w:rPr>
        <w:t xml:space="preserve"> followed</w:t>
      </w:r>
      <w:r w:rsidR="00E138F3" w:rsidRPr="00451BDA">
        <w:rPr>
          <w:rFonts w:ascii="Times New Roman" w:eastAsia="Times New Roman" w:hAnsi="Times New Roman" w:cs="Times New Roman"/>
          <w:bCs/>
        </w:rPr>
        <w:t xml:space="preserve"> by</w:t>
      </w:r>
      <w:r w:rsidRPr="00451BDA">
        <w:rPr>
          <w:rFonts w:ascii="Times New Roman" w:eastAsia="Times New Roman" w:hAnsi="Times New Roman" w:cs="Times New Roman"/>
          <w:bCs/>
        </w:rPr>
        <w:t xml:space="preserve"> the main results (Tables </w:t>
      </w:r>
      <w:r w:rsidR="00E138F3" w:rsidRPr="00451BDA">
        <w:rPr>
          <w:rFonts w:ascii="Times New Roman" w:eastAsia="Times New Roman" w:hAnsi="Times New Roman" w:cs="Times New Roman"/>
          <w:bCs/>
        </w:rPr>
        <w:t>1 and 2,</w:t>
      </w:r>
      <w:r w:rsidRPr="00451BDA">
        <w:rPr>
          <w:rFonts w:ascii="Times New Roman" w:eastAsia="Times New Roman" w:hAnsi="Times New Roman" w:cs="Times New Roman"/>
          <w:bCs/>
        </w:rPr>
        <w:t xml:space="preserve"> Figure 1).</w:t>
      </w:r>
    </w:p>
    <w:p w14:paraId="11D36E96" w14:textId="27F21F32" w:rsidR="00DB0919" w:rsidRPr="00451BDA" w:rsidRDefault="00DB0919" w:rsidP="0037012B">
      <w:pPr>
        <w:pStyle w:val="BodyText"/>
        <w:spacing w:before="61"/>
        <w:rPr>
          <w:sz w:val="22"/>
          <w:szCs w:val="22"/>
        </w:rPr>
      </w:pPr>
      <w:r w:rsidRPr="00451BDA">
        <w:rPr>
          <w:sz w:val="22"/>
          <w:szCs w:val="22"/>
        </w:rPr>
        <w:t>Table 1</w:t>
      </w:r>
      <w:r w:rsidR="0037012B">
        <w:rPr>
          <w:sz w:val="22"/>
          <w:szCs w:val="22"/>
        </w:rPr>
        <w:t xml:space="preserve">: </w:t>
      </w:r>
      <w:r w:rsidRPr="00451BDA">
        <w:rPr>
          <w:sz w:val="22"/>
          <w:szCs w:val="22"/>
        </w:rPr>
        <w:t>Exploratory factor analysis of 33 items for scale development, inter-correlations, and between discipline</w:t>
      </w:r>
      <w:r w:rsidRPr="00451BDA">
        <w:rPr>
          <w:spacing w:val="-47"/>
          <w:sz w:val="22"/>
          <w:szCs w:val="22"/>
        </w:rPr>
        <w:t xml:space="preserve"> </w:t>
      </w:r>
      <w:r w:rsidRPr="00451BDA">
        <w:rPr>
          <w:sz w:val="22"/>
          <w:szCs w:val="22"/>
        </w:rPr>
        <w:t>comparisons</w:t>
      </w:r>
      <w:r w:rsidRPr="00451BDA">
        <w:rPr>
          <w:spacing w:val="-2"/>
          <w:sz w:val="22"/>
          <w:szCs w:val="22"/>
        </w:rPr>
        <w:t xml:space="preserve"> </w:t>
      </w:r>
      <w:r w:rsidRPr="00451BDA">
        <w:rPr>
          <w:sz w:val="22"/>
          <w:szCs w:val="22"/>
        </w:rPr>
        <w:t>on</w:t>
      </w:r>
      <w:r w:rsidRPr="00451BDA">
        <w:rPr>
          <w:spacing w:val="1"/>
          <w:sz w:val="22"/>
          <w:szCs w:val="22"/>
        </w:rPr>
        <w:t xml:space="preserve"> </w:t>
      </w:r>
      <w:r w:rsidRPr="00451BDA">
        <w:rPr>
          <w:sz w:val="22"/>
          <w:szCs w:val="22"/>
        </w:rPr>
        <w:t>the factors</w:t>
      </w:r>
    </w:p>
    <w:p w14:paraId="77461EB8" w14:textId="77777777" w:rsidR="00DB0919" w:rsidRPr="00451BDA" w:rsidRDefault="00DB0919" w:rsidP="00DB0919">
      <w:pPr>
        <w:pStyle w:val="BodyText"/>
        <w:spacing w:before="3" w:after="1"/>
        <w:ind w:left="0"/>
        <w:rPr>
          <w:sz w:val="22"/>
          <w:szCs w:val="22"/>
        </w:rPr>
      </w:pPr>
    </w:p>
    <w:tbl>
      <w:tblPr>
        <w:tblW w:w="0" w:type="auto"/>
        <w:tblInd w:w="197" w:type="dxa"/>
        <w:tblLayout w:type="fixed"/>
        <w:tblCellMar>
          <w:left w:w="0" w:type="dxa"/>
          <w:right w:w="0" w:type="dxa"/>
        </w:tblCellMar>
        <w:tblLook w:val="01E0" w:firstRow="1" w:lastRow="1" w:firstColumn="1" w:lastColumn="1" w:noHBand="0" w:noVBand="0"/>
      </w:tblPr>
      <w:tblGrid>
        <w:gridCol w:w="580"/>
        <w:gridCol w:w="5965"/>
        <w:gridCol w:w="936"/>
        <w:gridCol w:w="898"/>
        <w:gridCol w:w="894"/>
      </w:tblGrid>
      <w:tr w:rsidR="00DB0919" w:rsidRPr="00451BDA" w14:paraId="771180A6" w14:textId="77777777" w:rsidTr="007724B8">
        <w:trPr>
          <w:trHeight w:val="230"/>
        </w:trPr>
        <w:tc>
          <w:tcPr>
            <w:tcW w:w="580" w:type="dxa"/>
            <w:tcBorders>
              <w:top w:val="single" w:sz="4" w:space="0" w:color="000000"/>
              <w:bottom w:val="single" w:sz="4" w:space="0" w:color="000000"/>
            </w:tcBorders>
          </w:tcPr>
          <w:p w14:paraId="58157BD1" w14:textId="77777777" w:rsidR="00DB0919" w:rsidRPr="00451BDA" w:rsidRDefault="00DB0919" w:rsidP="007724B8">
            <w:pPr>
              <w:pStyle w:val="TableParagraph"/>
              <w:spacing w:line="240" w:lineRule="auto"/>
              <w:ind w:left="0"/>
            </w:pPr>
          </w:p>
        </w:tc>
        <w:tc>
          <w:tcPr>
            <w:tcW w:w="5965" w:type="dxa"/>
            <w:tcBorders>
              <w:top w:val="single" w:sz="4" w:space="0" w:color="000000"/>
              <w:bottom w:val="single" w:sz="4" w:space="0" w:color="000000"/>
            </w:tcBorders>
          </w:tcPr>
          <w:p w14:paraId="4B3BEE3F" w14:textId="77777777" w:rsidR="00DB0919" w:rsidRPr="00451BDA" w:rsidRDefault="00DB0919" w:rsidP="007724B8">
            <w:pPr>
              <w:pStyle w:val="TableParagraph"/>
            </w:pPr>
            <w:r w:rsidRPr="00451BDA">
              <w:t>Items</w:t>
            </w:r>
          </w:p>
        </w:tc>
        <w:tc>
          <w:tcPr>
            <w:tcW w:w="936" w:type="dxa"/>
            <w:tcBorders>
              <w:top w:val="single" w:sz="4" w:space="0" w:color="000000"/>
              <w:bottom w:val="single" w:sz="4" w:space="0" w:color="000000"/>
            </w:tcBorders>
          </w:tcPr>
          <w:p w14:paraId="552FC140" w14:textId="77777777" w:rsidR="00DB0919" w:rsidRPr="00451BDA" w:rsidRDefault="00DB0919" w:rsidP="007724B8">
            <w:pPr>
              <w:pStyle w:val="TableParagraph"/>
              <w:ind w:left="156"/>
            </w:pPr>
            <w:r w:rsidRPr="00451BDA">
              <w:t>Factor</w:t>
            </w:r>
            <w:r w:rsidRPr="00451BDA">
              <w:rPr>
                <w:spacing w:val="-1"/>
              </w:rPr>
              <w:t xml:space="preserve"> </w:t>
            </w:r>
            <w:r w:rsidRPr="00451BDA">
              <w:t>1</w:t>
            </w:r>
          </w:p>
        </w:tc>
        <w:tc>
          <w:tcPr>
            <w:tcW w:w="898" w:type="dxa"/>
            <w:tcBorders>
              <w:top w:val="single" w:sz="4" w:space="0" w:color="000000"/>
              <w:bottom w:val="single" w:sz="4" w:space="0" w:color="000000"/>
            </w:tcBorders>
          </w:tcPr>
          <w:p w14:paraId="24159057" w14:textId="77777777" w:rsidR="00DB0919" w:rsidRPr="00451BDA" w:rsidRDefault="00DB0919" w:rsidP="007724B8">
            <w:pPr>
              <w:pStyle w:val="TableParagraph"/>
              <w:ind w:left="125"/>
            </w:pPr>
            <w:r w:rsidRPr="00451BDA">
              <w:t>Factor</w:t>
            </w:r>
            <w:r w:rsidRPr="00451BDA">
              <w:rPr>
                <w:spacing w:val="-1"/>
              </w:rPr>
              <w:t xml:space="preserve"> </w:t>
            </w:r>
            <w:r w:rsidRPr="00451BDA">
              <w:t>2</w:t>
            </w:r>
          </w:p>
        </w:tc>
        <w:tc>
          <w:tcPr>
            <w:tcW w:w="894" w:type="dxa"/>
            <w:tcBorders>
              <w:top w:val="single" w:sz="4" w:space="0" w:color="000000"/>
              <w:bottom w:val="single" w:sz="4" w:space="0" w:color="000000"/>
            </w:tcBorders>
          </w:tcPr>
          <w:p w14:paraId="6A4F1625" w14:textId="77777777" w:rsidR="00DB0919" w:rsidRPr="00451BDA" w:rsidRDefault="00DB0919" w:rsidP="007724B8">
            <w:pPr>
              <w:pStyle w:val="TableParagraph"/>
              <w:ind w:left="117"/>
            </w:pPr>
            <w:r w:rsidRPr="00451BDA">
              <w:t>Factor</w:t>
            </w:r>
            <w:r w:rsidRPr="00451BDA">
              <w:rPr>
                <w:spacing w:val="-1"/>
              </w:rPr>
              <w:t xml:space="preserve"> </w:t>
            </w:r>
            <w:r w:rsidRPr="00451BDA">
              <w:t>3</w:t>
            </w:r>
          </w:p>
        </w:tc>
      </w:tr>
      <w:tr w:rsidR="00DB0919" w:rsidRPr="00451BDA" w14:paraId="5832EE0A" w14:textId="77777777" w:rsidTr="007724B8">
        <w:trPr>
          <w:trHeight w:val="462"/>
        </w:trPr>
        <w:tc>
          <w:tcPr>
            <w:tcW w:w="580" w:type="dxa"/>
            <w:tcBorders>
              <w:top w:val="single" w:sz="4" w:space="0" w:color="000000"/>
            </w:tcBorders>
          </w:tcPr>
          <w:p w14:paraId="75816021" w14:textId="77777777" w:rsidR="00DB0919" w:rsidRPr="00451BDA" w:rsidRDefault="00DB0919" w:rsidP="007724B8">
            <w:pPr>
              <w:pStyle w:val="TableParagraph"/>
              <w:spacing w:line="240" w:lineRule="auto"/>
              <w:ind w:left="0"/>
            </w:pPr>
          </w:p>
        </w:tc>
        <w:tc>
          <w:tcPr>
            <w:tcW w:w="5965" w:type="dxa"/>
            <w:tcBorders>
              <w:top w:val="single" w:sz="4" w:space="0" w:color="000000"/>
            </w:tcBorders>
          </w:tcPr>
          <w:p w14:paraId="7F51CDB1" w14:textId="77777777" w:rsidR="00DB0919" w:rsidRPr="00451BDA" w:rsidRDefault="00DB0919" w:rsidP="007724B8">
            <w:pPr>
              <w:pStyle w:val="TableParagraph"/>
              <w:spacing w:line="228" w:lineRule="exact"/>
              <w:ind w:right="610"/>
              <w:rPr>
                <w:i/>
              </w:rPr>
            </w:pPr>
            <w:r w:rsidRPr="00451BDA">
              <w:rPr>
                <w:i/>
              </w:rPr>
              <w:t>The</w:t>
            </w:r>
            <w:r w:rsidRPr="00451BDA">
              <w:rPr>
                <w:i/>
                <w:spacing w:val="-3"/>
              </w:rPr>
              <w:t xml:space="preserve"> </w:t>
            </w:r>
            <w:r w:rsidRPr="00451BDA">
              <w:rPr>
                <w:i/>
              </w:rPr>
              <w:t>curriculum</w:t>
            </w:r>
            <w:r w:rsidRPr="00451BDA">
              <w:rPr>
                <w:i/>
                <w:spacing w:val="-2"/>
              </w:rPr>
              <w:t xml:space="preserve"> </w:t>
            </w:r>
            <w:r w:rsidRPr="00451BDA">
              <w:rPr>
                <w:i/>
              </w:rPr>
              <w:t>and</w:t>
            </w:r>
            <w:r w:rsidRPr="00451BDA">
              <w:rPr>
                <w:i/>
                <w:spacing w:val="-1"/>
              </w:rPr>
              <w:t xml:space="preserve"> </w:t>
            </w:r>
            <w:r w:rsidRPr="00451BDA">
              <w:rPr>
                <w:i/>
              </w:rPr>
              <w:t>instruction</w:t>
            </w:r>
            <w:r w:rsidRPr="00451BDA">
              <w:rPr>
                <w:i/>
                <w:spacing w:val="-1"/>
              </w:rPr>
              <w:t xml:space="preserve"> </w:t>
            </w:r>
            <w:r w:rsidRPr="00451BDA">
              <w:rPr>
                <w:i/>
              </w:rPr>
              <w:t>at</w:t>
            </w:r>
            <w:r w:rsidRPr="00451BDA">
              <w:rPr>
                <w:i/>
                <w:spacing w:val="-3"/>
              </w:rPr>
              <w:t xml:space="preserve"> </w:t>
            </w:r>
            <w:r w:rsidRPr="00451BDA">
              <w:rPr>
                <w:i/>
              </w:rPr>
              <w:t>your</w:t>
            </w:r>
            <w:r w:rsidRPr="00451BDA">
              <w:rPr>
                <w:i/>
                <w:spacing w:val="-3"/>
              </w:rPr>
              <w:t xml:space="preserve"> </w:t>
            </w:r>
            <w:r w:rsidRPr="00451BDA">
              <w:rPr>
                <w:i/>
              </w:rPr>
              <w:t>institute</w:t>
            </w:r>
            <w:r w:rsidRPr="00451BDA">
              <w:rPr>
                <w:i/>
                <w:spacing w:val="-2"/>
              </w:rPr>
              <w:t xml:space="preserve"> </w:t>
            </w:r>
            <w:r w:rsidRPr="00451BDA">
              <w:rPr>
                <w:i/>
              </w:rPr>
              <w:t>or</w:t>
            </w:r>
            <w:r w:rsidRPr="00451BDA">
              <w:rPr>
                <w:i/>
                <w:spacing w:val="-3"/>
              </w:rPr>
              <w:t xml:space="preserve"> </w:t>
            </w:r>
            <w:r w:rsidRPr="00451BDA">
              <w:rPr>
                <w:i/>
              </w:rPr>
              <w:t>school</w:t>
            </w:r>
            <w:r w:rsidRPr="00451BDA">
              <w:rPr>
                <w:i/>
                <w:spacing w:val="-3"/>
              </w:rPr>
              <w:t xml:space="preserve"> </w:t>
            </w:r>
            <w:r w:rsidRPr="00451BDA">
              <w:rPr>
                <w:i/>
              </w:rPr>
              <w:t>helps</w:t>
            </w:r>
            <w:r w:rsidRPr="00451BDA">
              <w:rPr>
                <w:i/>
                <w:spacing w:val="-47"/>
              </w:rPr>
              <w:t xml:space="preserve"> </w:t>
            </w:r>
            <w:r w:rsidRPr="00451BDA">
              <w:rPr>
                <w:i/>
              </w:rPr>
              <w:t>undergraduate</w:t>
            </w:r>
            <w:r w:rsidRPr="00451BDA">
              <w:rPr>
                <w:i/>
                <w:spacing w:val="-1"/>
              </w:rPr>
              <w:t xml:space="preserve"> </w:t>
            </w:r>
            <w:r w:rsidRPr="00451BDA">
              <w:rPr>
                <w:i/>
              </w:rPr>
              <w:t>students</w:t>
            </w:r>
          </w:p>
        </w:tc>
        <w:tc>
          <w:tcPr>
            <w:tcW w:w="936" w:type="dxa"/>
            <w:tcBorders>
              <w:top w:val="single" w:sz="4" w:space="0" w:color="000000"/>
            </w:tcBorders>
          </w:tcPr>
          <w:p w14:paraId="004CFB50" w14:textId="77777777" w:rsidR="00DB0919" w:rsidRPr="00451BDA" w:rsidRDefault="00DB0919" w:rsidP="007724B8">
            <w:pPr>
              <w:pStyle w:val="TableParagraph"/>
              <w:spacing w:line="240" w:lineRule="auto"/>
              <w:ind w:left="0"/>
            </w:pPr>
          </w:p>
        </w:tc>
        <w:tc>
          <w:tcPr>
            <w:tcW w:w="898" w:type="dxa"/>
            <w:tcBorders>
              <w:top w:val="single" w:sz="4" w:space="0" w:color="000000"/>
            </w:tcBorders>
          </w:tcPr>
          <w:p w14:paraId="2451D0DB" w14:textId="77777777" w:rsidR="00DB0919" w:rsidRPr="00451BDA" w:rsidRDefault="00DB0919" w:rsidP="007724B8">
            <w:pPr>
              <w:pStyle w:val="TableParagraph"/>
              <w:spacing w:line="240" w:lineRule="auto"/>
              <w:ind w:left="0"/>
            </w:pPr>
          </w:p>
        </w:tc>
        <w:tc>
          <w:tcPr>
            <w:tcW w:w="894" w:type="dxa"/>
            <w:tcBorders>
              <w:top w:val="single" w:sz="4" w:space="0" w:color="000000"/>
            </w:tcBorders>
          </w:tcPr>
          <w:p w14:paraId="71C61C27" w14:textId="77777777" w:rsidR="00DB0919" w:rsidRPr="00451BDA" w:rsidRDefault="00DB0919" w:rsidP="007724B8">
            <w:pPr>
              <w:pStyle w:val="TableParagraph"/>
              <w:spacing w:line="240" w:lineRule="auto"/>
              <w:ind w:left="0"/>
            </w:pPr>
          </w:p>
        </w:tc>
      </w:tr>
      <w:tr w:rsidR="00DB0919" w:rsidRPr="00451BDA" w14:paraId="3A011AD5" w14:textId="77777777" w:rsidTr="007724B8">
        <w:trPr>
          <w:trHeight w:val="230"/>
        </w:trPr>
        <w:tc>
          <w:tcPr>
            <w:tcW w:w="580" w:type="dxa"/>
          </w:tcPr>
          <w:p w14:paraId="34E2E8CC" w14:textId="77777777" w:rsidR="00DB0919" w:rsidRPr="00451BDA" w:rsidRDefault="00DB0919" w:rsidP="007724B8">
            <w:pPr>
              <w:pStyle w:val="TableParagraph"/>
              <w:ind w:left="116"/>
            </w:pPr>
            <w:r w:rsidRPr="00451BDA">
              <w:rPr>
                <w:w w:val="99"/>
              </w:rPr>
              <w:t>1</w:t>
            </w:r>
          </w:p>
        </w:tc>
        <w:tc>
          <w:tcPr>
            <w:tcW w:w="5965" w:type="dxa"/>
          </w:tcPr>
          <w:p w14:paraId="0009BAEC" w14:textId="77777777" w:rsidR="00DB0919" w:rsidRPr="00451BDA" w:rsidRDefault="00DB0919" w:rsidP="007724B8">
            <w:pPr>
              <w:pStyle w:val="TableParagraph"/>
            </w:pPr>
            <w:r w:rsidRPr="00451BDA">
              <w:t>To</w:t>
            </w:r>
            <w:r w:rsidRPr="00451BDA">
              <w:rPr>
                <w:spacing w:val="-2"/>
              </w:rPr>
              <w:t xml:space="preserve"> </w:t>
            </w:r>
            <w:r w:rsidRPr="00451BDA">
              <w:t>interact</w:t>
            </w:r>
            <w:r w:rsidRPr="00451BDA">
              <w:rPr>
                <w:spacing w:val="-3"/>
              </w:rPr>
              <w:t xml:space="preserve"> </w:t>
            </w:r>
            <w:r w:rsidRPr="00451BDA">
              <w:t>with</w:t>
            </w:r>
            <w:r w:rsidRPr="00451BDA">
              <w:rPr>
                <w:spacing w:val="-2"/>
              </w:rPr>
              <w:t xml:space="preserve"> </w:t>
            </w:r>
            <w:r w:rsidRPr="00451BDA">
              <w:t>employers</w:t>
            </w:r>
            <w:r w:rsidRPr="00451BDA">
              <w:rPr>
                <w:spacing w:val="-3"/>
              </w:rPr>
              <w:t xml:space="preserve"> </w:t>
            </w:r>
            <w:r w:rsidRPr="00451BDA">
              <w:t>and</w:t>
            </w:r>
            <w:r w:rsidRPr="00451BDA">
              <w:rPr>
                <w:spacing w:val="-1"/>
              </w:rPr>
              <w:t xml:space="preserve"> </w:t>
            </w:r>
            <w:r w:rsidRPr="00451BDA">
              <w:t>professionals</w:t>
            </w:r>
          </w:p>
        </w:tc>
        <w:tc>
          <w:tcPr>
            <w:tcW w:w="936" w:type="dxa"/>
          </w:tcPr>
          <w:p w14:paraId="105496ED" w14:textId="77777777" w:rsidR="00DB0919" w:rsidRPr="00451BDA" w:rsidRDefault="00DB0919" w:rsidP="007724B8">
            <w:pPr>
              <w:pStyle w:val="TableParagraph"/>
              <w:ind w:left="134"/>
            </w:pPr>
            <w:r w:rsidRPr="00451BDA">
              <w:t>0.69</w:t>
            </w:r>
          </w:p>
        </w:tc>
        <w:tc>
          <w:tcPr>
            <w:tcW w:w="898" w:type="dxa"/>
          </w:tcPr>
          <w:p w14:paraId="182EB581" w14:textId="77777777" w:rsidR="00DB0919" w:rsidRPr="00451BDA" w:rsidRDefault="00DB0919" w:rsidP="007724B8">
            <w:pPr>
              <w:pStyle w:val="TableParagraph"/>
              <w:ind w:left="118"/>
            </w:pPr>
            <w:r w:rsidRPr="00451BDA">
              <w:rPr>
                <w:w w:val="99"/>
              </w:rPr>
              <w:t>-</w:t>
            </w:r>
          </w:p>
        </w:tc>
        <w:tc>
          <w:tcPr>
            <w:tcW w:w="894" w:type="dxa"/>
          </w:tcPr>
          <w:p w14:paraId="52F5C7DC" w14:textId="77777777" w:rsidR="00DB0919" w:rsidRPr="00451BDA" w:rsidRDefault="00DB0919" w:rsidP="007724B8">
            <w:pPr>
              <w:pStyle w:val="TableParagraph"/>
              <w:ind w:left="110"/>
            </w:pPr>
            <w:r w:rsidRPr="00451BDA">
              <w:rPr>
                <w:w w:val="99"/>
              </w:rPr>
              <w:t>-</w:t>
            </w:r>
          </w:p>
        </w:tc>
      </w:tr>
      <w:tr w:rsidR="00DB0919" w:rsidRPr="00451BDA" w14:paraId="5F2C6295" w14:textId="77777777" w:rsidTr="007724B8">
        <w:trPr>
          <w:trHeight w:val="230"/>
        </w:trPr>
        <w:tc>
          <w:tcPr>
            <w:tcW w:w="580" w:type="dxa"/>
          </w:tcPr>
          <w:p w14:paraId="576F31D2" w14:textId="77777777" w:rsidR="00DB0919" w:rsidRPr="00451BDA" w:rsidRDefault="00DB0919" w:rsidP="007724B8">
            <w:pPr>
              <w:pStyle w:val="TableParagraph"/>
              <w:ind w:left="116"/>
            </w:pPr>
            <w:r w:rsidRPr="00451BDA">
              <w:rPr>
                <w:w w:val="99"/>
              </w:rPr>
              <w:t>2</w:t>
            </w:r>
          </w:p>
        </w:tc>
        <w:tc>
          <w:tcPr>
            <w:tcW w:w="5965" w:type="dxa"/>
          </w:tcPr>
          <w:p w14:paraId="5FD73A53" w14:textId="77777777" w:rsidR="00DB0919" w:rsidRPr="00451BDA" w:rsidRDefault="00DB0919" w:rsidP="007724B8">
            <w:pPr>
              <w:pStyle w:val="TableParagraph"/>
            </w:pPr>
            <w:r w:rsidRPr="00451BDA">
              <w:t>To</w:t>
            </w:r>
            <w:r w:rsidRPr="00451BDA">
              <w:rPr>
                <w:spacing w:val="-1"/>
              </w:rPr>
              <w:t xml:space="preserve"> </w:t>
            </w:r>
            <w:r w:rsidRPr="00451BDA">
              <w:t>interact</w:t>
            </w:r>
            <w:r w:rsidRPr="00451BDA">
              <w:rPr>
                <w:spacing w:val="-3"/>
              </w:rPr>
              <w:t xml:space="preserve"> </w:t>
            </w:r>
            <w:r w:rsidRPr="00451BDA">
              <w:t>with</w:t>
            </w:r>
            <w:r w:rsidRPr="00451BDA">
              <w:rPr>
                <w:spacing w:val="-2"/>
              </w:rPr>
              <w:t xml:space="preserve"> </w:t>
            </w:r>
            <w:r w:rsidRPr="00451BDA">
              <w:t>workplace</w:t>
            </w:r>
            <w:r w:rsidRPr="00451BDA">
              <w:rPr>
                <w:spacing w:val="-2"/>
              </w:rPr>
              <w:t xml:space="preserve"> </w:t>
            </w:r>
            <w:r w:rsidRPr="00451BDA">
              <w:t>and</w:t>
            </w:r>
            <w:r w:rsidRPr="00451BDA">
              <w:rPr>
                <w:spacing w:val="-1"/>
              </w:rPr>
              <w:t xml:space="preserve"> </w:t>
            </w:r>
            <w:r w:rsidRPr="00451BDA">
              <w:t>professional</w:t>
            </w:r>
            <w:r w:rsidRPr="00451BDA">
              <w:rPr>
                <w:spacing w:val="-1"/>
              </w:rPr>
              <w:t xml:space="preserve"> </w:t>
            </w:r>
            <w:r w:rsidRPr="00451BDA">
              <w:t>bodies</w:t>
            </w:r>
          </w:p>
        </w:tc>
        <w:tc>
          <w:tcPr>
            <w:tcW w:w="936" w:type="dxa"/>
          </w:tcPr>
          <w:p w14:paraId="5EE577B7" w14:textId="77777777" w:rsidR="00DB0919" w:rsidRPr="00451BDA" w:rsidRDefault="00DB0919" w:rsidP="007724B8">
            <w:pPr>
              <w:pStyle w:val="TableParagraph"/>
              <w:ind w:left="134"/>
            </w:pPr>
            <w:r w:rsidRPr="00451BDA">
              <w:t>0.76</w:t>
            </w:r>
          </w:p>
        </w:tc>
        <w:tc>
          <w:tcPr>
            <w:tcW w:w="898" w:type="dxa"/>
          </w:tcPr>
          <w:p w14:paraId="242E8119" w14:textId="77777777" w:rsidR="00DB0919" w:rsidRPr="00451BDA" w:rsidRDefault="00DB0919" w:rsidP="007724B8">
            <w:pPr>
              <w:pStyle w:val="TableParagraph"/>
              <w:ind w:left="118"/>
            </w:pPr>
            <w:r w:rsidRPr="00451BDA">
              <w:rPr>
                <w:w w:val="99"/>
              </w:rPr>
              <w:t>-</w:t>
            </w:r>
          </w:p>
        </w:tc>
        <w:tc>
          <w:tcPr>
            <w:tcW w:w="894" w:type="dxa"/>
          </w:tcPr>
          <w:p w14:paraId="271B58DA" w14:textId="77777777" w:rsidR="00DB0919" w:rsidRPr="00451BDA" w:rsidRDefault="00DB0919" w:rsidP="007724B8">
            <w:pPr>
              <w:pStyle w:val="TableParagraph"/>
              <w:ind w:left="110"/>
            </w:pPr>
            <w:r w:rsidRPr="00451BDA">
              <w:rPr>
                <w:w w:val="99"/>
              </w:rPr>
              <w:t>-</w:t>
            </w:r>
          </w:p>
        </w:tc>
      </w:tr>
      <w:tr w:rsidR="00DB0919" w:rsidRPr="00451BDA" w14:paraId="06D2979B" w14:textId="77777777" w:rsidTr="007724B8">
        <w:trPr>
          <w:trHeight w:val="230"/>
        </w:trPr>
        <w:tc>
          <w:tcPr>
            <w:tcW w:w="580" w:type="dxa"/>
          </w:tcPr>
          <w:p w14:paraId="44CEE198" w14:textId="77777777" w:rsidR="00DB0919" w:rsidRPr="00451BDA" w:rsidRDefault="00DB0919" w:rsidP="007724B8">
            <w:pPr>
              <w:pStyle w:val="TableParagraph"/>
              <w:ind w:left="116"/>
            </w:pPr>
            <w:r w:rsidRPr="00451BDA">
              <w:rPr>
                <w:w w:val="99"/>
              </w:rPr>
              <w:t>3</w:t>
            </w:r>
          </w:p>
        </w:tc>
        <w:tc>
          <w:tcPr>
            <w:tcW w:w="5965" w:type="dxa"/>
          </w:tcPr>
          <w:p w14:paraId="4FB15A89" w14:textId="77777777" w:rsidR="00DB0919" w:rsidRPr="00451BDA" w:rsidRDefault="00DB0919" w:rsidP="007724B8">
            <w:pPr>
              <w:pStyle w:val="TableParagraph"/>
            </w:pPr>
            <w:r w:rsidRPr="00451BDA">
              <w:t>To</w:t>
            </w:r>
            <w:r w:rsidRPr="00451BDA">
              <w:rPr>
                <w:spacing w:val="-1"/>
              </w:rPr>
              <w:t xml:space="preserve"> </w:t>
            </w:r>
            <w:r w:rsidRPr="00451BDA">
              <w:t>obtain</w:t>
            </w:r>
            <w:r w:rsidRPr="00451BDA">
              <w:rPr>
                <w:spacing w:val="-1"/>
              </w:rPr>
              <w:t xml:space="preserve"> </w:t>
            </w:r>
            <w:r w:rsidRPr="00451BDA">
              <w:t>labor</w:t>
            </w:r>
            <w:r w:rsidRPr="00451BDA">
              <w:rPr>
                <w:spacing w:val="-4"/>
              </w:rPr>
              <w:t xml:space="preserve"> </w:t>
            </w:r>
            <w:r w:rsidRPr="00451BDA">
              <w:t>market</w:t>
            </w:r>
            <w:r w:rsidRPr="00451BDA">
              <w:rPr>
                <w:spacing w:val="2"/>
              </w:rPr>
              <w:t xml:space="preserve"> </w:t>
            </w:r>
            <w:r w:rsidRPr="00451BDA">
              <w:t>information</w:t>
            </w:r>
          </w:p>
        </w:tc>
        <w:tc>
          <w:tcPr>
            <w:tcW w:w="936" w:type="dxa"/>
          </w:tcPr>
          <w:p w14:paraId="61EB1D33" w14:textId="77777777" w:rsidR="00DB0919" w:rsidRPr="00451BDA" w:rsidRDefault="00DB0919" w:rsidP="007724B8">
            <w:pPr>
              <w:pStyle w:val="TableParagraph"/>
              <w:ind w:left="134"/>
            </w:pPr>
            <w:r w:rsidRPr="00451BDA">
              <w:t>0.81</w:t>
            </w:r>
          </w:p>
        </w:tc>
        <w:tc>
          <w:tcPr>
            <w:tcW w:w="898" w:type="dxa"/>
          </w:tcPr>
          <w:p w14:paraId="13CC08CB" w14:textId="77777777" w:rsidR="00DB0919" w:rsidRPr="00451BDA" w:rsidRDefault="00DB0919" w:rsidP="007724B8">
            <w:pPr>
              <w:pStyle w:val="TableParagraph"/>
              <w:ind w:left="118"/>
            </w:pPr>
            <w:r w:rsidRPr="00451BDA">
              <w:rPr>
                <w:w w:val="99"/>
              </w:rPr>
              <w:t>-</w:t>
            </w:r>
          </w:p>
        </w:tc>
        <w:tc>
          <w:tcPr>
            <w:tcW w:w="894" w:type="dxa"/>
          </w:tcPr>
          <w:p w14:paraId="157A105E" w14:textId="77777777" w:rsidR="00DB0919" w:rsidRPr="00451BDA" w:rsidRDefault="00DB0919" w:rsidP="007724B8">
            <w:pPr>
              <w:pStyle w:val="TableParagraph"/>
              <w:ind w:left="110"/>
            </w:pPr>
            <w:r w:rsidRPr="00451BDA">
              <w:rPr>
                <w:w w:val="99"/>
              </w:rPr>
              <w:t>-</w:t>
            </w:r>
          </w:p>
        </w:tc>
      </w:tr>
      <w:tr w:rsidR="00DB0919" w:rsidRPr="00451BDA" w14:paraId="4825C4B3" w14:textId="77777777" w:rsidTr="007724B8">
        <w:trPr>
          <w:trHeight w:val="230"/>
        </w:trPr>
        <w:tc>
          <w:tcPr>
            <w:tcW w:w="580" w:type="dxa"/>
          </w:tcPr>
          <w:p w14:paraId="580EC44A" w14:textId="77777777" w:rsidR="00DB0919" w:rsidRPr="00451BDA" w:rsidRDefault="00DB0919" w:rsidP="007724B8">
            <w:pPr>
              <w:pStyle w:val="TableParagraph"/>
              <w:ind w:left="116"/>
            </w:pPr>
            <w:r w:rsidRPr="00451BDA">
              <w:rPr>
                <w:w w:val="99"/>
              </w:rPr>
              <w:t>4</w:t>
            </w:r>
          </w:p>
        </w:tc>
        <w:tc>
          <w:tcPr>
            <w:tcW w:w="5965" w:type="dxa"/>
          </w:tcPr>
          <w:p w14:paraId="498D2073" w14:textId="77777777" w:rsidR="00DB0919" w:rsidRPr="00451BDA" w:rsidRDefault="00DB0919" w:rsidP="007724B8">
            <w:pPr>
              <w:pStyle w:val="TableParagraph"/>
            </w:pPr>
            <w:r w:rsidRPr="00451BDA">
              <w:t>To</w:t>
            </w:r>
            <w:r w:rsidRPr="00451BDA">
              <w:rPr>
                <w:spacing w:val="-1"/>
              </w:rPr>
              <w:t xml:space="preserve"> </w:t>
            </w:r>
            <w:r w:rsidRPr="00451BDA">
              <w:t>develop</w:t>
            </w:r>
            <w:r w:rsidRPr="00451BDA">
              <w:rPr>
                <w:spacing w:val="-1"/>
              </w:rPr>
              <w:t xml:space="preserve"> </w:t>
            </w:r>
            <w:r w:rsidRPr="00451BDA">
              <w:t>one</w:t>
            </w:r>
            <w:r w:rsidRPr="00451BDA">
              <w:rPr>
                <w:spacing w:val="-2"/>
              </w:rPr>
              <w:t xml:space="preserve"> </w:t>
            </w:r>
            <w:r w:rsidRPr="00451BDA">
              <w:t>or</w:t>
            </w:r>
            <w:r w:rsidRPr="00451BDA">
              <w:rPr>
                <w:spacing w:val="-4"/>
              </w:rPr>
              <w:t xml:space="preserve"> </w:t>
            </w:r>
            <w:r w:rsidRPr="00451BDA">
              <w:t>more</w:t>
            </w:r>
            <w:r w:rsidRPr="00451BDA">
              <w:rPr>
                <w:spacing w:val="-1"/>
              </w:rPr>
              <w:t xml:space="preserve"> </w:t>
            </w:r>
            <w:r w:rsidRPr="00451BDA">
              <w:t>employability</w:t>
            </w:r>
            <w:r w:rsidRPr="00451BDA">
              <w:rPr>
                <w:spacing w:val="-1"/>
              </w:rPr>
              <w:t xml:space="preserve"> </w:t>
            </w:r>
            <w:r w:rsidRPr="00451BDA">
              <w:t>skills</w:t>
            </w:r>
          </w:p>
        </w:tc>
        <w:tc>
          <w:tcPr>
            <w:tcW w:w="936" w:type="dxa"/>
          </w:tcPr>
          <w:p w14:paraId="4622C640" w14:textId="77777777" w:rsidR="00DB0919" w:rsidRPr="00451BDA" w:rsidRDefault="00DB0919" w:rsidP="007724B8">
            <w:pPr>
              <w:pStyle w:val="TableParagraph"/>
              <w:ind w:left="134"/>
            </w:pPr>
            <w:r w:rsidRPr="00451BDA">
              <w:t>0.45</w:t>
            </w:r>
          </w:p>
        </w:tc>
        <w:tc>
          <w:tcPr>
            <w:tcW w:w="898" w:type="dxa"/>
          </w:tcPr>
          <w:p w14:paraId="3F1C635C" w14:textId="77777777" w:rsidR="00DB0919" w:rsidRPr="00451BDA" w:rsidRDefault="00DB0919" w:rsidP="007724B8">
            <w:pPr>
              <w:pStyle w:val="TableParagraph"/>
              <w:ind w:left="118"/>
            </w:pPr>
            <w:r w:rsidRPr="00451BDA">
              <w:t>0.56</w:t>
            </w:r>
          </w:p>
        </w:tc>
        <w:tc>
          <w:tcPr>
            <w:tcW w:w="894" w:type="dxa"/>
          </w:tcPr>
          <w:p w14:paraId="3F1C9FA8" w14:textId="77777777" w:rsidR="00DB0919" w:rsidRPr="00451BDA" w:rsidRDefault="00DB0919" w:rsidP="007724B8">
            <w:pPr>
              <w:pStyle w:val="TableParagraph"/>
              <w:ind w:left="110"/>
            </w:pPr>
            <w:r w:rsidRPr="00451BDA">
              <w:rPr>
                <w:w w:val="99"/>
              </w:rPr>
              <w:t>-</w:t>
            </w:r>
          </w:p>
        </w:tc>
      </w:tr>
      <w:tr w:rsidR="00DB0919" w:rsidRPr="00451BDA" w14:paraId="53CC245D" w14:textId="77777777" w:rsidTr="007724B8">
        <w:trPr>
          <w:trHeight w:val="229"/>
        </w:trPr>
        <w:tc>
          <w:tcPr>
            <w:tcW w:w="580" w:type="dxa"/>
          </w:tcPr>
          <w:p w14:paraId="6BF7EA9B" w14:textId="77777777" w:rsidR="00DB0919" w:rsidRPr="00451BDA" w:rsidRDefault="00DB0919" w:rsidP="007724B8">
            <w:pPr>
              <w:pStyle w:val="TableParagraph"/>
              <w:spacing w:line="209" w:lineRule="exact"/>
              <w:ind w:left="116"/>
            </w:pPr>
            <w:r w:rsidRPr="00451BDA">
              <w:rPr>
                <w:w w:val="99"/>
              </w:rPr>
              <w:t>5</w:t>
            </w:r>
          </w:p>
        </w:tc>
        <w:tc>
          <w:tcPr>
            <w:tcW w:w="5965" w:type="dxa"/>
          </w:tcPr>
          <w:p w14:paraId="20F02583" w14:textId="77777777" w:rsidR="00DB0919" w:rsidRPr="00451BDA" w:rsidRDefault="00DB0919" w:rsidP="007724B8">
            <w:pPr>
              <w:pStyle w:val="TableParagraph"/>
              <w:spacing w:line="209" w:lineRule="exact"/>
            </w:pPr>
            <w:r w:rsidRPr="00451BDA">
              <w:t>To</w:t>
            </w:r>
            <w:r w:rsidRPr="00451BDA">
              <w:rPr>
                <w:spacing w:val="-2"/>
              </w:rPr>
              <w:t xml:space="preserve"> </w:t>
            </w:r>
            <w:r w:rsidRPr="00451BDA">
              <w:t>develop</w:t>
            </w:r>
            <w:r w:rsidRPr="00451BDA">
              <w:rPr>
                <w:spacing w:val="-1"/>
              </w:rPr>
              <w:t xml:space="preserve"> </w:t>
            </w:r>
            <w:r w:rsidRPr="00451BDA">
              <w:t>enterprise</w:t>
            </w:r>
            <w:r w:rsidRPr="00451BDA">
              <w:rPr>
                <w:spacing w:val="-2"/>
              </w:rPr>
              <w:t xml:space="preserve"> </w:t>
            </w:r>
            <w:r w:rsidRPr="00451BDA">
              <w:t>and</w:t>
            </w:r>
            <w:r w:rsidRPr="00451BDA">
              <w:rPr>
                <w:spacing w:val="-2"/>
              </w:rPr>
              <w:t xml:space="preserve"> </w:t>
            </w:r>
            <w:r w:rsidRPr="00451BDA">
              <w:t>entrepreneur</w:t>
            </w:r>
            <w:r w:rsidRPr="00451BDA">
              <w:rPr>
                <w:spacing w:val="-2"/>
              </w:rPr>
              <w:t xml:space="preserve"> </w:t>
            </w:r>
            <w:r w:rsidRPr="00451BDA">
              <w:t>skills</w:t>
            </w:r>
          </w:p>
        </w:tc>
        <w:tc>
          <w:tcPr>
            <w:tcW w:w="936" w:type="dxa"/>
          </w:tcPr>
          <w:p w14:paraId="37DBC6F7" w14:textId="77777777" w:rsidR="00DB0919" w:rsidRPr="00451BDA" w:rsidRDefault="00DB0919" w:rsidP="007724B8">
            <w:pPr>
              <w:pStyle w:val="TableParagraph"/>
              <w:spacing w:line="209" w:lineRule="exact"/>
              <w:ind w:left="134"/>
            </w:pPr>
            <w:r w:rsidRPr="00451BDA">
              <w:t>0.54</w:t>
            </w:r>
          </w:p>
        </w:tc>
        <w:tc>
          <w:tcPr>
            <w:tcW w:w="898" w:type="dxa"/>
          </w:tcPr>
          <w:p w14:paraId="056CCA4D" w14:textId="77777777" w:rsidR="00DB0919" w:rsidRPr="00451BDA" w:rsidRDefault="00DB0919" w:rsidP="007724B8">
            <w:pPr>
              <w:pStyle w:val="TableParagraph"/>
              <w:spacing w:line="209" w:lineRule="exact"/>
              <w:ind w:left="118"/>
            </w:pPr>
            <w:r w:rsidRPr="00451BDA">
              <w:rPr>
                <w:w w:val="99"/>
              </w:rPr>
              <w:t>-</w:t>
            </w:r>
          </w:p>
        </w:tc>
        <w:tc>
          <w:tcPr>
            <w:tcW w:w="894" w:type="dxa"/>
          </w:tcPr>
          <w:p w14:paraId="399993E9" w14:textId="77777777" w:rsidR="00DB0919" w:rsidRPr="00451BDA" w:rsidRDefault="00DB0919" w:rsidP="007724B8">
            <w:pPr>
              <w:pStyle w:val="TableParagraph"/>
              <w:spacing w:line="209" w:lineRule="exact"/>
              <w:ind w:left="110"/>
            </w:pPr>
            <w:r w:rsidRPr="00451BDA">
              <w:rPr>
                <w:w w:val="99"/>
              </w:rPr>
              <w:t>-</w:t>
            </w:r>
          </w:p>
        </w:tc>
      </w:tr>
      <w:tr w:rsidR="00DB0919" w:rsidRPr="00451BDA" w14:paraId="78D0B8AE" w14:textId="77777777" w:rsidTr="007724B8">
        <w:trPr>
          <w:trHeight w:val="229"/>
        </w:trPr>
        <w:tc>
          <w:tcPr>
            <w:tcW w:w="580" w:type="dxa"/>
          </w:tcPr>
          <w:p w14:paraId="599BF201" w14:textId="77777777" w:rsidR="00DB0919" w:rsidRPr="00451BDA" w:rsidRDefault="00DB0919" w:rsidP="007724B8">
            <w:pPr>
              <w:pStyle w:val="TableParagraph"/>
              <w:spacing w:line="209" w:lineRule="exact"/>
              <w:ind w:left="116"/>
            </w:pPr>
            <w:r w:rsidRPr="00451BDA">
              <w:rPr>
                <w:w w:val="99"/>
              </w:rPr>
              <w:t>6</w:t>
            </w:r>
          </w:p>
        </w:tc>
        <w:tc>
          <w:tcPr>
            <w:tcW w:w="5965" w:type="dxa"/>
          </w:tcPr>
          <w:p w14:paraId="4E9FF19F" w14:textId="77777777" w:rsidR="00DB0919" w:rsidRPr="00451BDA" w:rsidRDefault="00DB0919" w:rsidP="007724B8">
            <w:pPr>
              <w:pStyle w:val="TableParagraph"/>
              <w:spacing w:line="209" w:lineRule="exact"/>
            </w:pPr>
            <w:r w:rsidRPr="00451BDA">
              <w:t>To</w:t>
            </w:r>
            <w:r w:rsidRPr="00451BDA">
              <w:rPr>
                <w:spacing w:val="-1"/>
              </w:rPr>
              <w:t xml:space="preserve"> </w:t>
            </w:r>
            <w:r w:rsidRPr="00451BDA">
              <w:t>interact</w:t>
            </w:r>
            <w:r w:rsidRPr="00451BDA">
              <w:rPr>
                <w:spacing w:val="-2"/>
              </w:rPr>
              <w:t xml:space="preserve"> </w:t>
            </w:r>
            <w:r w:rsidRPr="00451BDA">
              <w:t>with</w:t>
            </w:r>
            <w:r w:rsidRPr="00451BDA">
              <w:rPr>
                <w:spacing w:val="-2"/>
              </w:rPr>
              <w:t xml:space="preserve"> </w:t>
            </w:r>
            <w:r w:rsidRPr="00451BDA">
              <w:t>alumni</w:t>
            </w:r>
            <w:r w:rsidRPr="00451BDA">
              <w:rPr>
                <w:spacing w:val="-2"/>
              </w:rPr>
              <w:t xml:space="preserve"> </w:t>
            </w:r>
            <w:r w:rsidRPr="00451BDA">
              <w:t>who are</w:t>
            </w:r>
            <w:r w:rsidRPr="00451BDA">
              <w:rPr>
                <w:spacing w:val="-2"/>
              </w:rPr>
              <w:t xml:space="preserve"> </w:t>
            </w:r>
            <w:r w:rsidRPr="00451BDA">
              <w:t>in jobs</w:t>
            </w:r>
          </w:p>
        </w:tc>
        <w:tc>
          <w:tcPr>
            <w:tcW w:w="936" w:type="dxa"/>
          </w:tcPr>
          <w:p w14:paraId="690531C2" w14:textId="77777777" w:rsidR="00DB0919" w:rsidRPr="00451BDA" w:rsidRDefault="00DB0919" w:rsidP="007724B8">
            <w:pPr>
              <w:pStyle w:val="TableParagraph"/>
              <w:spacing w:line="240" w:lineRule="auto"/>
              <w:ind w:left="0"/>
            </w:pPr>
          </w:p>
        </w:tc>
        <w:tc>
          <w:tcPr>
            <w:tcW w:w="898" w:type="dxa"/>
          </w:tcPr>
          <w:p w14:paraId="0752C6E2" w14:textId="77777777" w:rsidR="00DB0919" w:rsidRPr="00451BDA" w:rsidRDefault="00DB0919" w:rsidP="007724B8">
            <w:pPr>
              <w:pStyle w:val="TableParagraph"/>
              <w:spacing w:line="209" w:lineRule="exact"/>
              <w:ind w:left="118"/>
            </w:pPr>
            <w:r w:rsidRPr="00451BDA">
              <w:rPr>
                <w:w w:val="99"/>
              </w:rPr>
              <w:t>-</w:t>
            </w:r>
          </w:p>
        </w:tc>
        <w:tc>
          <w:tcPr>
            <w:tcW w:w="894" w:type="dxa"/>
          </w:tcPr>
          <w:p w14:paraId="0DA472B1" w14:textId="77777777" w:rsidR="00DB0919" w:rsidRPr="00451BDA" w:rsidRDefault="00DB0919" w:rsidP="007724B8">
            <w:pPr>
              <w:pStyle w:val="TableParagraph"/>
              <w:spacing w:line="209" w:lineRule="exact"/>
              <w:ind w:left="110"/>
            </w:pPr>
            <w:r w:rsidRPr="00451BDA">
              <w:rPr>
                <w:w w:val="99"/>
              </w:rPr>
              <w:t>-</w:t>
            </w:r>
          </w:p>
        </w:tc>
      </w:tr>
      <w:tr w:rsidR="00DB0919" w:rsidRPr="00451BDA" w14:paraId="0880E5C2" w14:textId="77777777" w:rsidTr="007724B8">
        <w:trPr>
          <w:trHeight w:val="461"/>
        </w:trPr>
        <w:tc>
          <w:tcPr>
            <w:tcW w:w="580" w:type="dxa"/>
          </w:tcPr>
          <w:p w14:paraId="7A49D6E1" w14:textId="77777777" w:rsidR="00DB0919" w:rsidRPr="00451BDA" w:rsidRDefault="00DB0919" w:rsidP="007724B8">
            <w:pPr>
              <w:pStyle w:val="TableParagraph"/>
              <w:spacing w:line="226" w:lineRule="exact"/>
              <w:ind w:left="116"/>
            </w:pPr>
            <w:r w:rsidRPr="00451BDA">
              <w:rPr>
                <w:w w:val="99"/>
              </w:rPr>
              <w:t>7</w:t>
            </w:r>
          </w:p>
        </w:tc>
        <w:tc>
          <w:tcPr>
            <w:tcW w:w="5965" w:type="dxa"/>
          </w:tcPr>
          <w:p w14:paraId="7DC576B0" w14:textId="77777777" w:rsidR="00DB0919" w:rsidRPr="00451BDA" w:rsidRDefault="00DB0919" w:rsidP="007724B8">
            <w:pPr>
              <w:pStyle w:val="TableParagraph"/>
              <w:spacing w:line="226" w:lineRule="exact"/>
            </w:pPr>
            <w:r w:rsidRPr="00451BDA">
              <w:t>To</w:t>
            </w:r>
            <w:r w:rsidRPr="00451BDA">
              <w:rPr>
                <w:spacing w:val="-1"/>
              </w:rPr>
              <w:t xml:space="preserve"> </w:t>
            </w:r>
            <w:r w:rsidRPr="00451BDA">
              <w:t>explore</w:t>
            </w:r>
            <w:r w:rsidRPr="00451BDA">
              <w:rPr>
                <w:spacing w:val="-2"/>
              </w:rPr>
              <w:t xml:space="preserve"> </w:t>
            </w:r>
            <w:r w:rsidRPr="00451BDA">
              <w:t>options</w:t>
            </w:r>
            <w:r w:rsidRPr="00451BDA">
              <w:rPr>
                <w:spacing w:val="-3"/>
              </w:rPr>
              <w:t xml:space="preserve"> </w:t>
            </w:r>
            <w:r w:rsidRPr="00451BDA">
              <w:t>for</w:t>
            </w:r>
            <w:r w:rsidRPr="00451BDA">
              <w:rPr>
                <w:spacing w:val="-3"/>
              </w:rPr>
              <w:t xml:space="preserve"> </w:t>
            </w:r>
            <w:r w:rsidRPr="00451BDA">
              <w:t>post-graduate</w:t>
            </w:r>
            <w:r w:rsidRPr="00451BDA">
              <w:rPr>
                <w:spacing w:val="-2"/>
              </w:rPr>
              <w:t xml:space="preserve"> </w:t>
            </w:r>
            <w:r w:rsidRPr="00451BDA">
              <w:t>education</w:t>
            </w:r>
            <w:r w:rsidRPr="00451BDA">
              <w:rPr>
                <w:spacing w:val="-1"/>
              </w:rPr>
              <w:t xml:space="preserve"> </w:t>
            </w:r>
            <w:r w:rsidRPr="00451BDA">
              <w:t>leading to</w:t>
            </w:r>
            <w:r w:rsidRPr="00451BDA">
              <w:rPr>
                <w:spacing w:val="2"/>
              </w:rPr>
              <w:t xml:space="preserve"> </w:t>
            </w:r>
            <w:r w:rsidRPr="00451BDA">
              <w:t>career</w:t>
            </w:r>
          </w:p>
          <w:p w14:paraId="1B672F02" w14:textId="59170201" w:rsidR="00DB0919" w:rsidRPr="00451BDA" w:rsidRDefault="00F32384" w:rsidP="007724B8">
            <w:pPr>
              <w:pStyle w:val="TableParagraph"/>
              <w:spacing w:before="1" w:line="215" w:lineRule="exact"/>
            </w:pPr>
            <w:r>
              <w:t>c</w:t>
            </w:r>
            <w:r w:rsidR="00DB0919" w:rsidRPr="00451BDA">
              <w:t>hoice</w:t>
            </w:r>
          </w:p>
        </w:tc>
        <w:tc>
          <w:tcPr>
            <w:tcW w:w="936" w:type="dxa"/>
          </w:tcPr>
          <w:p w14:paraId="608316F2" w14:textId="77777777" w:rsidR="00DB0919" w:rsidRPr="00451BDA" w:rsidRDefault="00DB0919" w:rsidP="007724B8">
            <w:pPr>
              <w:pStyle w:val="TableParagraph"/>
              <w:spacing w:line="226" w:lineRule="exact"/>
              <w:ind w:left="134"/>
            </w:pPr>
            <w:r w:rsidRPr="00451BDA">
              <w:t>0.54</w:t>
            </w:r>
          </w:p>
        </w:tc>
        <w:tc>
          <w:tcPr>
            <w:tcW w:w="898" w:type="dxa"/>
          </w:tcPr>
          <w:p w14:paraId="20143D19" w14:textId="77777777" w:rsidR="00DB0919" w:rsidRPr="00451BDA" w:rsidRDefault="00DB0919" w:rsidP="007724B8">
            <w:pPr>
              <w:pStyle w:val="TableParagraph"/>
              <w:spacing w:line="226" w:lineRule="exact"/>
              <w:ind w:left="118"/>
            </w:pPr>
            <w:r w:rsidRPr="00451BDA">
              <w:rPr>
                <w:w w:val="99"/>
              </w:rPr>
              <w:t>-</w:t>
            </w:r>
          </w:p>
        </w:tc>
        <w:tc>
          <w:tcPr>
            <w:tcW w:w="894" w:type="dxa"/>
          </w:tcPr>
          <w:p w14:paraId="4378B33C" w14:textId="77777777" w:rsidR="00DB0919" w:rsidRPr="00451BDA" w:rsidRDefault="00DB0919" w:rsidP="007724B8">
            <w:pPr>
              <w:pStyle w:val="TableParagraph"/>
              <w:spacing w:line="226" w:lineRule="exact"/>
              <w:ind w:left="110"/>
            </w:pPr>
            <w:r w:rsidRPr="00451BDA">
              <w:rPr>
                <w:w w:val="99"/>
              </w:rPr>
              <w:t>-</w:t>
            </w:r>
          </w:p>
        </w:tc>
      </w:tr>
      <w:tr w:rsidR="00DB0919" w:rsidRPr="00451BDA" w14:paraId="70AF84D6" w14:textId="77777777" w:rsidTr="007724B8">
        <w:trPr>
          <w:trHeight w:val="230"/>
        </w:trPr>
        <w:tc>
          <w:tcPr>
            <w:tcW w:w="580" w:type="dxa"/>
          </w:tcPr>
          <w:p w14:paraId="53FAF89A" w14:textId="77777777" w:rsidR="00DB0919" w:rsidRPr="00451BDA" w:rsidRDefault="00DB0919" w:rsidP="007724B8">
            <w:pPr>
              <w:pStyle w:val="TableParagraph"/>
              <w:ind w:left="116"/>
            </w:pPr>
            <w:r w:rsidRPr="00451BDA">
              <w:rPr>
                <w:w w:val="99"/>
              </w:rPr>
              <w:t>8</w:t>
            </w:r>
          </w:p>
        </w:tc>
        <w:tc>
          <w:tcPr>
            <w:tcW w:w="5965" w:type="dxa"/>
          </w:tcPr>
          <w:p w14:paraId="5E1FFD77" w14:textId="77777777" w:rsidR="00DB0919" w:rsidRPr="00451BDA" w:rsidRDefault="00DB0919" w:rsidP="007724B8">
            <w:pPr>
              <w:pStyle w:val="TableParagraph"/>
            </w:pPr>
            <w:r w:rsidRPr="00451BDA">
              <w:t>To</w:t>
            </w:r>
            <w:r w:rsidRPr="00451BDA">
              <w:rPr>
                <w:spacing w:val="-1"/>
              </w:rPr>
              <w:t xml:space="preserve"> </w:t>
            </w:r>
            <w:r w:rsidRPr="00451BDA">
              <w:t>develop</w:t>
            </w:r>
            <w:r w:rsidRPr="00451BDA">
              <w:rPr>
                <w:spacing w:val="-1"/>
              </w:rPr>
              <w:t xml:space="preserve"> </w:t>
            </w:r>
            <w:r w:rsidRPr="00451BDA">
              <w:t>effective</w:t>
            </w:r>
            <w:r w:rsidRPr="00451BDA">
              <w:rPr>
                <w:spacing w:val="-3"/>
              </w:rPr>
              <w:t xml:space="preserve"> </w:t>
            </w:r>
            <w:r w:rsidRPr="00451BDA">
              <w:t>knowledge</w:t>
            </w:r>
            <w:r w:rsidRPr="00451BDA">
              <w:rPr>
                <w:spacing w:val="-2"/>
              </w:rPr>
              <w:t xml:space="preserve"> </w:t>
            </w:r>
            <w:r w:rsidRPr="00451BDA">
              <w:t>in their</w:t>
            </w:r>
            <w:r w:rsidRPr="00451BDA">
              <w:rPr>
                <w:spacing w:val="-4"/>
              </w:rPr>
              <w:t xml:space="preserve"> </w:t>
            </w:r>
            <w:r w:rsidRPr="00451BDA">
              <w:t>field</w:t>
            </w:r>
            <w:r w:rsidRPr="00451BDA">
              <w:rPr>
                <w:spacing w:val="-1"/>
              </w:rPr>
              <w:t xml:space="preserve"> </w:t>
            </w:r>
            <w:r w:rsidRPr="00451BDA">
              <w:t>of</w:t>
            </w:r>
            <w:r w:rsidRPr="00451BDA">
              <w:rPr>
                <w:spacing w:val="-1"/>
              </w:rPr>
              <w:t xml:space="preserve"> </w:t>
            </w:r>
            <w:r w:rsidRPr="00451BDA">
              <w:t>study</w:t>
            </w:r>
          </w:p>
        </w:tc>
        <w:tc>
          <w:tcPr>
            <w:tcW w:w="936" w:type="dxa"/>
          </w:tcPr>
          <w:p w14:paraId="0C4BB00D" w14:textId="77777777" w:rsidR="00DB0919" w:rsidRPr="00451BDA" w:rsidRDefault="00DB0919" w:rsidP="007724B8">
            <w:pPr>
              <w:pStyle w:val="TableParagraph"/>
              <w:ind w:left="134"/>
            </w:pPr>
            <w:r w:rsidRPr="00451BDA">
              <w:t>0.32</w:t>
            </w:r>
          </w:p>
        </w:tc>
        <w:tc>
          <w:tcPr>
            <w:tcW w:w="898" w:type="dxa"/>
          </w:tcPr>
          <w:p w14:paraId="4EAD92D3" w14:textId="77777777" w:rsidR="00DB0919" w:rsidRPr="00451BDA" w:rsidRDefault="00DB0919" w:rsidP="007724B8">
            <w:pPr>
              <w:pStyle w:val="TableParagraph"/>
              <w:ind w:left="118"/>
            </w:pPr>
            <w:r w:rsidRPr="00451BDA">
              <w:t>0.78</w:t>
            </w:r>
          </w:p>
        </w:tc>
        <w:tc>
          <w:tcPr>
            <w:tcW w:w="894" w:type="dxa"/>
          </w:tcPr>
          <w:p w14:paraId="73E69A04" w14:textId="77777777" w:rsidR="00DB0919" w:rsidRPr="00451BDA" w:rsidRDefault="00DB0919" w:rsidP="007724B8">
            <w:pPr>
              <w:pStyle w:val="TableParagraph"/>
              <w:ind w:left="110"/>
            </w:pPr>
            <w:r w:rsidRPr="00451BDA">
              <w:rPr>
                <w:w w:val="99"/>
              </w:rPr>
              <w:t>-</w:t>
            </w:r>
          </w:p>
        </w:tc>
      </w:tr>
      <w:tr w:rsidR="00DB0919" w:rsidRPr="00451BDA" w14:paraId="02FB94D7" w14:textId="77777777" w:rsidTr="007724B8">
        <w:trPr>
          <w:trHeight w:val="229"/>
        </w:trPr>
        <w:tc>
          <w:tcPr>
            <w:tcW w:w="580" w:type="dxa"/>
          </w:tcPr>
          <w:p w14:paraId="1887E979" w14:textId="77777777" w:rsidR="00DB0919" w:rsidRPr="00451BDA" w:rsidRDefault="00DB0919" w:rsidP="007724B8">
            <w:pPr>
              <w:pStyle w:val="TableParagraph"/>
              <w:spacing w:line="209" w:lineRule="exact"/>
              <w:ind w:left="116"/>
            </w:pPr>
            <w:r w:rsidRPr="00451BDA">
              <w:rPr>
                <w:w w:val="99"/>
              </w:rPr>
              <w:t>9</w:t>
            </w:r>
          </w:p>
        </w:tc>
        <w:tc>
          <w:tcPr>
            <w:tcW w:w="5965" w:type="dxa"/>
          </w:tcPr>
          <w:p w14:paraId="311497CE" w14:textId="77777777" w:rsidR="00DB0919" w:rsidRPr="00451BDA" w:rsidRDefault="00DB0919" w:rsidP="007724B8">
            <w:pPr>
              <w:pStyle w:val="TableParagraph"/>
              <w:spacing w:line="209" w:lineRule="exact"/>
            </w:pPr>
            <w:r w:rsidRPr="00451BDA">
              <w:t>To</w:t>
            </w:r>
            <w:r w:rsidRPr="00451BDA">
              <w:rPr>
                <w:spacing w:val="-2"/>
              </w:rPr>
              <w:t xml:space="preserve"> </w:t>
            </w:r>
            <w:r w:rsidRPr="00451BDA">
              <w:t>develop</w:t>
            </w:r>
            <w:r w:rsidRPr="00451BDA">
              <w:rPr>
                <w:spacing w:val="-1"/>
              </w:rPr>
              <w:t xml:space="preserve"> </w:t>
            </w:r>
            <w:r w:rsidRPr="00451BDA">
              <w:t>effective</w:t>
            </w:r>
            <w:r w:rsidRPr="00451BDA">
              <w:rPr>
                <w:spacing w:val="-4"/>
              </w:rPr>
              <w:t xml:space="preserve"> </w:t>
            </w:r>
            <w:r w:rsidRPr="00451BDA">
              <w:t>communication</w:t>
            </w:r>
            <w:r w:rsidRPr="00451BDA">
              <w:rPr>
                <w:spacing w:val="-1"/>
              </w:rPr>
              <w:t xml:space="preserve"> </w:t>
            </w:r>
            <w:r w:rsidRPr="00451BDA">
              <w:t>skills</w:t>
            </w:r>
          </w:p>
        </w:tc>
        <w:tc>
          <w:tcPr>
            <w:tcW w:w="936" w:type="dxa"/>
          </w:tcPr>
          <w:p w14:paraId="7E10934C" w14:textId="77777777" w:rsidR="00DB0919" w:rsidRPr="00451BDA" w:rsidRDefault="00DB0919" w:rsidP="007724B8">
            <w:pPr>
              <w:pStyle w:val="TableParagraph"/>
              <w:spacing w:line="209" w:lineRule="exact"/>
              <w:ind w:left="134"/>
            </w:pPr>
            <w:r w:rsidRPr="00451BDA">
              <w:rPr>
                <w:w w:val="99"/>
              </w:rPr>
              <w:t>-</w:t>
            </w:r>
          </w:p>
        </w:tc>
        <w:tc>
          <w:tcPr>
            <w:tcW w:w="898" w:type="dxa"/>
          </w:tcPr>
          <w:p w14:paraId="5CEFC62A" w14:textId="77777777" w:rsidR="00DB0919" w:rsidRPr="00451BDA" w:rsidRDefault="00DB0919" w:rsidP="007724B8">
            <w:pPr>
              <w:pStyle w:val="TableParagraph"/>
              <w:spacing w:line="209" w:lineRule="exact"/>
              <w:ind w:left="118"/>
            </w:pPr>
            <w:r w:rsidRPr="00451BDA">
              <w:t>0.75</w:t>
            </w:r>
          </w:p>
        </w:tc>
        <w:tc>
          <w:tcPr>
            <w:tcW w:w="894" w:type="dxa"/>
          </w:tcPr>
          <w:p w14:paraId="75922753" w14:textId="77777777" w:rsidR="00DB0919" w:rsidRPr="00451BDA" w:rsidRDefault="00DB0919" w:rsidP="007724B8">
            <w:pPr>
              <w:pStyle w:val="TableParagraph"/>
              <w:spacing w:line="209" w:lineRule="exact"/>
              <w:ind w:left="110"/>
            </w:pPr>
            <w:r w:rsidRPr="00451BDA">
              <w:rPr>
                <w:w w:val="99"/>
              </w:rPr>
              <w:t>-</w:t>
            </w:r>
          </w:p>
        </w:tc>
      </w:tr>
      <w:tr w:rsidR="00DB0919" w:rsidRPr="00451BDA" w14:paraId="7CBC4827" w14:textId="77777777" w:rsidTr="007724B8">
        <w:trPr>
          <w:trHeight w:val="229"/>
        </w:trPr>
        <w:tc>
          <w:tcPr>
            <w:tcW w:w="580" w:type="dxa"/>
          </w:tcPr>
          <w:p w14:paraId="0889AEFC" w14:textId="77777777" w:rsidR="00DB0919" w:rsidRPr="00451BDA" w:rsidRDefault="00DB0919" w:rsidP="007724B8">
            <w:pPr>
              <w:pStyle w:val="TableParagraph"/>
              <w:spacing w:line="209" w:lineRule="exact"/>
              <w:ind w:left="116"/>
            </w:pPr>
            <w:r w:rsidRPr="00451BDA">
              <w:t>10</w:t>
            </w:r>
          </w:p>
        </w:tc>
        <w:tc>
          <w:tcPr>
            <w:tcW w:w="5965" w:type="dxa"/>
          </w:tcPr>
          <w:p w14:paraId="250AB9D7" w14:textId="77777777" w:rsidR="00DB0919" w:rsidRPr="00451BDA" w:rsidRDefault="00DB0919" w:rsidP="007724B8">
            <w:pPr>
              <w:pStyle w:val="TableParagraph"/>
              <w:spacing w:line="209" w:lineRule="exact"/>
            </w:pPr>
            <w:r w:rsidRPr="00451BDA">
              <w:t>To</w:t>
            </w:r>
            <w:r w:rsidRPr="00451BDA">
              <w:rPr>
                <w:spacing w:val="-1"/>
              </w:rPr>
              <w:t xml:space="preserve"> </w:t>
            </w:r>
            <w:r w:rsidRPr="00451BDA">
              <w:t>develop</w:t>
            </w:r>
            <w:r w:rsidRPr="00451BDA">
              <w:rPr>
                <w:spacing w:val="-1"/>
              </w:rPr>
              <w:t xml:space="preserve"> </w:t>
            </w:r>
            <w:r w:rsidRPr="00451BDA">
              <w:t>critical</w:t>
            </w:r>
            <w:r w:rsidRPr="00451BDA">
              <w:rPr>
                <w:spacing w:val="-1"/>
              </w:rPr>
              <w:t xml:space="preserve"> </w:t>
            </w:r>
            <w:r w:rsidRPr="00451BDA">
              <w:t>and</w:t>
            </w:r>
            <w:r w:rsidRPr="00451BDA">
              <w:rPr>
                <w:spacing w:val="-3"/>
              </w:rPr>
              <w:t xml:space="preserve"> </w:t>
            </w:r>
            <w:r w:rsidRPr="00451BDA">
              <w:t>analytical</w:t>
            </w:r>
            <w:r w:rsidRPr="00451BDA">
              <w:rPr>
                <w:spacing w:val="-2"/>
              </w:rPr>
              <w:t xml:space="preserve"> </w:t>
            </w:r>
            <w:r w:rsidRPr="00451BDA">
              <w:t>skills</w:t>
            </w:r>
          </w:p>
        </w:tc>
        <w:tc>
          <w:tcPr>
            <w:tcW w:w="936" w:type="dxa"/>
          </w:tcPr>
          <w:p w14:paraId="278831BB" w14:textId="77777777" w:rsidR="00DB0919" w:rsidRPr="00451BDA" w:rsidRDefault="00DB0919" w:rsidP="007724B8">
            <w:pPr>
              <w:pStyle w:val="TableParagraph"/>
              <w:spacing w:line="209" w:lineRule="exact"/>
              <w:ind w:left="134"/>
            </w:pPr>
            <w:r w:rsidRPr="00451BDA">
              <w:rPr>
                <w:w w:val="99"/>
              </w:rPr>
              <w:t>-</w:t>
            </w:r>
          </w:p>
        </w:tc>
        <w:tc>
          <w:tcPr>
            <w:tcW w:w="898" w:type="dxa"/>
          </w:tcPr>
          <w:p w14:paraId="2EE8AC36" w14:textId="77777777" w:rsidR="00DB0919" w:rsidRPr="00451BDA" w:rsidRDefault="00DB0919" w:rsidP="007724B8">
            <w:pPr>
              <w:pStyle w:val="TableParagraph"/>
              <w:spacing w:line="209" w:lineRule="exact"/>
              <w:ind w:left="118"/>
            </w:pPr>
            <w:r w:rsidRPr="00451BDA">
              <w:t>0.75</w:t>
            </w:r>
          </w:p>
        </w:tc>
        <w:tc>
          <w:tcPr>
            <w:tcW w:w="894" w:type="dxa"/>
          </w:tcPr>
          <w:p w14:paraId="2F236A93" w14:textId="77777777" w:rsidR="00DB0919" w:rsidRPr="00451BDA" w:rsidRDefault="00DB0919" w:rsidP="007724B8">
            <w:pPr>
              <w:pStyle w:val="TableParagraph"/>
              <w:spacing w:line="209" w:lineRule="exact"/>
              <w:ind w:left="110"/>
            </w:pPr>
            <w:r w:rsidRPr="00451BDA">
              <w:rPr>
                <w:w w:val="99"/>
              </w:rPr>
              <w:t>-</w:t>
            </w:r>
          </w:p>
        </w:tc>
      </w:tr>
      <w:tr w:rsidR="00DB0919" w:rsidRPr="00451BDA" w14:paraId="1E350485" w14:textId="77777777" w:rsidTr="007724B8">
        <w:trPr>
          <w:trHeight w:val="230"/>
        </w:trPr>
        <w:tc>
          <w:tcPr>
            <w:tcW w:w="580" w:type="dxa"/>
          </w:tcPr>
          <w:p w14:paraId="5E28F1F2" w14:textId="77777777" w:rsidR="00DB0919" w:rsidRPr="00451BDA" w:rsidRDefault="00DB0919" w:rsidP="007724B8">
            <w:pPr>
              <w:pStyle w:val="TableParagraph"/>
              <w:ind w:left="116"/>
            </w:pPr>
            <w:r w:rsidRPr="00451BDA">
              <w:t>11</w:t>
            </w:r>
          </w:p>
        </w:tc>
        <w:tc>
          <w:tcPr>
            <w:tcW w:w="5965" w:type="dxa"/>
          </w:tcPr>
          <w:p w14:paraId="63D6B730" w14:textId="77777777" w:rsidR="00DB0919" w:rsidRPr="00451BDA" w:rsidRDefault="00DB0919" w:rsidP="007724B8">
            <w:pPr>
              <w:pStyle w:val="TableParagraph"/>
            </w:pPr>
            <w:r w:rsidRPr="00451BDA">
              <w:t>To</w:t>
            </w:r>
            <w:r w:rsidRPr="00451BDA">
              <w:rPr>
                <w:spacing w:val="-1"/>
              </w:rPr>
              <w:t xml:space="preserve"> </w:t>
            </w:r>
            <w:r w:rsidRPr="00451BDA">
              <w:t>develop creative</w:t>
            </w:r>
            <w:r w:rsidRPr="00451BDA">
              <w:rPr>
                <w:spacing w:val="-1"/>
              </w:rPr>
              <w:t xml:space="preserve"> </w:t>
            </w:r>
            <w:r w:rsidRPr="00451BDA">
              <w:t>skills</w:t>
            </w:r>
          </w:p>
        </w:tc>
        <w:tc>
          <w:tcPr>
            <w:tcW w:w="936" w:type="dxa"/>
          </w:tcPr>
          <w:p w14:paraId="3F3EAA51" w14:textId="77777777" w:rsidR="00DB0919" w:rsidRPr="00451BDA" w:rsidRDefault="00DB0919" w:rsidP="007724B8">
            <w:pPr>
              <w:pStyle w:val="TableParagraph"/>
              <w:ind w:left="134"/>
            </w:pPr>
            <w:r w:rsidRPr="00451BDA">
              <w:rPr>
                <w:w w:val="99"/>
              </w:rPr>
              <w:t>-</w:t>
            </w:r>
          </w:p>
        </w:tc>
        <w:tc>
          <w:tcPr>
            <w:tcW w:w="898" w:type="dxa"/>
          </w:tcPr>
          <w:p w14:paraId="6218C542" w14:textId="77777777" w:rsidR="00DB0919" w:rsidRPr="00451BDA" w:rsidRDefault="00DB0919" w:rsidP="007724B8">
            <w:pPr>
              <w:pStyle w:val="TableParagraph"/>
              <w:ind w:left="118"/>
            </w:pPr>
            <w:r w:rsidRPr="00451BDA">
              <w:t>0.40</w:t>
            </w:r>
          </w:p>
        </w:tc>
        <w:tc>
          <w:tcPr>
            <w:tcW w:w="894" w:type="dxa"/>
          </w:tcPr>
          <w:p w14:paraId="6B545B07" w14:textId="77777777" w:rsidR="00DB0919" w:rsidRPr="00451BDA" w:rsidRDefault="00DB0919" w:rsidP="007724B8">
            <w:pPr>
              <w:pStyle w:val="TableParagraph"/>
              <w:ind w:left="110"/>
            </w:pPr>
            <w:r w:rsidRPr="00451BDA">
              <w:rPr>
                <w:w w:val="99"/>
              </w:rPr>
              <w:t>-</w:t>
            </w:r>
          </w:p>
        </w:tc>
      </w:tr>
      <w:tr w:rsidR="00DB0919" w:rsidRPr="00451BDA" w14:paraId="210E80ED" w14:textId="77777777" w:rsidTr="007724B8">
        <w:trPr>
          <w:trHeight w:val="230"/>
        </w:trPr>
        <w:tc>
          <w:tcPr>
            <w:tcW w:w="580" w:type="dxa"/>
          </w:tcPr>
          <w:p w14:paraId="72FB2839" w14:textId="77777777" w:rsidR="00DB0919" w:rsidRPr="00451BDA" w:rsidRDefault="00DB0919" w:rsidP="007724B8">
            <w:pPr>
              <w:pStyle w:val="TableParagraph"/>
              <w:ind w:left="116"/>
            </w:pPr>
            <w:r w:rsidRPr="00451BDA">
              <w:lastRenderedPageBreak/>
              <w:t>12</w:t>
            </w:r>
          </w:p>
        </w:tc>
        <w:tc>
          <w:tcPr>
            <w:tcW w:w="5965" w:type="dxa"/>
          </w:tcPr>
          <w:p w14:paraId="2842FE9B" w14:textId="77777777" w:rsidR="00DB0919" w:rsidRPr="00451BDA" w:rsidRDefault="00DB0919" w:rsidP="007724B8">
            <w:pPr>
              <w:pStyle w:val="TableParagraph"/>
            </w:pPr>
            <w:r w:rsidRPr="00451BDA">
              <w:t>To</w:t>
            </w:r>
            <w:r w:rsidRPr="00451BDA">
              <w:rPr>
                <w:spacing w:val="-1"/>
              </w:rPr>
              <w:t xml:space="preserve"> </w:t>
            </w:r>
            <w:r w:rsidRPr="00451BDA">
              <w:t>enter</w:t>
            </w:r>
            <w:r w:rsidRPr="00451BDA">
              <w:rPr>
                <w:spacing w:val="1"/>
              </w:rPr>
              <w:t xml:space="preserve"> </w:t>
            </w:r>
            <w:r w:rsidRPr="00451BDA">
              <w:t>a</w:t>
            </w:r>
            <w:r w:rsidRPr="00451BDA">
              <w:rPr>
                <w:spacing w:val="-2"/>
              </w:rPr>
              <w:t xml:space="preserve"> </w:t>
            </w:r>
            <w:r w:rsidRPr="00451BDA">
              <w:t>job sector</w:t>
            </w:r>
          </w:p>
        </w:tc>
        <w:tc>
          <w:tcPr>
            <w:tcW w:w="936" w:type="dxa"/>
          </w:tcPr>
          <w:p w14:paraId="2D2E495D" w14:textId="77777777" w:rsidR="00DB0919" w:rsidRPr="00451BDA" w:rsidRDefault="00DB0919" w:rsidP="007724B8">
            <w:pPr>
              <w:pStyle w:val="TableParagraph"/>
              <w:ind w:left="134"/>
            </w:pPr>
            <w:r w:rsidRPr="00451BDA">
              <w:t>0.63</w:t>
            </w:r>
          </w:p>
        </w:tc>
        <w:tc>
          <w:tcPr>
            <w:tcW w:w="898" w:type="dxa"/>
          </w:tcPr>
          <w:p w14:paraId="63C15272" w14:textId="77777777" w:rsidR="00DB0919" w:rsidRPr="00451BDA" w:rsidRDefault="00DB0919" w:rsidP="007724B8">
            <w:pPr>
              <w:pStyle w:val="TableParagraph"/>
              <w:ind w:left="118"/>
            </w:pPr>
            <w:r w:rsidRPr="00451BDA">
              <w:t>0.31</w:t>
            </w:r>
          </w:p>
        </w:tc>
        <w:tc>
          <w:tcPr>
            <w:tcW w:w="894" w:type="dxa"/>
          </w:tcPr>
          <w:p w14:paraId="0A84BB34" w14:textId="77777777" w:rsidR="00DB0919" w:rsidRPr="00451BDA" w:rsidRDefault="00DB0919" w:rsidP="007724B8">
            <w:pPr>
              <w:pStyle w:val="TableParagraph"/>
              <w:ind w:left="110"/>
            </w:pPr>
            <w:r w:rsidRPr="00451BDA">
              <w:rPr>
                <w:w w:val="99"/>
              </w:rPr>
              <w:t>-</w:t>
            </w:r>
          </w:p>
        </w:tc>
      </w:tr>
      <w:tr w:rsidR="00DB0919" w:rsidRPr="00451BDA" w14:paraId="47DA750C" w14:textId="77777777" w:rsidTr="007724B8">
        <w:trPr>
          <w:trHeight w:val="919"/>
        </w:trPr>
        <w:tc>
          <w:tcPr>
            <w:tcW w:w="580" w:type="dxa"/>
          </w:tcPr>
          <w:p w14:paraId="4474BF11" w14:textId="77777777" w:rsidR="00DB0919" w:rsidRPr="00451BDA" w:rsidRDefault="00DB0919" w:rsidP="007724B8">
            <w:pPr>
              <w:pStyle w:val="TableParagraph"/>
              <w:spacing w:line="226" w:lineRule="exact"/>
              <w:ind w:left="116"/>
            </w:pPr>
            <w:r w:rsidRPr="00451BDA">
              <w:t>13</w:t>
            </w:r>
          </w:p>
        </w:tc>
        <w:tc>
          <w:tcPr>
            <w:tcW w:w="5965" w:type="dxa"/>
          </w:tcPr>
          <w:p w14:paraId="4DD2C724" w14:textId="77777777" w:rsidR="00DB0919" w:rsidRPr="00451BDA" w:rsidRDefault="00DB0919" w:rsidP="007724B8">
            <w:pPr>
              <w:pStyle w:val="TableParagraph"/>
              <w:spacing w:line="240" w:lineRule="auto"/>
              <w:ind w:right="343"/>
            </w:pPr>
            <w:r w:rsidRPr="00451BDA">
              <w:t>To learn through fieldwork, industry-based projects, case studies,</w:t>
            </w:r>
            <w:r w:rsidRPr="00451BDA">
              <w:rPr>
                <w:spacing w:val="1"/>
              </w:rPr>
              <w:t xml:space="preserve"> </w:t>
            </w:r>
            <w:r w:rsidRPr="00451BDA">
              <w:t>simulations,</w:t>
            </w:r>
            <w:r w:rsidRPr="00451BDA">
              <w:rPr>
                <w:spacing w:val="-3"/>
              </w:rPr>
              <w:t xml:space="preserve"> </w:t>
            </w:r>
            <w:r w:rsidRPr="00451BDA">
              <w:t>virtual</w:t>
            </w:r>
            <w:r w:rsidRPr="00451BDA">
              <w:rPr>
                <w:spacing w:val="-3"/>
              </w:rPr>
              <w:t xml:space="preserve"> </w:t>
            </w:r>
            <w:r w:rsidRPr="00451BDA">
              <w:t>simulations,</w:t>
            </w:r>
            <w:r w:rsidRPr="00451BDA">
              <w:rPr>
                <w:spacing w:val="-3"/>
              </w:rPr>
              <w:t xml:space="preserve"> </w:t>
            </w:r>
            <w:r w:rsidRPr="00451BDA">
              <w:t>reflective</w:t>
            </w:r>
            <w:r w:rsidRPr="00451BDA">
              <w:rPr>
                <w:spacing w:val="-2"/>
              </w:rPr>
              <w:t xml:space="preserve"> </w:t>
            </w:r>
            <w:r w:rsidRPr="00451BDA">
              <w:t>journals,</w:t>
            </w:r>
            <w:r w:rsidRPr="00451BDA">
              <w:rPr>
                <w:spacing w:val="-3"/>
              </w:rPr>
              <w:t xml:space="preserve"> </w:t>
            </w:r>
            <w:r w:rsidRPr="00451BDA">
              <w:t>problem-based</w:t>
            </w:r>
          </w:p>
          <w:p w14:paraId="2A2E935C" w14:textId="77777777" w:rsidR="00DB0919" w:rsidRPr="00451BDA" w:rsidRDefault="00DB0919" w:rsidP="007724B8">
            <w:pPr>
              <w:pStyle w:val="TableParagraph"/>
              <w:spacing w:line="228" w:lineRule="exact"/>
              <w:ind w:right="1146"/>
            </w:pPr>
            <w:r w:rsidRPr="00451BDA">
              <w:t>learning, mentoring from industry partners, work-related</w:t>
            </w:r>
            <w:r w:rsidRPr="00451BDA">
              <w:rPr>
                <w:spacing w:val="-47"/>
              </w:rPr>
              <w:t xml:space="preserve"> </w:t>
            </w:r>
            <w:r w:rsidRPr="00451BDA">
              <w:t>presentations, role-plays,</w:t>
            </w:r>
            <w:r w:rsidRPr="00451BDA">
              <w:rPr>
                <w:spacing w:val="1"/>
              </w:rPr>
              <w:t xml:space="preserve"> </w:t>
            </w:r>
            <w:r w:rsidRPr="00451BDA">
              <w:t>and</w:t>
            </w:r>
            <w:r w:rsidRPr="00451BDA">
              <w:rPr>
                <w:spacing w:val="-1"/>
              </w:rPr>
              <w:t xml:space="preserve"> </w:t>
            </w:r>
            <w:r w:rsidRPr="00451BDA">
              <w:t>laboratories</w:t>
            </w:r>
          </w:p>
        </w:tc>
        <w:tc>
          <w:tcPr>
            <w:tcW w:w="936" w:type="dxa"/>
          </w:tcPr>
          <w:p w14:paraId="57D7FDBF" w14:textId="77777777" w:rsidR="00DB0919" w:rsidRPr="00451BDA" w:rsidRDefault="00DB0919" w:rsidP="007724B8">
            <w:pPr>
              <w:pStyle w:val="TableParagraph"/>
              <w:spacing w:line="226" w:lineRule="exact"/>
              <w:ind w:left="134"/>
            </w:pPr>
            <w:r w:rsidRPr="00451BDA">
              <w:t>0.56</w:t>
            </w:r>
          </w:p>
        </w:tc>
        <w:tc>
          <w:tcPr>
            <w:tcW w:w="898" w:type="dxa"/>
          </w:tcPr>
          <w:p w14:paraId="142E739D" w14:textId="77777777" w:rsidR="00DB0919" w:rsidRPr="00451BDA" w:rsidRDefault="00DB0919" w:rsidP="007724B8">
            <w:pPr>
              <w:pStyle w:val="TableParagraph"/>
              <w:spacing w:line="226" w:lineRule="exact"/>
              <w:ind w:left="118"/>
            </w:pPr>
            <w:r w:rsidRPr="00451BDA">
              <w:t>0.31</w:t>
            </w:r>
          </w:p>
        </w:tc>
        <w:tc>
          <w:tcPr>
            <w:tcW w:w="894" w:type="dxa"/>
          </w:tcPr>
          <w:p w14:paraId="5515FEBD" w14:textId="77777777" w:rsidR="00DB0919" w:rsidRPr="00451BDA" w:rsidRDefault="00DB0919" w:rsidP="007724B8">
            <w:pPr>
              <w:pStyle w:val="TableParagraph"/>
              <w:spacing w:line="226" w:lineRule="exact"/>
              <w:ind w:left="110"/>
            </w:pPr>
            <w:r w:rsidRPr="00451BDA">
              <w:rPr>
                <w:w w:val="99"/>
              </w:rPr>
              <w:t>-</w:t>
            </w:r>
          </w:p>
        </w:tc>
      </w:tr>
      <w:tr w:rsidR="00DB0919" w:rsidRPr="00451BDA" w14:paraId="0271BC00" w14:textId="77777777" w:rsidTr="007724B8">
        <w:trPr>
          <w:trHeight w:val="230"/>
        </w:trPr>
        <w:tc>
          <w:tcPr>
            <w:tcW w:w="580" w:type="dxa"/>
          </w:tcPr>
          <w:p w14:paraId="22C925C7" w14:textId="77777777" w:rsidR="00DB0919" w:rsidRPr="00451BDA" w:rsidRDefault="00DB0919" w:rsidP="007724B8">
            <w:pPr>
              <w:pStyle w:val="TableParagraph"/>
              <w:ind w:left="116"/>
            </w:pPr>
            <w:r w:rsidRPr="00451BDA">
              <w:t>14</w:t>
            </w:r>
          </w:p>
        </w:tc>
        <w:tc>
          <w:tcPr>
            <w:tcW w:w="5965" w:type="dxa"/>
          </w:tcPr>
          <w:p w14:paraId="19BB03A9" w14:textId="77777777" w:rsidR="00DB0919" w:rsidRPr="00451BDA" w:rsidRDefault="00DB0919" w:rsidP="007724B8">
            <w:pPr>
              <w:pStyle w:val="TableParagraph"/>
            </w:pPr>
            <w:r w:rsidRPr="00451BDA">
              <w:t>To</w:t>
            </w:r>
            <w:r w:rsidRPr="00451BDA">
              <w:rPr>
                <w:spacing w:val="-1"/>
              </w:rPr>
              <w:t xml:space="preserve"> </w:t>
            </w:r>
            <w:r w:rsidRPr="00451BDA">
              <w:t>develop</w:t>
            </w:r>
            <w:r w:rsidRPr="00451BDA">
              <w:rPr>
                <w:spacing w:val="-1"/>
              </w:rPr>
              <w:t xml:space="preserve"> </w:t>
            </w:r>
            <w:r w:rsidRPr="00451BDA">
              <w:t>strong teamwork</w:t>
            </w:r>
            <w:r w:rsidRPr="00451BDA">
              <w:rPr>
                <w:spacing w:val="-1"/>
              </w:rPr>
              <w:t xml:space="preserve"> </w:t>
            </w:r>
            <w:r w:rsidRPr="00451BDA">
              <w:t>skills</w:t>
            </w:r>
          </w:p>
        </w:tc>
        <w:tc>
          <w:tcPr>
            <w:tcW w:w="936" w:type="dxa"/>
          </w:tcPr>
          <w:p w14:paraId="36881EFF" w14:textId="77777777" w:rsidR="00DB0919" w:rsidRPr="00451BDA" w:rsidRDefault="00DB0919" w:rsidP="007724B8">
            <w:pPr>
              <w:pStyle w:val="TableParagraph"/>
              <w:ind w:left="134"/>
            </w:pPr>
            <w:r w:rsidRPr="00451BDA">
              <w:rPr>
                <w:w w:val="99"/>
              </w:rPr>
              <w:t>-</w:t>
            </w:r>
          </w:p>
        </w:tc>
        <w:tc>
          <w:tcPr>
            <w:tcW w:w="898" w:type="dxa"/>
          </w:tcPr>
          <w:p w14:paraId="1F19E3BF" w14:textId="77777777" w:rsidR="00DB0919" w:rsidRPr="00451BDA" w:rsidRDefault="00DB0919" w:rsidP="007724B8">
            <w:pPr>
              <w:pStyle w:val="TableParagraph"/>
              <w:ind w:left="118"/>
            </w:pPr>
            <w:r w:rsidRPr="00451BDA">
              <w:t>0.76</w:t>
            </w:r>
          </w:p>
        </w:tc>
        <w:tc>
          <w:tcPr>
            <w:tcW w:w="894" w:type="dxa"/>
          </w:tcPr>
          <w:p w14:paraId="3F42D853" w14:textId="77777777" w:rsidR="00DB0919" w:rsidRPr="00451BDA" w:rsidRDefault="00DB0919" w:rsidP="007724B8">
            <w:pPr>
              <w:pStyle w:val="TableParagraph"/>
              <w:ind w:left="110"/>
            </w:pPr>
            <w:r w:rsidRPr="00451BDA">
              <w:rPr>
                <w:w w:val="99"/>
              </w:rPr>
              <w:t>-</w:t>
            </w:r>
          </w:p>
        </w:tc>
      </w:tr>
      <w:tr w:rsidR="00DB0919" w:rsidRPr="00451BDA" w14:paraId="73D1E5D5" w14:textId="77777777" w:rsidTr="007724B8">
        <w:trPr>
          <w:trHeight w:val="230"/>
        </w:trPr>
        <w:tc>
          <w:tcPr>
            <w:tcW w:w="580" w:type="dxa"/>
          </w:tcPr>
          <w:p w14:paraId="6046094A" w14:textId="77777777" w:rsidR="00DB0919" w:rsidRPr="00451BDA" w:rsidRDefault="00DB0919" w:rsidP="007724B8">
            <w:pPr>
              <w:pStyle w:val="TableParagraph"/>
              <w:ind w:left="116"/>
            </w:pPr>
            <w:r w:rsidRPr="00451BDA">
              <w:t>15</w:t>
            </w:r>
          </w:p>
        </w:tc>
        <w:tc>
          <w:tcPr>
            <w:tcW w:w="5965" w:type="dxa"/>
          </w:tcPr>
          <w:p w14:paraId="79DF4C0D" w14:textId="77777777" w:rsidR="00DB0919" w:rsidRPr="00451BDA" w:rsidRDefault="00DB0919" w:rsidP="007724B8">
            <w:pPr>
              <w:pStyle w:val="TableParagraph"/>
            </w:pPr>
            <w:r w:rsidRPr="00451BDA">
              <w:t>To</w:t>
            </w:r>
            <w:r w:rsidRPr="00451BDA">
              <w:rPr>
                <w:spacing w:val="-1"/>
              </w:rPr>
              <w:t xml:space="preserve"> </w:t>
            </w:r>
            <w:r w:rsidRPr="00451BDA">
              <w:t>obtain</w:t>
            </w:r>
            <w:r w:rsidRPr="00451BDA">
              <w:rPr>
                <w:spacing w:val="-1"/>
              </w:rPr>
              <w:t xml:space="preserve"> </w:t>
            </w:r>
            <w:r w:rsidRPr="00451BDA">
              <w:t>labor</w:t>
            </w:r>
            <w:r w:rsidRPr="00451BDA">
              <w:rPr>
                <w:spacing w:val="-3"/>
              </w:rPr>
              <w:t xml:space="preserve"> </w:t>
            </w:r>
            <w:r w:rsidRPr="00451BDA">
              <w:t>market</w:t>
            </w:r>
            <w:r w:rsidRPr="00451BDA">
              <w:rPr>
                <w:spacing w:val="-2"/>
              </w:rPr>
              <w:t xml:space="preserve"> </w:t>
            </w:r>
            <w:r w:rsidRPr="00451BDA">
              <w:t>information</w:t>
            </w:r>
            <w:r w:rsidRPr="00451BDA">
              <w:rPr>
                <w:spacing w:val="-1"/>
              </w:rPr>
              <w:t xml:space="preserve"> </w:t>
            </w:r>
            <w:r w:rsidRPr="00451BDA">
              <w:t>from the</w:t>
            </w:r>
            <w:r w:rsidRPr="00451BDA">
              <w:rPr>
                <w:spacing w:val="-2"/>
              </w:rPr>
              <w:t xml:space="preserve"> </w:t>
            </w:r>
            <w:r w:rsidRPr="00451BDA">
              <w:t>lecturers/FMs</w:t>
            </w:r>
          </w:p>
        </w:tc>
        <w:tc>
          <w:tcPr>
            <w:tcW w:w="936" w:type="dxa"/>
          </w:tcPr>
          <w:p w14:paraId="06757C59" w14:textId="77777777" w:rsidR="00DB0919" w:rsidRPr="00451BDA" w:rsidRDefault="00DB0919" w:rsidP="007724B8">
            <w:pPr>
              <w:pStyle w:val="TableParagraph"/>
              <w:ind w:left="134"/>
            </w:pPr>
            <w:r w:rsidRPr="00451BDA">
              <w:t>0.66</w:t>
            </w:r>
          </w:p>
        </w:tc>
        <w:tc>
          <w:tcPr>
            <w:tcW w:w="898" w:type="dxa"/>
          </w:tcPr>
          <w:p w14:paraId="64300BEA" w14:textId="77777777" w:rsidR="00DB0919" w:rsidRPr="00451BDA" w:rsidRDefault="00DB0919" w:rsidP="007724B8">
            <w:pPr>
              <w:pStyle w:val="TableParagraph"/>
              <w:ind w:left="118"/>
            </w:pPr>
            <w:r w:rsidRPr="00451BDA">
              <w:rPr>
                <w:w w:val="99"/>
              </w:rPr>
              <w:t>-</w:t>
            </w:r>
          </w:p>
        </w:tc>
        <w:tc>
          <w:tcPr>
            <w:tcW w:w="894" w:type="dxa"/>
          </w:tcPr>
          <w:p w14:paraId="224608F2" w14:textId="77777777" w:rsidR="00DB0919" w:rsidRPr="00451BDA" w:rsidRDefault="00DB0919" w:rsidP="007724B8">
            <w:pPr>
              <w:pStyle w:val="TableParagraph"/>
              <w:ind w:left="110"/>
            </w:pPr>
            <w:r w:rsidRPr="00451BDA">
              <w:rPr>
                <w:w w:val="99"/>
              </w:rPr>
              <w:t>-</w:t>
            </w:r>
          </w:p>
        </w:tc>
      </w:tr>
      <w:tr w:rsidR="00DB0919" w:rsidRPr="00451BDA" w14:paraId="18C2862B" w14:textId="77777777" w:rsidTr="007724B8">
        <w:trPr>
          <w:trHeight w:val="230"/>
        </w:trPr>
        <w:tc>
          <w:tcPr>
            <w:tcW w:w="580" w:type="dxa"/>
          </w:tcPr>
          <w:p w14:paraId="566B05E0" w14:textId="77777777" w:rsidR="00DB0919" w:rsidRPr="00451BDA" w:rsidRDefault="00DB0919" w:rsidP="007724B8">
            <w:pPr>
              <w:pStyle w:val="TableParagraph"/>
              <w:ind w:left="116"/>
            </w:pPr>
            <w:r w:rsidRPr="00451BDA">
              <w:t>16</w:t>
            </w:r>
          </w:p>
        </w:tc>
        <w:tc>
          <w:tcPr>
            <w:tcW w:w="5965" w:type="dxa"/>
          </w:tcPr>
          <w:p w14:paraId="62CD58FC" w14:textId="77777777" w:rsidR="00DB0919" w:rsidRPr="00451BDA" w:rsidRDefault="00DB0919" w:rsidP="007724B8">
            <w:pPr>
              <w:pStyle w:val="TableParagraph"/>
            </w:pPr>
            <w:r w:rsidRPr="00451BDA">
              <w:t>To</w:t>
            </w:r>
            <w:r w:rsidRPr="00451BDA">
              <w:rPr>
                <w:spacing w:val="-1"/>
              </w:rPr>
              <w:t xml:space="preserve"> </w:t>
            </w:r>
            <w:r w:rsidRPr="00451BDA">
              <w:t>reflect</w:t>
            </w:r>
            <w:r w:rsidRPr="00451BDA">
              <w:rPr>
                <w:spacing w:val="-2"/>
              </w:rPr>
              <w:t xml:space="preserve"> </w:t>
            </w:r>
            <w:r w:rsidRPr="00451BDA">
              <w:t>on</w:t>
            </w:r>
            <w:r w:rsidRPr="00451BDA">
              <w:rPr>
                <w:spacing w:val="-1"/>
              </w:rPr>
              <w:t xml:space="preserve"> </w:t>
            </w:r>
            <w:r w:rsidRPr="00451BDA">
              <w:t>work</w:t>
            </w:r>
            <w:r w:rsidRPr="00451BDA">
              <w:rPr>
                <w:spacing w:val="-1"/>
              </w:rPr>
              <w:t xml:space="preserve"> </w:t>
            </w:r>
            <w:r w:rsidRPr="00451BDA">
              <w:t>experience</w:t>
            </w:r>
          </w:p>
        </w:tc>
        <w:tc>
          <w:tcPr>
            <w:tcW w:w="936" w:type="dxa"/>
          </w:tcPr>
          <w:p w14:paraId="7ADBA9FD" w14:textId="77777777" w:rsidR="00DB0919" w:rsidRPr="00451BDA" w:rsidRDefault="00DB0919" w:rsidP="007724B8">
            <w:pPr>
              <w:pStyle w:val="TableParagraph"/>
              <w:spacing w:line="240" w:lineRule="auto"/>
              <w:ind w:left="0"/>
            </w:pPr>
          </w:p>
        </w:tc>
        <w:tc>
          <w:tcPr>
            <w:tcW w:w="898" w:type="dxa"/>
          </w:tcPr>
          <w:p w14:paraId="58154512" w14:textId="77777777" w:rsidR="00DB0919" w:rsidRPr="00451BDA" w:rsidRDefault="00DB0919" w:rsidP="007724B8">
            <w:pPr>
              <w:pStyle w:val="TableParagraph"/>
              <w:spacing w:line="240" w:lineRule="auto"/>
              <w:ind w:left="0"/>
            </w:pPr>
          </w:p>
        </w:tc>
        <w:tc>
          <w:tcPr>
            <w:tcW w:w="894" w:type="dxa"/>
          </w:tcPr>
          <w:p w14:paraId="4307AE9D" w14:textId="77777777" w:rsidR="00DB0919" w:rsidRPr="00451BDA" w:rsidRDefault="00DB0919" w:rsidP="007724B8">
            <w:pPr>
              <w:pStyle w:val="TableParagraph"/>
              <w:spacing w:line="240" w:lineRule="auto"/>
              <w:ind w:left="0"/>
            </w:pPr>
          </w:p>
        </w:tc>
      </w:tr>
      <w:tr w:rsidR="00DB0919" w:rsidRPr="00451BDA" w14:paraId="690FBAAA" w14:textId="77777777" w:rsidTr="007724B8">
        <w:trPr>
          <w:trHeight w:val="459"/>
        </w:trPr>
        <w:tc>
          <w:tcPr>
            <w:tcW w:w="580" w:type="dxa"/>
          </w:tcPr>
          <w:p w14:paraId="79A1DDE2" w14:textId="77777777" w:rsidR="00DB0919" w:rsidRPr="00451BDA" w:rsidRDefault="00DB0919" w:rsidP="007724B8">
            <w:pPr>
              <w:pStyle w:val="TableParagraph"/>
              <w:spacing w:line="226" w:lineRule="exact"/>
              <w:ind w:left="116"/>
            </w:pPr>
            <w:r w:rsidRPr="00451BDA">
              <w:t>17</w:t>
            </w:r>
          </w:p>
        </w:tc>
        <w:tc>
          <w:tcPr>
            <w:tcW w:w="5965" w:type="dxa"/>
          </w:tcPr>
          <w:p w14:paraId="51CA2521" w14:textId="77777777" w:rsidR="00DB0919" w:rsidRPr="00451BDA" w:rsidRDefault="00DB0919" w:rsidP="007724B8">
            <w:pPr>
              <w:pStyle w:val="TableParagraph"/>
              <w:spacing w:line="226" w:lineRule="exact"/>
            </w:pPr>
            <w:r w:rsidRPr="00451BDA">
              <w:t>To</w:t>
            </w:r>
            <w:r w:rsidRPr="00451BDA">
              <w:rPr>
                <w:spacing w:val="-1"/>
              </w:rPr>
              <w:t xml:space="preserve"> </w:t>
            </w:r>
            <w:r w:rsidRPr="00451BDA">
              <w:t>participate</w:t>
            </w:r>
            <w:r w:rsidRPr="00451BDA">
              <w:rPr>
                <w:spacing w:val="-1"/>
              </w:rPr>
              <w:t xml:space="preserve"> </w:t>
            </w:r>
            <w:r w:rsidRPr="00451BDA">
              <w:t>in</w:t>
            </w:r>
            <w:r w:rsidRPr="00451BDA">
              <w:rPr>
                <w:spacing w:val="-1"/>
              </w:rPr>
              <w:t xml:space="preserve"> </w:t>
            </w:r>
            <w:r w:rsidRPr="00451BDA">
              <w:t>international</w:t>
            </w:r>
            <w:r w:rsidRPr="00451BDA">
              <w:rPr>
                <w:spacing w:val="-3"/>
              </w:rPr>
              <w:t xml:space="preserve"> </w:t>
            </w:r>
            <w:r w:rsidRPr="00451BDA">
              <w:t>education</w:t>
            </w:r>
            <w:r w:rsidRPr="00451BDA">
              <w:rPr>
                <w:spacing w:val="-1"/>
              </w:rPr>
              <w:t xml:space="preserve"> </w:t>
            </w:r>
            <w:r w:rsidRPr="00451BDA">
              <w:t>activities</w:t>
            </w:r>
            <w:r w:rsidRPr="00451BDA">
              <w:rPr>
                <w:spacing w:val="-2"/>
              </w:rPr>
              <w:t xml:space="preserve"> </w:t>
            </w:r>
            <w:r w:rsidRPr="00451BDA">
              <w:t>such</w:t>
            </w:r>
            <w:r w:rsidRPr="00451BDA">
              <w:rPr>
                <w:spacing w:val="-1"/>
              </w:rPr>
              <w:t xml:space="preserve"> </w:t>
            </w:r>
            <w:r w:rsidRPr="00451BDA">
              <w:t>as</w:t>
            </w:r>
          </w:p>
          <w:p w14:paraId="52FF50E8" w14:textId="77777777" w:rsidR="00DB0919" w:rsidRPr="00451BDA" w:rsidRDefault="00DB0919" w:rsidP="007724B8">
            <w:pPr>
              <w:pStyle w:val="TableParagraph"/>
              <w:spacing w:line="214" w:lineRule="exact"/>
            </w:pPr>
            <w:r w:rsidRPr="00451BDA">
              <w:t>international</w:t>
            </w:r>
            <w:r w:rsidRPr="00451BDA">
              <w:rPr>
                <w:spacing w:val="-3"/>
              </w:rPr>
              <w:t xml:space="preserve"> </w:t>
            </w:r>
            <w:r w:rsidRPr="00451BDA">
              <w:t>conferences,</w:t>
            </w:r>
            <w:r w:rsidRPr="00451BDA">
              <w:rPr>
                <w:spacing w:val="-2"/>
              </w:rPr>
              <w:t xml:space="preserve"> </w:t>
            </w:r>
            <w:r w:rsidRPr="00451BDA">
              <w:t>symposiums,</w:t>
            </w:r>
            <w:r w:rsidRPr="00451BDA">
              <w:rPr>
                <w:spacing w:val="-2"/>
              </w:rPr>
              <w:t xml:space="preserve"> </w:t>
            </w:r>
            <w:r w:rsidRPr="00451BDA">
              <w:t>meetings,</w:t>
            </w:r>
            <w:r w:rsidRPr="00451BDA">
              <w:rPr>
                <w:spacing w:val="-2"/>
              </w:rPr>
              <w:t xml:space="preserve"> </w:t>
            </w:r>
            <w:r w:rsidRPr="00451BDA">
              <w:t>webinars</w:t>
            </w:r>
            <w:r w:rsidRPr="00451BDA">
              <w:rPr>
                <w:spacing w:val="-3"/>
              </w:rPr>
              <w:t xml:space="preserve"> </w:t>
            </w:r>
            <w:proofErr w:type="spellStart"/>
            <w:r w:rsidRPr="00451BDA">
              <w:t>etc</w:t>
            </w:r>
            <w:proofErr w:type="spellEnd"/>
          </w:p>
        </w:tc>
        <w:tc>
          <w:tcPr>
            <w:tcW w:w="936" w:type="dxa"/>
          </w:tcPr>
          <w:p w14:paraId="27CFC008" w14:textId="77777777" w:rsidR="00DB0919" w:rsidRPr="00451BDA" w:rsidRDefault="00DB0919" w:rsidP="007724B8">
            <w:pPr>
              <w:pStyle w:val="TableParagraph"/>
              <w:spacing w:line="226" w:lineRule="exact"/>
              <w:ind w:left="134"/>
            </w:pPr>
            <w:r w:rsidRPr="00451BDA">
              <w:t>0.43</w:t>
            </w:r>
          </w:p>
        </w:tc>
        <w:tc>
          <w:tcPr>
            <w:tcW w:w="898" w:type="dxa"/>
          </w:tcPr>
          <w:p w14:paraId="6806AE06" w14:textId="77777777" w:rsidR="00DB0919" w:rsidRPr="00451BDA" w:rsidRDefault="00DB0919" w:rsidP="007724B8">
            <w:pPr>
              <w:pStyle w:val="TableParagraph"/>
              <w:spacing w:line="226" w:lineRule="exact"/>
              <w:ind w:left="118"/>
            </w:pPr>
            <w:r w:rsidRPr="00451BDA">
              <w:t>0.34</w:t>
            </w:r>
          </w:p>
        </w:tc>
        <w:tc>
          <w:tcPr>
            <w:tcW w:w="894" w:type="dxa"/>
          </w:tcPr>
          <w:p w14:paraId="634F0215" w14:textId="77777777" w:rsidR="00DB0919" w:rsidRPr="00451BDA" w:rsidRDefault="00DB0919" w:rsidP="007724B8">
            <w:pPr>
              <w:pStyle w:val="TableParagraph"/>
              <w:spacing w:line="226" w:lineRule="exact"/>
              <w:ind w:left="110"/>
            </w:pPr>
            <w:r w:rsidRPr="00451BDA">
              <w:rPr>
                <w:w w:val="99"/>
              </w:rPr>
              <w:t>-</w:t>
            </w:r>
          </w:p>
        </w:tc>
      </w:tr>
      <w:tr w:rsidR="00DB0919" w:rsidRPr="00451BDA" w14:paraId="61B1A76F" w14:textId="77777777" w:rsidTr="007724B8">
        <w:trPr>
          <w:trHeight w:val="229"/>
        </w:trPr>
        <w:tc>
          <w:tcPr>
            <w:tcW w:w="580" w:type="dxa"/>
          </w:tcPr>
          <w:p w14:paraId="1B790033" w14:textId="77777777" w:rsidR="00DB0919" w:rsidRPr="00451BDA" w:rsidRDefault="00DB0919" w:rsidP="007724B8">
            <w:pPr>
              <w:pStyle w:val="TableParagraph"/>
              <w:spacing w:line="209" w:lineRule="exact"/>
              <w:ind w:left="116"/>
            </w:pPr>
            <w:r w:rsidRPr="00451BDA">
              <w:t>18</w:t>
            </w:r>
          </w:p>
        </w:tc>
        <w:tc>
          <w:tcPr>
            <w:tcW w:w="5965" w:type="dxa"/>
          </w:tcPr>
          <w:p w14:paraId="0C096259" w14:textId="77777777" w:rsidR="00DB0919" w:rsidRPr="00451BDA" w:rsidRDefault="00DB0919" w:rsidP="007724B8">
            <w:pPr>
              <w:pStyle w:val="TableParagraph"/>
              <w:spacing w:line="209" w:lineRule="exact"/>
            </w:pPr>
            <w:r w:rsidRPr="00451BDA">
              <w:t>To</w:t>
            </w:r>
            <w:r w:rsidRPr="00451BDA">
              <w:rPr>
                <w:spacing w:val="-1"/>
              </w:rPr>
              <w:t xml:space="preserve"> </w:t>
            </w:r>
            <w:r w:rsidRPr="00451BDA">
              <w:t>develop insight</w:t>
            </w:r>
            <w:r w:rsidRPr="00451BDA">
              <w:rPr>
                <w:spacing w:val="-2"/>
              </w:rPr>
              <w:t xml:space="preserve"> </w:t>
            </w:r>
            <w:r w:rsidRPr="00451BDA">
              <w:t>into</w:t>
            </w:r>
            <w:r w:rsidRPr="00451BDA">
              <w:rPr>
                <w:spacing w:val="-1"/>
              </w:rPr>
              <w:t xml:space="preserve"> </w:t>
            </w:r>
            <w:r w:rsidRPr="00451BDA">
              <w:t>social</w:t>
            </w:r>
            <w:r w:rsidRPr="00451BDA">
              <w:rPr>
                <w:spacing w:val="-1"/>
              </w:rPr>
              <w:t xml:space="preserve"> </w:t>
            </w:r>
            <w:r w:rsidRPr="00451BDA">
              <w:t>justice</w:t>
            </w:r>
            <w:r w:rsidRPr="00451BDA">
              <w:rPr>
                <w:spacing w:val="-1"/>
              </w:rPr>
              <w:t xml:space="preserve"> </w:t>
            </w:r>
            <w:r w:rsidRPr="00451BDA">
              <w:t>and equity</w:t>
            </w:r>
            <w:r w:rsidRPr="00451BDA">
              <w:rPr>
                <w:spacing w:val="-4"/>
              </w:rPr>
              <w:t xml:space="preserve"> </w:t>
            </w:r>
            <w:r w:rsidRPr="00451BDA">
              <w:t>for</w:t>
            </w:r>
            <w:r w:rsidRPr="00451BDA">
              <w:rPr>
                <w:spacing w:val="-1"/>
              </w:rPr>
              <w:t xml:space="preserve"> </w:t>
            </w:r>
            <w:r w:rsidRPr="00451BDA">
              <w:t>the</w:t>
            </w:r>
            <w:r w:rsidRPr="00451BDA">
              <w:rPr>
                <w:spacing w:val="-3"/>
              </w:rPr>
              <w:t xml:space="preserve"> </w:t>
            </w:r>
            <w:r w:rsidRPr="00451BDA">
              <w:t>global</w:t>
            </w:r>
            <w:r w:rsidRPr="00451BDA">
              <w:rPr>
                <w:spacing w:val="-1"/>
              </w:rPr>
              <w:t xml:space="preserve"> </w:t>
            </w:r>
            <w:r w:rsidRPr="00451BDA">
              <w:t>good</w:t>
            </w:r>
          </w:p>
        </w:tc>
        <w:tc>
          <w:tcPr>
            <w:tcW w:w="936" w:type="dxa"/>
          </w:tcPr>
          <w:p w14:paraId="5F0E9E30" w14:textId="77777777" w:rsidR="00DB0919" w:rsidRPr="00451BDA" w:rsidRDefault="00DB0919" w:rsidP="007724B8">
            <w:pPr>
              <w:pStyle w:val="TableParagraph"/>
              <w:spacing w:line="209" w:lineRule="exact"/>
              <w:ind w:left="134"/>
            </w:pPr>
            <w:r w:rsidRPr="00451BDA">
              <w:t>0.32</w:t>
            </w:r>
          </w:p>
        </w:tc>
        <w:tc>
          <w:tcPr>
            <w:tcW w:w="898" w:type="dxa"/>
          </w:tcPr>
          <w:p w14:paraId="4ED77792" w14:textId="77777777" w:rsidR="00DB0919" w:rsidRPr="00451BDA" w:rsidRDefault="00DB0919" w:rsidP="007724B8">
            <w:pPr>
              <w:pStyle w:val="TableParagraph"/>
              <w:spacing w:line="209" w:lineRule="exact"/>
              <w:ind w:left="118"/>
            </w:pPr>
            <w:r w:rsidRPr="00451BDA">
              <w:rPr>
                <w:w w:val="99"/>
              </w:rPr>
              <w:t>-</w:t>
            </w:r>
          </w:p>
        </w:tc>
        <w:tc>
          <w:tcPr>
            <w:tcW w:w="894" w:type="dxa"/>
          </w:tcPr>
          <w:p w14:paraId="3B12F79A" w14:textId="77777777" w:rsidR="00DB0919" w:rsidRPr="00451BDA" w:rsidRDefault="00DB0919" w:rsidP="007724B8">
            <w:pPr>
              <w:pStyle w:val="TableParagraph"/>
              <w:spacing w:line="209" w:lineRule="exact"/>
              <w:ind w:left="110"/>
            </w:pPr>
            <w:r w:rsidRPr="00451BDA">
              <w:rPr>
                <w:w w:val="99"/>
              </w:rPr>
              <w:t>-</w:t>
            </w:r>
          </w:p>
        </w:tc>
      </w:tr>
      <w:tr w:rsidR="00DB0919" w:rsidRPr="00451BDA" w14:paraId="4793A14C" w14:textId="77777777" w:rsidTr="007724B8">
        <w:trPr>
          <w:trHeight w:val="230"/>
        </w:trPr>
        <w:tc>
          <w:tcPr>
            <w:tcW w:w="580" w:type="dxa"/>
          </w:tcPr>
          <w:p w14:paraId="77713B04" w14:textId="77777777" w:rsidR="00DB0919" w:rsidRPr="00451BDA" w:rsidRDefault="00DB0919" w:rsidP="007724B8">
            <w:pPr>
              <w:pStyle w:val="TableParagraph"/>
              <w:ind w:left="116"/>
            </w:pPr>
            <w:r w:rsidRPr="00451BDA">
              <w:t>19</w:t>
            </w:r>
          </w:p>
        </w:tc>
        <w:tc>
          <w:tcPr>
            <w:tcW w:w="5965" w:type="dxa"/>
          </w:tcPr>
          <w:p w14:paraId="4DF205A8" w14:textId="77777777" w:rsidR="00DB0919" w:rsidRPr="00451BDA" w:rsidRDefault="00DB0919" w:rsidP="007724B8">
            <w:pPr>
              <w:pStyle w:val="TableParagraph"/>
            </w:pPr>
            <w:r w:rsidRPr="00451BDA">
              <w:t>To</w:t>
            </w:r>
            <w:r w:rsidRPr="00451BDA">
              <w:rPr>
                <w:spacing w:val="-1"/>
              </w:rPr>
              <w:t xml:space="preserve"> </w:t>
            </w:r>
            <w:r w:rsidRPr="00451BDA">
              <w:t>develop</w:t>
            </w:r>
            <w:r w:rsidRPr="00451BDA">
              <w:rPr>
                <w:spacing w:val="-1"/>
              </w:rPr>
              <w:t xml:space="preserve"> </w:t>
            </w:r>
            <w:r w:rsidRPr="00451BDA">
              <w:t>and promote</w:t>
            </w:r>
            <w:r w:rsidRPr="00451BDA">
              <w:rPr>
                <w:spacing w:val="-4"/>
              </w:rPr>
              <w:t xml:space="preserve"> </w:t>
            </w:r>
            <w:r w:rsidRPr="00451BDA">
              <w:t>peace</w:t>
            </w:r>
            <w:r w:rsidRPr="00451BDA">
              <w:rPr>
                <w:spacing w:val="3"/>
              </w:rPr>
              <w:t xml:space="preserve"> </w:t>
            </w:r>
            <w:r w:rsidRPr="00451BDA">
              <w:t>concepts</w:t>
            </w:r>
            <w:r w:rsidRPr="00451BDA">
              <w:rPr>
                <w:spacing w:val="-3"/>
              </w:rPr>
              <w:t xml:space="preserve"> </w:t>
            </w:r>
            <w:r w:rsidRPr="00451BDA">
              <w:t>for</w:t>
            </w:r>
            <w:r w:rsidRPr="00451BDA">
              <w:rPr>
                <w:spacing w:val="-2"/>
              </w:rPr>
              <w:t xml:space="preserve"> </w:t>
            </w:r>
            <w:r w:rsidRPr="00451BDA">
              <w:t>global</w:t>
            </w:r>
            <w:r w:rsidRPr="00451BDA">
              <w:rPr>
                <w:spacing w:val="-1"/>
              </w:rPr>
              <w:t xml:space="preserve"> </w:t>
            </w:r>
            <w:r w:rsidRPr="00451BDA">
              <w:t>peace</w:t>
            </w:r>
          </w:p>
        </w:tc>
        <w:tc>
          <w:tcPr>
            <w:tcW w:w="936" w:type="dxa"/>
          </w:tcPr>
          <w:p w14:paraId="58CFEBF3" w14:textId="77777777" w:rsidR="00DB0919" w:rsidRPr="00451BDA" w:rsidRDefault="00DB0919" w:rsidP="007724B8">
            <w:pPr>
              <w:pStyle w:val="TableParagraph"/>
              <w:ind w:left="134"/>
            </w:pPr>
            <w:r w:rsidRPr="00451BDA">
              <w:rPr>
                <w:w w:val="99"/>
              </w:rPr>
              <w:t>-</w:t>
            </w:r>
          </w:p>
        </w:tc>
        <w:tc>
          <w:tcPr>
            <w:tcW w:w="898" w:type="dxa"/>
          </w:tcPr>
          <w:p w14:paraId="3B9BB506" w14:textId="77777777" w:rsidR="00DB0919" w:rsidRPr="00451BDA" w:rsidRDefault="00DB0919" w:rsidP="007724B8">
            <w:pPr>
              <w:pStyle w:val="TableParagraph"/>
              <w:ind w:left="118"/>
            </w:pPr>
            <w:r w:rsidRPr="00451BDA">
              <w:rPr>
                <w:w w:val="99"/>
              </w:rPr>
              <w:t>-</w:t>
            </w:r>
          </w:p>
        </w:tc>
        <w:tc>
          <w:tcPr>
            <w:tcW w:w="894" w:type="dxa"/>
          </w:tcPr>
          <w:p w14:paraId="5F7C88A9" w14:textId="77777777" w:rsidR="00DB0919" w:rsidRPr="00451BDA" w:rsidRDefault="00DB0919" w:rsidP="007724B8">
            <w:pPr>
              <w:pStyle w:val="TableParagraph"/>
              <w:ind w:left="110"/>
            </w:pPr>
            <w:r w:rsidRPr="00451BDA">
              <w:rPr>
                <w:w w:val="99"/>
              </w:rPr>
              <w:t>-</w:t>
            </w:r>
          </w:p>
        </w:tc>
      </w:tr>
      <w:tr w:rsidR="00DB0919" w:rsidRPr="00451BDA" w14:paraId="52B633F9" w14:textId="77777777" w:rsidTr="007724B8">
        <w:trPr>
          <w:trHeight w:val="230"/>
        </w:trPr>
        <w:tc>
          <w:tcPr>
            <w:tcW w:w="580" w:type="dxa"/>
          </w:tcPr>
          <w:p w14:paraId="059FBBA7" w14:textId="77777777" w:rsidR="00DB0919" w:rsidRPr="00451BDA" w:rsidRDefault="00DB0919" w:rsidP="007724B8">
            <w:pPr>
              <w:pStyle w:val="TableParagraph"/>
              <w:ind w:left="116"/>
            </w:pPr>
            <w:r w:rsidRPr="00451BDA">
              <w:t>20</w:t>
            </w:r>
          </w:p>
        </w:tc>
        <w:tc>
          <w:tcPr>
            <w:tcW w:w="5965" w:type="dxa"/>
          </w:tcPr>
          <w:p w14:paraId="5BEE9D61" w14:textId="77777777" w:rsidR="00DB0919" w:rsidRPr="00451BDA" w:rsidRDefault="00DB0919" w:rsidP="007724B8">
            <w:pPr>
              <w:pStyle w:val="TableParagraph"/>
            </w:pPr>
            <w:r w:rsidRPr="00451BDA">
              <w:t>To</w:t>
            </w:r>
            <w:r w:rsidRPr="00451BDA">
              <w:rPr>
                <w:spacing w:val="-1"/>
              </w:rPr>
              <w:t xml:space="preserve"> </w:t>
            </w:r>
            <w:r w:rsidRPr="00451BDA">
              <w:t>develop</w:t>
            </w:r>
            <w:r w:rsidRPr="00451BDA">
              <w:rPr>
                <w:spacing w:val="-1"/>
              </w:rPr>
              <w:t xml:space="preserve"> </w:t>
            </w:r>
            <w:r w:rsidRPr="00451BDA">
              <w:t>the</w:t>
            </w:r>
            <w:r w:rsidRPr="00451BDA">
              <w:rPr>
                <w:spacing w:val="-1"/>
              </w:rPr>
              <w:t xml:space="preserve"> </w:t>
            </w:r>
            <w:r w:rsidRPr="00451BDA">
              <w:t>ability</w:t>
            </w:r>
            <w:r w:rsidRPr="00451BDA">
              <w:rPr>
                <w:spacing w:val="-1"/>
              </w:rPr>
              <w:t xml:space="preserve"> </w:t>
            </w:r>
            <w:r w:rsidRPr="00451BDA">
              <w:t>to</w:t>
            </w:r>
            <w:r w:rsidRPr="00451BDA">
              <w:rPr>
                <w:spacing w:val="-1"/>
              </w:rPr>
              <w:t xml:space="preserve"> </w:t>
            </w:r>
            <w:r w:rsidRPr="00451BDA">
              <w:t>manage</w:t>
            </w:r>
            <w:r w:rsidRPr="00451BDA">
              <w:rPr>
                <w:spacing w:val="-1"/>
              </w:rPr>
              <w:t xml:space="preserve"> </w:t>
            </w:r>
            <w:r w:rsidRPr="00451BDA">
              <w:t>conflict</w:t>
            </w:r>
            <w:r w:rsidRPr="00451BDA">
              <w:rPr>
                <w:spacing w:val="-3"/>
              </w:rPr>
              <w:t xml:space="preserve"> </w:t>
            </w:r>
            <w:r w:rsidRPr="00451BDA">
              <w:t>with</w:t>
            </w:r>
            <w:r w:rsidRPr="00451BDA">
              <w:rPr>
                <w:spacing w:val="-2"/>
              </w:rPr>
              <w:t xml:space="preserve"> </w:t>
            </w:r>
            <w:r w:rsidRPr="00451BDA">
              <w:t>diverse</w:t>
            </w:r>
            <w:r w:rsidRPr="00451BDA">
              <w:rPr>
                <w:spacing w:val="-1"/>
              </w:rPr>
              <w:t xml:space="preserve"> </w:t>
            </w:r>
            <w:r w:rsidRPr="00451BDA">
              <w:t>people</w:t>
            </w:r>
          </w:p>
        </w:tc>
        <w:tc>
          <w:tcPr>
            <w:tcW w:w="936" w:type="dxa"/>
          </w:tcPr>
          <w:p w14:paraId="6C18766A" w14:textId="77777777" w:rsidR="00DB0919" w:rsidRPr="00451BDA" w:rsidRDefault="00DB0919" w:rsidP="007724B8">
            <w:pPr>
              <w:pStyle w:val="TableParagraph"/>
              <w:ind w:left="134"/>
            </w:pPr>
            <w:r w:rsidRPr="00451BDA">
              <w:rPr>
                <w:w w:val="99"/>
              </w:rPr>
              <w:t>-</w:t>
            </w:r>
          </w:p>
        </w:tc>
        <w:tc>
          <w:tcPr>
            <w:tcW w:w="898" w:type="dxa"/>
          </w:tcPr>
          <w:p w14:paraId="0183BB18" w14:textId="77777777" w:rsidR="00DB0919" w:rsidRPr="00451BDA" w:rsidRDefault="00DB0919" w:rsidP="007724B8">
            <w:pPr>
              <w:pStyle w:val="TableParagraph"/>
              <w:ind w:left="118"/>
            </w:pPr>
            <w:r w:rsidRPr="00451BDA">
              <w:t>0.48</w:t>
            </w:r>
          </w:p>
        </w:tc>
        <w:tc>
          <w:tcPr>
            <w:tcW w:w="894" w:type="dxa"/>
          </w:tcPr>
          <w:p w14:paraId="35AD417D" w14:textId="77777777" w:rsidR="00DB0919" w:rsidRPr="00451BDA" w:rsidRDefault="00DB0919" w:rsidP="007724B8">
            <w:pPr>
              <w:pStyle w:val="TableParagraph"/>
              <w:ind w:left="110"/>
            </w:pPr>
            <w:r w:rsidRPr="00451BDA">
              <w:rPr>
                <w:w w:val="99"/>
              </w:rPr>
              <w:t>-</w:t>
            </w:r>
          </w:p>
        </w:tc>
      </w:tr>
      <w:tr w:rsidR="00DB0919" w:rsidRPr="00451BDA" w14:paraId="37AD30E2" w14:textId="77777777" w:rsidTr="007724B8">
        <w:trPr>
          <w:trHeight w:val="230"/>
        </w:trPr>
        <w:tc>
          <w:tcPr>
            <w:tcW w:w="580" w:type="dxa"/>
          </w:tcPr>
          <w:p w14:paraId="32F4BB6A" w14:textId="77777777" w:rsidR="00DB0919" w:rsidRPr="00451BDA" w:rsidRDefault="00DB0919" w:rsidP="007724B8">
            <w:pPr>
              <w:pStyle w:val="TableParagraph"/>
              <w:ind w:left="116"/>
            </w:pPr>
            <w:r w:rsidRPr="00451BDA">
              <w:t>21</w:t>
            </w:r>
          </w:p>
        </w:tc>
        <w:tc>
          <w:tcPr>
            <w:tcW w:w="5965" w:type="dxa"/>
          </w:tcPr>
          <w:p w14:paraId="71C690D2" w14:textId="77777777" w:rsidR="00DB0919" w:rsidRPr="00451BDA" w:rsidRDefault="00DB0919" w:rsidP="007724B8">
            <w:pPr>
              <w:pStyle w:val="TableParagraph"/>
            </w:pPr>
            <w:r w:rsidRPr="00451BDA">
              <w:t>To</w:t>
            </w:r>
            <w:r w:rsidRPr="00451BDA">
              <w:rPr>
                <w:spacing w:val="-1"/>
              </w:rPr>
              <w:t xml:space="preserve"> </w:t>
            </w:r>
            <w:r w:rsidRPr="00451BDA">
              <w:t>develop a</w:t>
            </w:r>
            <w:r w:rsidRPr="00451BDA">
              <w:rPr>
                <w:spacing w:val="-2"/>
              </w:rPr>
              <w:t xml:space="preserve"> </w:t>
            </w:r>
            <w:r w:rsidRPr="00451BDA">
              <w:t>belief</w:t>
            </w:r>
            <w:r w:rsidRPr="00451BDA">
              <w:rPr>
                <w:spacing w:val="-2"/>
              </w:rPr>
              <w:t xml:space="preserve"> </w:t>
            </w:r>
            <w:r w:rsidRPr="00451BDA">
              <w:t>that</w:t>
            </w:r>
            <w:r w:rsidRPr="00451BDA">
              <w:rPr>
                <w:spacing w:val="-2"/>
              </w:rPr>
              <w:t xml:space="preserve"> </w:t>
            </w:r>
            <w:r w:rsidRPr="00451BDA">
              <w:t>people</w:t>
            </w:r>
            <w:r w:rsidRPr="00451BDA">
              <w:rPr>
                <w:spacing w:val="-1"/>
              </w:rPr>
              <w:t xml:space="preserve"> </w:t>
            </w:r>
            <w:r w:rsidRPr="00451BDA">
              <w:t>can make</w:t>
            </w:r>
            <w:r w:rsidRPr="00451BDA">
              <w:rPr>
                <w:spacing w:val="-2"/>
              </w:rPr>
              <w:t xml:space="preserve"> </w:t>
            </w:r>
            <w:r w:rsidRPr="00451BDA">
              <w:t>a</w:t>
            </w:r>
            <w:r w:rsidRPr="00451BDA">
              <w:rPr>
                <w:spacing w:val="-3"/>
              </w:rPr>
              <w:t xml:space="preserve"> </w:t>
            </w:r>
            <w:r w:rsidRPr="00451BDA">
              <w:t>difference</w:t>
            </w:r>
            <w:r w:rsidRPr="00451BDA">
              <w:rPr>
                <w:spacing w:val="-2"/>
              </w:rPr>
              <w:t xml:space="preserve"> </w:t>
            </w:r>
            <w:r w:rsidRPr="00451BDA">
              <w:t>for</w:t>
            </w:r>
            <w:r w:rsidRPr="00451BDA">
              <w:rPr>
                <w:spacing w:val="-1"/>
              </w:rPr>
              <w:t xml:space="preserve"> </w:t>
            </w:r>
            <w:r w:rsidRPr="00451BDA">
              <w:t>global</w:t>
            </w:r>
            <w:r w:rsidRPr="00451BDA">
              <w:rPr>
                <w:spacing w:val="-2"/>
              </w:rPr>
              <w:t xml:space="preserve"> </w:t>
            </w:r>
            <w:r w:rsidRPr="00451BDA">
              <w:t>good</w:t>
            </w:r>
          </w:p>
        </w:tc>
        <w:tc>
          <w:tcPr>
            <w:tcW w:w="936" w:type="dxa"/>
          </w:tcPr>
          <w:p w14:paraId="69AEB4C8" w14:textId="77777777" w:rsidR="00DB0919" w:rsidRPr="00451BDA" w:rsidRDefault="00DB0919" w:rsidP="007724B8">
            <w:pPr>
              <w:pStyle w:val="TableParagraph"/>
              <w:ind w:left="134"/>
            </w:pPr>
            <w:r w:rsidRPr="00451BDA">
              <w:rPr>
                <w:w w:val="99"/>
              </w:rPr>
              <w:t>-</w:t>
            </w:r>
          </w:p>
        </w:tc>
        <w:tc>
          <w:tcPr>
            <w:tcW w:w="898" w:type="dxa"/>
          </w:tcPr>
          <w:p w14:paraId="6E5A5D75" w14:textId="77777777" w:rsidR="00DB0919" w:rsidRPr="00451BDA" w:rsidRDefault="00DB0919" w:rsidP="007724B8">
            <w:pPr>
              <w:pStyle w:val="TableParagraph"/>
              <w:ind w:left="118"/>
            </w:pPr>
            <w:r w:rsidRPr="00451BDA">
              <w:t>0.48</w:t>
            </w:r>
          </w:p>
        </w:tc>
        <w:tc>
          <w:tcPr>
            <w:tcW w:w="894" w:type="dxa"/>
          </w:tcPr>
          <w:p w14:paraId="1BC03490" w14:textId="77777777" w:rsidR="00DB0919" w:rsidRPr="00451BDA" w:rsidRDefault="00DB0919" w:rsidP="007724B8">
            <w:pPr>
              <w:pStyle w:val="TableParagraph"/>
              <w:ind w:left="110"/>
            </w:pPr>
            <w:r w:rsidRPr="00451BDA">
              <w:rPr>
                <w:w w:val="99"/>
              </w:rPr>
              <w:t>-</w:t>
            </w:r>
          </w:p>
        </w:tc>
      </w:tr>
      <w:tr w:rsidR="00DB0919" w:rsidRPr="00451BDA" w14:paraId="38C5797A" w14:textId="77777777" w:rsidTr="007724B8">
        <w:trPr>
          <w:trHeight w:val="229"/>
        </w:trPr>
        <w:tc>
          <w:tcPr>
            <w:tcW w:w="580" w:type="dxa"/>
          </w:tcPr>
          <w:p w14:paraId="0A392D44" w14:textId="77777777" w:rsidR="00DB0919" w:rsidRPr="00451BDA" w:rsidRDefault="00DB0919" w:rsidP="007724B8">
            <w:pPr>
              <w:pStyle w:val="TableParagraph"/>
              <w:spacing w:line="209" w:lineRule="exact"/>
              <w:ind w:left="116"/>
            </w:pPr>
            <w:r w:rsidRPr="00451BDA">
              <w:t>22</w:t>
            </w:r>
          </w:p>
        </w:tc>
        <w:tc>
          <w:tcPr>
            <w:tcW w:w="5965" w:type="dxa"/>
          </w:tcPr>
          <w:p w14:paraId="4E8A310A" w14:textId="77777777" w:rsidR="00DB0919" w:rsidRPr="00451BDA" w:rsidRDefault="00DB0919" w:rsidP="007724B8">
            <w:pPr>
              <w:pStyle w:val="TableParagraph"/>
              <w:spacing w:line="209" w:lineRule="exact"/>
            </w:pPr>
            <w:r w:rsidRPr="00451BDA">
              <w:t>To</w:t>
            </w:r>
            <w:r w:rsidRPr="00451BDA">
              <w:rPr>
                <w:spacing w:val="-1"/>
              </w:rPr>
              <w:t xml:space="preserve"> </w:t>
            </w:r>
            <w:r w:rsidRPr="00451BDA">
              <w:t>develop value</w:t>
            </w:r>
            <w:r w:rsidRPr="00451BDA">
              <w:rPr>
                <w:spacing w:val="-3"/>
              </w:rPr>
              <w:t xml:space="preserve"> </w:t>
            </w:r>
            <w:r w:rsidRPr="00451BDA">
              <w:t>and</w:t>
            </w:r>
            <w:r w:rsidRPr="00451BDA">
              <w:rPr>
                <w:spacing w:val="-2"/>
              </w:rPr>
              <w:t xml:space="preserve"> </w:t>
            </w:r>
            <w:r w:rsidRPr="00451BDA">
              <w:t>respect</w:t>
            </w:r>
            <w:r w:rsidRPr="00451BDA">
              <w:rPr>
                <w:spacing w:val="-4"/>
              </w:rPr>
              <w:t xml:space="preserve"> </w:t>
            </w:r>
            <w:r w:rsidRPr="00451BDA">
              <w:t>for</w:t>
            </w:r>
            <w:r w:rsidRPr="00451BDA">
              <w:rPr>
                <w:spacing w:val="-1"/>
              </w:rPr>
              <w:t xml:space="preserve"> </w:t>
            </w:r>
            <w:r w:rsidRPr="00451BDA">
              <w:t>diversity</w:t>
            </w:r>
          </w:p>
        </w:tc>
        <w:tc>
          <w:tcPr>
            <w:tcW w:w="936" w:type="dxa"/>
          </w:tcPr>
          <w:p w14:paraId="26883456" w14:textId="77777777" w:rsidR="00DB0919" w:rsidRPr="00451BDA" w:rsidRDefault="00DB0919" w:rsidP="007724B8">
            <w:pPr>
              <w:pStyle w:val="TableParagraph"/>
              <w:spacing w:line="209" w:lineRule="exact"/>
              <w:ind w:left="134"/>
            </w:pPr>
            <w:r w:rsidRPr="00451BDA">
              <w:rPr>
                <w:w w:val="99"/>
              </w:rPr>
              <w:t>-</w:t>
            </w:r>
          </w:p>
        </w:tc>
        <w:tc>
          <w:tcPr>
            <w:tcW w:w="898" w:type="dxa"/>
          </w:tcPr>
          <w:p w14:paraId="524C89B4" w14:textId="77777777" w:rsidR="00DB0919" w:rsidRPr="00451BDA" w:rsidRDefault="00DB0919" w:rsidP="007724B8">
            <w:pPr>
              <w:pStyle w:val="TableParagraph"/>
              <w:spacing w:line="209" w:lineRule="exact"/>
              <w:ind w:left="118"/>
            </w:pPr>
            <w:r w:rsidRPr="00451BDA">
              <w:t>0.72</w:t>
            </w:r>
          </w:p>
        </w:tc>
        <w:tc>
          <w:tcPr>
            <w:tcW w:w="894" w:type="dxa"/>
          </w:tcPr>
          <w:p w14:paraId="5D4B9CA6" w14:textId="77777777" w:rsidR="00DB0919" w:rsidRPr="00451BDA" w:rsidRDefault="00DB0919" w:rsidP="007724B8">
            <w:pPr>
              <w:pStyle w:val="TableParagraph"/>
              <w:spacing w:line="209" w:lineRule="exact"/>
              <w:ind w:left="110"/>
            </w:pPr>
            <w:r w:rsidRPr="00451BDA">
              <w:rPr>
                <w:w w:val="99"/>
              </w:rPr>
              <w:t>-</w:t>
            </w:r>
          </w:p>
        </w:tc>
      </w:tr>
      <w:tr w:rsidR="00DB0919" w:rsidRPr="00451BDA" w14:paraId="11F33F9B" w14:textId="77777777" w:rsidTr="007724B8">
        <w:trPr>
          <w:trHeight w:val="459"/>
        </w:trPr>
        <w:tc>
          <w:tcPr>
            <w:tcW w:w="580" w:type="dxa"/>
          </w:tcPr>
          <w:p w14:paraId="0AD209C0" w14:textId="77777777" w:rsidR="00DB0919" w:rsidRPr="00451BDA" w:rsidRDefault="00DB0919" w:rsidP="007724B8">
            <w:pPr>
              <w:pStyle w:val="TableParagraph"/>
              <w:spacing w:line="224" w:lineRule="exact"/>
              <w:ind w:left="116"/>
            </w:pPr>
            <w:r w:rsidRPr="00451BDA">
              <w:t>23</w:t>
            </w:r>
          </w:p>
        </w:tc>
        <w:tc>
          <w:tcPr>
            <w:tcW w:w="5965" w:type="dxa"/>
          </w:tcPr>
          <w:p w14:paraId="36CCC8B7" w14:textId="77777777" w:rsidR="00DB0919" w:rsidRPr="00451BDA" w:rsidRDefault="00DB0919" w:rsidP="007724B8">
            <w:pPr>
              <w:pStyle w:val="TableParagraph"/>
              <w:spacing w:line="224" w:lineRule="exact"/>
            </w:pPr>
            <w:r w:rsidRPr="00451BDA">
              <w:t>To</w:t>
            </w:r>
            <w:r w:rsidRPr="00451BDA">
              <w:rPr>
                <w:spacing w:val="-1"/>
              </w:rPr>
              <w:t xml:space="preserve"> </w:t>
            </w:r>
            <w:r w:rsidRPr="00451BDA">
              <w:t>discuss</w:t>
            </w:r>
            <w:r w:rsidRPr="00451BDA">
              <w:rPr>
                <w:spacing w:val="-3"/>
              </w:rPr>
              <w:t xml:space="preserve"> </w:t>
            </w:r>
            <w:r w:rsidRPr="00451BDA">
              <w:t>(in class</w:t>
            </w:r>
            <w:r w:rsidRPr="00451BDA">
              <w:rPr>
                <w:spacing w:val="-3"/>
              </w:rPr>
              <w:t xml:space="preserve"> </w:t>
            </w:r>
            <w:r w:rsidRPr="00451BDA">
              <w:t>and online)</w:t>
            </w:r>
            <w:r w:rsidRPr="00451BDA">
              <w:rPr>
                <w:spacing w:val="-2"/>
              </w:rPr>
              <w:t xml:space="preserve"> </w:t>
            </w:r>
            <w:r w:rsidRPr="00451BDA">
              <w:t>the</w:t>
            </w:r>
            <w:r w:rsidRPr="00451BDA">
              <w:rPr>
                <w:spacing w:val="-1"/>
              </w:rPr>
              <w:t xml:space="preserve"> </w:t>
            </w:r>
            <w:r w:rsidRPr="00451BDA">
              <w:t>possibilities</w:t>
            </w:r>
            <w:r w:rsidRPr="00451BDA">
              <w:rPr>
                <w:spacing w:val="-3"/>
              </w:rPr>
              <w:t xml:space="preserve"> </w:t>
            </w:r>
            <w:r w:rsidRPr="00451BDA">
              <w:t>to</w:t>
            </w:r>
            <w:r w:rsidRPr="00451BDA">
              <w:rPr>
                <w:spacing w:val="-1"/>
              </w:rPr>
              <w:t xml:space="preserve"> </w:t>
            </w:r>
            <w:r w:rsidRPr="00451BDA">
              <w:t>explore</w:t>
            </w:r>
            <w:r w:rsidRPr="00451BDA">
              <w:rPr>
                <w:spacing w:val="-1"/>
              </w:rPr>
              <w:t xml:space="preserve"> </w:t>
            </w:r>
            <w:r w:rsidRPr="00451BDA">
              <w:t>the</w:t>
            </w:r>
            <w:r w:rsidRPr="00451BDA">
              <w:rPr>
                <w:spacing w:val="-2"/>
              </w:rPr>
              <w:t xml:space="preserve"> </w:t>
            </w:r>
            <w:proofErr w:type="gramStart"/>
            <w:r w:rsidRPr="00451BDA">
              <w:t>impact</w:t>
            </w:r>
            <w:proofErr w:type="gramEnd"/>
          </w:p>
          <w:p w14:paraId="693CF6A2" w14:textId="77777777" w:rsidR="00DB0919" w:rsidRPr="00451BDA" w:rsidRDefault="00DB0919" w:rsidP="007724B8">
            <w:pPr>
              <w:pStyle w:val="TableParagraph"/>
              <w:spacing w:line="215" w:lineRule="exact"/>
            </w:pPr>
            <w:r w:rsidRPr="00451BDA">
              <w:t>of</w:t>
            </w:r>
            <w:r w:rsidRPr="00451BDA">
              <w:rPr>
                <w:spacing w:val="-2"/>
              </w:rPr>
              <w:t xml:space="preserve"> </w:t>
            </w:r>
            <w:r w:rsidRPr="00451BDA">
              <w:t>global</w:t>
            </w:r>
            <w:r w:rsidRPr="00451BDA">
              <w:rPr>
                <w:spacing w:val="-2"/>
              </w:rPr>
              <w:t xml:space="preserve"> </w:t>
            </w:r>
            <w:r w:rsidRPr="00451BDA">
              <w:t>economic</w:t>
            </w:r>
            <w:r w:rsidRPr="00451BDA">
              <w:rPr>
                <w:spacing w:val="-2"/>
              </w:rPr>
              <w:t xml:space="preserve"> </w:t>
            </w:r>
            <w:r w:rsidRPr="00451BDA">
              <w:t>and</w:t>
            </w:r>
            <w:r w:rsidRPr="00451BDA">
              <w:rPr>
                <w:spacing w:val="-3"/>
              </w:rPr>
              <w:t xml:space="preserve"> </w:t>
            </w:r>
            <w:r w:rsidRPr="00451BDA">
              <w:t>environmental</w:t>
            </w:r>
            <w:r w:rsidRPr="00451BDA">
              <w:rPr>
                <w:spacing w:val="-2"/>
              </w:rPr>
              <w:t xml:space="preserve"> </w:t>
            </w:r>
            <w:r w:rsidRPr="00451BDA">
              <w:t>issues</w:t>
            </w:r>
          </w:p>
        </w:tc>
        <w:tc>
          <w:tcPr>
            <w:tcW w:w="936" w:type="dxa"/>
          </w:tcPr>
          <w:p w14:paraId="62CEA31B" w14:textId="77777777" w:rsidR="00DB0919" w:rsidRPr="00451BDA" w:rsidRDefault="00DB0919" w:rsidP="007724B8">
            <w:pPr>
              <w:pStyle w:val="TableParagraph"/>
              <w:spacing w:line="224" w:lineRule="exact"/>
              <w:ind w:left="134"/>
            </w:pPr>
            <w:r w:rsidRPr="00451BDA">
              <w:rPr>
                <w:w w:val="99"/>
              </w:rPr>
              <w:t>-</w:t>
            </w:r>
          </w:p>
        </w:tc>
        <w:tc>
          <w:tcPr>
            <w:tcW w:w="898" w:type="dxa"/>
          </w:tcPr>
          <w:p w14:paraId="2C541F1F" w14:textId="77777777" w:rsidR="00DB0919" w:rsidRPr="00451BDA" w:rsidRDefault="00DB0919" w:rsidP="007724B8">
            <w:pPr>
              <w:pStyle w:val="TableParagraph"/>
              <w:spacing w:line="224" w:lineRule="exact"/>
              <w:ind w:left="118"/>
            </w:pPr>
            <w:r w:rsidRPr="00451BDA">
              <w:rPr>
                <w:w w:val="99"/>
              </w:rPr>
              <w:t>-</w:t>
            </w:r>
          </w:p>
        </w:tc>
        <w:tc>
          <w:tcPr>
            <w:tcW w:w="894" w:type="dxa"/>
          </w:tcPr>
          <w:p w14:paraId="323AB9B6" w14:textId="77777777" w:rsidR="00DB0919" w:rsidRPr="00451BDA" w:rsidRDefault="00DB0919" w:rsidP="007724B8">
            <w:pPr>
              <w:pStyle w:val="TableParagraph"/>
              <w:spacing w:line="224" w:lineRule="exact"/>
              <w:ind w:left="110"/>
            </w:pPr>
            <w:r w:rsidRPr="00451BDA">
              <w:t>0.86</w:t>
            </w:r>
          </w:p>
        </w:tc>
      </w:tr>
      <w:tr w:rsidR="00DB0919" w:rsidRPr="00451BDA" w14:paraId="14768DA0" w14:textId="77777777" w:rsidTr="007724B8">
        <w:trPr>
          <w:trHeight w:val="691"/>
        </w:trPr>
        <w:tc>
          <w:tcPr>
            <w:tcW w:w="580" w:type="dxa"/>
          </w:tcPr>
          <w:p w14:paraId="3BDBD189" w14:textId="77777777" w:rsidR="00DB0919" w:rsidRPr="00451BDA" w:rsidRDefault="00DB0919" w:rsidP="007724B8">
            <w:pPr>
              <w:pStyle w:val="TableParagraph"/>
              <w:spacing w:line="226" w:lineRule="exact"/>
              <w:ind w:left="116"/>
            </w:pPr>
            <w:r w:rsidRPr="00451BDA">
              <w:t>24</w:t>
            </w:r>
          </w:p>
        </w:tc>
        <w:tc>
          <w:tcPr>
            <w:tcW w:w="5965" w:type="dxa"/>
          </w:tcPr>
          <w:p w14:paraId="20470299" w14:textId="442EE0D3" w:rsidR="00DB0919" w:rsidRPr="00451BDA" w:rsidRDefault="00DB0919" w:rsidP="00F32384">
            <w:pPr>
              <w:pStyle w:val="TableParagraph"/>
              <w:spacing w:line="240" w:lineRule="auto"/>
              <w:ind w:right="169"/>
            </w:pPr>
            <w:r w:rsidRPr="00451BDA">
              <w:t>To provide opportunities for research project applicable across</w:t>
            </w:r>
            <w:r w:rsidRPr="00451BDA">
              <w:rPr>
                <w:spacing w:val="1"/>
              </w:rPr>
              <w:t xml:space="preserve"> </w:t>
            </w:r>
            <w:r w:rsidRPr="00451BDA">
              <w:t>national</w:t>
            </w:r>
            <w:r w:rsidRPr="00451BDA">
              <w:rPr>
                <w:spacing w:val="-1"/>
              </w:rPr>
              <w:t xml:space="preserve"> </w:t>
            </w:r>
            <w:r w:rsidRPr="00451BDA">
              <w:t>boundaries</w:t>
            </w:r>
            <w:r w:rsidRPr="00451BDA">
              <w:rPr>
                <w:spacing w:val="-1"/>
              </w:rPr>
              <w:t xml:space="preserve"> </w:t>
            </w:r>
            <w:r w:rsidRPr="00451BDA">
              <w:t>and/or</w:t>
            </w:r>
            <w:r w:rsidRPr="00451BDA">
              <w:rPr>
                <w:spacing w:val="-2"/>
              </w:rPr>
              <w:t xml:space="preserve"> </w:t>
            </w:r>
            <w:r w:rsidRPr="00451BDA">
              <w:t>forms</w:t>
            </w:r>
            <w:r w:rsidRPr="00451BDA">
              <w:rPr>
                <w:spacing w:val="-2"/>
              </w:rPr>
              <w:t xml:space="preserve"> </w:t>
            </w:r>
            <w:r w:rsidRPr="00451BDA">
              <w:t>part</w:t>
            </w:r>
            <w:r w:rsidRPr="00451BDA">
              <w:rPr>
                <w:spacing w:val="-1"/>
              </w:rPr>
              <w:t xml:space="preserve"> </w:t>
            </w:r>
            <w:r w:rsidRPr="00451BDA">
              <w:t>of a</w:t>
            </w:r>
            <w:r w:rsidRPr="00451BDA">
              <w:rPr>
                <w:spacing w:val="-2"/>
              </w:rPr>
              <w:t xml:space="preserve"> </w:t>
            </w:r>
            <w:r w:rsidRPr="00451BDA">
              <w:t>global</w:t>
            </w:r>
            <w:r w:rsidRPr="00451BDA">
              <w:rPr>
                <w:spacing w:val="-3"/>
              </w:rPr>
              <w:t xml:space="preserve"> </w:t>
            </w:r>
            <w:r w:rsidRPr="00451BDA">
              <w:t>focus</w:t>
            </w:r>
            <w:r w:rsidRPr="00451BDA">
              <w:rPr>
                <w:spacing w:val="-1"/>
              </w:rPr>
              <w:t xml:space="preserve"> </w:t>
            </w:r>
            <w:r w:rsidRPr="00451BDA">
              <w:t>or network</w:t>
            </w:r>
            <w:r w:rsidRPr="00451BDA">
              <w:rPr>
                <w:spacing w:val="1"/>
              </w:rPr>
              <w:t xml:space="preserve"> </w:t>
            </w:r>
            <w:r w:rsidRPr="00451BDA">
              <w:t>in</w:t>
            </w:r>
            <w:r w:rsidR="00F32384">
              <w:t xml:space="preserve"> </w:t>
            </w:r>
            <w:r w:rsidRPr="00451BDA">
              <w:t>this</w:t>
            </w:r>
            <w:r w:rsidRPr="00451BDA">
              <w:rPr>
                <w:spacing w:val="-2"/>
              </w:rPr>
              <w:t xml:space="preserve"> </w:t>
            </w:r>
            <w:r w:rsidRPr="00451BDA">
              <w:t>area</w:t>
            </w:r>
          </w:p>
        </w:tc>
        <w:tc>
          <w:tcPr>
            <w:tcW w:w="936" w:type="dxa"/>
          </w:tcPr>
          <w:p w14:paraId="5F3B79A0" w14:textId="77777777" w:rsidR="00DB0919" w:rsidRPr="00451BDA" w:rsidRDefault="00DB0919" w:rsidP="007724B8">
            <w:pPr>
              <w:pStyle w:val="TableParagraph"/>
              <w:spacing w:line="226" w:lineRule="exact"/>
              <w:ind w:left="134"/>
            </w:pPr>
            <w:r w:rsidRPr="00451BDA">
              <w:rPr>
                <w:w w:val="99"/>
              </w:rPr>
              <w:t>-</w:t>
            </w:r>
          </w:p>
        </w:tc>
        <w:tc>
          <w:tcPr>
            <w:tcW w:w="898" w:type="dxa"/>
          </w:tcPr>
          <w:p w14:paraId="07B5EB5C" w14:textId="77777777" w:rsidR="00DB0919" w:rsidRPr="00451BDA" w:rsidRDefault="00DB0919" w:rsidP="007724B8">
            <w:pPr>
              <w:pStyle w:val="TableParagraph"/>
              <w:spacing w:line="226" w:lineRule="exact"/>
              <w:ind w:left="118"/>
            </w:pPr>
            <w:r w:rsidRPr="00451BDA">
              <w:rPr>
                <w:w w:val="99"/>
              </w:rPr>
              <w:t>-</w:t>
            </w:r>
          </w:p>
        </w:tc>
        <w:tc>
          <w:tcPr>
            <w:tcW w:w="894" w:type="dxa"/>
          </w:tcPr>
          <w:p w14:paraId="6912E20A" w14:textId="77777777" w:rsidR="00DB0919" w:rsidRPr="00451BDA" w:rsidRDefault="00DB0919" w:rsidP="007724B8">
            <w:pPr>
              <w:pStyle w:val="TableParagraph"/>
              <w:spacing w:line="226" w:lineRule="exact"/>
              <w:ind w:left="110"/>
            </w:pPr>
            <w:r w:rsidRPr="00451BDA">
              <w:rPr>
                <w:w w:val="99"/>
              </w:rPr>
              <w:t>-</w:t>
            </w:r>
          </w:p>
        </w:tc>
      </w:tr>
      <w:tr w:rsidR="00DB0919" w:rsidRPr="00451BDA" w14:paraId="1E5D94F8" w14:textId="77777777" w:rsidTr="007724B8">
        <w:trPr>
          <w:trHeight w:val="458"/>
        </w:trPr>
        <w:tc>
          <w:tcPr>
            <w:tcW w:w="580" w:type="dxa"/>
          </w:tcPr>
          <w:p w14:paraId="2323ED7F" w14:textId="77777777" w:rsidR="00DB0919" w:rsidRPr="00451BDA" w:rsidRDefault="00DB0919" w:rsidP="007724B8">
            <w:pPr>
              <w:pStyle w:val="TableParagraph"/>
              <w:spacing w:line="226" w:lineRule="exact"/>
              <w:ind w:left="116"/>
            </w:pPr>
            <w:r w:rsidRPr="00451BDA">
              <w:t>25</w:t>
            </w:r>
          </w:p>
        </w:tc>
        <w:tc>
          <w:tcPr>
            <w:tcW w:w="5965" w:type="dxa"/>
          </w:tcPr>
          <w:p w14:paraId="345AE7B8" w14:textId="77777777" w:rsidR="00DB0919" w:rsidRPr="00451BDA" w:rsidRDefault="00DB0919" w:rsidP="007724B8">
            <w:pPr>
              <w:pStyle w:val="TableParagraph"/>
              <w:spacing w:line="228" w:lineRule="exact"/>
              <w:ind w:right="624"/>
            </w:pPr>
            <w:r w:rsidRPr="00451BDA">
              <w:t>To complete a subject or short course to improve cross-cultural</w:t>
            </w:r>
            <w:r w:rsidRPr="00451BDA">
              <w:rPr>
                <w:spacing w:val="-47"/>
              </w:rPr>
              <w:t xml:space="preserve"> </w:t>
            </w:r>
            <w:r w:rsidRPr="00451BDA">
              <w:t>communications</w:t>
            </w:r>
          </w:p>
        </w:tc>
        <w:tc>
          <w:tcPr>
            <w:tcW w:w="936" w:type="dxa"/>
          </w:tcPr>
          <w:p w14:paraId="1E785BBB" w14:textId="77777777" w:rsidR="00DB0919" w:rsidRPr="00451BDA" w:rsidRDefault="00DB0919" w:rsidP="007724B8">
            <w:pPr>
              <w:pStyle w:val="TableParagraph"/>
              <w:spacing w:line="226" w:lineRule="exact"/>
              <w:ind w:left="134"/>
            </w:pPr>
            <w:r w:rsidRPr="00451BDA">
              <w:rPr>
                <w:w w:val="99"/>
              </w:rPr>
              <w:t>-</w:t>
            </w:r>
          </w:p>
        </w:tc>
        <w:tc>
          <w:tcPr>
            <w:tcW w:w="898" w:type="dxa"/>
          </w:tcPr>
          <w:p w14:paraId="0A63DF44" w14:textId="77777777" w:rsidR="00DB0919" w:rsidRPr="00451BDA" w:rsidRDefault="00DB0919" w:rsidP="007724B8">
            <w:pPr>
              <w:pStyle w:val="TableParagraph"/>
              <w:spacing w:line="226" w:lineRule="exact"/>
              <w:ind w:left="118"/>
            </w:pPr>
            <w:r w:rsidRPr="00451BDA">
              <w:rPr>
                <w:w w:val="99"/>
              </w:rPr>
              <w:t>-</w:t>
            </w:r>
          </w:p>
        </w:tc>
        <w:tc>
          <w:tcPr>
            <w:tcW w:w="894" w:type="dxa"/>
          </w:tcPr>
          <w:p w14:paraId="3478EE5F" w14:textId="77777777" w:rsidR="00DB0919" w:rsidRPr="00451BDA" w:rsidRDefault="00DB0919" w:rsidP="007724B8">
            <w:pPr>
              <w:pStyle w:val="TableParagraph"/>
              <w:spacing w:line="226" w:lineRule="exact"/>
              <w:ind w:left="110"/>
            </w:pPr>
            <w:r w:rsidRPr="00451BDA">
              <w:t>0.73</w:t>
            </w:r>
          </w:p>
        </w:tc>
      </w:tr>
      <w:tr w:rsidR="00DB0919" w:rsidRPr="00451BDA" w14:paraId="12132ECD" w14:textId="77777777" w:rsidTr="007724B8">
        <w:trPr>
          <w:trHeight w:val="230"/>
        </w:trPr>
        <w:tc>
          <w:tcPr>
            <w:tcW w:w="580" w:type="dxa"/>
          </w:tcPr>
          <w:p w14:paraId="0728BB80" w14:textId="77777777" w:rsidR="00DB0919" w:rsidRPr="00451BDA" w:rsidRDefault="00DB0919" w:rsidP="007724B8">
            <w:pPr>
              <w:pStyle w:val="TableParagraph"/>
              <w:ind w:left="116"/>
            </w:pPr>
            <w:r w:rsidRPr="00451BDA">
              <w:t>26</w:t>
            </w:r>
          </w:p>
        </w:tc>
        <w:tc>
          <w:tcPr>
            <w:tcW w:w="5965" w:type="dxa"/>
          </w:tcPr>
          <w:p w14:paraId="40ADC2F7" w14:textId="77777777" w:rsidR="00DB0919" w:rsidRPr="00451BDA" w:rsidRDefault="00DB0919" w:rsidP="007724B8">
            <w:pPr>
              <w:pStyle w:val="TableParagraph"/>
            </w:pPr>
            <w:r w:rsidRPr="00451BDA">
              <w:t>To</w:t>
            </w:r>
            <w:r w:rsidRPr="00451BDA">
              <w:rPr>
                <w:spacing w:val="-1"/>
              </w:rPr>
              <w:t xml:space="preserve"> </w:t>
            </w:r>
            <w:r w:rsidRPr="00451BDA">
              <w:t>develop</w:t>
            </w:r>
            <w:r w:rsidRPr="00451BDA">
              <w:rPr>
                <w:spacing w:val="-1"/>
              </w:rPr>
              <w:t xml:space="preserve"> </w:t>
            </w:r>
            <w:r w:rsidRPr="00451BDA">
              <w:t>global</w:t>
            </w:r>
            <w:r w:rsidRPr="00451BDA">
              <w:rPr>
                <w:spacing w:val="-1"/>
              </w:rPr>
              <w:t xml:space="preserve"> </w:t>
            </w:r>
            <w:r w:rsidRPr="00451BDA">
              <w:t>awareness</w:t>
            </w:r>
          </w:p>
        </w:tc>
        <w:tc>
          <w:tcPr>
            <w:tcW w:w="936" w:type="dxa"/>
          </w:tcPr>
          <w:p w14:paraId="651D50AD" w14:textId="77777777" w:rsidR="00DB0919" w:rsidRPr="00451BDA" w:rsidRDefault="00DB0919" w:rsidP="007724B8">
            <w:pPr>
              <w:pStyle w:val="TableParagraph"/>
              <w:ind w:left="134"/>
            </w:pPr>
            <w:r w:rsidRPr="00451BDA">
              <w:rPr>
                <w:w w:val="99"/>
              </w:rPr>
              <w:t>-</w:t>
            </w:r>
          </w:p>
        </w:tc>
        <w:tc>
          <w:tcPr>
            <w:tcW w:w="898" w:type="dxa"/>
          </w:tcPr>
          <w:p w14:paraId="30ACD99C" w14:textId="77777777" w:rsidR="00DB0919" w:rsidRPr="00451BDA" w:rsidRDefault="00DB0919" w:rsidP="007724B8">
            <w:pPr>
              <w:pStyle w:val="TableParagraph"/>
              <w:ind w:left="118"/>
            </w:pPr>
            <w:r w:rsidRPr="00451BDA">
              <w:t>0.54</w:t>
            </w:r>
          </w:p>
        </w:tc>
        <w:tc>
          <w:tcPr>
            <w:tcW w:w="894" w:type="dxa"/>
          </w:tcPr>
          <w:p w14:paraId="72250A90" w14:textId="77777777" w:rsidR="00DB0919" w:rsidRPr="00451BDA" w:rsidRDefault="00DB0919" w:rsidP="007724B8">
            <w:pPr>
              <w:pStyle w:val="TableParagraph"/>
              <w:ind w:left="110"/>
            </w:pPr>
            <w:r w:rsidRPr="00451BDA">
              <w:t>0.40</w:t>
            </w:r>
          </w:p>
        </w:tc>
      </w:tr>
      <w:tr w:rsidR="00DB0919" w:rsidRPr="00451BDA" w14:paraId="09394B3B" w14:textId="77777777" w:rsidTr="007724B8">
        <w:trPr>
          <w:trHeight w:val="230"/>
        </w:trPr>
        <w:tc>
          <w:tcPr>
            <w:tcW w:w="580" w:type="dxa"/>
          </w:tcPr>
          <w:p w14:paraId="04F724F3" w14:textId="77777777" w:rsidR="00DB0919" w:rsidRPr="00451BDA" w:rsidRDefault="00DB0919" w:rsidP="007724B8">
            <w:pPr>
              <w:pStyle w:val="TableParagraph"/>
              <w:spacing w:line="211" w:lineRule="exact"/>
              <w:ind w:left="116"/>
            </w:pPr>
            <w:r w:rsidRPr="00451BDA">
              <w:t>27</w:t>
            </w:r>
          </w:p>
        </w:tc>
        <w:tc>
          <w:tcPr>
            <w:tcW w:w="5965" w:type="dxa"/>
          </w:tcPr>
          <w:p w14:paraId="185133C7" w14:textId="77777777" w:rsidR="00DB0919" w:rsidRPr="00451BDA" w:rsidRDefault="00DB0919" w:rsidP="007724B8">
            <w:pPr>
              <w:pStyle w:val="TableParagraph"/>
              <w:spacing w:line="211" w:lineRule="exact"/>
            </w:pPr>
            <w:r w:rsidRPr="00451BDA">
              <w:t>To</w:t>
            </w:r>
            <w:r w:rsidRPr="00451BDA">
              <w:rPr>
                <w:spacing w:val="-1"/>
              </w:rPr>
              <w:t xml:space="preserve"> </w:t>
            </w:r>
            <w:r w:rsidRPr="00451BDA">
              <w:t>accept</w:t>
            </w:r>
            <w:r w:rsidRPr="00451BDA">
              <w:rPr>
                <w:spacing w:val="-3"/>
              </w:rPr>
              <w:t xml:space="preserve"> </w:t>
            </w:r>
            <w:r w:rsidRPr="00451BDA">
              <w:t>individual</w:t>
            </w:r>
            <w:r w:rsidRPr="00451BDA">
              <w:rPr>
                <w:spacing w:val="-3"/>
              </w:rPr>
              <w:t xml:space="preserve"> </w:t>
            </w:r>
            <w:r w:rsidRPr="00451BDA">
              <w:t>differences</w:t>
            </w:r>
          </w:p>
        </w:tc>
        <w:tc>
          <w:tcPr>
            <w:tcW w:w="936" w:type="dxa"/>
          </w:tcPr>
          <w:p w14:paraId="7E3C274A" w14:textId="77777777" w:rsidR="00DB0919" w:rsidRPr="00451BDA" w:rsidRDefault="00DB0919" w:rsidP="007724B8">
            <w:pPr>
              <w:pStyle w:val="TableParagraph"/>
              <w:spacing w:line="211" w:lineRule="exact"/>
              <w:ind w:left="134"/>
            </w:pPr>
            <w:r w:rsidRPr="00451BDA">
              <w:rPr>
                <w:w w:val="99"/>
              </w:rPr>
              <w:t>-</w:t>
            </w:r>
          </w:p>
        </w:tc>
        <w:tc>
          <w:tcPr>
            <w:tcW w:w="898" w:type="dxa"/>
          </w:tcPr>
          <w:p w14:paraId="64BC4574" w14:textId="77777777" w:rsidR="00DB0919" w:rsidRPr="00451BDA" w:rsidRDefault="00DB0919" w:rsidP="007724B8">
            <w:pPr>
              <w:pStyle w:val="TableParagraph"/>
              <w:spacing w:line="211" w:lineRule="exact"/>
              <w:ind w:left="118"/>
            </w:pPr>
            <w:r w:rsidRPr="00451BDA">
              <w:t>0.51</w:t>
            </w:r>
          </w:p>
        </w:tc>
        <w:tc>
          <w:tcPr>
            <w:tcW w:w="894" w:type="dxa"/>
          </w:tcPr>
          <w:p w14:paraId="25C171D9" w14:textId="77777777" w:rsidR="00DB0919" w:rsidRPr="00451BDA" w:rsidRDefault="00DB0919" w:rsidP="007724B8">
            <w:pPr>
              <w:pStyle w:val="TableParagraph"/>
              <w:spacing w:line="240" w:lineRule="auto"/>
              <w:ind w:left="0"/>
            </w:pPr>
          </w:p>
        </w:tc>
      </w:tr>
      <w:tr w:rsidR="00DB0919" w:rsidRPr="00451BDA" w14:paraId="0C2D493E" w14:textId="77777777" w:rsidTr="007724B8">
        <w:trPr>
          <w:trHeight w:val="230"/>
        </w:trPr>
        <w:tc>
          <w:tcPr>
            <w:tcW w:w="580" w:type="dxa"/>
          </w:tcPr>
          <w:p w14:paraId="7607CF27" w14:textId="77777777" w:rsidR="00DB0919" w:rsidRPr="00451BDA" w:rsidRDefault="00DB0919" w:rsidP="007724B8">
            <w:pPr>
              <w:pStyle w:val="TableParagraph"/>
              <w:spacing w:line="211" w:lineRule="exact"/>
              <w:ind w:left="116"/>
            </w:pPr>
            <w:r w:rsidRPr="00451BDA">
              <w:t>28</w:t>
            </w:r>
          </w:p>
        </w:tc>
        <w:tc>
          <w:tcPr>
            <w:tcW w:w="5965" w:type="dxa"/>
          </w:tcPr>
          <w:p w14:paraId="24A2F844" w14:textId="77777777" w:rsidR="00DB0919" w:rsidRPr="00451BDA" w:rsidRDefault="00DB0919" w:rsidP="007724B8">
            <w:pPr>
              <w:pStyle w:val="TableParagraph"/>
              <w:spacing w:line="211" w:lineRule="exact"/>
            </w:pPr>
            <w:r w:rsidRPr="00451BDA">
              <w:t>To</w:t>
            </w:r>
            <w:r w:rsidRPr="00451BDA">
              <w:rPr>
                <w:spacing w:val="-1"/>
              </w:rPr>
              <w:t xml:space="preserve"> </w:t>
            </w:r>
            <w:r w:rsidRPr="00451BDA">
              <w:t>develop as</w:t>
            </w:r>
            <w:r w:rsidRPr="00451BDA">
              <w:rPr>
                <w:spacing w:val="-2"/>
              </w:rPr>
              <w:t xml:space="preserve"> </w:t>
            </w:r>
            <w:r w:rsidRPr="00451BDA">
              <w:t>global</w:t>
            </w:r>
            <w:r w:rsidRPr="00451BDA">
              <w:rPr>
                <w:spacing w:val="-2"/>
              </w:rPr>
              <w:t xml:space="preserve"> </w:t>
            </w:r>
            <w:r w:rsidRPr="00451BDA">
              <w:t>and</w:t>
            </w:r>
            <w:r w:rsidRPr="00451BDA">
              <w:rPr>
                <w:spacing w:val="-2"/>
              </w:rPr>
              <w:t xml:space="preserve"> </w:t>
            </w:r>
            <w:r w:rsidRPr="00451BDA">
              <w:t>moral</w:t>
            </w:r>
            <w:r w:rsidRPr="00451BDA">
              <w:rPr>
                <w:spacing w:val="-1"/>
              </w:rPr>
              <w:t xml:space="preserve"> </w:t>
            </w:r>
            <w:r w:rsidRPr="00451BDA">
              <w:t>citizens</w:t>
            </w:r>
          </w:p>
        </w:tc>
        <w:tc>
          <w:tcPr>
            <w:tcW w:w="936" w:type="dxa"/>
          </w:tcPr>
          <w:p w14:paraId="1B1B0E2A" w14:textId="77777777" w:rsidR="00DB0919" w:rsidRPr="00451BDA" w:rsidRDefault="00DB0919" w:rsidP="007724B8">
            <w:pPr>
              <w:pStyle w:val="TableParagraph"/>
              <w:spacing w:line="211" w:lineRule="exact"/>
              <w:ind w:left="134"/>
            </w:pPr>
            <w:r w:rsidRPr="00451BDA">
              <w:rPr>
                <w:w w:val="99"/>
              </w:rPr>
              <w:t>-</w:t>
            </w:r>
          </w:p>
        </w:tc>
        <w:tc>
          <w:tcPr>
            <w:tcW w:w="898" w:type="dxa"/>
          </w:tcPr>
          <w:p w14:paraId="77FB2357" w14:textId="77777777" w:rsidR="00DB0919" w:rsidRPr="00451BDA" w:rsidRDefault="00DB0919" w:rsidP="007724B8">
            <w:pPr>
              <w:pStyle w:val="TableParagraph"/>
              <w:spacing w:line="211" w:lineRule="exact"/>
              <w:ind w:left="118"/>
            </w:pPr>
            <w:r w:rsidRPr="00451BDA">
              <w:rPr>
                <w:w w:val="99"/>
              </w:rPr>
              <w:t>-</w:t>
            </w:r>
          </w:p>
        </w:tc>
        <w:tc>
          <w:tcPr>
            <w:tcW w:w="894" w:type="dxa"/>
          </w:tcPr>
          <w:p w14:paraId="7887C8BF" w14:textId="77777777" w:rsidR="00DB0919" w:rsidRPr="00451BDA" w:rsidRDefault="00DB0919" w:rsidP="007724B8">
            <w:pPr>
              <w:pStyle w:val="TableParagraph"/>
              <w:spacing w:line="211" w:lineRule="exact"/>
              <w:ind w:left="110"/>
            </w:pPr>
            <w:r w:rsidRPr="00451BDA">
              <w:t>0.44</w:t>
            </w:r>
          </w:p>
        </w:tc>
      </w:tr>
      <w:tr w:rsidR="00DB0919" w:rsidRPr="00451BDA" w14:paraId="3BAC4242" w14:textId="77777777" w:rsidTr="007724B8">
        <w:trPr>
          <w:trHeight w:val="459"/>
        </w:trPr>
        <w:tc>
          <w:tcPr>
            <w:tcW w:w="580" w:type="dxa"/>
          </w:tcPr>
          <w:p w14:paraId="405F7AC2" w14:textId="77777777" w:rsidR="00DB0919" w:rsidRPr="00451BDA" w:rsidRDefault="00DB0919" w:rsidP="007724B8">
            <w:pPr>
              <w:pStyle w:val="TableParagraph"/>
              <w:spacing w:line="226" w:lineRule="exact"/>
              <w:ind w:left="116"/>
            </w:pPr>
            <w:r w:rsidRPr="00451BDA">
              <w:t>29</w:t>
            </w:r>
          </w:p>
        </w:tc>
        <w:tc>
          <w:tcPr>
            <w:tcW w:w="5965" w:type="dxa"/>
          </w:tcPr>
          <w:p w14:paraId="3F47E7E7" w14:textId="6F43BE39" w:rsidR="00DB0919" w:rsidRPr="00451BDA" w:rsidRDefault="00DB0919" w:rsidP="00F32384">
            <w:pPr>
              <w:pStyle w:val="TableParagraph"/>
              <w:spacing w:line="226" w:lineRule="exact"/>
            </w:pPr>
            <w:r w:rsidRPr="00451BDA">
              <w:t>To</w:t>
            </w:r>
            <w:r w:rsidRPr="00451BDA">
              <w:rPr>
                <w:spacing w:val="-2"/>
              </w:rPr>
              <w:t xml:space="preserve"> </w:t>
            </w:r>
            <w:r w:rsidRPr="00451BDA">
              <w:t>develop</w:t>
            </w:r>
            <w:r w:rsidRPr="00451BDA">
              <w:rPr>
                <w:spacing w:val="-1"/>
              </w:rPr>
              <w:t xml:space="preserve"> </w:t>
            </w:r>
            <w:r w:rsidRPr="00451BDA">
              <w:t>awareness</w:t>
            </w:r>
            <w:r w:rsidRPr="00451BDA">
              <w:rPr>
                <w:spacing w:val="-2"/>
              </w:rPr>
              <w:t xml:space="preserve"> </w:t>
            </w:r>
            <w:r w:rsidRPr="00451BDA">
              <w:t>of</w:t>
            </w:r>
            <w:r w:rsidRPr="00451BDA">
              <w:rPr>
                <w:spacing w:val="-2"/>
              </w:rPr>
              <w:t xml:space="preserve"> </w:t>
            </w:r>
            <w:r w:rsidRPr="00451BDA">
              <w:t>students</w:t>
            </w:r>
            <w:r w:rsidRPr="00451BDA">
              <w:rPr>
                <w:spacing w:val="-3"/>
              </w:rPr>
              <w:t xml:space="preserve"> </w:t>
            </w:r>
            <w:r w:rsidRPr="00451BDA">
              <w:t>on</w:t>
            </w:r>
            <w:r w:rsidRPr="00451BDA">
              <w:rPr>
                <w:spacing w:val="-1"/>
              </w:rPr>
              <w:t xml:space="preserve"> </w:t>
            </w:r>
            <w:r w:rsidRPr="00451BDA">
              <w:t>international,</w:t>
            </w:r>
            <w:r w:rsidRPr="00451BDA">
              <w:rPr>
                <w:spacing w:val="-2"/>
              </w:rPr>
              <w:t xml:space="preserve"> </w:t>
            </w:r>
            <w:r w:rsidRPr="00451BDA">
              <w:t>intercultural,</w:t>
            </w:r>
            <w:r w:rsidRPr="00451BDA">
              <w:rPr>
                <w:spacing w:val="-2"/>
              </w:rPr>
              <w:t xml:space="preserve"> </w:t>
            </w:r>
            <w:r w:rsidRPr="00451BDA">
              <w:t>and</w:t>
            </w:r>
            <w:r w:rsidR="00F32384">
              <w:t xml:space="preserve"> </w:t>
            </w:r>
            <w:r w:rsidRPr="00451BDA">
              <w:t>environmental</w:t>
            </w:r>
            <w:r w:rsidRPr="00451BDA">
              <w:rPr>
                <w:spacing w:val="-2"/>
              </w:rPr>
              <w:t xml:space="preserve"> </w:t>
            </w:r>
            <w:r w:rsidRPr="00451BDA">
              <w:t>matters</w:t>
            </w:r>
          </w:p>
        </w:tc>
        <w:tc>
          <w:tcPr>
            <w:tcW w:w="936" w:type="dxa"/>
          </w:tcPr>
          <w:p w14:paraId="4498544C" w14:textId="77777777" w:rsidR="00DB0919" w:rsidRPr="00451BDA" w:rsidRDefault="00DB0919" w:rsidP="007724B8">
            <w:pPr>
              <w:pStyle w:val="TableParagraph"/>
              <w:spacing w:line="226" w:lineRule="exact"/>
              <w:ind w:left="134"/>
            </w:pPr>
            <w:r w:rsidRPr="00451BDA">
              <w:rPr>
                <w:w w:val="99"/>
              </w:rPr>
              <w:t>-</w:t>
            </w:r>
          </w:p>
        </w:tc>
        <w:tc>
          <w:tcPr>
            <w:tcW w:w="898" w:type="dxa"/>
          </w:tcPr>
          <w:p w14:paraId="22E6B71C" w14:textId="77777777" w:rsidR="00DB0919" w:rsidRPr="00451BDA" w:rsidRDefault="00DB0919" w:rsidP="007724B8">
            <w:pPr>
              <w:pStyle w:val="TableParagraph"/>
              <w:spacing w:line="226" w:lineRule="exact"/>
              <w:ind w:left="118"/>
            </w:pPr>
            <w:r w:rsidRPr="00451BDA">
              <w:t>0.54</w:t>
            </w:r>
          </w:p>
        </w:tc>
        <w:tc>
          <w:tcPr>
            <w:tcW w:w="894" w:type="dxa"/>
          </w:tcPr>
          <w:p w14:paraId="080B7C4D" w14:textId="77777777" w:rsidR="00DB0919" w:rsidRPr="00451BDA" w:rsidRDefault="00DB0919" w:rsidP="007724B8">
            <w:pPr>
              <w:pStyle w:val="TableParagraph"/>
              <w:spacing w:line="226" w:lineRule="exact"/>
              <w:ind w:left="110"/>
            </w:pPr>
            <w:r w:rsidRPr="00451BDA">
              <w:t>0.98</w:t>
            </w:r>
          </w:p>
        </w:tc>
      </w:tr>
      <w:tr w:rsidR="00DB0919" w:rsidRPr="00451BDA" w14:paraId="204A95A7" w14:textId="77777777" w:rsidTr="007724B8">
        <w:trPr>
          <w:trHeight w:val="229"/>
        </w:trPr>
        <w:tc>
          <w:tcPr>
            <w:tcW w:w="580" w:type="dxa"/>
          </w:tcPr>
          <w:p w14:paraId="5A769EDD" w14:textId="77777777" w:rsidR="00DB0919" w:rsidRPr="00451BDA" w:rsidRDefault="00DB0919" w:rsidP="007724B8">
            <w:pPr>
              <w:pStyle w:val="TableParagraph"/>
              <w:spacing w:line="209" w:lineRule="exact"/>
              <w:ind w:left="116"/>
            </w:pPr>
            <w:r w:rsidRPr="00451BDA">
              <w:t>30</w:t>
            </w:r>
          </w:p>
        </w:tc>
        <w:tc>
          <w:tcPr>
            <w:tcW w:w="5965" w:type="dxa"/>
          </w:tcPr>
          <w:p w14:paraId="13B969AB" w14:textId="77777777" w:rsidR="00DB0919" w:rsidRPr="00451BDA" w:rsidRDefault="00DB0919" w:rsidP="007724B8">
            <w:pPr>
              <w:pStyle w:val="TableParagraph"/>
              <w:spacing w:line="209" w:lineRule="exact"/>
            </w:pPr>
            <w:r w:rsidRPr="00451BDA">
              <w:t>To</w:t>
            </w:r>
            <w:r w:rsidRPr="00451BDA">
              <w:rPr>
                <w:spacing w:val="-1"/>
              </w:rPr>
              <w:t xml:space="preserve"> </w:t>
            </w:r>
            <w:r w:rsidRPr="00451BDA">
              <w:t>develop</w:t>
            </w:r>
            <w:r w:rsidRPr="00451BDA">
              <w:rPr>
                <w:spacing w:val="-1"/>
              </w:rPr>
              <w:t xml:space="preserve"> </w:t>
            </w:r>
            <w:r w:rsidRPr="00451BDA">
              <w:t>global</w:t>
            </w:r>
            <w:r w:rsidRPr="00451BDA">
              <w:rPr>
                <w:spacing w:val="-1"/>
              </w:rPr>
              <w:t xml:space="preserve"> </w:t>
            </w:r>
            <w:r w:rsidRPr="00451BDA">
              <w:t>citizenship</w:t>
            </w:r>
          </w:p>
        </w:tc>
        <w:tc>
          <w:tcPr>
            <w:tcW w:w="936" w:type="dxa"/>
          </w:tcPr>
          <w:p w14:paraId="4B176F61" w14:textId="77777777" w:rsidR="00DB0919" w:rsidRPr="00451BDA" w:rsidRDefault="00DB0919" w:rsidP="007724B8">
            <w:pPr>
              <w:pStyle w:val="TableParagraph"/>
              <w:spacing w:line="209" w:lineRule="exact"/>
              <w:ind w:left="134"/>
            </w:pPr>
            <w:r w:rsidRPr="00451BDA">
              <w:rPr>
                <w:w w:val="99"/>
              </w:rPr>
              <w:t>-</w:t>
            </w:r>
          </w:p>
        </w:tc>
        <w:tc>
          <w:tcPr>
            <w:tcW w:w="898" w:type="dxa"/>
          </w:tcPr>
          <w:p w14:paraId="5D18C729" w14:textId="77777777" w:rsidR="00DB0919" w:rsidRPr="00451BDA" w:rsidRDefault="00DB0919" w:rsidP="007724B8">
            <w:pPr>
              <w:pStyle w:val="TableParagraph"/>
              <w:spacing w:line="209" w:lineRule="exact"/>
              <w:ind w:left="118"/>
            </w:pPr>
            <w:r w:rsidRPr="00451BDA">
              <w:t>0.51</w:t>
            </w:r>
          </w:p>
        </w:tc>
        <w:tc>
          <w:tcPr>
            <w:tcW w:w="894" w:type="dxa"/>
          </w:tcPr>
          <w:p w14:paraId="1A9D5174" w14:textId="77777777" w:rsidR="00DB0919" w:rsidRPr="00451BDA" w:rsidRDefault="00DB0919" w:rsidP="007724B8">
            <w:pPr>
              <w:pStyle w:val="TableParagraph"/>
              <w:spacing w:line="209" w:lineRule="exact"/>
              <w:ind w:left="110"/>
            </w:pPr>
            <w:r w:rsidRPr="00451BDA">
              <w:t>0.67</w:t>
            </w:r>
          </w:p>
        </w:tc>
      </w:tr>
      <w:tr w:rsidR="00DB0919" w:rsidRPr="00451BDA" w14:paraId="3FE6D0E8" w14:textId="77777777" w:rsidTr="007724B8">
        <w:trPr>
          <w:trHeight w:val="230"/>
        </w:trPr>
        <w:tc>
          <w:tcPr>
            <w:tcW w:w="580" w:type="dxa"/>
          </w:tcPr>
          <w:p w14:paraId="685BD838" w14:textId="77777777" w:rsidR="00DB0919" w:rsidRPr="00451BDA" w:rsidRDefault="00DB0919" w:rsidP="007724B8">
            <w:pPr>
              <w:pStyle w:val="TableParagraph"/>
              <w:ind w:left="116"/>
            </w:pPr>
            <w:r w:rsidRPr="00451BDA">
              <w:t>31</w:t>
            </w:r>
          </w:p>
        </w:tc>
        <w:tc>
          <w:tcPr>
            <w:tcW w:w="5965" w:type="dxa"/>
          </w:tcPr>
          <w:p w14:paraId="2682D129" w14:textId="77777777" w:rsidR="00DB0919" w:rsidRPr="00451BDA" w:rsidRDefault="00DB0919" w:rsidP="007724B8">
            <w:pPr>
              <w:pStyle w:val="TableParagraph"/>
            </w:pPr>
            <w:r w:rsidRPr="00451BDA">
              <w:t>To</w:t>
            </w:r>
            <w:r w:rsidRPr="00451BDA">
              <w:rPr>
                <w:spacing w:val="-1"/>
              </w:rPr>
              <w:t xml:space="preserve"> </w:t>
            </w:r>
            <w:r w:rsidRPr="00451BDA">
              <w:t>develop understanding</w:t>
            </w:r>
            <w:r w:rsidRPr="00451BDA">
              <w:rPr>
                <w:spacing w:val="-1"/>
              </w:rPr>
              <w:t xml:space="preserve"> </w:t>
            </w:r>
            <w:r w:rsidRPr="00451BDA">
              <w:t>of</w:t>
            </w:r>
            <w:r w:rsidRPr="00451BDA">
              <w:rPr>
                <w:spacing w:val="-1"/>
              </w:rPr>
              <w:t xml:space="preserve"> </w:t>
            </w:r>
            <w:r w:rsidRPr="00451BDA">
              <w:t>other</w:t>
            </w:r>
            <w:r w:rsidRPr="00451BDA">
              <w:rPr>
                <w:spacing w:val="-1"/>
              </w:rPr>
              <w:t xml:space="preserve"> </w:t>
            </w:r>
            <w:r w:rsidRPr="00451BDA">
              <w:t>cultures,</w:t>
            </w:r>
            <w:r w:rsidRPr="00451BDA">
              <w:rPr>
                <w:spacing w:val="-1"/>
              </w:rPr>
              <w:t xml:space="preserve"> </w:t>
            </w:r>
            <w:r w:rsidRPr="00451BDA">
              <w:t>contexts, and</w:t>
            </w:r>
            <w:r w:rsidRPr="00451BDA">
              <w:rPr>
                <w:spacing w:val="-3"/>
              </w:rPr>
              <w:t xml:space="preserve"> </w:t>
            </w:r>
            <w:r w:rsidRPr="00451BDA">
              <w:t>people</w:t>
            </w:r>
          </w:p>
        </w:tc>
        <w:tc>
          <w:tcPr>
            <w:tcW w:w="936" w:type="dxa"/>
          </w:tcPr>
          <w:p w14:paraId="039ECC31" w14:textId="77777777" w:rsidR="00DB0919" w:rsidRPr="00451BDA" w:rsidRDefault="00DB0919" w:rsidP="007724B8">
            <w:pPr>
              <w:pStyle w:val="TableParagraph"/>
              <w:ind w:left="134"/>
            </w:pPr>
            <w:r w:rsidRPr="00451BDA">
              <w:rPr>
                <w:w w:val="99"/>
              </w:rPr>
              <w:t>-</w:t>
            </w:r>
          </w:p>
        </w:tc>
        <w:tc>
          <w:tcPr>
            <w:tcW w:w="898" w:type="dxa"/>
          </w:tcPr>
          <w:p w14:paraId="7E0C3369" w14:textId="77777777" w:rsidR="00DB0919" w:rsidRPr="00451BDA" w:rsidRDefault="00DB0919" w:rsidP="007724B8">
            <w:pPr>
              <w:pStyle w:val="TableParagraph"/>
              <w:ind w:left="118"/>
            </w:pPr>
            <w:r w:rsidRPr="00451BDA">
              <w:rPr>
                <w:w w:val="99"/>
              </w:rPr>
              <w:t>-</w:t>
            </w:r>
          </w:p>
        </w:tc>
        <w:tc>
          <w:tcPr>
            <w:tcW w:w="894" w:type="dxa"/>
          </w:tcPr>
          <w:p w14:paraId="351D4B84" w14:textId="77777777" w:rsidR="00DB0919" w:rsidRPr="00451BDA" w:rsidRDefault="00DB0919" w:rsidP="007724B8">
            <w:pPr>
              <w:pStyle w:val="TableParagraph"/>
              <w:ind w:left="110"/>
            </w:pPr>
            <w:r w:rsidRPr="00451BDA">
              <w:t>0.59</w:t>
            </w:r>
          </w:p>
        </w:tc>
      </w:tr>
      <w:tr w:rsidR="00DB0919" w:rsidRPr="00451BDA" w14:paraId="16C40F70" w14:textId="77777777" w:rsidTr="007724B8">
        <w:trPr>
          <w:trHeight w:val="460"/>
        </w:trPr>
        <w:tc>
          <w:tcPr>
            <w:tcW w:w="580" w:type="dxa"/>
          </w:tcPr>
          <w:p w14:paraId="14E938D7" w14:textId="77777777" w:rsidR="00DB0919" w:rsidRPr="00451BDA" w:rsidRDefault="00DB0919" w:rsidP="007724B8">
            <w:pPr>
              <w:pStyle w:val="TableParagraph"/>
              <w:spacing w:line="226" w:lineRule="exact"/>
              <w:ind w:left="116"/>
            </w:pPr>
            <w:r w:rsidRPr="00451BDA">
              <w:t>32</w:t>
            </w:r>
          </w:p>
        </w:tc>
        <w:tc>
          <w:tcPr>
            <w:tcW w:w="5965" w:type="dxa"/>
          </w:tcPr>
          <w:p w14:paraId="056CCC95" w14:textId="1EA315B1" w:rsidR="00DB0919" w:rsidRPr="00451BDA" w:rsidRDefault="00DB0919" w:rsidP="00F32384">
            <w:pPr>
              <w:pStyle w:val="TableParagraph"/>
              <w:spacing w:line="226" w:lineRule="exact"/>
            </w:pPr>
            <w:r w:rsidRPr="00451BDA">
              <w:t>To</w:t>
            </w:r>
            <w:r w:rsidRPr="00451BDA">
              <w:rPr>
                <w:spacing w:val="-1"/>
              </w:rPr>
              <w:t xml:space="preserve"> </w:t>
            </w:r>
            <w:r w:rsidRPr="00451BDA">
              <w:t>develop</w:t>
            </w:r>
            <w:r w:rsidRPr="00451BDA">
              <w:rPr>
                <w:spacing w:val="1"/>
              </w:rPr>
              <w:t xml:space="preserve"> </w:t>
            </w:r>
            <w:r w:rsidRPr="00451BDA">
              <w:t>awareness</w:t>
            </w:r>
            <w:r w:rsidRPr="00451BDA">
              <w:rPr>
                <w:spacing w:val="-3"/>
              </w:rPr>
              <w:t xml:space="preserve"> </w:t>
            </w:r>
            <w:r w:rsidRPr="00451BDA">
              <w:t>of</w:t>
            </w:r>
            <w:r w:rsidRPr="00451BDA">
              <w:rPr>
                <w:spacing w:val="-3"/>
              </w:rPr>
              <w:t xml:space="preserve"> </w:t>
            </w:r>
            <w:r w:rsidRPr="00451BDA">
              <w:t>protection</w:t>
            </w:r>
            <w:r w:rsidRPr="00451BDA">
              <w:rPr>
                <w:spacing w:val="-1"/>
              </w:rPr>
              <w:t xml:space="preserve"> </w:t>
            </w:r>
            <w:r w:rsidRPr="00451BDA">
              <w:t>of</w:t>
            </w:r>
            <w:r w:rsidRPr="00451BDA">
              <w:rPr>
                <w:spacing w:val="-3"/>
              </w:rPr>
              <w:t xml:space="preserve"> </w:t>
            </w:r>
            <w:r w:rsidRPr="00451BDA">
              <w:t>natural</w:t>
            </w:r>
            <w:r w:rsidRPr="00451BDA">
              <w:rPr>
                <w:spacing w:val="-1"/>
              </w:rPr>
              <w:t xml:space="preserve"> </w:t>
            </w:r>
            <w:r w:rsidRPr="00451BDA">
              <w:t>environment</w:t>
            </w:r>
            <w:r w:rsidRPr="00451BDA">
              <w:rPr>
                <w:spacing w:val="-3"/>
              </w:rPr>
              <w:t xml:space="preserve"> </w:t>
            </w:r>
            <w:r w:rsidRPr="00451BDA">
              <w:t>for</w:t>
            </w:r>
            <w:r w:rsidRPr="00451BDA">
              <w:rPr>
                <w:spacing w:val="-1"/>
              </w:rPr>
              <w:t xml:space="preserve"> </w:t>
            </w:r>
            <w:r w:rsidRPr="00451BDA">
              <w:t>the</w:t>
            </w:r>
            <w:r w:rsidR="00F32384">
              <w:t xml:space="preserve"> </w:t>
            </w:r>
            <w:r w:rsidRPr="00451BDA">
              <w:t>global</w:t>
            </w:r>
            <w:r w:rsidRPr="00451BDA">
              <w:rPr>
                <w:spacing w:val="-1"/>
              </w:rPr>
              <w:t xml:space="preserve"> </w:t>
            </w:r>
            <w:r w:rsidRPr="00451BDA">
              <w:t>good</w:t>
            </w:r>
          </w:p>
        </w:tc>
        <w:tc>
          <w:tcPr>
            <w:tcW w:w="936" w:type="dxa"/>
          </w:tcPr>
          <w:p w14:paraId="39F12734" w14:textId="77777777" w:rsidR="00DB0919" w:rsidRPr="00451BDA" w:rsidRDefault="00DB0919" w:rsidP="007724B8">
            <w:pPr>
              <w:pStyle w:val="TableParagraph"/>
              <w:spacing w:line="226" w:lineRule="exact"/>
              <w:ind w:left="134"/>
            </w:pPr>
            <w:r w:rsidRPr="00451BDA">
              <w:rPr>
                <w:w w:val="99"/>
              </w:rPr>
              <w:t>-</w:t>
            </w:r>
          </w:p>
        </w:tc>
        <w:tc>
          <w:tcPr>
            <w:tcW w:w="898" w:type="dxa"/>
          </w:tcPr>
          <w:p w14:paraId="7379BCC5" w14:textId="77777777" w:rsidR="00DB0919" w:rsidRPr="00451BDA" w:rsidRDefault="00DB0919" w:rsidP="007724B8">
            <w:pPr>
              <w:pStyle w:val="TableParagraph"/>
              <w:spacing w:line="226" w:lineRule="exact"/>
              <w:ind w:left="118"/>
            </w:pPr>
            <w:r w:rsidRPr="00451BDA">
              <w:rPr>
                <w:w w:val="99"/>
              </w:rPr>
              <w:t>-</w:t>
            </w:r>
          </w:p>
        </w:tc>
        <w:tc>
          <w:tcPr>
            <w:tcW w:w="894" w:type="dxa"/>
          </w:tcPr>
          <w:p w14:paraId="204BCB54" w14:textId="77777777" w:rsidR="00DB0919" w:rsidRPr="00451BDA" w:rsidRDefault="00DB0919" w:rsidP="007724B8">
            <w:pPr>
              <w:pStyle w:val="TableParagraph"/>
              <w:spacing w:line="226" w:lineRule="exact"/>
              <w:ind w:left="110"/>
            </w:pPr>
            <w:r w:rsidRPr="00451BDA">
              <w:t>0.87</w:t>
            </w:r>
          </w:p>
        </w:tc>
      </w:tr>
      <w:tr w:rsidR="00DB0919" w:rsidRPr="00451BDA" w14:paraId="21B03B00" w14:textId="77777777" w:rsidTr="007724B8">
        <w:trPr>
          <w:trHeight w:val="459"/>
        </w:trPr>
        <w:tc>
          <w:tcPr>
            <w:tcW w:w="580" w:type="dxa"/>
          </w:tcPr>
          <w:p w14:paraId="7A90FED2" w14:textId="77777777" w:rsidR="00DB0919" w:rsidRPr="00451BDA" w:rsidRDefault="00DB0919" w:rsidP="007724B8">
            <w:pPr>
              <w:pStyle w:val="TableParagraph"/>
              <w:spacing w:line="226" w:lineRule="exact"/>
              <w:ind w:left="116"/>
            </w:pPr>
            <w:r w:rsidRPr="00451BDA">
              <w:t>33</w:t>
            </w:r>
          </w:p>
        </w:tc>
        <w:tc>
          <w:tcPr>
            <w:tcW w:w="5965" w:type="dxa"/>
          </w:tcPr>
          <w:p w14:paraId="5C04CA13" w14:textId="726C5918" w:rsidR="00DB0919" w:rsidRPr="00451BDA" w:rsidRDefault="00DB0919" w:rsidP="00F32384">
            <w:pPr>
              <w:pStyle w:val="TableParagraph"/>
              <w:spacing w:line="226" w:lineRule="exact"/>
            </w:pPr>
            <w:r w:rsidRPr="00451BDA">
              <w:t>To</w:t>
            </w:r>
            <w:r w:rsidRPr="00451BDA">
              <w:rPr>
                <w:spacing w:val="-1"/>
              </w:rPr>
              <w:t xml:space="preserve"> </w:t>
            </w:r>
            <w:r w:rsidRPr="00451BDA">
              <w:t>develop understanding to</w:t>
            </w:r>
            <w:r w:rsidRPr="00451BDA">
              <w:rPr>
                <w:spacing w:val="-3"/>
              </w:rPr>
              <w:t xml:space="preserve"> </w:t>
            </w:r>
            <w:r w:rsidRPr="00451BDA">
              <w:t>help</w:t>
            </w:r>
            <w:r w:rsidRPr="00451BDA">
              <w:rPr>
                <w:spacing w:val="-1"/>
              </w:rPr>
              <w:t xml:space="preserve"> </w:t>
            </w:r>
            <w:r w:rsidRPr="00451BDA">
              <w:t>and support</w:t>
            </w:r>
            <w:r w:rsidRPr="00451BDA">
              <w:rPr>
                <w:spacing w:val="-4"/>
              </w:rPr>
              <w:t xml:space="preserve"> </w:t>
            </w:r>
            <w:r w:rsidRPr="00451BDA">
              <w:t>people</w:t>
            </w:r>
            <w:r w:rsidRPr="00451BDA">
              <w:rPr>
                <w:spacing w:val="-3"/>
              </w:rPr>
              <w:t xml:space="preserve"> </w:t>
            </w:r>
            <w:r w:rsidRPr="00451BDA">
              <w:t>outside</w:t>
            </w:r>
            <w:r w:rsidRPr="00451BDA">
              <w:rPr>
                <w:spacing w:val="-4"/>
              </w:rPr>
              <w:t xml:space="preserve"> </w:t>
            </w:r>
            <w:r w:rsidRPr="00451BDA">
              <w:t>one’s</w:t>
            </w:r>
            <w:r w:rsidR="00F32384">
              <w:t xml:space="preserve"> </w:t>
            </w:r>
            <w:r w:rsidRPr="00451BDA">
              <w:t>own group</w:t>
            </w:r>
          </w:p>
        </w:tc>
        <w:tc>
          <w:tcPr>
            <w:tcW w:w="936" w:type="dxa"/>
          </w:tcPr>
          <w:p w14:paraId="3EC911AB" w14:textId="77777777" w:rsidR="00DB0919" w:rsidRPr="00451BDA" w:rsidRDefault="00DB0919" w:rsidP="007724B8">
            <w:pPr>
              <w:pStyle w:val="TableParagraph"/>
              <w:spacing w:line="226" w:lineRule="exact"/>
              <w:ind w:left="134"/>
            </w:pPr>
            <w:r w:rsidRPr="00451BDA">
              <w:rPr>
                <w:w w:val="99"/>
              </w:rPr>
              <w:t>-</w:t>
            </w:r>
          </w:p>
        </w:tc>
        <w:tc>
          <w:tcPr>
            <w:tcW w:w="898" w:type="dxa"/>
          </w:tcPr>
          <w:p w14:paraId="42B7B3FF" w14:textId="77777777" w:rsidR="00DB0919" w:rsidRPr="00451BDA" w:rsidRDefault="00DB0919" w:rsidP="007724B8">
            <w:pPr>
              <w:pStyle w:val="TableParagraph"/>
              <w:spacing w:line="226" w:lineRule="exact"/>
              <w:ind w:left="118"/>
            </w:pPr>
            <w:r w:rsidRPr="00451BDA">
              <w:t>0.56</w:t>
            </w:r>
          </w:p>
        </w:tc>
        <w:tc>
          <w:tcPr>
            <w:tcW w:w="894" w:type="dxa"/>
          </w:tcPr>
          <w:p w14:paraId="1C81268A" w14:textId="77777777" w:rsidR="00DB0919" w:rsidRPr="00451BDA" w:rsidRDefault="00DB0919" w:rsidP="007724B8">
            <w:pPr>
              <w:pStyle w:val="TableParagraph"/>
              <w:spacing w:line="226" w:lineRule="exact"/>
              <w:ind w:left="110"/>
            </w:pPr>
            <w:r w:rsidRPr="00451BDA">
              <w:rPr>
                <w:w w:val="99"/>
              </w:rPr>
              <w:t>-</w:t>
            </w:r>
          </w:p>
        </w:tc>
      </w:tr>
      <w:tr w:rsidR="00DB0919" w:rsidRPr="00451BDA" w14:paraId="2529CF3B" w14:textId="77777777" w:rsidTr="007724B8">
        <w:trPr>
          <w:trHeight w:val="226"/>
        </w:trPr>
        <w:tc>
          <w:tcPr>
            <w:tcW w:w="580" w:type="dxa"/>
            <w:tcBorders>
              <w:bottom w:val="single" w:sz="4" w:space="0" w:color="000000"/>
            </w:tcBorders>
          </w:tcPr>
          <w:p w14:paraId="00D431B1" w14:textId="4C7CA676" w:rsidR="00DB0919" w:rsidRPr="00451BDA" w:rsidRDefault="00C31E82" w:rsidP="007724B8">
            <w:pPr>
              <w:pStyle w:val="TableParagraph"/>
              <w:spacing w:line="207" w:lineRule="exact"/>
              <w:ind w:left="116"/>
              <w:rPr>
                <w:i/>
              </w:rPr>
            </w:pPr>
            <w:r w:rsidRPr="00451BDA">
              <w:rPr>
                <w:i/>
                <w:w w:val="99"/>
              </w:rPr>
              <w:t>R</w:t>
            </w:r>
          </w:p>
        </w:tc>
        <w:tc>
          <w:tcPr>
            <w:tcW w:w="5965" w:type="dxa"/>
            <w:tcBorders>
              <w:bottom w:val="single" w:sz="4" w:space="0" w:color="000000"/>
            </w:tcBorders>
          </w:tcPr>
          <w:p w14:paraId="6782F9BD" w14:textId="77777777" w:rsidR="00DB0919" w:rsidRPr="00451BDA" w:rsidRDefault="00DB0919" w:rsidP="007724B8">
            <w:pPr>
              <w:pStyle w:val="TableParagraph"/>
              <w:spacing w:line="240" w:lineRule="auto"/>
              <w:ind w:left="0"/>
            </w:pPr>
          </w:p>
        </w:tc>
        <w:tc>
          <w:tcPr>
            <w:tcW w:w="936" w:type="dxa"/>
            <w:tcBorders>
              <w:bottom w:val="single" w:sz="4" w:space="0" w:color="000000"/>
            </w:tcBorders>
          </w:tcPr>
          <w:p w14:paraId="26B3A878" w14:textId="77777777" w:rsidR="00DB0919" w:rsidRPr="00451BDA" w:rsidRDefault="00DB0919" w:rsidP="007724B8">
            <w:pPr>
              <w:pStyle w:val="TableParagraph"/>
              <w:spacing w:line="207" w:lineRule="exact"/>
              <w:ind w:left="134"/>
            </w:pPr>
            <w:r w:rsidRPr="00451BDA">
              <w:t>0.87</w:t>
            </w:r>
          </w:p>
        </w:tc>
        <w:tc>
          <w:tcPr>
            <w:tcW w:w="898" w:type="dxa"/>
            <w:tcBorders>
              <w:bottom w:val="single" w:sz="4" w:space="0" w:color="000000"/>
            </w:tcBorders>
          </w:tcPr>
          <w:p w14:paraId="5552DC9C" w14:textId="77777777" w:rsidR="00DB0919" w:rsidRPr="00451BDA" w:rsidRDefault="00DB0919" w:rsidP="007724B8">
            <w:pPr>
              <w:pStyle w:val="TableParagraph"/>
              <w:spacing w:line="207" w:lineRule="exact"/>
              <w:ind w:left="118"/>
            </w:pPr>
            <w:r w:rsidRPr="00451BDA">
              <w:t>0.91</w:t>
            </w:r>
          </w:p>
        </w:tc>
        <w:tc>
          <w:tcPr>
            <w:tcW w:w="894" w:type="dxa"/>
            <w:tcBorders>
              <w:bottom w:val="single" w:sz="4" w:space="0" w:color="000000"/>
            </w:tcBorders>
          </w:tcPr>
          <w:p w14:paraId="66E61E6B" w14:textId="77777777" w:rsidR="00DB0919" w:rsidRPr="00451BDA" w:rsidRDefault="00DB0919" w:rsidP="007724B8">
            <w:pPr>
              <w:pStyle w:val="TableParagraph"/>
              <w:spacing w:line="207" w:lineRule="exact"/>
              <w:ind w:left="110"/>
            </w:pPr>
            <w:r w:rsidRPr="00451BDA">
              <w:t>0.91</w:t>
            </w:r>
          </w:p>
        </w:tc>
      </w:tr>
    </w:tbl>
    <w:p w14:paraId="4FFFD489" w14:textId="77777777" w:rsidR="00DB0919" w:rsidRPr="00451BDA" w:rsidRDefault="00DB0919" w:rsidP="00DB0919">
      <w:pPr>
        <w:pStyle w:val="BodyText"/>
        <w:rPr>
          <w:sz w:val="22"/>
          <w:szCs w:val="22"/>
        </w:rPr>
      </w:pPr>
      <w:r w:rsidRPr="00451BDA">
        <w:rPr>
          <w:sz w:val="22"/>
          <w:szCs w:val="22"/>
        </w:rPr>
        <w:t>Source(s):</w:t>
      </w:r>
      <w:r w:rsidRPr="00451BDA">
        <w:rPr>
          <w:spacing w:val="-3"/>
          <w:sz w:val="22"/>
          <w:szCs w:val="22"/>
        </w:rPr>
        <w:t xml:space="preserve"> </w:t>
      </w:r>
      <w:r w:rsidRPr="00451BDA">
        <w:rPr>
          <w:sz w:val="22"/>
          <w:szCs w:val="22"/>
        </w:rPr>
        <w:t>Created</w:t>
      </w:r>
      <w:r w:rsidRPr="00451BDA">
        <w:rPr>
          <w:spacing w:val="-1"/>
          <w:sz w:val="22"/>
          <w:szCs w:val="22"/>
        </w:rPr>
        <w:t xml:space="preserve"> </w:t>
      </w:r>
      <w:r w:rsidRPr="00451BDA">
        <w:rPr>
          <w:sz w:val="22"/>
          <w:szCs w:val="22"/>
        </w:rPr>
        <w:t>by</w:t>
      </w:r>
      <w:r w:rsidRPr="00451BDA">
        <w:rPr>
          <w:spacing w:val="-3"/>
          <w:sz w:val="22"/>
          <w:szCs w:val="22"/>
        </w:rPr>
        <w:t xml:space="preserve"> </w:t>
      </w:r>
      <w:proofErr w:type="gramStart"/>
      <w:r w:rsidRPr="00451BDA">
        <w:rPr>
          <w:sz w:val="22"/>
          <w:szCs w:val="22"/>
        </w:rPr>
        <w:t>authors</w:t>
      </w:r>
      <w:proofErr w:type="gramEnd"/>
    </w:p>
    <w:p w14:paraId="69E1DE03" w14:textId="77777777" w:rsidR="00C5130E" w:rsidRPr="00451BDA" w:rsidRDefault="00C5130E" w:rsidP="00C5130E">
      <w:pPr>
        <w:shd w:val="clear" w:color="auto" w:fill="FFFFFF" w:themeFill="background1"/>
        <w:spacing w:line="240" w:lineRule="auto"/>
        <w:ind w:firstLine="720"/>
        <w:contextualSpacing/>
        <w:rPr>
          <w:rFonts w:ascii="Times New Roman" w:eastAsia="Times New Roman" w:hAnsi="Times New Roman" w:cs="Times New Roman"/>
        </w:rPr>
      </w:pPr>
    </w:p>
    <w:p w14:paraId="190EFB53" w14:textId="54202178" w:rsidR="00C5130E" w:rsidRPr="00451BDA" w:rsidRDefault="00000000" w:rsidP="00C5130E">
      <w:pPr>
        <w:shd w:val="clear" w:color="auto" w:fill="FFFFFF" w:themeFill="background1"/>
        <w:spacing w:line="240" w:lineRule="auto"/>
        <w:ind w:firstLine="720"/>
        <w:contextualSpacing/>
        <w:rPr>
          <w:rFonts w:ascii="Times New Roman" w:eastAsia="Times New Roman" w:hAnsi="Times New Roman" w:cs="Times New Roman"/>
        </w:rPr>
      </w:pPr>
      <w:r w:rsidRPr="00451BDA">
        <w:rPr>
          <w:rFonts w:ascii="Times New Roman" w:eastAsia="Times New Roman" w:hAnsi="Times New Roman" w:cs="Times New Roman"/>
        </w:rPr>
        <w:t xml:space="preserve">Three </w:t>
      </w:r>
      <w:r w:rsidR="00581034" w:rsidRPr="00451BDA">
        <w:rPr>
          <w:rFonts w:ascii="Times New Roman" w:eastAsia="Times New Roman" w:hAnsi="Times New Roman" w:cs="Times New Roman"/>
        </w:rPr>
        <w:t>factors</w:t>
      </w:r>
      <w:r w:rsidRPr="00451BDA">
        <w:rPr>
          <w:rFonts w:ascii="Times New Roman" w:eastAsia="Times New Roman" w:hAnsi="Times New Roman" w:cs="Times New Roman"/>
        </w:rPr>
        <w:t xml:space="preserve"> were elicited through</w:t>
      </w:r>
      <w:r w:rsidR="00581034" w:rsidRPr="00451BDA">
        <w:rPr>
          <w:rFonts w:ascii="Times New Roman" w:eastAsia="Times New Roman" w:hAnsi="Times New Roman" w:cs="Times New Roman"/>
        </w:rPr>
        <w:t xml:space="preserve"> </w:t>
      </w:r>
      <w:proofErr w:type="spellStart"/>
      <w:r w:rsidR="00581034" w:rsidRPr="00451BDA">
        <w:rPr>
          <w:rFonts w:ascii="Times New Roman" w:eastAsia="Times New Roman" w:hAnsi="Times New Roman" w:cs="Times New Roman"/>
        </w:rPr>
        <w:t>promax</w:t>
      </w:r>
      <w:proofErr w:type="spellEnd"/>
      <w:r w:rsidR="00581034" w:rsidRPr="00451BDA">
        <w:rPr>
          <w:rFonts w:ascii="Times New Roman" w:eastAsia="Times New Roman" w:hAnsi="Times New Roman" w:cs="Times New Roman"/>
        </w:rPr>
        <w:t xml:space="preserve"> </w:t>
      </w:r>
      <w:r w:rsidR="004F52DB" w:rsidRPr="00451BDA">
        <w:rPr>
          <w:rFonts w:ascii="Times New Roman" w:eastAsia="Times New Roman" w:hAnsi="Times New Roman" w:cs="Times New Roman"/>
        </w:rPr>
        <w:t>using</w:t>
      </w:r>
      <w:r w:rsidR="00FF156E" w:rsidRPr="00451BDA">
        <w:rPr>
          <w:rFonts w:ascii="Times New Roman" w:eastAsia="Times New Roman" w:hAnsi="Times New Roman" w:cs="Times New Roman"/>
        </w:rPr>
        <w:t xml:space="preserve"> </w:t>
      </w:r>
      <w:r w:rsidR="004F52DB" w:rsidRPr="00451BDA">
        <w:rPr>
          <w:rFonts w:ascii="Times New Roman" w:eastAsia="Times New Roman" w:hAnsi="Times New Roman" w:cs="Times New Roman"/>
        </w:rPr>
        <w:t xml:space="preserve">he </w:t>
      </w:r>
      <w:r w:rsidR="00FF156E" w:rsidRPr="00451BDA">
        <w:rPr>
          <w:rFonts w:ascii="Times New Roman" w:eastAsia="Times New Roman" w:hAnsi="Times New Roman" w:cs="Times New Roman"/>
        </w:rPr>
        <w:t xml:space="preserve">suppression method </w:t>
      </w:r>
      <w:r w:rsidR="00581034" w:rsidRPr="00451BDA">
        <w:rPr>
          <w:rFonts w:ascii="Times New Roman" w:eastAsia="Times New Roman" w:hAnsi="Times New Roman" w:cs="Times New Roman"/>
        </w:rPr>
        <w:t>of</w:t>
      </w:r>
      <w:r w:rsidRPr="00451BDA">
        <w:rPr>
          <w:rFonts w:ascii="Times New Roman" w:eastAsia="Times New Roman" w:hAnsi="Times New Roman" w:cs="Times New Roman"/>
        </w:rPr>
        <w:t xml:space="preserve"> factor analysis, which was selected to obtain a simple solution (Abdi, 2003) considering the sources of item pool generation </w:t>
      </w:r>
      <w:r w:rsidR="00581034" w:rsidRPr="00451BDA">
        <w:rPr>
          <w:rFonts w:ascii="Times New Roman" w:eastAsia="Times New Roman" w:hAnsi="Times New Roman" w:cs="Times New Roman"/>
        </w:rPr>
        <w:t>(</w:t>
      </w:r>
      <w:r w:rsidRPr="00451BDA">
        <w:rPr>
          <w:rFonts w:ascii="Times New Roman" w:eastAsia="Times New Roman" w:hAnsi="Times New Roman" w:cs="Times New Roman"/>
        </w:rPr>
        <w:t>employability skills and global citizenship</w:t>
      </w:r>
      <w:r w:rsidR="00581034" w:rsidRPr="00451BDA">
        <w:rPr>
          <w:rFonts w:ascii="Times New Roman" w:eastAsia="Times New Roman" w:hAnsi="Times New Roman" w:cs="Times New Roman"/>
        </w:rPr>
        <w:t>)</w:t>
      </w:r>
      <w:r w:rsidRPr="00451BDA">
        <w:rPr>
          <w:rFonts w:ascii="Times New Roman" w:eastAsia="Times New Roman" w:hAnsi="Times New Roman" w:cs="Times New Roman"/>
        </w:rPr>
        <w:t xml:space="preserve">, with less previous statistical support for using factor solutions. </w:t>
      </w:r>
      <w:r w:rsidR="00581034" w:rsidRPr="00451BDA">
        <w:rPr>
          <w:rFonts w:ascii="Times New Roman" w:eastAsia="Times New Roman" w:hAnsi="Times New Roman" w:cs="Times New Roman"/>
        </w:rPr>
        <w:t>T</w:t>
      </w:r>
      <w:r w:rsidRPr="00451BDA">
        <w:rPr>
          <w:rFonts w:ascii="Times New Roman" w:eastAsia="Times New Roman" w:hAnsi="Times New Roman" w:cs="Times New Roman"/>
        </w:rPr>
        <w:t xml:space="preserve">he three </w:t>
      </w:r>
      <w:r w:rsidR="00581034" w:rsidRPr="00451BDA">
        <w:rPr>
          <w:rFonts w:ascii="Times New Roman" w:eastAsia="Times New Roman" w:hAnsi="Times New Roman" w:cs="Times New Roman"/>
        </w:rPr>
        <w:t>factors</w:t>
      </w:r>
      <w:r w:rsidRPr="00451BDA">
        <w:rPr>
          <w:rFonts w:ascii="Times New Roman" w:eastAsia="Times New Roman" w:hAnsi="Times New Roman" w:cs="Times New Roman"/>
        </w:rPr>
        <w:t xml:space="preserve"> were found to be reliable and valid, as they yielded significant correlations with the total.</w:t>
      </w:r>
      <w:r w:rsidR="000834A2" w:rsidRPr="00451BDA">
        <w:rPr>
          <w:rFonts w:ascii="Times New Roman" w:eastAsia="Times New Roman" w:hAnsi="Times New Roman" w:cs="Times New Roman"/>
        </w:rPr>
        <w:t xml:space="preserve"> </w:t>
      </w:r>
      <w:proofErr w:type="spellStart"/>
      <w:r w:rsidRPr="00451BDA">
        <w:rPr>
          <w:rFonts w:ascii="Times New Roman" w:eastAsia="Times New Roman" w:hAnsi="Times New Roman" w:cs="Times New Roman"/>
        </w:rPr>
        <w:t>Interfactor</w:t>
      </w:r>
      <w:proofErr w:type="spellEnd"/>
      <w:r w:rsidRPr="00451BDA">
        <w:rPr>
          <w:rFonts w:ascii="Times New Roman" w:eastAsia="Times New Roman" w:hAnsi="Times New Roman" w:cs="Times New Roman"/>
        </w:rPr>
        <w:t xml:space="preserve"> correlations of the </w:t>
      </w:r>
      <w:r w:rsidR="00442D99" w:rsidRPr="00451BDA">
        <w:rPr>
          <w:rFonts w:ascii="Times New Roman" w:eastAsia="Times New Roman" w:hAnsi="Times New Roman" w:cs="Times New Roman"/>
        </w:rPr>
        <w:t xml:space="preserve">PIC-F </w:t>
      </w:r>
      <w:r w:rsidRPr="00451BDA">
        <w:rPr>
          <w:rFonts w:ascii="Times New Roman" w:eastAsia="Times New Roman" w:hAnsi="Times New Roman" w:cs="Times New Roman"/>
        </w:rPr>
        <w:t xml:space="preserve">Scale were found to be moderate (from .60 to .76), which supported the </w:t>
      </w:r>
      <w:r w:rsidR="00581034" w:rsidRPr="00451BDA">
        <w:rPr>
          <w:rFonts w:ascii="Times New Roman" w:eastAsia="Times New Roman" w:hAnsi="Times New Roman" w:cs="Times New Roman"/>
        </w:rPr>
        <w:t>factor solution</w:t>
      </w:r>
      <w:r w:rsidRPr="00451BDA">
        <w:rPr>
          <w:rFonts w:ascii="Times New Roman" w:eastAsia="Times New Roman" w:hAnsi="Times New Roman" w:cs="Times New Roman"/>
        </w:rPr>
        <w:t xml:space="preserve">. </w:t>
      </w:r>
      <w:r w:rsidR="00581034" w:rsidRPr="00451BDA">
        <w:rPr>
          <w:rFonts w:ascii="Times New Roman" w:eastAsia="Times New Roman" w:hAnsi="Times New Roman" w:cs="Times New Roman"/>
        </w:rPr>
        <w:t xml:space="preserve">A review of </w:t>
      </w:r>
      <w:r w:rsidRPr="00451BDA">
        <w:rPr>
          <w:rFonts w:ascii="Times New Roman" w:eastAsia="Times New Roman" w:hAnsi="Times New Roman" w:cs="Times New Roman"/>
        </w:rPr>
        <w:t xml:space="preserve">the items and the theoretical background was </w:t>
      </w:r>
      <w:r w:rsidR="00581034" w:rsidRPr="00451BDA">
        <w:rPr>
          <w:rFonts w:ascii="Times New Roman" w:eastAsia="Times New Roman" w:hAnsi="Times New Roman" w:cs="Times New Roman"/>
        </w:rPr>
        <w:t>performed to label the factors. T</w:t>
      </w:r>
      <w:r w:rsidRPr="00451BDA">
        <w:rPr>
          <w:rFonts w:ascii="Times New Roman" w:eastAsia="Times New Roman" w:hAnsi="Times New Roman" w:cs="Times New Roman"/>
        </w:rPr>
        <w:t>he</w:t>
      </w:r>
      <w:r w:rsidR="00581034" w:rsidRPr="00451BDA">
        <w:rPr>
          <w:rFonts w:ascii="Times New Roman" w:eastAsia="Times New Roman" w:hAnsi="Times New Roman" w:cs="Times New Roman"/>
        </w:rPr>
        <w:t>y were l</w:t>
      </w:r>
      <w:r w:rsidRPr="00451BDA">
        <w:rPr>
          <w:rFonts w:ascii="Times New Roman" w:eastAsia="Times New Roman" w:hAnsi="Times New Roman" w:cs="Times New Roman"/>
        </w:rPr>
        <w:t xml:space="preserve">abelled as curriculum embedded in labor market information (CLM, factor 1), curriculum embedded in employability skills (CES, factor 2), and curriculum embedded in global citizenship (CGC, factor 3). </w:t>
      </w:r>
    </w:p>
    <w:p w14:paraId="6A7D1972" w14:textId="77777777" w:rsidR="00561107" w:rsidRPr="00451BDA" w:rsidRDefault="00561107" w:rsidP="00B51699">
      <w:pPr>
        <w:shd w:val="clear" w:color="auto" w:fill="FFFFFF" w:themeFill="background1"/>
        <w:spacing w:line="240" w:lineRule="auto"/>
        <w:contextualSpacing/>
        <w:rPr>
          <w:rFonts w:ascii="Times New Roman" w:eastAsia="Times New Roman" w:hAnsi="Times New Roman" w:cs="Times New Roman"/>
          <w:bCs/>
        </w:rPr>
      </w:pPr>
    </w:p>
    <w:p w14:paraId="21A96231" w14:textId="7BFB15B7" w:rsidR="00236B1D" w:rsidRPr="00451BDA" w:rsidRDefault="00000000" w:rsidP="00B51699">
      <w:pPr>
        <w:shd w:val="clear" w:color="auto" w:fill="FFFFFF" w:themeFill="background1"/>
        <w:spacing w:line="240" w:lineRule="auto"/>
        <w:contextualSpacing/>
        <w:rPr>
          <w:rFonts w:ascii="Times New Roman" w:eastAsia="Times New Roman" w:hAnsi="Times New Roman" w:cs="Times New Roman"/>
          <w:b/>
        </w:rPr>
      </w:pPr>
      <w:r w:rsidRPr="00451BDA">
        <w:rPr>
          <w:rFonts w:ascii="Times New Roman" w:eastAsia="Times New Roman" w:hAnsi="Times New Roman" w:cs="Times New Roman"/>
          <w:b/>
        </w:rPr>
        <w:t>Exploratory analyses</w:t>
      </w:r>
    </w:p>
    <w:p w14:paraId="7A28AA5E" w14:textId="335A1C19" w:rsidR="00236B1D" w:rsidRPr="00451BDA" w:rsidRDefault="00000000" w:rsidP="00236B1D">
      <w:pPr>
        <w:shd w:val="clear" w:color="auto" w:fill="FFFFFF" w:themeFill="background1"/>
        <w:spacing w:line="240" w:lineRule="auto"/>
        <w:ind w:firstLine="720"/>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The exploratory analyses showed that 99% of </w:t>
      </w:r>
      <w:r w:rsidR="00523849" w:rsidRPr="00451BDA">
        <w:rPr>
          <w:rFonts w:ascii="Times New Roman" w:eastAsia="Times New Roman" w:hAnsi="Times New Roman" w:cs="Times New Roman"/>
          <w:bCs/>
        </w:rPr>
        <w:t>FM</w:t>
      </w:r>
      <w:r w:rsidRPr="00451BDA">
        <w:rPr>
          <w:rFonts w:ascii="Times New Roman" w:eastAsia="Times New Roman" w:hAnsi="Times New Roman" w:cs="Times New Roman"/>
          <w:bCs/>
        </w:rPr>
        <w:t xml:space="preserve"> reported having full-time work positions and that 85% of </w:t>
      </w:r>
      <w:r w:rsidR="00523849" w:rsidRPr="00451BDA">
        <w:rPr>
          <w:rFonts w:ascii="Times New Roman" w:eastAsia="Times New Roman" w:hAnsi="Times New Roman" w:cs="Times New Roman"/>
          <w:bCs/>
        </w:rPr>
        <w:t>FM</w:t>
      </w:r>
      <w:r w:rsidRPr="00451BDA">
        <w:rPr>
          <w:rFonts w:ascii="Times New Roman" w:eastAsia="Times New Roman" w:hAnsi="Times New Roman" w:cs="Times New Roman"/>
          <w:bCs/>
        </w:rPr>
        <w:t xml:space="preserve"> indicated that they had opportunities for international workshops and conferences. The data indicate upward trends </w:t>
      </w:r>
      <w:r w:rsidR="00EB65B7" w:rsidRPr="00451BDA">
        <w:rPr>
          <w:rFonts w:ascii="Times New Roman" w:eastAsia="Times New Roman" w:hAnsi="Times New Roman" w:cs="Times New Roman"/>
          <w:bCs/>
        </w:rPr>
        <w:t xml:space="preserve">of </w:t>
      </w:r>
      <w:r w:rsidR="00523849" w:rsidRPr="00451BDA">
        <w:rPr>
          <w:rFonts w:ascii="Times New Roman" w:eastAsia="Times New Roman" w:hAnsi="Times New Roman" w:cs="Times New Roman"/>
          <w:bCs/>
        </w:rPr>
        <w:t>FM</w:t>
      </w:r>
      <w:r w:rsidR="00EB65B7" w:rsidRPr="00451BDA">
        <w:rPr>
          <w:rFonts w:ascii="Times New Roman" w:eastAsia="Times New Roman" w:hAnsi="Times New Roman" w:cs="Times New Roman"/>
          <w:bCs/>
        </w:rPr>
        <w:t xml:space="preserve"> from Pakistan to report having received</w:t>
      </w:r>
      <w:r w:rsidRPr="00451BDA">
        <w:rPr>
          <w:rFonts w:ascii="Times New Roman" w:eastAsia="Times New Roman" w:hAnsi="Times New Roman" w:cs="Times New Roman"/>
          <w:bCs/>
        </w:rPr>
        <w:t xml:space="preserve"> international education (from </w:t>
      </w:r>
      <w:r w:rsidRPr="00451BDA">
        <w:rPr>
          <w:rFonts w:ascii="Times New Roman" w:eastAsia="Times New Roman" w:hAnsi="Times New Roman" w:cs="Times New Roman"/>
          <w:bCs/>
        </w:rPr>
        <w:lastRenderedPageBreak/>
        <w:t xml:space="preserve">the UK, US, Australia, </w:t>
      </w:r>
      <w:r w:rsidR="00561107" w:rsidRPr="00451BDA">
        <w:rPr>
          <w:rFonts w:ascii="Times New Roman" w:eastAsia="Times New Roman" w:hAnsi="Times New Roman" w:cs="Times New Roman"/>
          <w:bCs/>
        </w:rPr>
        <w:t>and</w:t>
      </w:r>
      <w:r w:rsidRPr="00451BDA">
        <w:rPr>
          <w:rFonts w:ascii="Times New Roman" w:eastAsia="Times New Roman" w:hAnsi="Times New Roman" w:cs="Times New Roman"/>
          <w:bCs/>
        </w:rPr>
        <w:t xml:space="preserve"> Germany), whereas </w:t>
      </w:r>
      <w:r w:rsidR="00523849" w:rsidRPr="00451BDA">
        <w:rPr>
          <w:rFonts w:ascii="Times New Roman" w:eastAsia="Times New Roman" w:hAnsi="Times New Roman" w:cs="Times New Roman"/>
          <w:bCs/>
        </w:rPr>
        <w:t>FM</w:t>
      </w:r>
      <w:r w:rsidRPr="00451BDA">
        <w:rPr>
          <w:rFonts w:ascii="Times New Roman" w:eastAsia="Times New Roman" w:hAnsi="Times New Roman" w:cs="Times New Roman"/>
          <w:bCs/>
        </w:rPr>
        <w:t xml:space="preserve"> from the UK reported their confidence in having international education and certifications from UK-based institutions</w:t>
      </w:r>
      <w:r w:rsidR="00553FA2" w:rsidRPr="00451BDA">
        <w:rPr>
          <w:rFonts w:ascii="Times New Roman" w:eastAsia="Times New Roman" w:hAnsi="Times New Roman" w:cs="Times New Roman"/>
          <w:bCs/>
        </w:rPr>
        <w:t xml:space="preserve"> with international repute. </w:t>
      </w:r>
      <w:r w:rsidRPr="00451BDA">
        <w:rPr>
          <w:rFonts w:ascii="Times New Roman" w:eastAsia="Times New Roman" w:hAnsi="Times New Roman" w:cs="Times New Roman"/>
          <w:bCs/>
        </w:rPr>
        <w:t xml:space="preserve">The data show that higher numbers of </w:t>
      </w:r>
      <w:r w:rsidR="00523849" w:rsidRPr="00451BDA">
        <w:rPr>
          <w:rFonts w:ascii="Times New Roman" w:eastAsia="Times New Roman" w:hAnsi="Times New Roman" w:cs="Times New Roman"/>
          <w:bCs/>
        </w:rPr>
        <w:t>FM</w:t>
      </w:r>
      <w:r w:rsidRPr="00451BDA">
        <w:rPr>
          <w:rFonts w:ascii="Times New Roman" w:eastAsia="Times New Roman" w:hAnsi="Times New Roman" w:cs="Times New Roman"/>
          <w:bCs/>
        </w:rPr>
        <w:t xml:space="preserve"> are reported to be involved in regular curriculum revision, certificate/education of international repute, labor market information, and experience in curriculum development. This was expected because data </w:t>
      </w:r>
      <w:proofErr w:type="gramStart"/>
      <w:r w:rsidRPr="00451BDA">
        <w:rPr>
          <w:rFonts w:ascii="Times New Roman" w:eastAsia="Times New Roman" w:hAnsi="Times New Roman" w:cs="Times New Roman"/>
          <w:bCs/>
        </w:rPr>
        <w:t>were</w:t>
      </w:r>
      <w:proofErr w:type="gramEnd"/>
      <w:r w:rsidRPr="00451BDA">
        <w:rPr>
          <w:rFonts w:ascii="Times New Roman" w:eastAsia="Times New Roman" w:hAnsi="Times New Roman" w:cs="Times New Roman"/>
          <w:bCs/>
        </w:rPr>
        <w:t xml:space="preserve"> collected from two international repute universities</w:t>
      </w:r>
      <w:r w:rsidR="003D3A14" w:rsidRPr="00451BDA">
        <w:rPr>
          <w:rFonts w:ascii="Times New Roman" w:eastAsia="Times New Roman" w:hAnsi="Times New Roman" w:cs="Times New Roman"/>
          <w:bCs/>
        </w:rPr>
        <w:t>.</w:t>
      </w:r>
    </w:p>
    <w:p w14:paraId="37CB3158" w14:textId="2045252A" w:rsidR="00AB1BDC" w:rsidRPr="00451BDA" w:rsidRDefault="00000000" w:rsidP="00C52B00">
      <w:pPr>
        <w:shd w:val="clear" w:color="auto" w:fill="FFFFFF" w:themeFill="background1"/>
        <w:spacing w:line="240" w:lineRule="auto"/>
        <w:ind w:firstLine="720"/>
        <w:contextualSpacing/>
        <w:rPr>
          <w:rFonts w:ascii="Times New Roman" w:eastAsia="Times New Roman" w:hAnsi="Times New Roman" w:cs="Times New Roman"/>
          <w:bCs/>
        </w:rPr>
      </w:pPr>
      <w:r w:rsidRPr="00451BDA">
        <w:rPr>
          <w:rFonts w:ascii="Times New Roman" w:eastAsia="Times New Roman" w:hAnsi="Times New Roman" w:cs="Times New Roman"/>
          <w:bCs/>
        </w:rPr>
        <w:t>Demographics were reviewed, and the data indicated that 55 males and 35 females participated in this study.</w:t>
      </w:r>
      <w:r w:rsidR="00C52B00" w:rsidRPr="00451BDA">
        <w:rPr>
          <w:rFonts w:ascii="Times New Roman" w:eastAsia="Times New Roman" w:hAnsi="Times New Roman" w:cs="Times New Roman"/>
          <w:bCs/>
        </w:rPr>
        <w:t xml:space="preserve"> </w:t>
      </w:r>
      <w:r w:rsidRPr="00451BDA">
        <w:rPr>
          <w:rFonts w:ascii="Times New Roman" w:eastAsia="Times New Roman" w:hAnsi="Times New Roman" w:cs="Times New Roman"/>
          <w:bCs/>
        </w:rPr>
        <w:t xml:space="preserve">Exploratory analyses (ANOVA) revealed that </w:t>
      </w:r>
      <w:r w:rsidR="00523849" w:rsidRPr="00451BDA">
        <w:rPr>
          <w:rFonts w:ascii="Times New Roman" w:eastAsia="Times New Roman" w:hAnsi="Times New Roman" w:cs="Times New Roman"/>
          <w:bCs/>
        </w:rPr>
        <w:t>FM</w:t>
      </w:r>
      <w:r w:rsidRPr="00451BDA">
        <w:rPr>
          <w:rFonts w:ascii="Times New Roman" w:eastAsia="Times New Roman" w:hAnsi="Times New Roman" w:cs="Times New Roman"/>
          <w:bCs/>
        </w:rPr>
        <w:t xml:space="preserve"> years of experience (5, 10, 15, and &gt; 15 years) did not contribute to differences in these factors</w:t>
      </w:r>
      <w:r w:rsidR="00FC0A2A" w:rsidRPr="00451BDA">
        <w:rPr>
          <w:rFonts w:ascii="Times New Roman" w:eastAsia="Times New Roman" w:hAnsi="Times New Roman" w:cs="Times New Roman"/>
          <w:bCs/>
        </w:rPr>
        <w:t xml:space="preserve"> (Factor 1, F=.89, </w:t>
      </w:r>
      <w:r w:rsidRPr="00451BDA">
        <w:rPr>
          <w:rFonts w:ascii="Times New Roman" w:eastAsia="Times New Roman" w:hAnsi="Times New Roman" w:cs="Times New Roman"/>
          <w:bCs/>
        </w:rPr>
        <w:t xml:space="preserve">p=.448; Factor 2, F= 1.834, p=.14; Factor 3, F= 1.56, p=.20). </w:t>
      </w:r>
      <w:r w:rsidR="00FC0A2A" w:rsidRPr="00451BDA">
        <w:rPr>
          <w:rFonts w:ascii="Times New Roman" w:eastAsia="Times New Roman" w:hAnsi="Times New Roman" w:cs="Times New Roman"/>
          <w:bCs/>
        </w:rPr>
        <w:t>Therefore</w:t>
      </w:r>
      <w:r w:rsidRPr="00451BDA">
        <w:rPr>
          <w:rFonts w:ascii="Times New Roman" w:eastAsia="Times New Roman" w:hAnsi="Times New Roman" w:cs="Times New Roman"/>
          <w:bCs/>
        </w:rPr>
        <w:t xml:space="preserve">, years of work experience was not </w:t>
      </w:r>
      <w:r w:rsidR="00FC0A2A" w:rsidRPr="00451BDA">
        <w:rPr>
          <w:rFonts w:ascii="Times New Roman" w:eastAsia="Times New Roman" w:hAnsi="Times New Roman" w:cs="Times New Roman"/>
          <w:bCs/>
        </w:rPr>
        <w:t>considered an</w:t>
      </w:r>
      <w:r w:rsidRPr="00451BDA">
        <w:rPr>
          <w:rFonts w:ascii="Times New Roman" w:eastAsia="Times New Roman" w:hAnsi="Times New Roman" w:cs="Times New Roman"/>
          <w:bCs/>
        </w:rPr>
        <w:t xml:space="preserve"> indicator of </w:t>
      </w:r>
      <w:r w:rsidR="00523849" w:rsidRPr="00451BDA">
        <w:rPr>
          <w:rFonts w:ascii="Times New Roman" w:eastAsia="Times New Roman" w:hAnsi="Times New Roman" w:cs="Times New Roman"/>
          <w:bCs/>
        </w:rPr>
        <w:t>FM</w:t>
      </w:r>
      <w:r w:rsidRPr="00451BDA">
        <w:rPr>
          <w:rFonts w:ascii="Times New Roman" w:eastAsia="Times New Roman" w:hAnsi="Times New Roman" w:cs="Times New Roman"/>
          <w:bCs/>
        </w:rPr>
        <w:t xml:space="preserve"> experience. </w:t>
      </w:r>
    </w:p>
    <w:p w14:paraId="5E53AAB9" w14:textId="77777777" w:rsidR="00AB1BDC" w:rsidRPr="00451BDA" w:rsidRDefault="00AB1BDC" w:rsidP="00236B1D">
      <w:pPr>
        <w:shd w:val="clear" w:color="auto" w:fill="FFFFFF" w:themeFill="background1"/>
        <w:spacing w:line="240" w:lineRule="auto"/>
        <w:ind w:firstLine="720"/>
        <w:contextualSpacing/>
        <w:rPr>
          <w:rFonts w:ascii="Times New Roman" w:eastAsia="Times New Roman" w:hAnsi="Times New Roman" w:cs="Times New Roman"/>
          <w:bCs/>
        </w:rPr>
      </w:pPr>
    </w:p>
    <w:p w14:paraId="21170F38" w14:textId="77777777" w:rsidR="00236B1D" w:rsidRPr="00451BDA" w:rsidRDefault="00236B1D" w:rsidP="00B51699">
      <w:pPr>
        <w:shd w:val="clear" w:color="auto" w:fill="FFFFFF" w:themeFill="background1"/>
        <w:spacing w:line="240" w:lineRule="auto"/>
        <w:ind w:firstLine="720"/>
        <w:contextualSpacing/>
        <w:rPr>
          <w:rFonts w:ascii="Times New Roman" w:eastAsia="Times New Roman" w:hAnsi="Times New Roman" w:cs="Times New Roman"/>
          <w:bCs/>
        </w:rPr>
      </w:pPr>
    </w:p>
    <w:p w14:paraId="2D0BBB79" w14:textId="5F30F968" w:rsidR="00DB0919" w:rsidRPr="00451BDA" w:rsidRDefault="00DB0919" w:rsidP="00DB0919">
      <w:pPr>
        <w:shd w:val="clear" w:color="auto" w:fill="FFFFFF" w:themeFill="background1"/>
        <w:rPr>
          <w:rFonts w:ascii="Times New Roman" w:eastAsia="Times New Roman" w:hAnsi="Times New Roman" w:cs="Times New Roman"/>
          <w:bCs/>
        </w:rPr>
      </w:pPr>
      <w:r w:rsidRPr="00451BDA">
        <w:rPr>
          <w:rFonts w:ascii="Times New Roman" w:eastAsia="Times New Roman" w:hAnsi="Times New Roman" w:cs="Times New Roman"/>
          <w:bCs/>
        </w:rPr>
        <w:t>Table 2</w:t>
      </w:r>
      <w:r w:rsidR="0037012B">
        <w:rPr>
          <w:rFonts w:ascii="Times New Roman" w:eastAsia="Times New Roman" w:hAnsi="Times New Roman" w:cs="Times New Roman"/>
          <w:bCs/>
        </w:rPr>
        <w:t xml:space="preserve">: </w:t>
      </w:r>
      <w:r w:rsidRPr="00451BDA">
        <w:rPr>
          <w:rFonts w:ascii="Times New Roman" w:eastAsia="Times New Roman" w:hAnsi="Times New Roman" w:cs="Times New Roman"/>
          <w:bCs/>
        </w:rPr>
        <w:t xml:space="preserve">Mean difference of FM perceptions on the PIC-F Scale from University A and University B </w:t>
      </w:r>
    </w:p>
    <w:p w14:paraId="3623CDF3" w14:textId="77777777" w:rsidR="00DB0919" w:rsidRPr="00451BDA" w:rsidRDefault="00DB0919" w:rsidP="00DB0919">
      <w:pPr>
        <w:shd w:val="clear" w:color="auto" w:fill="FFFFFF" w:themeFill="background1"/>
        <w:rPr>
          <w:rFonts w:ascii="Times New Roman" w:eastAsia="Times New Roman" w:hAnsi="Times New Roman" w:cs="Times New Roman"/>
          <w:bCs/>
        </w:rPr>
      </w:pPr>
    </w:p>
    <w:tbl>
      <w:tblPr>
        <w:tblW w:w="10491" w:type="dxa"/>
        <w:tblInd w:w="-5" w:type="dxa"/>
        <w:tblLayout w:type="fixed"/>
        <w:tblCellMar>
          <w:left w:w="10" w:type="dxa"/>
          <w:right w:w="10" w:type="dxa"/>
        </w:tblCellMar>
        <w:tblLook w:val="04A0" w:firstRow="1" w:lastRow="0" w:firstColumn="1" w:lastColumn="0" w:noHBand="0" w:noVBand="1"/>
      </w:tblPr>
      <w:tblGrid>
        <w:gridCol w:w="1134"/>
        <w:gridCol w:w="1276"/>
        <w:gridCol w:w="572"/>
        <w:gridCol w:w="1418"/>
        <w:gridCol w:w="708"/>
        <w:gridCol w:w="709"/>
        <w:gridCol w:w="1134"/>
        <w:gridCol w:w="710"/>
        <w:gridCol w:w="849"/>
        <w:gridCol w:w="1981"/>
      </w:tblGrid>
      <w:tr w:rsidR="00DB0919" w:rsidRPr="00451BDA" w14:paraId="1F469741" w14:textId="77777777" w:rsidTr="007724B8">
        <w:tc>
          <w:tcPr>
            <w:tcW w:w="1134" w:type="dxa"/>
            <w:tcBorders>
              <w:top w:val="single" w:sz="4" w:space="0" w:color="auto"/>
            </w:tcBorders>
            <w:shd w:val="clear" w:color="000000" w:fill="FFFFFF"/>
            <w:tcMar>
              <w:left w:w="108" w:type="dxa"/>
              <w:right w:w="108" w:type="dxa"/>
            </w:tcMar>
          </w:tcPr>
          <w:p w14:paraId="16A0B793" w14:textId="77777777" w:rsidR="00DB0919" w:rsidRPr="00451BDA" w:rsidRDefault="00DB0919" w:rsidP="007724B8">
            <w:pPr>
              <w:shd w:val="clear" w:color="auto" w:fill="FFFFFF" w:themeFill="background1"/>
              <w:spacing w:after="0" w:line="240" w:lineRule="auto"/>
              <w:rPr>
                <w:rFonts w:ascii="Times New Roman" w:eastAsia="Calibri" w:hAnsi="Times New Roman" w:cs="Times New Roman"/>
                <w:bCs/>
              </w:rPr>
            </w:pPr>
          </w:p>
        </w:tc>
        <w:tc>
          <w:tcPr>
            <w:tcW w:w="1848" w:type="dxa"/>
            <w:gridSpan w:val="2"/>
            <w:tcBorders>
              <w:top w:val="single" w:sz="4" w:space="0" w:color="auto"/>
            </w:tcBorders>
            <w:shd w:val="clear" w:color="000000" w:fill="FFFFFF"/>
            <w:tcMar>
              <w:left w:w="108" w:type="dxa"/>
              <w:right w:w="108" w:type="dxa"/>
            </w:tcMar>
          </w:tcPr>
          <w:p w14:paraId="2EAF4324"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University A</w:t>
            </w:r>
          </w:p>
        </w:tc>
        <w:tc>
          <w:tcPr>
            <w:tcW w:w="2126" w:type="dxa"/>
            <w:gridSpan w:val="2"/>
            <w:tcBorders>
              <w:top w:val="single" w:sz="4" w:space="0" w:color="auto"/>
            </w:tcBorders>
            <w:shd w:val="clear" w:color="000000" w:fill="FFFFFF"/>
            <w:tcMar>
              <w:left w:w="108" w:type="dxa"/>
              <w:right w:w="108" w:type="dxa"/>
            </w:tcMar>
          </w:tcPr>
          <w:p w14:paraId="14AF9386"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University B</w:t>
            </w:r>
          </w:p>
        </w:tc>
        <w:tc>
          <w:tcPr>
            <w:tcW w:w="709" w:type="dxa"/>
            <w:tcBorders>
              <w:top w:val="single" w:sz="4" w:space="0" w:color="auto"/>
            </w:tcBorders>
            <w:shd w:val="clear" w:color="000000" w:fill="FFFFFF"/>
          </w:tcPr>
          <w:p w14:paraId="2EBB2E2F" w14:textId="77777777" w:rsidR="00DB0919" w:rsidRPr="00451BDA" w:rsidRDefault="00DB0919" w:rsidP="007724B8">
            <w:pPr>
              <w:shd w:val="clear" w:color="auto" w:fill="FFFFFF" w:themeFill="background1"/>
              <w:spacing w:after="0" w:line="240" w:lineRule="auto"/>
              <w:rPr>
                <w:rFonts w:ascii="Times New Roman" w:eastAsia="Calibri" w:hAnsi="Times New Roman" w:cs="Times New Roman"/>
                <w:bCs/>
              </w:rPr>
            </w:pPr>
            <w:r w:rsidRPr="00451BDA">
              <w:rPr>
                <w:rFonts w:ascii="Times New Roman" w:eastAsia="Calibri" w:hAnsi="Times New Roman" w:cs="Times New Roman"/>
                <w:bCs/>
              </w:rPr>
              <w:t>Mean D</w:t>
            </w:r>
          </w:p>
        </w:tc>
        <w:tc>
          <w:tcPr>
            <w:tcW w:w="1134" w:type="dxa"/>
            <w:tcBorders>
              <w:top w:val="single" w:sz="4" w:space="0" w:color="auto"/>
            </w:tcBorders>
            <w:shd w:val="clear" w:color="000000" w:fill="FFFFFF"/>
            <w:tcMar>
              <w:left w:w="108" w:type="dxa"/>
              <w:right w:w="108" w:type="dxa"/>
            </w:tcMar>
          </w:tcPr>
          <w:p w14:paraId="5DE784E2" w14:textId="77777777" w:rsidR="00DB0919" w:rsidRPr="00451BDA" w:rsidRDefault="00DB0919" w:rsidP="007724B8">
            <w:pPr>
              <w:shd w:val="clear" w:color="auto" w:fill="FFFFFF" w:themeFill="background1"/>
              <w:spacing w:after="0" w:line="240" w:lineRule="auto"/>
              <w:rPr>
                <w:rFonts w:ascii="Times New Roman" w:eastAsia="Calibri" w:hAnsi="Times New Roman" w:cs="Times New Roman"/>
                <w:bCs/>
              </w:rPr>
            </w:pPr>
          </w:p>
        </w:tc>
        <w:tc>
          <w:tcPr>
            <w:tcW w:w="710" w:type="dxa"/>
            <w:tcBorders>
              <w:top w:val="single" w:sz="4" w:space="0" w:color="auto"/>
            </w:tcBorders>
            <w:shd w:val="clear" w:color="000000" w:fill="FFFFFF"/>
            <w:tcMar>
              <w:left w:w="108" w:type="dxa"/>
              <w:right w:w="108" w:type="dxa"/>
            </w:tcMar>
          </w:tcPr>
          <w:p w14:paraId="15E1BAB4" w14:textId="77777777" w:rsidR="00DB0919" w:rsidRPr="00451BDA" w:rsidRDefault="00DB0919" w:rsidP="007724B8">
            <w:pPr>
              <w:shd w:val="clear" w:color="auto" w:fill="FFFFFF" w:themeFill="background1"/>
              <w:spacing w:after="0" w:line="240" w:lineRule="auto"/>
              <w:rPr>
                <w:rFonts w:ascii="Times New Roman" w:eastAsia="Calibri" w:hAnsi="Times New Roman" w:cs="Times New Roman"/>
                <w:bCs/>
              </w:rPr>
            </w:pPr>
          </w:p>
        </w:tc>
        <w:tc>
          <w:tcPr>
            <w:tcW w:w="849" w:type="dxa"/>
            <w:tcBorders>
              <w:top w:val="single" w:sz="4" w:space="0" w:color="auto"/>
            </w:tcBorders>
            <w:shd w:val="clear" w:color="000000" w:fill="FFFFFF"/>
            <w:tcMar>
              <w:left w:w="108" w:type="dxa"/>
              <w:right w:w="108" w:type="dxa"/>
            </w:tcMar>
          </w:tcPr>
          <w:p w14:paraId="0FC454C0" w14:textId="77777777" w:rsidR="00DB0919" w:rsidRPr="00451BDA" w:rsidRDefault="00DB0919" w:rsidP="007724B8">
            <w:pPr>
              <w:shd w:val="clear" w:color="auto" w:fill="FFFFFF" w:themeFill="background1"/>
              <w:spacing w:after="0" w:line="240" w:lineRule="auto"/>
              <w:rPr>
                <w:rFonts w:ascii="Times New Roman" w:eastAsia="Calibri" w:hAnsi="Times New Roman" w:cs="Times New Roman"/>
                <w:bCs/>
              </w:rPr>
            </w:pPr>
          </w:p>
        </w:tc>
        <w:tc>
          <w:tcPr>
            <w:tcW w:w="1981" w:type="dxa"/>
            <w:tcBorders>
              <w:top w:val="single" w:sz="4" w:space="0" w:color="auto"/>
            </w:tcBorders>
            <w:shd w:val="clear" w:color="000000" w:fill="FFFFFF"/>
          </w:tcPr>
          <w:p w14:paraId="79F3F68E" w14:textId="77777777" w:rsidR="00DB0919" w:rsidRPr="00451BDA" w:rsidRDefault="00DB0919" w:rsidP="007724B8">
            <w:pPr>
              <w:shd w:val="clear" w:color="auto" w:fill="FFFFFF" w:themeFill="background1"/>
              <w:spacing w:after="0" w:line="240" w:lineRule="auto"/>
              <w:rPr>
                <w:rFonts w:ascii="Times New Roman" w:eastAsia="Calibri" w:hAnsi="Times New Roman" w:cs="Times New Roman"/>
                <w:bCs/>
              </w:rPr>
            </w:pPr>
            <w:r w:rsidRPr="00451BDA">
              <w:rPr>
                <w:rFonts w:ascii="Times New Roman" w:eastAsia="Calibri" w:hAnsi="Times New Roman" w:cs="Times New Roman"/>
                <w:bCs/>
              </w:rPr>
              <w:t>F (sig)</w:t>
            </w:r>
          </w:p>
        </w:tc>
      </w:tr>
      <w:tr w:rsidR="00DB0919" w:rsidRPr="00451BDA" w14:paraId="62616100" w14:textId="77777777" w:rsidTr="007724B8">
        <w:tc>
          <w:tcPr>
            <w:tcW w:w="1134" w:type="dxa"/>
            <w:tcBorders>
              <w:bottom w:val="single" w:sz="4" w:space="0" w:color="auto"/>
            </w:tcBorders>
            <w:shd w:val="clear" w:color="000000" w:fill="FFFFFF"/>
            <w:tcMar>
              <w:left w:w="108" w:type="dxa"/>
              <w:right w:w="108" w:type="dxa"/>
            </w:tcMar>
          </w:tcPr>
          <w:p w14:paraId="72256137" w14:textId="77777777" w:rsidR="00DB0919" w:rsidRPr="00451BDA" w:rsidRDefault="00DB0919" w:rsidP="007724B8">
            <w:pPr>
              <w:shd w:val="clear" w:color="auto" w:fill="FFFFFF" w:themeFill="background1"/>
              <w:spacing w:after="0" w:line="240" w:lineRule="auto"/>
              <w:rPr>
                <w:rFonts w:ascii="Times New Roman" w:eastAsia="Calibri" w:hAnsi="Times New Roman" w:cs="Times New Roman"/>
                <w:bCs/>
              </w:rPr>
            </w:pPr>
          </w:p>
        </w:tc>
        <w:tc>
          <w:tcPr>
            <w:tcW w:w="1276" w:type="dxa"/>
            <w:tcBorders>
              <w:bottom w:val="single" w:sz="4" w:space="0" w:color="auto"/>
            </w:tcBorders>
            <w:shd w:val="clear" w:color="000000" w:fill="FFFFFF"/>
            <w:tcMar>
              <w:left w:w="108" w:type="dxa"/>
              <w:right w:w="108" w:type="dxa"/>
            </w:tcMar>
          </w:tcPr>
          <w:p w14:paraId="1F0F7B8F"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Mean (N)</w:t>
            </w:r>
          </w:p>
        </w:tc>
        <w:tc>
          <w:tcPr>
            <w:tcW w:w="572" w:type="dxa"/>
            <w:tcBorders>
              <w:bottom w:val="single" w:sz="4" w:space="0" w:color="auto"/>
            </w:tcBorders>
            <w:shd w:val="clear" w:color="000000" w:fill="FFFFFF"/>
            <w:tcMar>
              <w:left w:w="108" w:type="dxa"/>
              <w:right w:w="108" w:type="dxa"/>
            </w:tcMar>
          </w:tcPr>
          <w:p w14:paraId="3003EB1A"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SD</w:t>
            </w:r>
          </w:p>
        </w:tc>
        <w:tc>
          <w:tcPr>
            <w:tcW w:w="1418" w:type="dxa"/>
            <w:tcBorders>
              <w:bottom w:val="single" w:sz="4" w:space="0" w:color="auto"/>
            </w:tcBorders>
            <w:shd w:val="clear" w:color="000000" w:fill="FFFFFF"/>
            <w:tcMar>
              <w:left w:w="108" w:type="dxa"/>
              <w:right w:w="108" w:type="dxa"/>
            </w:tcMar>
          </w:tcPr>
          <w:p w14:paraId="215F093B"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Mean (N)</w:t>
            </w:r>
          </w:p>
        </w:tc>
        <w:tc>
          <w:tcPr>
            <w:tcW w:w="708" w:type="dxa"/>
            <w:tcBorders>
              <w:bottom w:val="single" w:sz="4" w:space="0" w:color="auto"/>
            </w:tcBorders>
            <w:shd w:val="clear" w:color="000000" w:fill="FFFFFF"/>
            <w:tcMar>
              <w:left w:w="108" w:type="dxa"/>
              <w:right w:w="108" w:type="dxa"/>
            </w:tcMar>
          </w:tcPr>
          <w:p w14:paraId="55F1EC88"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SD</w:t>
            </w:r>
          </w:p>
        </w:tc>
        <w:tc>
          <w:tcPr>
            <w:tcW w:w="709" w:type="dxa"/>
            <w:tcBorders>
              <w:bottom w:val="single" w:sz="4" w:space="0" w:color="auto"/>
            </w:tcBorders>
            <w:shd w:val="clear" w:color="000000" w:fill="FFFFFF"/>
          </w:tcPr>
          <w:p w14:paraId="3D0BFDEA"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p>
        </w:tc>
        <w:tc>
          <w:tcPr>
            <w:tcW w:w="1134" w:type="dxa"/>
            <w:tcBorders>
              <w:bottom w:val="single" w:sz="4" w:space="0" w:color="auto"/>
            </w:tcBorders>
            <w:shd w:val="clear" w:color="000000" w:fill="FFFFFF"/>
            <w:tcMar>
              <w:left w:w="108" w:type="dxa"/>
              <w:right w:w="108" w:type="dxa"/>
            </w:tcMar>
          </w:tcPr>
          <w:p w14:paraId="1018D20D"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t(p)</w:t>
            </w:r>
          </w:p>
        </w:tc>
        <w:tc>
          <w:tcPr>
            <w:tcW w:w="710" w:type="dxa"/>
            <w:tcBorders>
              <w:bottom w:val="single" w:sz="4" w:space="0" w:color="auto"/>
            </w:tcBorders>
            <w:shd w:val="clear" w:color="000000" w:fill="FFFFFF"/>
            <w:tcMar>
              <w:left w:w="108" w:type="dxa"/>
              <w:right w:w="108" w:type="dxa"/>
            </w:tcMar>
          </w:tcPr>
          <w:p w14:paraId="233F009C"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LL</w:t>
            </w:r>
          </w:p>
        </w:tc>
        <w:tc>
          <w:tcPr>
            <w:tcW w:w="849" w:type="dxa"/>
            <w:tcBorders>
              <w:bottom w:val="single" w:sz="4" w:space="0" w:color="auto"/>
            </w:tcBorders>
            <w:shd w:val="clear" w:color="000000" w:fill="FFFFFF"/>
            <w:tcMar>
              <w:left w:w="108" w:type="dxa"/>
              <w:right w:w="108" w:type="dxa"/>
            </w:tcMar>
          </w:tcPr>
          <w:p w14:paraId="430729E1"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UL</w:t>
            </w:r>
          </w:p>
        </w:tc>
        <w:tc>
          <w:tcPr>
            <w:tcW w:w="1981" w:type="dxa"/>
            <w:tcBorders>
              <w:bottom w:val="single" w:sz="4" w:space="0" w:color="auto"/>
            </w:tcBorders>
            <w:shd w:val="clear" w:color="000000" w:fill="FFFFFF"/>
          </w:tcPr>
          <w:p w14:paraId="04DE61FA"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p>
        </w:tc>
      </w:tr>
      <w:tr w:rsidR="00DB0919" w:rsidRPr="00451BDA" w14:paraId="78FDB6D6" w14:textId="77777777" w:rsidTr="007724B8">
        <w:tc>
          <w:tcPr>
            <w:tcW w:w="1134" w:type="dxa"/>
            <w:tcBorders>
              <w:top w:val="single" w:sz="4" w:space="0" w:color="auto"/>
            </w:tcBorders>
            <w:shd w:val="clear" w:color="000000" w:fill="FFFFFF"/>
            <w:tcMar>
              <w:left w:w="108" w:type="dxa"/>
              <w:right w:w="108" w:type="dxa"/>
            </w:tcMar>
          </w:tcPr>
          <w:p w14:paraId="4CD32B25"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Factor 1</w:t>
            </w:r>
          </w:p>
        </w:tc>
        <w:tc>
          <w:tcPr>
            <w:tcW w:w="1276" w:type="dxa"/>
            <w:tcBorders>
              <w:top w:val="single" w:sz="4" w:space="0" w:color="auto"/>
            </w:tcBorders>
            <w:shd w:val="clear" w:color="000000" w:fill="FFFFFF"/>
            <w:tcMar>
              <w:left w:w="108" w:type="dxa"/>
              <w:right w:w="108" w:type="dxa"/>
            </w:tcMar>
          </w:tcPr>
          <w:p w14:paraId="5C2B04BB"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13.7(43)</w:t>
            </w:r>
          </w:p>
        </w:tc>
        <w:tc>
          <w:tcPr>
            <w:tcW w:w="572" w:type="dxa"/>
            <w:tcBorders>
              <w:top w:val="single" w:sz="4" w:space="0" w:color="auto"/>
            </w:tcBorders>
            <w:shd w:val="clear" w:color="000000" w:fill="FFFFFF"/>
            <w:tcMar>
              <w:left w:w="108" w:type="dxa"/>
              <w:right w:w="108" w:type="dxa"/>
            </w:tcMar>
          </w:tcPr>
          <w:p w14:paraId="79614F0D"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4.2</w:t>
            </w:r>
          </w:p>
        </w:tc>
        <w:tc>
          <w:tcPr>
            <w:tcW w:w="1418" w:type="dxa"/>
            <w:tcBorders>
              <w:top w:val="single" w:sz="4" w:space="0" w:color="auto"/>
            </w:tcBorders>
            <w:shd w:val="clear" w:color="000000" w:fill="FFFFFF"/>
            <w:tcMar>
              <w:left w:w="108" w:type="dxa"/>
              <w:right w:w="108" w:type="dxa"/>
            </w:tcMar>
          </w:tcPr>
          <w:p w14:paraId="25228CC0"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15.6(47)</w:t>
            </w:r>
          </w:p>
        </w:tc>
        <w:tc>
          <w:tcPr>
            <w:tcW w:w="708" w:type="dxa"/>
            <w:tcBorders>
              <w:top w:val="single" w:sz="4" w:space="0" w:color="auto"/>
            </w:tcBorders>
            <w:shd w:val="clear" w:color="000000" w:fill="FFFFFF"/>
            <w:tcMar>
              <w:left w:w="108" w:type="dxa"/>
              <w:right w:w="108" w:type="dxa"/>
            </w:tcMar>
          </w:tcPr>
          <w:p w14:paraId="397E724C"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5.6</w:t>
            </w:r>
          </w:p>
        </w:tc>
        <w:tc>
          <w:tcPr>
            <w:tcW w:w="709" w:type="dxa"/>
            <w:tcBorders>
              <w:top w:val="single" w:sz="4" w:space="0" w:color="auto"/>
            </w:tcBorders>
            <w:shd w:val="clear" w:color="000000" w:fill="FFFFFF"/>
          </w:tcPr>
          <w:p w14:paraId="42F3B190"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1.3</w:t>
            </w:r>
          </w:p>
        </w:tc>
        <w:tc>
          <w:tcPr>
            <w:tcW w:w="1134" w:type="dxa"/>
            <w:tcBorders>
              <w:top w:val="single" w:sz="4" w:space="0" w:color="auto"/>
            </w:tcBorders>
            <w:shd w:val="clear" w:color="000000" w:fill="FFFFFF"/>
            <w:tcMar>
              <w:left w:w="108" w:type="dxa"/>
              <w:right w:w="108" w:type="dxa"/>
            </w:tcMar>
          </w:tcPr>
          <w:p w14:paraId="19EFC6FE"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1.7(0.27)</w:t>
            </w:r>
          </w:p>
        </w:tc>
        <w:tc>
          <w:tcPr>
            <w:tcW w:w="710" w:type="dxa"/>
            <w:tcBorders>
              <w:top w:val="single" w:sz="4" w:space="0" w:color="auto"/>
            </w:tcBorders>
            <w:shd w:val="clear" w:color="000000" w:fill="FFFFFF"/>
            <w:tcMar>
              <w:left w:w="108" w:type="dxa"/>
              <w:right w:w="108" w:type="dxa"/>
            </w:tcMar>
          </w:tcPr>
          <w:p w14:paraId="1EB1C469"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0.25</w:t>
            </w:r>
          </w:p>
        </w:tc>
        <w:tc>
          <w:tcPr>
            <w:tcW w:w="849" w:type="dxa"/>
            <w:tcBorders>
              <w:top w:val="single" w:sz="4" w:space="0" w:color="auto"/>
            </w:tcBorders>
            <w:shd w:val="clear" w:color="000000" w:fill="FFFFFF"/>
            <w:tcMar>
              <w:left w:w="108" w:type="dxa"/>
              <w:right w:w="108" w:type="dxa"/>
            </w:tcMar>
          </w:tcPr>
          <w:p w14:paraId="24C8A439"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3.8</w:t>
            </w:r>
          </w:p>
        </w:tc>
        <w:tc>
          <w:tcPr>
            <w:tcW w:w="1981" w:type="dxa"/>
            <w:tcBorders>
              <w:top w:val="single" w:sz="4" w:space="0" w:color="auto"/>
            </w:tcBorders>
            <w:shd w:val="clear" w:color="000000" w:fill="FFFFFF"/>
          </w:tcPr>
          <w:p w14:paraId="4050DB66"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2.14 (0.123)</w:t>
            </w:r>
          </w:p>
        </w:tc>
      </w:tr>
      <w:tr w:rsidR="00DB0919" w:rsidRPr="00451BDA" w14:paraId="5594AF63" w14:textId="77777777" w:rsidTr="007724B8">
        <w:tc>
          <w:tcPr>
            <w:tcW w:w="1134" w:type="dxa"/>
            <w:shd w:val="clear" w:color="000000" w:fill="FFFFFF"/>
            <w:tcMar>
              <w:left w:w="108" w:type="dxa"/>
              <w:right w:w="108" w:type="dxa"/>
            </w:tcMar>
          </w:tcPr>
          <w:p w14:paraId="385C2754"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Factor 2</w:t>
            </w:r>
          </w:p>
        </w:tc>
        <w:tc>
          <w:tcPr>
            <w:tcW w:w="1276" w:type="dxa"/>
            <w:shd w:val="clear" w:color="000000" w:fill="FFFFFF"/>
            <w:tcMar>
              <w:left w:w="108" w:type="dxa"/>
              <w:right w:w="108" w:type="dxa"/>
            </w:tcMar>
          </w:tcPr>
          <w:p w14:paraId="425D9775"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17.3(43)</w:t>
            </w:r>
          </w:p>
        </w:tc>
        <w:tc>
          <w:tcPr>
            <w:tcW w:w="572" w:type="dxa"/>
            <w:shd w:val="clear" w:color="000000" w:fill="FFFFFF"/>
            <w:tcMar>
              <w:left w:w="108" w:type="dxa"/>
              <w:right w:w="108" w:type="dxa"/>
            </w:tcMar>
          </w:tcPr>
          <w:p w14:paraId="1B884A75"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5.5</w:t>
            </w:r>
          </w:p>
        </w:tc>
        <w:tc>
          <w:tcPr>
            <w:tcW w:w="1418" w:type="dxa"/>
            <w:shd w:val="clear" w:color="000000" w:fill="FFFFFF"/>
            <w:tcMar>
              <w:left w:w="108" w:type="dxa"/>
              <w:right w:w="108" w:type="dxa"/>
            </w:tcMar>
          </w:tcPr>
          <w:p w14:paraId="569D3402"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19.6(47)</w:t>
            </w:r>
          </w:p>
        </w:tc>
        <w:tc>
          <w:tcPr>
            <w:tcW w:w="708" w:type="dxa"/>
            <w:shd w:val="clear" w:color="000000" w:fill="FFFFFF"/>
            <w:tcMar>
              <w:left w:w="108" w:type="dxa"/>
              <w:right w:w="108" w:type="dxa"/>
            </w:tcMar>
          </w:tcPr>
          <w:p w14:paraId="67E111D5"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7.0</w:t>
            </w:r>
          </w:p>
        </w:tc>
        <w:tc>
          <w:tcPr>
            <w:tcW w:w="709" w:type="dxa"/>
            <w:shd w:val="clear" w:color="000000" w:fill="FFFFFF"/>
          </w:tcPr>
          <w:p w14:paraId="407601CE"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2.3</w:t>
            </w:r>
          </w:p>
        </w:tc>
        <w:tc>
          <w:tcPr>
            <w:tcW w:w="1134" w:type="dxa"/>
            <w:shd w:val="clear" w:color="000000" w:fill="FFFFFF"/>
            <w:tcMar>
              <w:left w:w="108" w:type="dxa"/>
              <w:right w:w="108" w:type="dxa"/>
            </w:tcMar>
          </w:tcPr>
          <w:p w14:paraId="0A30051F"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1.7(0.08)</w:t>
            </w:r>
          </w:p>
        </w:tc>
        <w:tc>
          <w:tcPr>
            <w:tcW w:w="710" w:type="dxa"/>
            <w:shd w:val="clear" w:color="000000" w:fill="FFFFFF"/>
            <w:tcMar>
              <w:left w:w="108" w:type="dxa"/>
              <w:right w:w="108" w:type="dxa"/>
            </w:tcMar>
          </w:tcPr>
          <w:p w14:paraId="6F411C19"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0.33</w:t>
            </w:r>
          </w:p>
        </w:tc>
        <w:tc>
          <w:tcPr>
            <w:tcW w:w="849" w:type="dxa"/>
            <w:shd w:val="clear" w:color="000000" w:fill="FFFFFF"/>
            <w:tcMar>
              <w:left w:w="108" w:type="dxa"/>
              <w:right w:w="108" w:type="dxa"/>
            </w:tcMar>
          </w:tcPr>
          <w:p w14:paraId="2FDFE0DF"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4.9</w:t>
            </w:r>
          </w:p>
        </w:tc>
        <w:tc>
          <w:tcPr>
            <w:tcW w:w="1981" w:type="dxa"/>
            <w:shd w:val="clear" w:color="000000" w:fill="FFFFFF"/>
          </w:tcPr>
          <w:p w14:paraId="3AC2932B"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2.90 (0.060)</w:t>
            </w:r>
          </w:p>
        </w:tc>
      </w:tr>
      <w:tr w:rsidR="00DB0919" w:rsidRPr="00451BDA" w14:paraId="569FBA65" w14:textId="77777777" w:rsidTr="007724B8">
        <w:tc>
          <w:tcPr>
            <w:tcW w:w="1134" w:type="dxa"/>
            <w:tcBorders>
              <w:bottom w:val="single" w:sz="4" w:space="0" w:color="auto"/>
            </w:tcBorders>
            <w:shd w:val="clear" w:color="000000" w:fill="FFFFFF"/>
            <w:tcMar>
              <w:left w:w="108" w:type="dxa"/>
              <w:right w:w="108" w:type="dxa"/>
            </w:tcMar>
          </w:tcPr>
          <w:p w14:paraId="44194FD7"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Factor 3</w:t>
            </w:r>
          </w:p>
        </w:tc>
        <w:tc>
          <w:tcPr>
            <w:tcW w:w="1276" w:type="dxa"/>
            <w:tcBorders>
              <w:bottom w:val="single" w:sz="4" w:space="0" w:color="auto"/>
            </w:tcBorders>
            <w:shd w:val="clear" w:color="000000" w:fill="FFFFFF"/>
            <w:tcMar>
              <w:left w:w="108" w:type="dxa"/>
              <w:right w:w="108" w:type="dxa"/>
            </w:tcMar>
          </w:tcPr>
          <w:p w14:paraId="1A18D402"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19.4(43)</w:t>
            </w:r>
          </w:p>
        </w:tc>
        <w:tc>
          <w:tcPr>
            <w:tcW w:w="572" w:type="dxa"/>
            <w:tcBorders>
              <w:bottom w:val="single" w:sz="4" w:space="0" w:color="auto"/>
            </w:tcBorders>
            <w:shd w:val="clear" w:color="000000" w:fill="FFFFFF"/>
            <w:tcMar>
              <w:left w:w="108" w:type="dxa"/>
              <w:right w:w="108" w:type="dxa"/>
            </w:tcMar>
          </w:tcPr>
          <w:p w14:paraId="458A0F97"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6.4</w:t>
            </w:r>
          </w:p>
        </w:tc>
        <w:tc>
          <w:tcPr>
            <w:tcW w:w="1418" w:type="dxa"/>
            <w:tcBorders>
              <w:bottom w:val="single" w:sz="4" w:space="0" w:color="auto"/>
            </w:tcBorders>
            <w:shd w:val="clear" w:color="000000" w:fill="FFFFFF"/>
            <w:tcMar>
              <w:left w:w="108" w:type="dxa"/>
              <w:right w:w="108" w:type="dxa"/>
            </w:tcMar>
          </w:tcPr>
          <w:p w14:paraId="5C84FCE7"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18.7(47)</w:t>
            </w:r>
          </w:p>
        </w:tc>
        <w:tc>
          <w:tcPr>
            <w:tcW w:w="708" w:type="dxa"/>
            <w:tcBorders>
              <w:bottom w:val="single" w:sz="4" w:space="0" w:color="auto"/>
            </w:tcBorders>
            <w:shd w:val="clear" w:color="000000" w:fill="FFFFFF"/>
            <w:tcMar>
              <w:left w:w="108" w:type="dxa"/>
              <w:right w:w="108" w:type="dxa"/>
            </w:tcMar>
          </w:tcPr>
          <w:p w14:paraId="74E71D14"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7.0</w:t>
            </w:r>
          </w:p>
        </w:tc>
        <w:tc>
          <w:tcPr>
            <w:tcW w:w="709" w:type="dxa"/>
            <w:tcBorders>
              <w:bottom w:val="single" w:sz="4" w:space="0" w:color="auto"/>
            </w:tcBorders>
            <w:shd w:val="clear" w:color="000000" w:fill="FFFFFF"/>
          </w:tcPr>
          <w:p w14:paraId="61538F6F"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0.69</w:t>
            </w:r>
          </w:p>
        </w:tc>
        <w:tc>
          <w:tcPr>
            <w:tcW w:w="1134" w:type="dxa"/>
            <w:tcBorders>
              <w:bottom w:val="single" w:sz="4" w:space="0" w:color="auto"/>
            </w:tcBorders>
            <w:shd w:val="clear" w:color="000000" w:fill="FFFFFF"/>
            <w:tcMar>
              <w:left w:w="108" w:type="dxa"/>
              <w:right w:w="108" w:type="dxa"/>
            </w:tcMar>
          </w:tcPr>
          <w:p w14:paraId="5DB2893D"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 xml:space="preserve"> 48(0.62)</w:t>
            </w:r>
          </w:p>
        </w:tc>
        <w:tc>
          <w:tcPr>
            <w:tcW w:w="710" w:type="dxa"/>
            <w:tcBorders>
              <w:bottom w:val="single" w:sz="4" w:space="0" w:color="auto"/>
            </w:tcBorders>
            <w:shd w:val="clear" w:color="000000" w:fill="FFFFFF"/>
            <w:tcMar>
              <w:left w:w="108" w:type="dxa"/>
              <w:right w:w="108" w:type="dxa"/>
            </w:tcMar>
          </w:tcPr>
          <w:p w14:paraId="2547C2ED"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3.5</w:t>
            </w:r>
          </w:p>
        </w:tc>
        <w:tc>
          <w:tcPr>
            <w:tcW w:w="849" w:type="dxa"/>
            <w:tcBorders>
              <w:bottom w:val="single" w:sz="4" w:space="0" w:color="auto"/>
            </w:tcBorders>
            <w:shd w:val="clear" w:color="000000" w:fill="FFFFFF"/>
            <w:tcMar>
              <w:left w:w="108" w:type="dxa"/>
              <w:right w:w="108" w:type="dxa"/>
            </w:tcMar>
          </w:tcPr>
          <w:p w14:paraId="4D0DC8CD"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2.1</w:t>
            </w:r>
          </w:p>
        </w:tc>
        <w:tc>
          <w:tcPr>
            <w:tcW w:w="1981" w:type="dxa"/>
            <w:tcBorders>
              <w:bottom w:val="single" w:sz="4" w:space="0" w:color="auto"/>
            </w:tcBorders>
            <w:shd w:val="clear" w:color="000000" w:fill="FFFFFF"/>
          </w:tcPr>
          <w:p w14:paraId="24DD3DFC"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2.96 (0.057)</w:t>
            </w:r>
          </w:p>
        </w:tc>
      </w:tr>
    </w:tbl>
    <w:p w14:paraId="48BEAA54" w14:textId="77777777" w:rsidR="00DB0919" w:rsidRPr="00451BDA" w:rsidRDefault="00DB0919" w:rsidP="00DB0919">
      <w:pPr>
        <w:shd w:val="clear" w:color="auto" w:fill="FFFFFF" w:themeFill="background1"/>
        <w:rPr>
          <w:rFonts w:ascii="Times New Roman" w:eastAsia="Times New Roman" w:hAnsi="Times New Roman" w:cs="Times New Roman"/>
          <w:bCs/>
        </w:rPr>
      </w:pPr>
      <w:r w:rsidRPr="00451BDA">
        <w:rPr>
          <w:rFonts w:ascii="Times New Roman" w:eastAsia="Times New Roman" w:hAnsi="Times New Roman" w:cs="Times New Roman"/>
          <w:bCs/>
        </w:rPr>
        <w:t xml:space="preserve">Note: Factor 1= Curriculum embedded in labor market information; Factor 2=Curriculum embedded in employability skills; Factor 3= Curriculum embedded in global citizenship </w:t>
      </w:r>
    </w:p>
    <w:p w14:paraId="55993919" w14:textId="77777777" w:rsidR="00DB0919" w:rsidRPr="00451BDA" w:rsidRDefault="00DB0919" w:rsidP="00DB0919">
      <w:pPr>
        <w:rPr>
          <w:rFonts w:ascii="Times New Roman" w:hAnsi="Times New Roman" w:cs="Times New Roman"/>
        </w:rPr>
      </w:pPr>
      <w:r w:rsidRPr="00451BDA">
        <w:rPr>
          <w:rFonts w:ascii="Times New Roman" w:hAnsi="Times New Roman" w:cs="Times New Roman"/>
        </w:rPr>
        <w:t xml:space="preserve">Source(s): Created by </w:t>
      </w:r>
      <w:proofErr w:type="gramStart"/>
      <w:r w:rsidRPr="00451BDA">
        <w:rPr>
          <w:rFonts w:ascii="Times New Roman" w:hAnsi="Times New Roman" w:cs="Times New Roman"/>
        </w:rPr>
        <w:t>authors</w:t>
      </w:r>
      <w:proofErr w:type="gramEnd"/>
    </w:p>
    <w:p w14:paraId="49DD9D70" w14:textId="6EAAF0CD" w:rsidR="001929B2" w:rsidRPr="00451BDA" w:rsidRDefault="00000000" w:rsidP="007A0506">
      <w:pPr>
        <w:shd w:val="clear" w:color="auto" w:fill="FFFFFF" w:themeFill="background1"/>
        <w:spacing w:line="240" w:lineRule="auto"/>
        <w:ind w:firstLine="720"/>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The results show </w:t>
      </w:r>
      <w:r w:rsidR="000127F9" w:rsidRPr="00451BDA">
        <w:rPr>
          <w:rFonts w:ascii="Times New Roman" w:eastAsia="Times New Roman" w:hAnsi="Times New Roman" w:cs="Times New Roman"/>
          <w:bCs/>
        </w:rPr>
        <w:t>in</w:t>
      </w:r>
      <w:r w:rsidRPr="00451BDA">
        <w:rPr>
          <w:rFonts w:ascii="Times New Roman" w:eastAsia="Times New Roman" w:hAnsi="Times New Roman" w:cs="Times New Roman"/>
          <w:bCs/>
        </w:rPr>
        <w:t xml:space="preserve">significant </w:t>
      </w:r>
      <w:r w:rsidR="003D3A14" w:rsidRPr="00451BDA">
        <w:rPr>
          <w:rFonts w:ascii="Times New Roman" w:eastAsia="Times New Roman" w:hAnsi="Times New Roman" w:cs="Times New Roman"/>
          <w:bCs/>
        </w:rPr>
        <w:t>differences</w:t>
      </w:r>
      <w:r w:rsidRPr="00451BDA">
        <w:rPr>
          <w:rFonts w:ascii="Times New Roman" w:eastAsia="Times New Roman" w:hAnsi="Times New Roman" w:cs="Times New Roman"/>
          <w:bCs/>
        </w:rPr>
        <w:t xml:space="preserve"> between the </w:t>
      </w:r>
      <w:r w:rsidR="00523849" w:rsidRPr="00451BDA">
        <w:rPr>
          <w:rFonts w:ascii="Times New Roman" w:eastAsia="Times New Roman" w:hAnsi="Times New Roman" w:cs="Times New Roman"/>
          <w:bCs/>
        </w:rPr>
        <w:t>FM</w:t>
      </w:r>
      <w:r w:rsidRPr="00451BDA">
        <w:rPr>
          <w:rFonts w:ascii="Times New Roman" w:eastAsia="Times New Roman" w:hAnsi="Times New Roman" w:cs="Times New Roman"/>
          <w:bCs/>
        </w:rPr>
        <w:t xml:space="preserve"> from University A and University B on the three sub-dimensions of </w:t>
      </w:r>
      <w:r w:rsidR="00C61B46" w:rsidRPr="00451BDA">
        <w:rPr>
          <w:rFonts w:ascii="Times New Roman" w:eastAsia="Times New Roman" w:hAnsi="Times New Roman" w:cs="Times New Roman"/>
          <w:bCs/>
        </w:rPr>
        <w:t>P</w:t>
      </w:r>
      <w:r w:rsidR="00AE5C59" w:rsidRPr="00451BDA">
        <w:rPr>
          <w:rFonts w:ascii="Times New Roman" w:eastAsia="Times New Roman" w:hAnsi="Times New Roman" w:cs="Times New Roman"/>
          <w:bCs/>
        </w:rPr>
        <w:t>IC-F</w:t>
      </w:r>
      <w:r w:rsidRPr="00451BDA">
        <w:rPr>
          <w:rFonts w:ascii="Times New Roman" w:eastAsia="Times New Roman" w:hAnsi="Times New Roman" w:cs="Times New Roman"/>
          <w:bCs/>
        </w:rPr>
        <w:t xml:space="preserve"> (Table </w:t>
      </w:r>
      <w:r w:rsidR="00F8459D" w:rsidRPr="00451BDA">
        <w:rPr>
          <w:rFonts w:ascii="Times New Roman" w:eastAsia="Times New Roman" w:hAnsi="Times New Roman" w:cs="Times New Roman"/>
          <w:bCs/>
        </w:rPr>
        <w:t>2</w:t>
      </w:r>
      <w:r w:rsidRPr="00451BDA">
        <w:rPr>
          <w:rFonts w:ascii="Times New Roman" w:eastAsia="Times New Roman" w:hAnsi="Times New Roman" w:cs="Times New Roman"/>
          <w:bCs/>
        </w:rPr>
        <w:t>).</w:t>
      </w:r>
      <w:r w:rsidR="00226B27" w:rsidRPr="00451BDA">
        <w:rPr>
          <w:rFonts w:ascii="Times New Roman" w:eastAsia="Times New Roman" w:hAnsi="Times New Roman" w:cs="Times New Roman"/>
          <w:bCs/>
        </w:rPr>
        <w:t xml:space="preserve"> Slight mean differences were observed for Factor</w:t>
      </w:r>
      <w:r w:rsidR="00DF5419" w:rsidRPr="00451BDA">
        <w:rPr>
          <w:rFonts w:ascii="Times New Roman" w:eastAsia="Times New Roman" w:hAnsi="Times New Roman" w:cs="Times New Roman"/>
          <w:bCs/>
        </w:rPr>
        <w:t>s</w:t>
      </w:r>
      <w:r w:rsidR="00226B27" w:rsidRPr="00451BDA">
        <w:rPr>
          <w:rFonts w:ascii="Times New Roman" w:eastAsia="Times New Roman" w:hAnsi="Times New Roman" w:cs="Times New Roman"/>
          <w:bCs/>
        </w:rPr>
        <w:t xml:space="preserve"> 2 and 3.</w:t>
      </w:r>
      <w:r w:rsidRPr="00451BDA">
        <w:rPr>
          <w:rFonts w:ascii="Times New Roman" w:eastAsia="Times New Roman" w:hAnsi="Times New Roman" w:cs="Times New Roman"/>
          <w:bCs/>
        </w:rPr>
        <w:t xml:space="preserve"> Furthermore, </w:t>
      </w:r>
      <w:r w:rsidR="000127F9" w:rsidRPr="00451BDA">
        <w:rPr>
          <w:rFonts w:ascii="Times New Roman" w:eastAsia="Times New Roman" w:hAnsi="Times New Roman" w:cs="Times New Roman"/>
          <w:bCs/>
        </w:rPr>
        <w:t>in</w:t>
      </w:r>
      <w:r w:rsidRPr="00451BDA">
        <w:rPr>
          <w:rFonts w:ascii="Times New Roman" w:eastAsia="Times New Roman" w:hAnsi="Times New Roman" w:cs="Times New Roman"/>
          <w:bCs/>
        </w:rPr>
        <w:t>significant difference</w:t>
      </w:r>
      <w:r w:rsidR="003C288B" w:rsidRPr="00451BDA">
        <w:rPr>
          <w:rFonts w:ascii="Times New Roman" w:eastAsia="Times New Roman" w:hAnsi="Times New Roman" w:cs="Times New Roman"/>
          <w:bCs/>
        </w:rPr>
        <w:t>s</w:t>
      </w:r>
      <w:r w:rsidRPr="00451BDA">
        <w:rPr>
          <w:rFonts w:ascii="Times New Roman" w:eastAsia="Times New Roman" w:hAnsi="Times New Roman" w:cs="Times New Roman"/>
          <w:bCs/>
        </w:rPr>
        <w:t xml:space="preserve"> </w:t>
      </w:r>
      <w:r w:rsidR="003C288B" w:rsidRPr="00451BDA">
        <w:rPr>
          <w:rFonts w:ascii="Times New Roman" w:eastAsia="Times New Roman" w:hAnsi="Times New Roman" w:cs="Times New Roman"/>
          <w:bCs/>
        </w:rPr>
        <w:t xml:space="preserve">were identified </w:t>
      </w:r>
      <w:r w:rsidRPr="00451BDA">
        <w:rPr>
          <w:rFonts w:ascii="Times New Roman" w:eastAsia="Times New Roman" w:hAnsi="Times New Roman" w:cs="Times New Roman"/>
          <w:bCs/>
        </w:rPr>
        <w:t xml:space="preserve">using </w:t>
      </w:r>
      <w:r w:rsidR="003C288B" w:rsidRPr="00451BDA">
        <w:rPr>
          <w:rFonts w:ascii="Times New Roman" w:eastAsia="Times New Roman" w:hAnsi="Times New Roman" w:cs="Times New Roman"/>
          <w:bCs/>
        </w:rPr>
        <w:t>a</w:t>
      </w:r>
      <w:r w:rsidRPr="00451BDA">
        <w:rPr>
          <w:rFonts w:ascii="Times New Roman" w:eastAsia="Times New Roman" w:hAnsi="Times New Roman" w:cs="Times New Roman"/>
          <w:bCs/>
        </w:rPr>
        <w:t xml:space="preserve"> one-way ANOVA</w:t>
      </w:r>
      <w:r w:rsidR="00226B27" w:rsidRPr="00451BDA">
        <w:rPr>
          <w:rFonts w:ascii="Times New Roman" w:eastAsia="Times New Roman" w:hAnsi="Times New Roman" w:cs="Times New Roman"/>
          <w:bCs/>
        </w:rPr>
        <w:t xml:space="preserve"> when between-discipline differences for </w:t>
      </w:r>
      <w:r w:rsidRPr="00451BDA">
        <w:rPr>
          <w:rFonts w:ascii="Times New Roman" w:eastAsia="Times New Roman" w:hAnsi="Times New Roman" w:cs="Times New Roman"/>
          <w:bCs/>
        </w:rPr>
        <w:t>the three factors were investigated. However, post</w:t>
      </w:r>
      <w:r w:rsidR="00226B27" w:rsidRPr="00451BDA">
        <w:rPr>
          <w:rFonts w:ascii="Times New Roman" w:eastAsia="Times New Roman" w:hAnsi="Times New Roman" w:cs="Times New Roman"/>
          <w:bCs/>
        </w:rPr>
        <w:t>-</w:t>
      </w:r>
      <w:r w:rsidRPr="00451BDA">
        <w:rPr>
          <w:rFonts w:ascii="Times New Roman" w:eastAsia="Times New Roman" w:hAnsi="Times New Roman" w:cs="Times New Roman"/>
          <w:bCs/>
        </w:rPr>
        <w:t xml:space="preserve">hoc tests revealed that </w:t>
      </w:r>
      <w:r w:rsidR="00523849" w:rsidRPr="00451BDA">
        <w:rPr>
          <w:rFonts w:ascii="Times New Roman" w:eastAsia="Times New Roman" w:hAnsi="Times New Roman" w:cs="Times New Roman"/>
          <w:bCs/>
        </w:rPr>
        <w:t>FM</w:t>
      </w:r>
      <w:r w:rsidRPr="00451BDA">
        <w:rPr>
          <w:rFonts w:ascii="Times New Roman" w:eastAsia="Times New Roman" w:hAnsi="Times New Roman" w:cs="Times New Roman"/>
          <w:bCs/>
        </w:rPr>
        <w:t xml:space="preserve"> from engineering and design perceived the undergraduate curriculum to</w:t>
      </w:r>
      <w:r w:rsidR="003C288B" w:rsidRPr="00451BDA">
        <w:rPr>
          <w:rFonts w:ascii="Times New Roman" w:eastAsia="Times New Roman" w:hAnsi="Times New Roman" w:cs="Times New Roman"/>
          <w:bCs/>
        </w:rPr>
        <w:t xml:space="preserve"> have a</w:t>
      </w:r>
      <w:r w:rsidRPr="00451BDA">
        <w:rPr>
          <w:rFonts w:ascii="Times New Roman" w:eastAsia="Times New Roman" w:hAnsi="Times New Roman" w:cs="Times New Roman"/>
          <w:bCs/>
        </w:rPr>
        <w:t xml:space="preserve"> significantly higher </w:t>
      </w:r>
      <w:r w:rsidR="003C288B" w:rsidRPr="00451BDA">
        <w:rPr>
          <w:rFonts w:ascii="Times New Roman" w:eastAsia="Times New Roman" w:hAnsi="Times New Roman" w:cs="Times New Roman"/>
          <w:bCs/>
        </w:rPr>
        <w:t xml:space="preserve">focus </w:t>
      </w:r>
      <w:r w:rsidRPr="00451BDA">
        <w:rPr>
          <w:rFonts w:ascii="Times New Roman" w:eastAsia="Times New Roman" w:hAnsi="Times New Roman" w:cs="Times New Roman"/>
          <w:bCs/>
        </w:rPr>
        <w:t>on global citizenship when compared to the humanities and social sciences (</w:t>
      </w:r>
      <w:r w:rsidRPr="00451BDA">
        <w:rPr>
          <w:rFonts w:ascii="Times New Roman" w:eastAsia="Times New Roman" w:hAnsi="Times New Roman" w:cs="Times New Roman"/>
          <w:bCs/>
          <w:i/>
        </w:rPr>
        <w:t>p</w:t>
      </w:r>
      <w:r w:rsidRPr="00451BDA">
        <w:rPr>
          <w:rFonts w:ascii="Times New Roman" w:eastAsia="Times New Roman" w:hAnsi="Times New Roman" w:cs="Times New Roman"/>
          <w:bCs/>
        </w:rPr>
        <w:t>=.05).</w:t>
      </w:r>
      <w:r w:rsidR="00FF6703" w:rsidRPr="00451BDA">
        <w:rPr>
          <w:rFonts w:ascii="Times New Roman" w:eastAsia="Times New Roman" w:hAnsi="Times New Roman" w:cs="Times New Roman"/>
          <w:bCs/>
        </w:rPr>
        <w:t xml:space="preserve"> </w:t>
      </w:r>
    </w:p>
    <w:p w14:paraId="3339A408" w14:textId="6AF30D7D" w:rsidR="00DA3230" w:rsidRPr="00451BDA" w:rsidRDefault="00DA3230" w:rsidP="007A0506">
      <w:pPr>
        <w:shd w:val="clear" w:color="auto" w:fill="FFFFFF" w:themeFill="background1"/>
        <w:spacing w:line="240" w:lineRule="auto"/>
        <w:ind w:firstLine="720"/>
        <w:contextualSpacing/>
        <w:rPr>
          <w:rFonts w:ascii="Times New Roman" w:eastAsia="Times New Roman" w:hAnsi="Times New Roman" w:cs="Times New Roman"/>
          <w:bCs/>
        </w:rPr>
      </w:pPr>
    </w:p>
    <w:p w14:paraId="4290DEB5" w14:textId="77777777" w:rsidR="00DB0919" w:rsidRPr="00451BDA" w:rsidRDefault="00DB0919" w:rsidP="00DB0919">
      <w:pPr>
        <w:shd w:val="clear" w:color="auto" w:fill="FFFFFF" w:themeFill="background1"/>
        <w:rPr>
          <w:rFonts w:ascii="Times New Roman" w:eastAsia="Times New Roman" w:hAnsi="Times New Roman" w:cs="Times New Roman"/>
          <w:bCs/>
        </w:rPr>
      </w:pPr>
      <w:r w:rsidRPr="00451BDA">
        <w:rPr>
          <w:rFonts w:ascii="Times New Roman" w:eastAsia="Times New Roman" w:hAnsi="Times New Roman" w:cs="Times New Roman"/>
          <w:bCs/>
        </w:rPr>
        <w:t>Table 3: Mean difference of FM perceptions on the PIC-F subscales with and without curriculum related experiences.</w:t>
      </w:r>
    </w:p>
    <w:tbl>
      <w:tblPr>
        <w:tblW w:w="9787" w:type="dxa"/>
        <w:tblInd w:w="98" w:type="dxa"/>
        <w:tblLayout w:type="fixed"/>
        <w:tblCellMar>
          <w:left w:w="10" w:type="dxa"/>
          <w:right w:w="10" w:type="dxa"/>
        </w:tblCellMar>
        <w:tblLook w:val="04A0" w:firstRow="1" w:lastRow="0" w:firstColumn="1" w:lastColumn="0" w:noHBand="0" w:noVBand="1"/>
      </w:tblPr>
      <w:tblGrid>
        <w:gridCol w:w="1257"/>
        <w:gridCol w:w="967"/>
        <w:gridCol w:w="525"/>
        <w:gridCol w:w="697"/>
        <w:gridCol w:w="567"/>
        <w:gridCol w:w="1134"/>
        <w:gridCol w:w="567"/>
        <w:gridCol w:w="992"/>
        <w:gridCol w:w="284"/>
        <w:gridCol w:w="567"/>
        <w:gridCol w:w="567"/>
        <w:gridCol w:w="644"/>
        <w:gridCol w:w="1019"/>
      </w:tblGrid>
      <w:tr w:rsidR="00DB0919" w:rsidRPr="00451BDA" w14:paraId="2E902C39" w14:textId="77777777" w:rsidTr="007724B8">
        <w:trPr>
          <w:trHeight w:val="1"/>
        </w:trPr>
        <w:tc>
          <w:tcPr>
            <w:tcW w:w="1257" w:type="dxa"/>
            <w:tcBorders>
              <w:bottom w:val="single" w:sz="4" w:space="0" w:color="auto"/>
            </w:tcBorders>
            <w:shd w:val="clear" w:color="000000" w:fill="FFFFFF"/>
            <w:tcMar>
              <w:left w:w="108" w:type="dxa"/>
              <w:right w:w="108" w:type="dxa"/>
            </w:tcMar>
          </w:tcPr>
          <w:p w14:paraId="4ABCAE81" w14:textId="77777777" w:rsidR="00DB0919" w:rsidRPr="00451BDA" w:rsidRDefault="00DB0919" w:rsidP="007724B8">
            <w:pPr>
              <w:shd w:val="clear" w:color="auto" w:fill="FFFFFF" w:themeFill="background1"/>
              <w:tabs>
                <w:tab w:val="left" w:pos="689"/>
              </w:tabs>
              <w:spacing w:after="0" w:line="240" w:lineRule="auto"/>
              <w:rPr>
                <w:rFonts w:ascii="Times New Roman" w:eastAsia="Calibri" w:hAnsi="Times New Roman" w:cs="Times New Roman"/>
                <w:bCs/>
              </w:rPr>
            </w:pPr>
            <w:r w:rsidRPr="00451BDA">
              <w:rPr>
                <w:rFonts w:ascii="Times New Roman" w:eastAsia="Calibri" w:hAnsi="Times New Roman" w:cs="Times New Roman"/>
                <w:bCs/>
              </w:rPr>
              <w:tab/>
            </w:r>
          </w:p>
        </w:tc>
        <w:tc>
          <w:tcPr>
            <w:tcW w:w="967" w:type="dxa"/>
            <w:tcBorders>
              <w:bottom w:val="single" w:sz="4" w:space="0" w:color="auto"/>
            </w:tcBorders>
            <w:shd w:val="clear" w:color="000000" w:fill="FFFFFF"/>
          </w:tcPr>
          <w:p w14:paraId="437F6228" w14:textId="77777777" w:rsidR="00DB0919" w:rsidRPr="00451BDA" w:rsidRDefault="00DB0919" w:rsidP="007724B8">
            <w:pPr>
              <w:shd w:val="clear" w:color="auto" w:fill="FFFFFF" w:themeFill="background1"/>
              <w:spacing w:after="0" w:line="240" w:lineRule="auto"/>
              <w:jc w:val="center"/>
              <w:rPr>
                <w:rFonts w:ascii="Times New Roman" w:hAnsi="Times New Roman" w:cs="Times New Roman"/>
                <w:bCs/>
              </w:rPr>
            </w:pPr>
          </w:p>
        </w:tc>
        <w:tc>
          <w:tcPr>
            <w:tcW w:w="525" w:type="dxa"/>
            <w:tcBorders>
              <w:bottom w:val="single" w:sz="4" w:space="0" w:color="auto"/>
            </w:tcBorders>
            <w:shd w:val="clear" w:color="000000" w:fill="FFFFFF"/>
          </w:tcPr>
          <w:p w14:paraId="08E56377" w14:textId="77777777" w:rsidR="00DB0919" w:rsidRPr="00451BDA" w:rsidRDefault="00DB0919" w:rsidP="007724B8">
            <w:pPr>
              <w:shd w:val="clear" w:color="auto" w:fill="FFFFFF" w:themeFill="background1"/>
              <w:spacing w:after="0" w:line="240" w:lineRule="auto"/>
              <w:jc w:val="center"/>
              <w:rPr>
                <w:rFonts w:ascii="Times New Roman" w:hAnsi="Times New Roman" w:cs="Times New Roman"/>
                <w:bCs/>
              </w:rPr>
            </w:pPr>
          </w:p>
        </w:tc>
        <w:tc>
          <w:tcPr>
            <w:tcW w:w="7038" w:type="dxa"/>
            <w:gridSpan w:val="10"/>
            <w:tcBorders>
              <w:bottom w:val="single" w:sz="4" w:space="0" w:color="auto"/>
            </w:tcBorders>
            <w:shd w:val="clear" w:color="000000" w:fill="FFFFFF"/>
            <w:tcMar>
              <w:left w:w="108" w:type="dxa"/>
              <w:right w:w="108" w:type="dxa"/>
            </w:tcMar>
          </w:tcPr>
          <w:p w14:paraId="632571EB" w14:textId="77777777" w:rsidR="00DB0919" w:rsidRPr="00451BDA" w:rsidRDefault="00DB0919" w:rsidP="007724B8">
            <w:pPr>
              <w:shd w:val="clear" w:color="auto" w:fill="FFFFFF" w:themeFill="background1"/>
              <w:spacing w:after="0" w:line="240" w:lineRule="auto"/>
              <w:jc w:val="center"/>
              <w:rPr>
                <w:rFonts w:ascii="Times New Roman" w:hAnsi="Times New Roman" w:cs="Times New Roman"/>
                <w:bCs/>
              </w:rPr>
            </w:pPr>
          </w:p>
        </w:tc>
      </w:tr>
      <w:tr w:rsidR="00DB0919" w:rsidRPr="00451BDA" w14:paraId="156D046A" w14:textId="77777777" w:rsidTr="007724B8">
        <w:trPr>
          <w:trHeight w:val="1"/>
        </w:trPr>
        <w:tc>
          <w:tcPr>
            <w:tcW w:w="1257" w:type="dxa"/>
            <w:tcBorders>
              <w:top w:val="single" w:sz="4" w:space="0" w:color="auto"/>
            </w:tcBorders>
            <w:shd w:val="clear" w:color="000000" w:fill="FFFFFF"/>
            <w:tcMar>
              <w:left w:w="108" w:type="dxa"/>
              <w:right w:w="108" w:type="dxa"/>
            </w:tcMar>
          </w:tcPr>
          <w:p w14:paraId="6BFD571A" w14:textId="77777777" w:rsidR="00DB0919" w:rsidRPr="00451BDA" w:rsidRDefault="00DB0919" w:rsidP="007724B8">
            <w:pPr>
              <w:shd w:val="clear" w:color="auto" w:fill="FFFFFF" w:themeFill="background1"/>
              <w:spacing w:after="0" w:line="240" w:lineRule="auto"/>
              <w:rPr>
                <w:rFonts w:ascii="Times New Roman" w:eastAsia="Calibri" w:hAnsi="Times New Roman" w:cs="Times New Roman"/>
                <w:bCs/>
              </w:rPr>
            </w:pPr>
            <w:r w:rsidRPr="00451BDA">
              <w:rPr>
                <w:rFonts w:ascii="Times New Roman" w:eastAsia="Calibri" w:hAnsi="Times New Roman" w:cs="Times New Roman"/>
                <w:bCs/>
              </w:rPr>
              <w:t>FM</w:t>
            </w:r>
          </w:p>
          <w:p w14:paraId="71037CD3" w14:textId="77777777" w:rsidR="00DB0919" w:rsidRPr="00451BDA" w:rsidRDefault="00DB0919" w:rsidP="007724B8">
            <w:pPr>
              <w:shd w:val="clear" w:color="auto" w:fill="FFFFFF" w:themeFill="background1"/>
              <w:spacing w:after="0" w:line="240" w:lineRule="auto"/>
              <w:rPr>
                <w:rFonts w:ascii="Times New Roman" w:eastAsia="Calibri" w:hAnsi="Times New Roman" w:cs="Times New Roman"/>
                <w:bCs/>
              </w:rPr>
            </w:pPr>
            <w:r w:rsidRPr="00451BDA">
              <w:rPr>
                <w:rFonts w:ascii="Times New Roman" w:eastAsia="Calibri" w:hAnsi="Times New Roman" w:cs="Times New Roman"/>
                <w:bCs/>
              </w:rPr>
              <w:t>experience</w:t>
            </w:r>
          </w:p>
        </w:tc>
        <w:tc>
          <w:tcPr>
            <w:tcW w:w="967" w:type="dxa"/>
            <w:tcBorders>
              <w:top w:val="single" w:sz="4" w:space="0" w:color="auto"/>
            </w:tcBorders>
            <w:shd w:val="clear" w:color="000000" w:fill="FFFFFF"/>
          </w:tcPr>
          <w:p w14:paraId="2DD89893"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Subscales</w:t>
            </w:r>
          </w:p>
        </w:tc>
        <w:tc>
          <w:tcPr>
            <w:tcW w:w="1222" w:type="dxa"/>
            <w:gridSpan w:val="2"/>
            <w:tcBorders>
              <w:top w:val="single" w:sz="4" w:space="0" w:color="auto"/>
            </w:tcBorders>
            <w:shd w:val="clear" w:color="000000" w:fill="FFFFFF"/>
            <w:tcMar>
              <w:left w:w="108" w:type="dxa"/>
              <w:right w:w="108" w:type="dxa"/>
            </w:tcMar>
          </w:tcPr>
          <w:p w14:paraId="696204DC"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With exp</w:t>
            </w:r>
          </w:p>
        </w:tc>
        <w:tc>
          <w:tcPr>
            <w:tcW w:w="567" w:type="dxa"/>
            <w:tcBorders>
              <w:top w:val="single" w:sz="4" w:space="0" w:color="auto"/>
            </w:tcBorders>
            <w:shd w:val="clear" w:color="000000" w:fill="FFFFFF"/>
            <w:tcMar>
              <w:left w:w="108" w:type="dxa"/>
              <w:right w:w="108" w:type="dxa"/>
            </w:tcMar>
          </w:tcPr>
          <w:p w14:paraId="7061545F" w14:textId="77777777" w:rsidR="00DB0919" w:rsidRPr="00451BDA" w:rsidRDefault="00DB0919" w:rsidP="007724B8">
            <w:pPr>
              <w:shd w:val="clear" w:color="auto" w:fill="FFFFFF" w:themeFill="background1"/>
              <w:spacing w:after="0" w:line="240" w:lineRule="auto"/>
              <w:rPr>
                <w:rFonts w:ascii="Times New Roman" w:eastAsia="Calibri" w:hAnsi="Times New Roman" w:cs="Times New Roman"/>
                <w:bCs/>
              </w:rPr>
            </w:pPr>
          </w:p>
        </w:tc>
        <w:tc>
          <w:tcPr>
            <w:tcW w:w="1134" w:type="dxa"/>
            <w:tcBorders>
              <w:top w:val="single" w:sz="4" w:space="0" w:color="auto"/>
            </w:tcBorders>
            <w:shd w:val="clear" w:color="000000" w:fill="FFFFFF"/>
            <w:tcMar>
              <w:left w:w="108" w:type="dxa"/>
              <w:right w:w="108" w:type="dxa"/>
            </w:tcMar>
          </w:tcPr>
          <w:p w14:paraId="60EEA24B"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No exp</w:t>
            </w:r>
          </w:p>
        </w:tc>
        <w:tc>
          <w:tcPr>
            <w:tcW w:w="567" w:type="dxa"/>
            <w:tcBorders>
              <w:top w:val="single" w:sz="4" w:space="0" w:color="auto"/>
            </w:tcBorders>
            <w:shd w:val="clear" w:color="000000" w:fill="FFFFFF"/>
            <w:tcMar>
              <w:left w:w="108" w:type="dxa"/>
              <w:right w:w="108" w:type="dxa"/>
            </w:tcMar>
          </w:tcPr>
          <w:p w14:paraId="3DD4F2BC" w14:textId="77777777" w:rsidR="00DB0919" w:rsidRPr="00451BDA" w:rsidRDefault="00DB0919" w:rsidP="007724B8">
            <w:pPr>
              <w:shd w:val="clear" w:color="auto" w:fill="FFFFFF" w:themeFill="background1"/>
              <w:spacing w:after="0" w:line="240" w:lineRule="auto"/>
              <w:rPr>
                <w:rFonts w:ascii="Times New Roman" w:eastAsia="Calibri" w:hAnsi="Times New Roman" w:cs="Times New Roman"/>
                <w:bCs/>
              </w:rPr>
            </w:pPr>
            <w:r w:rsidRPr="00451BDA">
              <w:rPr>
                <w:rFonts w:ascii="Times New Roman" w:eastAsia="Calibri" w:hAnsi="Times New Roman" w:cs="Times New Roman"/>
                <w:bCs/>
              </w:rPr>
              <w:t>SD</w:t>
            </w:r>
          </w:p>
        </w:tc>
        <w:tc>
          <w:tcPr>
            <w:tcW w:w="992" w:type="dxa"/>
            <w:tcBorders>
              <w:top w:val="single" w:sz="4" w:space="0" w:color="auto"/>
            </w:tcBorders>
            <w:shd w:val="clear" w:color="000000" w:fill="FFFFFF"/>
            <w:tcMar>
              <w:left w:w="108" w:type="dxa"/>
              <w:right w:w="108" w:type="dxa"/>
            </w:tcMar>
          </w:tcPr>
          <w:p w14:paraId="2D70E7D2" w14:textId="77777777" w:rsidR="00DB0919" w:rsidRPr="00451BDA" w:rsidRDefault="00DB0919" w:rsidP="007724B8">
            <w:pPr>
              <w:shd w:val="clear" w:color="auto" w:fill="FFFFFF" w:themeFill="background1"/>
              <w:spacing w:after="0" w:line="240" w:lineRule="auto"/>
              <w:rPr>
                <w:rFonts w:ascii="Times New Roman" w:eastAsia="Calibri" w:hAnsi="Times New Roman" w:cs="Times New Roman"/>
                <w:bCs/>
              </w:rPr>
            </w:pPr>
            <w:r w:rsidRPr="00451BDA">
              <w:rPr>
                <w:rFonts w:ascii="Times New Roman" w:eastAsia="Calibri" w:hAnsi="Times New Roman" w:cs="Times New Roman"/>
                <w:bCs/>
              </w:rPr>
              <w:t>t(</w:t>
            </w:r>
            <w:r w:rsidRPr="00451BDA">
              <w:rPr>
                <w:rFonts w:ascii="Times New Roman" w:eastAsia="Calibri" w:hAnsi="Times New Roman" w:cs="Times New Roman"/>
                <w:bCs/>
                <w:i/>
                <w:iCs/>
              </w:rPr>
              <w:t>p</w:t>
            </w:r>
            <w:r w:rsidRPr="00451BDA">
              <w:rPr>
                <w:rFonts w:ascii="Times New Roman" w:eastAsia="Calibri" w:hAnsi="Times New Roman" w:cs="Times New Roman"/>
                <w:bCs/>
              </w:rPr>
              <w:t>)</w:t>
            </w:r>
          </w:p>
        </w:tc>
        <w:tc>
          <w:tcPr>
            <w:tcW w:w="851" w:type="dxa"/>
            <w:gridSpan w:val="2"/>
            <w:tcBorders>
              <w:top w:val="single" w:sz="4" w:space="0" w:color="auto"/>
            </w:tcBorders>
            <w:shd w:val="clear" w:color="000000" w:fill="FFFFFF"/>
          </w:tcPr>
          <w:p w14:paraId="5F7A2EBE" w14:textId="77777777" w:rsidR="00DB0919" w:rsidRPr="00451BDA" w:rsidRDefault="00DB0919" w:rsidP="007724B8">
            <w:pPr>
              <w:shd w:val="clear" w:color="auto" w:fill="FFFFFF" w:themeFill="background1"/>
              <w:spacing w:after="0" w:line="240" w:lineRule="auto"/>
              <w:rPr>
                <w:rFonts w:ascii="Times New Roman" w:eastAsia="Calibri" w:hAnsi="Times New Roman" w:cs="Times New Roman"/>
                <w:bCs/>
              </w:rPr>
            </w:pPr>
            <w:r w:rsidRPr="00451BDA">
              <w:rPr>
                <w:rFonts w:ascii="Times New Roman" w:eastAsia="Calibri" w:hAnsi="Times New Roman" w:cs="Times New Roman"/>
                <w:bCs/>
              </w:rPr>
              <w:t>Mean D</w:t>
            </w:r>
          </w:p>
        </w:tc>
        <w:tc>
          <w:tcPr>
            <w:tcW w:w="567" w:type="dxa"/>
            <w:tcBorders>
              <w:top w:val="single" w:sz="4" w:space="0" w:color="auto"/>
            </w:tcBorders>
            <w:shd w:val="clear" w:color="000000" w:fill="FFFFFF"/>
            <w:tcMar>
              <w:left w:w="108" w:type="dxa"/>
              <w:right w:w="108" w:type="dxa"/>
            </w:tcMar>
          </w:tcPr>
          <w:p w14:paraId="6D60057D" w14:textId="77777777" w:rsidR="00DB0919" w:rsidRPr="00451BDA" w:rsidRDefault="00DB0919" w:rsidP="007724B8">
            <w:pPr>
              <w:shd w:val="clear" w:color="auto" w:fill="FFFFFF" w:themeFill="background1"/>
              <w:spacing w:after="0" w:line="240" w:lineRule="auto"/>
              <w:rPr>
                <w:rFonts w:ascii="Times New Roman" w:eastAsia="Calibri" w:hAnsi="Times New Roman" w:cs="Times New Roman"/>
                <w:bCs/>
              </w:rPr>
            </w:pPr>
          </w:p>
          <w:p w14:paraId="17BF7DC8" w14:textId="77777777" w:rsidR="00DB0919" w:rsidRPr="00451BDA" w:rsidRDefault="00DB0919" w:rsidP="007724B8">
            <w:pPr>
              <w:shd w:val="clear" w:color="auto" w:fill="FFFFFF" w:themeFill="background1"/>
              <w:spacing w:after="0" w:line="240" w:lineRule="auto"/>
              <w:rPr>
                <w:rFonts w:ascii="Times New Roman" w:eastAsia="Calibri" w:hAnsi="Times New Roman" w:cs="Times New Roman"/>
                <w:bCs/>
              </w:rPr>
            </w:pPr>
          </w:p>
        </w:tc>
        <w:tc>
          <w:tcPr>
            <w:tcW w:w="644" w:type="dxa"/>
            <w:tcBorders>
              <w:top w:val="single" w:sz="4" w:space="0" w:color="auto"/>
            </w:tcBorders>
            <w:shd w:val="clear" w:color="000000" w:fill="FFFFFF"/>
            <w:tcMar>
              <w:left w:w="108" w:type="dxa"/>
              <w:right w:w="108" w:type="dxa"/>
            </w:tcMar>
          </w:tcPr>
          <w:p w14:paraId="28490E64" w14:textId="77777777" w:rsidR="00DB0919" w:rsidRPr="00451BDA" w:rsidRDefault="00DB0919" w:rsidP="007724B8">
            <w:pPr>
              <w:shd w:val="clear" w:color="auto" w:fill="FFFFFF" w:themeFill="background1"/>
              <w:spacing w:after="0" w:line="240" w:lineRule="auto"/>
              <w:rPr>
                <w:rFonts w:ascii="Times New Roman" w:eastAsia="Calibri" w:hAnsi="Times New Roman" w:cs="Times New Roman"/>
                <w:bCs/>
              </w:rPr>
            </w:pPr>
          </w:p>
        </w:tc>
        <w:tc>
          <w:tcPr>
            <w:tcW w:w="1019" w:type="dxa"/>
            <w:tcBorders>
              <w:top w:val="single" w:sz="4" w:space="0" w:color="auto"/>
            </w:tcBorders>
            <w:shd w:val="clear" w:color="000000" w:fill="FFFFFF"/>
            <w:tcMar>
              <w:left w:w="108" w:type="dxa"/>
              <w:right w:w="108" w:type="dxa"/>
            </w:tcMar>
          </w:tcPr>
          <w:p w14:paraId="15B9D6AA" w14:textId="77777777" w:rsidR="00DB0919" w:rsidRPr="00451BDA" w:rsidRDefault="00DB0919" w:rsidP="007724B8">
            <w:pPr>
              <w:shd w:val="clear" w:color="auto" w:fill="FFFFFF" w:themeFill="background1"/>
              <w:spacing w:after="0" w:line="240" w:lineRule="auto"/>
              <w:rPr>
                <w:rFonts w:ascii="Times New Roman" w:eastAsia="Calibri" w:hAnsi="Times New Roman" w:cs="Times New Roman"/>
                <w:bCs/>
              </w:rPr>
            </w:pPr>
          </w:p>
        </w:tc>
      </w:tr>
      <w:tr w:rsidR="00DB0919" w:rsidRPr="00451BDA" w14:paraId="320BBE78" w14:textId="77777777" w:rsidTr="007724B8">
        <w:trPr>
          <w:trHeight w:val="1"/>
        </w:trPr>
        <w:tc>
          <w:tcPr>
            <w:tcW w:w="1257" w:type="dxa"/>
            <w:tcBorders>
              <w:bottom w:val="single" w:sz="4" w:space="0" w:color="auto"/>
            </w:tcBorders>
            <w:shd w:val="clear" w:color="000000" w:fill="FFFFFF"/>
            <w:tcMar>
              <w:left w:w="108" w:type="dxa"/>
              <w:right w:w="108" w:type="dxa"/>
            </w:tcMar>
          </w:tcPr>
          <w:p w14:paraId="124F0305" w14:textId="77777777" w:rsidR="00DB0919" w:rsidRPr="00451BDA" w:rsidRDefault="00DB0919" w:rsidP="007724B8">
            <w:pPr>
              <w:shd w:val="clear" w:color="auto" w:fill="FFFFFF" w:themeFill="background1"/>
              <w:spacing w:after="0" w:line="240" w:lineRule="auto"/>
              <w:rPr>
                <w:rFonts w:ascii="Times New Roman" w:eastAsia="Calibri" w:hAnsi="Times New Roman" w:cs="Times New Roman"/>
                <w:bCs/>
              </w:rPr>
            </w:pPr>
          </w:p>
        </w:tc>
        <w:tc>
          <w:tcPr>
            <w:tcW w:w="967" w:type="dxa"/>
            <w:tcBorders>
              <w:bottom w:val="single" w:sz="4" w:space="0" w:color="auto"/>
            </w:tcBorders>
            <w:shd w:val="clear" w:color="000000" w:fill="FFFFFF"/>
          </w:tcPr>
          <w:p w14:paraId="7C33863E"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p>
        </w:tc>
        <w:tc>
          <w:tcPr>
            <w:tcW w:w="1222" w:type="dxa"/>
            <w:gridSpan w:val="2"/>
            <w:tcBorders>
              <w:bottom w:val="single" w:sz="4" w:space="0" w:color="auto"/>
            </w:tcBorders>
            <w:shd w:val="clear" w:color="000000" w:fill="FFFFFF"/>
            <w:tcMar>
              <w:left w:w="108" w:type="dxa"/>
              <w:right w:w="108" w:type="dxa"/>
            </w:tcMar>
          </w:tcPr>
          <w:p w14:paraId="5FB1F7E6"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Mean (N)</w:t>
            </w:r>
          </w:p>
        </w:tc>
        <w:tc>
          <w:tcPr>
            <w:tcW w:w="567" w:type="dxa"/>
            <w:tcBorders>
              <w:bottom w:val="single" w:sz="4" w:space="0" w:color="auto"/>
            </w:tcBorders>
            <w:shd w:val="clear" w:color="000000" w:fill="FFFFFF"/>
            <w:tcMar>
              <w:left w:w="108" w:type="dxa"/>
              <w:right w:w="108" w:type="dxa"/>
            </w:tcMar>
          </w:tcPr>
          <w:p w14:paraId="49802AAA"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p>
        </w:tc>
        <w:tc>
          <w:tcPr>
            <w:tcW w:w="1134" w:type="dxa"/>
            <w:tcBorders>
              <w:bottom w:val="single" w:sz="4" w:space="0" w:color="auto"/>
            </w:tcBorders>
            <w:shd w:val="clear" w:color="000000" w:fill="FFFFFF"/>
            <w:tcMar>
              <w:left w:w="108" w:type="dxa"/>
              <w:right w:w="108" w:type="dxa"/>
            </w:tcMar>
          </w:tcPr>
          <w:p w14:paraId="54F19C1D"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Mean(N)</w:t>
            </w:r>
          </w:p>
        </w:tc>
        <w:tc>
          <w:tcPr>
            <w:tcW w:w="567" w:type="dxa"/>
            <w:tcBorders>
              <w:bottom w:val="single" w:sz="4" w:space="0" w:color="auto"/>
            </w:tcBorders>
            <w:shd w:val="clear" w:color="000000" w:fill="FFFFFF"/>
            <w:tcMar>
              <w:left w:w="108" w:type="dxa"/>
              <w:right w:w="108" w:type="dxa"/>
            </w:tcMar>
          </w:tcPr>
          <w:p w14:paraId="53FEF500"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SD</w:t>
            </w:r>
          </w:p>
        </w:tc>
        <w:tc>
          <w:tcPr>
            <w:tcW w:w="992" w:type="dxa"/>
            <w:tcBorders>
              <w:bottom w:val="single" w:sz="4" w:space="0" w:color="auto"/>
            </w:tcBorders>
            <w:shd w:val="clear" w:color="000000" w:fill="FFFFFF"/>
            <w:tcMar>
              <w:left w:w="108" w:type="dxa"/>
              <w:right w:w="108" w:type="dxa"/>
            </w:tcMar>
          </w:tcPr>
          <w:p w14:paraId="7709F37D"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t(</w:t>
            </w:r>
            <w:r w:rsidRPr="00451BDA">
              <w:rPr>
                <w:rFonts w:ascii="Times New Roman" w:eastAsia="Times New Roman" w:hAnsi="Times New Roman" w:cs="Times New Roman"/>
                <w:bCs/>
                <w:i/>
                <w:iCs/>
              </w:rPr>
              <w:t>p</w:t>
            </w:r>
            <w:r w:rsidRPr="00451BDA">
              <w:rPr>
                <w:rFonts w:ascii="Times New Roman" w:eastAsia="Times New Roman" w:hAnsi="Times New Roman" w:cs="Times New Roman"/>
                <w:bCs/>
              </w:rPr>
              <w:t>)</w:t>
            </w:r>
          </w:p>
        </w:tc>
        <w:tc>
          <w:tcPr>
            <w:tcW w:w="851" w:type="dxa"/>
            <w:gridSpan w:val="2"/>
            <w:tcBorders>
              <w:bottom w:val="single" w:sz="4" w:space="0" w:color="auto"/>
            </w:tcBorders>
            <w:shd w:val="clear" w:color="000000" w:fill="FFFFFF"/>
          </w:tcPr>
          <w:p w14:paraId="53CEF13A"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p>
        </w:tc>
        <w:tc>
          <w:tcPr>
            <w:tcW w:w="567" w:type="dxa"/>
            <w:tcBorders>
              <w:bottom w:val="single" w:sz="4" w:space="0" w:color="auto"/>
            </w:tcBorders>
            <w:shd w:val="clear" w:color="000000" w:fill="FFFFFF"/>
            <w:tcMar>
              <w:left w:w="108" w:type="dxa"/>
              <w:right w:w="108" w:type="dxa"/>
            </w:tcMar>
          </w:tcPr>
          <w:p w14:paraId="450930C9"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LL</w:t>
            </w:r>
          </w:p>
        </w:tc>
        <w:tc>
          <w:tcPr>
            <w:tcW w:w="644" w:type="dxa"/>
            <w:tcBorders>
              <w:bottom w:val="single" w:sz="4" w:space="0" w:color="auto"/>
            </w:tcBorders>
            <w:shd w:val="clear" w:color="000000" w:fill="FFFFFF"/>
            <w:tcMar>
              <w:left w:w="108" w:type="dxa"/>
              <w:right w:w="108" w:type="dxa"/>
            </w:tcMar>
          </w:tcPr>
          <w:p w14:paraId="0CA16C62"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UL</w:t>
            </w:r>
          </w:p>
        </w:tc>
        <w:tc>
          <w:tcPr>
            <w:tcW w:w="1019" w:type="dxa"/>
            <w:tcBorders>
              <w:bottom w:val="single" w:sz="4" w:space="0" w:color="auto"/>
            </w:tcBorders>
            <w:shd w:val="clear" w:color="000000" w:fill="FFFFFF"/>
            <w:tcMar>
              <w:left w:w="108" w:type="dxa"/>
              <w:right w:w="108" w:type="dxa"/>
            </w:tcMar>
          </w:tcPr>
          <w:p w14:paraId="27C7AB84"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Cohen’s d</w:t>
            </w:r>
          </w:p>
        </w:tc>
      </w:tr>
      <w:tr w:rsidR="00DB0919" w:rsidRPr="00451BDA" w14:paraId="2A5B00EE" w14:textId="77777777" w:rsidTr="007724B8">
        <w:trPr>
          <w:trHeight w:val="1"/>
        </w:trPr>
        <w:tc>
          <w:tcPr>
            <w:tcW w:w="1257" w:type="dxa"/>
            <w:tcBorders>
              <w:top w:val="single" w:sz="4" w:space="0" w:color="auto"/>
            </w:tcBorders>
            <w:shd w:val="clear" w:color="000000" w:fill="FFFFFF"/>
            <w:tcMar>
              <w:left w:w="108" w:type="dxa"/>
              <w:right w:w="108" w:type="dxa"/>
            </w:tcMar>
          </w:tcPr>
          <w:p w14:paraId="0796E16E"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Calibri" w:hAnsi="Times New Roman" w:cs="Times New Roman"/>
                <w:bCs/>
              </w:rPr>
              <w:t>FCDE</w:t>
            </w:r>
          </w:p>
        </w:tc>
        <w:tc>
          <w:tcPr>
            <w:tcW w:w="967" w:type="dxa"/>
            <w:tcBorders>
              <w:top w:val="single" w:sz="4" w:space="0" w:color="auto"/>
            </w:tcBorders>
            <w:shd w:val="clear" w:color="000000" w:fill="FFFFFF"/>
          </w:tcPr>
          <w:p w14:paraId="4252F8A6"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CLM</w:t>
            </w:r>
          </w:p>
        </w:tc>
        <w:tc>
          <w:tcPr>
            <w:tcW w:w="1222" w:type="dxa"/>
            <w:gridSpan w:val="2"/>
            <w:tcBorders>
              <w:top w:val="single" w:sz="4" w:space="0" w:color="auto"/>
            </w:tcBorders>
            <w:shd w:val="clear" w:color="000000" w:fill="FFFFFF"/>
            <w:tcMar>
              <w:left w:w="108" w:type="dxa"/>
              <w:right w:w="108" w:type="dxa"/>
            </w:tcMar>
          </w:tcPr>
          <w:p w14:paraId="0419E149"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13.5(61)</w:t>
            </w:r>
          </w:p>
        </w:tc>
        <w:tc>
          <w:tcPr>
            <w:tcW w:w="567" w:type="dxa"/>
            <w:tcBorders>
              <w:top w:val="single" w:sz="4" w:space="0" w:color="auto"/>
            </w:tcBorders>
            <w:shd w:val="clear" w:color="000000" w:fill="FFFFFF"/>
            <w:tcMar>
              <w:left w:w="108" w:type="dxa"/>
              <w:right w:w="108" w:type="dxa"/>
            </w:tcMar>
          </w:tcPr>
          <w:p w14:paraId="6FE44CFD"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4.8</w:t>
            </w:r>
          </w:p>
        </w:tc>
        <w:tc>
          <w:tcPr>
            <w:tcW w:w="1134" w:type="dxa"/>
            <w:tcBorders>
              <w:top w:val="single" w:sz="4" w:space="0" w:color="auto"/>
            </w:tcBorders>
            <w:shd w:val="clear" w:color="000000" w:fill="FFFFFF"/>
            <w:tcMar>
              <w:left w:w="108" w:type="dxa"/>
              <w:right w:w="108" w:type="dxa"/>
            </w:tcMar>
          </w:tcPr>
          <w:p w14:paraId="246A6AD7"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17.1(29)</w:t>
            </w:r>
          </w:p>
        </w:tc>
        <w:tc>
          <w:tcPr>
            <w:tcW w:w="567" w:type="dxa"/>
            <w:tcBorders>
              <w:top w:val="single" w:sz="4" w:space="0" w:color="auto"/>
            </w:tcBorders>
            <w:shd w:val="clear" w:color="000000" w:fill="FFFFFF"/>
            <w:tcMar>
              <w:left w:w="108" w:type="dxa"/>
              <w:right w:w="108" w:type="dxa"/>
            </w:tcMar>
          </w:tcPr>
          <w:p w14:paraId="2191875C"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4.6</w:t>
            </w:r>
          </w:p>
        </w:tc>
        <w:tc>
          <w:tcPr>
            <w:tcW w:w="1276" w:type="dxa"/>
            <w:gridSpan w:val="2"/>
            <w:tcBorders>
              <w:top w:val="single" w:sz="4" w:space="0" w:color="auto"/>
            </w:tcBorders>
            <w:shd w:val="clear" w:color="000000" w:fill="FFFFFF"/>
            <w:tcMar>
              <w:left w:w="108" w:type="dxa"/>
              <w:right w:w="108" w:type="dxa"/>
            </w:tcMar>
          </w:tcPr>
          <w:p w14:paraId="67029250"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3.3(0.00)</w:t>
            </w:r>
          </w:p>
        </w:tc>
        <w:tc>
          <w:tcPr>
            <w:tcW w:w="567" w:type="dxa"/>
            <w:tcBorders>
              <w:top w:val="single" w:sz="4" w:space="0" w:color="auto"/>
            </w:tcBorders>
            <w:shd w:val="clear" w:color="000000" w:fill="FFFFFF"/>
          </w:tcPr>
          <w:p w14:paraId="68B3E240"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3.5</w:t>
            </w:r>
          </w:p>
        </w:tc>
        <w:tc>
          <w:tcPr>
            <w:tcW w:w="567" w:type="dxa"/>
            <w:tcBorders>
              <w:top w:val="single" w:sz="4" w:space="0" w:color="auto"/>
            </w:tcBorders>
            <w:shd w:val="clear" w:color="000000" w:fill="FFFFFF"/>
            <w:tcMar>
              <w:left w:w="108" w:type="dxa"/>
              <w:right w:w="108" w:type="dxa"/>
            </w:tcMar>
          </w:tcPr>
          <w:p w14:paraId="57FB8D43"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5.7</w:t>
            </w:r>
          </w:p>
        </w:tc>
        <w:tc>
          <w:tcPr>
            <w:tcW w:w="644" w:type="dxa"/>
            <w:tcBorders>
              <w:top w:val="single" w:sz="4" w:space="0" w:color="auto"/>
            </w:tcBorders>
            <w:shd w:val="clear" w:color="000000" w:fill="FFFFFF"/>
            <w:tcMar>
              <w:left w:w="108" w:type="dxa"/>
              <w:right w:w="108" w:type="dxa"/>
            </w:tcMar>
          </w:tcPr>
          <w:p w14:paraId="68671F46"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1.4</w:t>
            </w:r>
          </w:p>
        </w:tc>
        <w:tc>
          <w:tcPr>
            <w:tcW w:w="1019" w:type="dxa"/>
            <w:tcBorders>
              <w:top w:val="single" w:sz="4" w:space="0" w:color="auto"/>
            </w:tcBorders>
            <w:shd w:val="clear" w:color="000000" w:fill="FFFFFF"/>
            <w:tcMar>
              <w:left w:w="108" w:type="dxa"/>
              <w:right w:w="108" w:type="dxa"/>
            </w:tcMar>
          </w:tcPr>
          <w:p w14:paraId="5727BBC3"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0.7</w:t>
            </w:r>
          </w:p>
        </w:tc>
      </w:tr>
      <w:tr w:rsidR="00DB0919" w:rsidRPr="00451BDA" w14:paraId="4770AEE7" w14:textId="77777777" w:rsidTr="007724B8">
        <w:trPr>
          <w:trHeight w:val="1"/>
        </w:trPr>
        <w:tc>
          <w:tcPr>
            <w:tcW w:w="1257" w:type="dxa"/>
            <w:shd w:val="clear" w:color="000000" w:fill="FFFFFF"/>
            <w:tcMar>
              <w:left w:w="108" w:type="dxa"/>
              <w:right w:w="108" w:type="dxa"/>
            </w:tcMar>
          </w:tcPr>
          <w:p w14:paraId="003F832E"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p>
        </w:tc>
        <w:tc>
          <w:tcPr>
            <w:tcW w:w="967" w:type="dxa"/>
            <w:shd w:val="clear" w:color="000000" w:fill="FFFFFF"/>
          </w:tcPr>
          <w:p w14:paraId="1F983196"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CES</w:t>
            </w:r>
          </w:p>
        </w:tc>
        <w:tc>
          <w:tcPr>
            <w:tcW w:w="1222" w:type="dxa"/>
            <w:gridSpan w:val="2"/>
            <w:shd w:val="clear" w:color="000000" w:fill="FFFFFF"/>
            <w:tcMar>
              <w:left w:w="108" w:type="dxa"/>
              <w:right w:w="108" w:type="dxa"/>
            </w:tcMar>
          </w:tcPr>
          <w:p w14:paraId="2CB311F9"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16.9(61)</w:t>
            </w:r>
          </w:p>
        </w:tc>
        <w:tc>
          <w:tcPr>
            <w:tcW w:w="567" w:type="dxa"/>
            <w:shd w:val="clear" w:color="000000" w:fill="FFFFFF"/>
            <w:tcMar>
              <w:left w:w="108" w:type="dxa"/>
              <w:right w:w="108" w:type="dxa"/>
            </w:tcMar>
          </w:tcPr>
          <w:p w14:paraId="6CC55472"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5.7</w:t>
            </w:r>
          </w:p>
        </w:tc>
        <w:tc>
          <w:tcPr>
            <w:tcW w:w="1134" w:type="dxa"/>
            <w:shd w:val="clear" w:color="000000" w:fill="FFFFFF"/>
            <w:tcMar>
              <w:left w:w="108" w:type="dxa"/>
              <w:right w:w="108" w:type="dxa"/>
            </w:tcMar>
          </w:tcPr>
          <w:p w14:paraId="69459532"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21.9(29)</w:t>
            </w:r>
          </w:p>
        </w:tc>
        <w:tc>
          <w:tcPr>
            <w:tcW w:w="567" w:type="dxa"/>
            <w:shd w:val="clear" w:color="000000" w:fill="FFFFFF"/>
            <w:tcMar>
              <w:left w:w="108" w:type="dxa"/>
              <w:right w:w="108" w:type="dxa"/>
            </w:tcMar>
          </w:tcPr>
          <w:p w14:paraId="2D797BB4"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6.5</w:t>
            </w:r>
          </w:p>
        </w:tc>
        <w:tc>
          <w:tcPr>
            <w:tcW w:w="1276" w:type="dxa"/>
            <w:gridSpan w:val="2"/>
            <w:shd w:val="clear" w:color="000000" w:fill="FFFFFF"/>
            <w:tcMar>
              <w:left w:w="108" w:type="dxa"/>
              <w:right w:w="108" w:type="dxa"/>
            </w:tcMar>
          </w:tcPr>
          <w:p w14:paraId="288B6862"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3.6(0.00)</w:t>
            </w:r>
          </w:p>
        </w:tc>
        <w:tc>
          <w:tcPr>
            <w:tcW w:w="567" w:type="dxa"/>
            <w:shd w:val="clear" w:color="000000" w:fill="FFFFFF"/>
          </w:tcPr>
          <w:p w14:paraId="07302FBA"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4.9</w:t>
            </w:r>
          </w:p>
        </w:tc>
        <w:tc>
          <w:tcPr>
            <w:tcW w:w="567" w:type="dxa"/>
            <w:shd w:val="clear" w:color="000000" w:fill="FFFFFF"/>
            <w:tcMar>
              <w:left w:w="108" w:type="dxa"/>
              <w:right w:w="108" w:type="dxa"/>
            </w:tcMar>
          </w:tcPr>
          <w:p w14:paraId="5EA3A7EB"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7.6</w:t>
            </w:r>
          </w:p>
        </w:tc>
        <w:tc>
          <w:tcPr>
            <w:tcW w:w="644" w:type="dxa"/>
            <w:shd w:val="clear" w:color="000000" w:fill="FFFFFF"/>
            <w:tcMar>
              <w:left w:w="108" w:type="dxa"/>
              <w:right w:w="108" w:type="dxa"/>
            </w:tcMar>
          </w:tcPr>
          <w:p w14:paraId="476DC8CC"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2.2</w:t>
            </w:r>
          </w:p>
        </w:tc>
        <w:tc>
          <w:tcPr>
            <w:tcW w:w="1019" w:type="dxa"/>
            <w:shd w:val="clear" w:color="000000" w:fill="FFFFFF"/>
            <w:tcMar>
              <w:left w:w="108" w:type="dxa"/>
              <w:right w:w="108" w:type="dxa"/>
            </w:tcMar>
          </w:tcPr>
          <w:p w14:paraId="59BD1F90"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0.8</w:t>
            </w:r>
          </w:p>
        </w:tc>
      </w:tr>
      <w:tr w:rsidR="00DB0919" w:rsidRPr="00451BDA" w14:paraId="41394A26" w14:textId="77777777" w:rsidTr="007724B8">
        <w:trPr>
          <w:trHeight w:val="1"/>
        </w:trPr>
        <w:tc>
          <w:tcPr>
            <w:tcW w:w="1257" w:type="dxa"/>
            <w:shd w:val="clear" w:color="000000" w:fill="FFFFFF"/>
            <w:tcMar>
              <w:left w:w="108" w:type="dxa"/>
              <w:right w:w="108" w:type="dxa"/>
            </w:tcMar>
          </w:tcPr>
          <w:p w14:paraId="48F2BAB8"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p>
        </w:tc>
        <w:tc>
          <w:tcPr>
            <w:tcW w:w="967" w:type="dxa"/>
            <w:shd w:val="clear" w:color="000000" w:fill="FFFFFF"/>
          </w:tcPr>
          <w:p w14:paraId="22F206C7"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CGC</w:t>
            </w:r>
          </w:p>
        </w:tc>
        <w:tc>
          <w:tcPr>
            <w:tcW w:w="1222" w:type="dxa"/>
            <w:gridSpan w:val="2"/>
            <w:shd w:val="clear" w:color="000000" w:fill="FFFFFF"/>
            <w:tcMar>
              <w:left w:w="108" w:type="dxa"/>
              <w:right w:w="108" w:type="dxa"/>
            </w:tcMar>
          </w:tcPr>
          <w:p w14:paraId="39FAC348"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18.0(61)</w:t>
            </w:r>
          </w:p>
        </w:tc>
        <w:tc>
          <w:tcPr>
            <w:tcW w:w="567" w:type="dxa"/>
            <w:shd w:val="clear" w:color="000000" w:fill="FFFFFF"/>
            <w:tcMar>
              <w:left w:w="108" w:type="dxa"/>
              <w:right w:w="108" w:type="dxa"/>
            </w:tcMar>
          </w:tcPr>
          <w:p w14:paraId="64226377"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6.8</w:t>
            </w:r>
          </w:p>
        </w:tc>
        <w:tc>
          <w:tcPr>
            <w:tcW w:w="1134" w:type="dxa"/>
            <w:shd w:val="clear" w:color="000000" w:fill="FFFFFF"/>
            <w:tcMar>
              <w:left w:w="108" w:type="dxa"/>
              <w:right w:w="108" w:type="dxa"/>
            </w:tcMar>
          </w:tcPr>
          <w:p w14:paraId="164EC2EB"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21.2(29)</w:t>
            </w:r>
          </w:p>
        </w:tc>
        <w:tc>
          <w:tcPr>
            <w:tcW w:w="567" w:type="dxa"/>
            <w:shd w:val="clear" w:color="000000" w:fill="FFFFFF"/>
            <w:tcMar>
              <w:left w:w="108" w:type="dxa"/>
              <w:right w:w="108" w:type="dxa"/>
            </w:tcMar>
          </w:tcPr>
          <w:p w14:paraId="6698806B"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6.0</w:t>
            </w:r>
          </w:p>
        </w:tc>
        <w:tc>
          <w:tcPr>
            <w:tcW w:w="1276" w:type="dxa"/>
            <w:gridSpan w:val="2"/>
            <w:shd w:val="clear" w:color="000000" w:fill="FFFFFF"/>
            <w:tcMar>
              <w:left w:w="108" w:type="dxa"/>
              <w:right w:w="108" w:type="dxa"/>
            </w:tcMar>
          </w:tcPr>
          <w:p w14:paraId="03837AEA"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2.1(0.03)</w:t>
            </w:r>
          </w:p>
        </w:tc>
        <w:tc>
          <w:tcPr>
            <w:tcW w:w="567" w:type="dxa"/>
            <w:shd w:val="clear" w:color="000000" w:fill="FFFFFF"/>
          </w:tcPr>
          <w:p w14:paraId="660F2804"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3.1</w:t>
            </w:r>
          </w:p>
        </w:tc>
        <w:tc>
          <w:tcPr>
            <w:tcW w:w="567" w:type="dxa"/>
            <w:shd w:val="clear" w:color="000000" w:fill="FFFFFF"/>
            <w:tcMar>
              <w:left w:w="108" w:type="dxa"/>
              <w:right w:w="108" w:type="dxa"/>
            </w:tcMar>
          </w:tcPr>
          <w:p w14:paraId="6E7F0674"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6.1</w:t>
            </w:r>
          </w:p>
        </w:tc>
        <w:tc>
          <w:tcPr>
            <w:tcW w:w="644" w:type="dxa"/>
            <w:shd w:val="clear" w:color="000000" w:fill="FFFFFF"/>
            <w:tcMar>
              <w:left w:w="108" w:type="dxa"/>
              <w:right w:w="108" w:type="dxa"/>
            </w:tcMar>
          </w:tcPr>
          <w:p w14:paraId="1A278AA7"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0.19</w:t>
            </w:r>
          </w:p>
        </w:tc>
        <w:tc>
          <w:tcPr>
            <w:tcW w:w="1019" w:type="dxa"/>
            <w:shd w:val="clear" w:color="000000" w:fill="FFFFFF"/>
            <w:tcMar>
              <w:left w:w="108" w:type="dxa"/>
              <w:right w:w="108" w:type="dxa"/>
            </w:tcMar>
          </w:tcPr>
          <w:p w14:paraId="79FEDB8B"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0.4</w:t>
            </w:r>
          </w:p>
        </w:tc>
      </w:tr>
      <w:tr w:rsidR="00DB0919" w:rsidRPr="00451BDA" w14:paraId="3869455D" w14:textId="77777777" w:rsidTr="007724B8">
        <w:trPr>
          <w:trHeight w:val="1"/>
        </w:trPr>
        <w:tc>
          <w:tcPr>
            <w:tcW w:w="1257" w:type="dxa"/>
            <w:shd w:val="clear" w:color="000000" w:fill="FFFFFF"/>
            <w:tcMar>
              <w:left w:w="108" w:type="dxa"/>
              <w:right w:w="108" w:type="dxa"/>
            </w:tcMar>
          </w:tcPr>
          <w:p w14:paraId="4DDE67F3" w14:textId="77777777" w:rsidR="00DB0919" w:rsidRPr="00451BDA" w:rsidRDefault="00DB0919" w:rsidP="007724B8">
            <w:pPr>
              <w:shd w:val="clear" w:color="auto" w:fill="FFFFFF" w:themeFill="background1"/>
              <w:spacing w:after="0" w:line="240" w:lineRule="auto"/>
              <w:rPr>
                <w:rFonts w:ascii="Times New Roman" w:eastAsia="Calibri" w:hAnsi="Times New Roman" w:cs="Times New Roman"/>
                <w:bCs/>
              </w:rPr>
            </w:pPr>
          </w:p>
        </w:tc>
        <w:tc>
          <w:tcPr>
            <w:tcW w:w="967" w:type="dxa"/>
            <w:shd w:val="clear" w:color="000000" w:fill="FFFFFF"/>
          </w:tcPr>
          <w:p w14:paraId="6846AE71" w14:textId="77777777" w:rsidR="00DB0919" w:rsidRPr="00451BDA" w:rsidRDefault="00DB0919" w:rsidP="007724B8">
            <w:pPr>
              <w:shd w:val="clear" w:color="auto" w:fill="FFFFFF" w:themeFill="background1"/>
              <w:spacing w:after="0" w:line="240" w:lineRule="auto"/>
              <w:jc w:val="center"/>
              <w:rPr>
                <w:rFonts w:ascii="Times New Roman" w:hAnsi="Times New Roman" w:cs="Times New Roman"/>
                <w:bCs/>
              </w:rPr>
            </w:pPr>
          </w:p>
        </w:tc>
        <w:tc>
          <w:tcPr>
            <w:tcW w:w="525" w:type="dxa"/>
            <w:shd w:val="clear" w:color="000000" w:fill="FFFFFF"/>
          </w:tcPr>
          <w:p w14:paraId="7A9F04BB" w14:textId="77777777" w:rsidR="00DB0919" w:rsidRPr="00451BDA" w:rsidRDefault="00DB0919" w:rsidP="007724B8">
            <w:pPr>
              <w:shd w:val="clear" w:color="auto" w:fill="FFFFFF" w:themeFill="background1"/>
              <w:spacing w:after="0" w:line="240" w:lineRule="auto"/>
              <w:jc w:val="center"/>
              <w:rPr>
                <w:rFonts w:ascii="Times New Roman" w:hAnsi="Times New Roman" w:cs="Times New Roman"/>
                <w:bCs/>
              </w:rPr>
            </w:pPr>
          </w:p>
        </w:tc>
        <w:tc>
          <w:tcPr>
            <w:tcW w:w="7038" w:type="dxa"/>
            <w:gridSpan w:val="10"/>
            <w:shd w:val="clear" w:color="000000" w:fill="FFFFFF"/>
            <w:tcMar>
              <w:left w:w="108" w:type="dxa"/>
              <w:right w:w="108" w:type="dxa"/>
            </w:tcMar>
          </w:tcPr>
          <w:p w14:paraId="4185786A" w14:textId="77777777" w:rsidR="00DB0919" w:rsidRPr="00451BDA" w:rsidRDefault="00DB0919" w:rsidP="007724B8">
            <w:pPr>
              <w:shd w:val="clear" w:color="auto" w:fill="FFFFFF" w:themeFill="background1"/>
              <w:spacing w:after="0" w:line="240" w:lineRule="auto"/>
              <w:jc w:val="center"/>
              <w:rPr>
                <w:rFonts w:ascii="Times New Roman" w:hAnsi="Times New Roman" w:cs="Times New Roman"/>
                <w:bCs/>
              </w:rPr>
            </w:pPr>
          </w:p>
        </w:tc>
      </w:tr>
      <w:tr w:rsidR="00DB0919" w:rsidRPr="00451BDA" w14:paraId="54866FC5" w14:textId="77777777" w:rsidTr="007724B8">
        <w:trPr>
          <w:trHeight w:val="1"/>
        </w:trPr>
        <w:tc>
          <w:tcPr>
            <w:tcW w:w="1257" w:type="dxa"/>
            <w:shd w:val="clear" w:color="000000" w:fill="FFFFFF"/>
            <w:tcMar>
              <w:left w:w="108" w:type="dxa"/>
              <w:right w:w="108" w:type="dxa"/>
            </w:tcMar>
          </w:tcPr>
          <w:p w14:paraId="3996C5DF"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Calibri" w:hAnsi="Times New Roman" w:cs="Times New Roman"/>
                <w:bCs/>
              </w:rPr>
              <w:t>FRCR</w:t>
            </w:r>
          </w:p>
        </w:tc>
        <w:tc>
          <w:tcPr>
            <w:tcW w:w="967" w:type="dxa"/>
            <w:shd w:val="clear" w:color="000000" w:fill="FFFFFF"/>
          </w:tcPr>
          <w:p w14:paraId="6831C19E"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p>
        </w:tc>
        <w:tc>
          <w:tcPr>
            <w:tcW w:w="1222" w:type="dxa"/>
            <w:gridSpan w:val="2"/>
            <w:shd w:val="clear" w:color="000000" w:fill="FFFFFF"/>
            <w:tcMar>
              <w:left w:w="108" w:type="dxa"/>
              <w:right w:w="108" w:type="dxa"/>
            </w:tcMar>
          </w:tcPr>
          <w:p w14:paraId="57DDC0C9"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p>
        </w:tc>
        <w:tc>
          <w:tcPr>
            <w:tcW w:w="567" w:type="dxa"/>
            <w:shd w:val="clear" w:color="000000" w:fill="FFFFFF"/>
            <w:tcMar>
              <w:left w:w="108" w:type="dxa"/>
              <w:right w:w="108" w:type="dxa"/>
            </w:tcMar>
          </w:tcPr>
          <w:p w14:paraId="7139B88E"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p>
        </w:tc>
        <w:tc>
          <w:tcPr>
            <w:tcW w:w="1134" w:type="dxa"/>
            <w:shd w:val="clear" w:color="000000" w:fill="FFFFFF"/>
            <w:tcMar>
              <w:left w:w="108" w:type="dxa"/>
              <w:right w:w="108" w:type="dxa"/>
            </w:tcMar>
          </w:tcPr>
          <w:p w14:paraId="4E6A221C"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p>
        </w:tc>
        <w:tc>
          <w:tcPr>
            <w:tcW w:w="567" w:type="dxa"/>
            <w:shd w:val="clear" w:color="000000" w:fill="FFFFFF"/>
            <w:tcMar>
              <w:left w:w="108" w:type="dxa"/>
              <w:right w:w="108" w:type="dxa"/>
            </w:tcMar>
          </w:tcPr>
          <w:p w14:paraId="58AB7632"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p>
        </w:tc>
        <w:tc>
          <w:tcPr>
            <w:tcW w:w="1276" w:type="dxa"/>
            <w:gridSpan w:val="2"/>
            <w:shd w:val="clear" w:color="000000" w:fill="FFFFFF"/>
            <w:tcMar>
              <w:left w:w="108" w:type="dxa"/>
              <w:right w:w="108" w:type="dxa"/>
            </w:tcMar>
          </w:tcPr>
          <w:p w14:paraId="44E236D4"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p>
        </w:tc>
        <w:tc>
          <w:tcPr>
            <w:tcW w:w="567" w:type="dxa"/>
            <w:shd w:val="clear" w:color="000000" w:fill="FFFFFF"/>
          </w:tcPr>
          <w:p w14:paraId="355E349D"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p>
        </w:tc>
        <w:tc>
          <w:tcPr>
            <w:tcW w:w="567" w:type="dxa"/>
            <w:shd w:val="clear" w:color="000000" w:fill="FFFFFF"/>
            <w:tcMar>
              <w:left w:w="108" w:type="dxa"/>
              <w:right w:w="108" w:type="dxa"/>
            </w:tcMar>
          </w:tcPr>
          <w:p w14:paraId="7A153D74"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p>
        </w:tc>
        <w:tc>
          <w:tcPr>
            <w:tcW w:w="644" w:type="dxa"/>
            <w:shd w:val="clear" w:color="000000" w:fill="FFFFFF"/>
            <w:tcMar>
              <w:left w:w="108" w:type="dxa"/>
              <w:right w:w="108" w:type="dxa"/>
            </w:tcMar>
          </w:tcPr>
          <w:p w14:paraId="1BE383DA"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p>
        </w:tc>
        <w:tc>
          <w:tcPr>
            <w:tcW w:w="1019" w:type="dxa"/>
            <w:shd w:val="clear" w:color="000000" w:fill="FFFFFF"/>
            <w:tcMar>
              <w:left w:w="108" w:type="dxa"/>
              <w:right w:w="108" w:type="dxa"/>
            </w:tcMar>
          </w:tcPr>
          <w:p w14:paraId="02460DA7"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p>
        </w:tc>
      </w:tr>
      <w:tr w:rsidR="00DB0919" w:rsidRPr="00451BDA" w14:paraId="3BF5CEE4" w14:textId="77777777" w:rsidTr="007724B8">
        <w:trPr>
          <w:trHeight w:val="1"/>
        </w:trPr>
        <w:tc>
          <w:tcPr>
            <w:tcW w:w="1257" w:type="dxa"/>
            <w:shd w:val="clear" w:color="000000" w:fill="FFFFFF"/>
            <w:tcMar>
              <w:left w:w="108" w:type="dxa"/>
              <w:right w:w="108" w:type="dxa"/>
            </w:tcMar>
          </w:tcPr>
          <w:p w14:paraId="447AC9EF"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p>
        </w:tc>
        <w:tc>
          <w:tcPr>
            <w:tcW w:w="967" w:type="dxa"/>
            <w:shd w:val="clear" w:color="000000" w:fill="FFFFFF"/>
          </w:tcPr>
          <w:p w14:paraId="35A1BFD9"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CLM</w:t>
            </w:r>
          </w:p>
        </w:tc>
        <w:tc>
          <w:tcPr>
            <w:tcW w:w="1222" w:type="dxa"/>
            <w:gridSpan w:val="2"/>
            <w:shd w:val="clear" w:color="000000" w:fill="FFFFFF"/>
            <w:tcMar>
              <w:left w:w="108" w:type="dxa"/>
              <w:right w:w="108" w:type="dxa"/>
            </w:tcMar>
          </w:tcPr>
          <w:p w14:paraId="1949C27F"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13.6(71)</w:t>
            </w:r>
          </w:p>
        </w:tc>
        <w:tc>
          <w:tcPr>
            <w:tcW w:w="567" w:type="dxa"/>
            <w:shd w:val="clear" w:color="000000" w:fill="FFFFFF"/>
            <w:tcMar>
              <w:left w:w="108" w:type="dxa"/>
              <w:right w:w="108" w:type="dxa"/>
            </w:tcMar>
          </w:tcPr>
          <w:p w14:paraId="3DB753BC"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4.4</w:t>
            </w:r>
          </w:p>
        </w:tc>
        <w:tc>
          <w:tcPr>
            <w:tcW w:w="1134" w:type="dxa"/>
            <w:shd w:val="clear" w:color="000000" w:fill="FFFFFF"/>
            <w:tcMar>
              <w:left w:w="108" w:type="dxa"/>
              <w:right w:w="108" w:type="dxa"/>
            </w:tcMar>
          </w:tcPr>
          <w:p w14:paraId="3D1425B8"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18.7(19)</w:t>
            </w:r>
          </w:p>
        </w:tc>
        <w:tc>
          <w:tcPr>
            <w:tcW w:w="567" w:type="dxa"/>
            <w:shd w:val="clear" w:color="000000" w:fill="FFFFFF"/>
            <w:tcMar>
              <w:left w:w="108" w:type="dxa"/>
              <w:right w:w="108" w:type="dxa"/>
            </w:tcMar>
          </w:tcPr>
          <w:p w14:paraId="48F7D631"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5.1</w:t>
            </w:r>
          </w:p>
        </w:tc>
        <w:tc>
          <w:tcPr>
            <w:tcW w:w="1276" w:type="dxa"/>
            <w:gridSpan w:val="2"/>
            <w:shd w:val="clear" w:color="000000" w:fill="FFFFFF"/>
            <w:tcMar>
              <w:left w:w="108" w:type="dxa"/>
              <w:right w:w="108" w:type="dxa"/>
            </w:tcMar>
          </w:tcPr>
          <w:p w14:paraId="66E0E12D"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 xml:space="preserve">4.2(0.00)          </w:t>
            </w:r>
          </w:p>
        </w:tc>
        <w:tc>
          <w:tcPr>
            <w:tcW w:w="567" w:type="dxa"/>
            <w:shd w:val="clear" w:color="000000" w:fill="FFFFFF"/>
          </w:tcPr>
          <w:p w14:paraId="5C2B7135"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5.0</w:t>
            </w:r>
          </w:p>
        </w:tc>
        <w:tc>
          <w:tcPr>
            <w:tcW w:w="567" w:type="dxa"/>
            <w:shd w:val="clear" w:color="000000" w:fill="FFFFFF"/>
            <w:tcMar>
              <w:left w:w="108" w:type="dxa"/>
              <w:right w:w="108" w:type="dxa"/>
            </w:tcMar>
          </w:tcPr>
          <w:p w14:paraId="09A2F3BF"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7.4</w:t>
            </w:r>
          </w:p>
        </w:tc>
        <w:tc>
          <w:tcPr>
            <w:tcW w:w="644" w:type="dxa"/>
            <w:shd w:val="clear" w:color="000000" w:fill="FFFFFF"/>
            <w:tcMar>
              <w:left w:w="108" w:type="dxa"/>
              <w:right w:w="108" w:type="dxa"/>
            </w:tcMar>
          </w:tcPr>
          <w:p w14:paraId="4B6D92AB"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2.7</w:t>
            </w:r>
          </w:p>
        </w:tc>
        <w:tc>
          <w:tcPr>
            <w:tcW w:w="1019" w:type="dxa"/>
            <w:shd w:val="clear" w:color="000000" w:fill="FFFFFF"/>
            <w:tcMar>
              <w:left w:w="108" w:type="dxa"/>
              <w:right w:w="108" w:type="dxa"/>
            </w:tcMar>
          </w:tcPr>
          <w:p w14:paraId="45A0915F"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1.0</w:t>
            </w:r>
          </w:p>
        </w:tc>
      </w:tr>
      <w:tr w:rsidR="00DB0919" w:rsidRPr="00451BDA" w14:paraId="06701F91" w14:textId="77777777" w:rsidTr="007724B8">
        <w:trPr>
          <w:trHeight w:val="1"/>
        </w:trPr>
        <w:tc>
          <w:tcPr>
            <w:tcW w:w="1257" w:type="dxa"/>
            <w:shd w:val="clear" w:color="000000" w:fill="FFFFFF"/>
            <w:tcMar>
              <w:left w:w="108" w:type="dxa"/>
              <w:right w:w="108" w:type="dxa"/>
            </w:tcMar>
          </w:tcPr>
          <w:p w14:paraId="600ED173"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p>
        </w:tc>
        <w:tc>
          <w:tcPr>
            <w:tcW w:w="967" w:type="dxa"/>
            <w:shd w:val="clear" w:color="000000" w:fill="FFFFFF"/>
          </w:tcPr>
          <w:p w14:paraId="338613B3"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CES</w:t>
            </w:r>
          </w:p>
        </w:tc>
        <w:tc>
          <w:tcPr>
            <w:tcW w:w="1222" w:type="dxa"/>
            <w:gridSpan w:val="2"/>
            <w:shd w:val="clear" w:color="000000" w:fill="FFFFFF"/>
            <w:tcMar>
              <w:left w:w="108" w:type="dxa"/>
              <w:right w:w="108" w:type="dxa"/>
            </w:tcMar>
          </w:tcPr>
          <w:p w14:paraId="39AE9B96"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17.8(71)</w:t>
            </w:r>
          </w:p>
        </w:tc>
        <w:tc>
          <w:tcPr>
            <w:tcW w:w="567" w:type="dxa"/>
            <w:shd w:val="clear" w:color="000000" w:fill="FFFFFF"/>
            <w:tcMar>
              <w:left w:w="108" w:type="dxa"/>
              <w:right w:w="108" w:type="dxa"/>
            </w:tcMar>
          </w:tcPr>
          <w:p w14:paraId="7A938FFF"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6.0</w:t>
            </w:r>
          </w:p>
        </w:tc>
        <w:tc>
          <w:tcPr>
            <w:tcW w:w="1134" w:type="dxa"/>
            <w:shd w:val="clear" w:color="000000" w:fill="FFFFFF"/>
            <w:tcMar>
              <w:left w:w="108" w:type="dxa"/>
              <w:right w:w="108" w:type="dxa"/>
            </w:tcMar>
          </w:tcPr>
          <w:p w14:paraId="0A0826EC"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21.2(19)</w:t>
            </w:r>
          </w:p>
        </w:tc>
        <w:tc>
          <w:tcPr>
            <w:tcW w:w="567" w:type="dxa"/>
            <w:shd w:val="clear" w:color="000000" w:fill="FFFFFF"/>
            <w:tcMar>
              <w:left w:w="108" w:type="dxa"/>
              <w:right w:w="108" w:type="dxa"/>
            </w:tcMar>
          </w:tcPr>
          <w:p w14:paraId="75C9D3D1"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7.2</w:t>
            </w:r>
          </w:p>
        </w:tc>
        <w:tc>
          <w:tcPr>
            <w:tcW w:w="1276" w:type="dxa"/>
            <w:gridSpan w:val="2"/>
            <w:shd w:val="clear" w:color="000000" w:fill="FFFFFF"/>
            <w:tcMar>
              <w:left w:w="108" w:type="dxa"/>
              <w:right w:w="108" w:type="dxa"/>
            </w:tcMar>
          </w:tcPr>
          <w:p w14:paraId="5ACFFFF2"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2.0(0.04)</w:t>
            </w:r>
          </w:p>
        </w:tc>
        <w:tc>
          <w:tcPr>
            <w:tcW w:w="567" w:type="dxa"/>
            <w:shd w:val="clear" w:color="000000" w:fill="FFFFFF"/>
          </w:tcPr>
          <w:p w14:paraId="789ACD0A"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3.4</w:t>
            </w:r>
          </w:p>
        </w:tc>
        <w:tc>
          <w:tcPr>
            <w:tcW w:w="567" w:type="dxa"/>
            <w:shd w:val="clear" w:color="000000" w:fill="FFFFFF"/>
            <w:tcMar>
              <w:left w:w="108" w:type="dxa"/>
              <w:right w:w="108" w:type="dxa"/>
            </w:tcMar>
          </w:tcPr>
          <w:p w14:paraId="65B8E893"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6.6</w:t>
            </w:r>
          </w:p>
        </w:tc>
        <w:tc>
          <w:tcPr>
            <w:tcW w:w="644" w:type="dxa"/>
            <w:shd w:val="clear" w:color="000000" w:fill="FFFFFF"/>
            <w:tcMar>
              <w:left w:w="108" w:type="dxa"/>
              <w:right w:w="108" w:type="dxa"/>
            </w:tcMar>
          </w:tcPr>
          <w:p w14:paraId="01BF37A2"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0.15</w:t>
            </w:r>
          </w:p>
        </w:tc>
        <w:tc>
          <w:tcPr>
            <w:tcW w:w="1019" w:type="dxa"/>
            <w:shd w:val="clear" w:color="000000" w:fill="FFFFFF"/>
            <w:tcMar>
              <w:left w:w="108" w:type="dxa"/>
              <w:right w:w="108" w:type="dxa"/>
            </w:tcMar>
          </w:tcPr>
          <w:p w14:paraId="1FC5E85E"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0.5</w:t>
            </w:r>
          </w:p>
        </w:tc>
      </w:tr>
      <w:tr w:rsidR="00DB0919" w:rsidRPr="00451BDA" w14:paraId="4922D6E8" w14:textId="77777777" w:rsidTr="007724B8">
        <w:trPr>
          <w:trHeight w:val="1"/>
        </w:trPr>
        <w:tc>
          <w:tcPr>
            <w:tcW w:w="1257" w:type="dxa"/>
            <w:shd w:val="clear" w:color="000000" w:fill="FFFFFF"/>
            <w:tcMar>
              <w:left w:w="108" w:type="dxa"/>
              <w:right w:w="108" w:type="dxa"/>
            </w:tcMar>
          </w:tcPr>
          <w:p w14:paraId="1677B7C0"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p>
        </w:tc>
        <w:tc>
          <w:tcPr>
            <w:tcW w:w="967" w:type="dxa"/>
            <w:shd w:val="clear" w:color="000000" w:fill="FFFFFF"/>
          </w:tcPr>
          <w:p w14:paraId="09D0EB76"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CGC</w:t>
            </w:r>
          </w:p>
        </w:tc>
        <w:tc>
          <w:tcPr>
            <w:tcW w:w="1222" w:type="dxa"/>
            <w:gridSpan w:val="2"/>
            <w:shd w:val="clear" w:color="000000" w:fill="FFFFFF"/>
            <w:tcMar>
              <w:left w:w="108" w:type="dxa"/>
              <w:right w:w="108" w:type="dxa"/>
            </w:tcMar>
          </w:tcPr>
          <w:p w14:paraId="2EE5D5E0"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18.6(71)</w:t>
            </w:r>
          </w:p>
        </w:tc>
        <w:tc>
          <w:tcPr>
            <w:tcW w:w="567" w:type="dxa"/>
            <w:shd w:val="clear" w:color="000000" w:fill="FFFFFF"/>
            <w:tcMar>
              <w:left w:w="108" w:type="dxa"/>
              <w:right w:w="108" w:type="dxa"/>
            </w:tcMar>
          </w:tcPr>
          <w:p w14:paraId="424ABB35"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6.6</w:t>
            </w:r>
          </w:p>
        </w:tc>
        <w:tc>
          <w:tcPr>
            <w:tcW w:w="1134" w:type="dxa"/>
            <w:shd w:val="clear" w:color="000000" w:fill="FFFFFF"/>
            <w:tcMar>
              <w:left w:w="108" w:type="dxa"/>
              <w:right w:w="108" w:type="dxa"/>
            </w:tcMar>
          </w:tcPr>
          <w:p w14:paraId="47FCA902"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20.8(19)</w:t>
            </w:r>
          </w:p>
        </w:tc>
        <w:tc>
          <w:tcPr>
            <w:tcW w:w="567" w:type="dxa"/>
            <w:shd w:val="clear" w:color="000000" w:fill="FFFFFF"/>
            <w:tcMar>
              <w:left w:w="108" w:type="dxa"/>
              <w:right w:w="108" w:type="dxa"/>
            </w:tcMar>
          </w:tcPr>
          <w:p w14:paraId="42EC99E1"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6.9</w:t>
            </w:r>
          </w:p>
        </w:tc>
        <w:tc>
          <w:tcPr>
            <w:tcW w:w="1276" w:type="dxa"/>
            <w:gridSpan w:val="2"/>
            <w:shd w:val="clear" w:color="000000" w:fill="FFFFFF"/>
            <w:tcMar>
              <w:left w:w="108" w:type="dxa"/>
              <w:right w:w="108" w:type="dxa"/>
            </w:tcMar>
          </w:tcPr>
          <w:p w14:paraId="09D812A6"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1.2(0.22)</w:t>
            </w:r>
          </w:p>
        </w:tc>
        <w:tc>
          <w:tcPr>
            <w:tcW w:w="567" w:type="dxa"/>
            <w:shd w:val="clear" w:color="000000" w:fill="FFFFFF"/>
          </w:tcPr>
          <w:p w14:paraId="41502FD7"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3.2</w:t>
            </w:r>
          </w:p>
        </w:tc>
        <w:tc>
          <w:tcPr>
            <w:tcW w:w="567" w:type="dxa"/>
            <w:shd w:val="clear" w:color="000000" w:fill="FFFFFF"/>
            <w:tcMar>
              <w:left w:w="108" w:type="dxa"/>
              <w:right w:w="108" w:type="dxa"/>
            </w:tcMar>
          </w:tcPr>
          <w:p w14:paraId="3C481429"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5.8</w:t>
            </w:r>
          </w:p>
        </w:tc>
        <w:tc>
          <w:tcPr>
            <w:tcW w:w="644" w:type="dxa"/>
            <w:shd w:val="clear" w:color="000000" w:fill="FFFFFF"/>
            <w:tcMar>
              <w:left w:w="108" w:type="dxa"/>
              <w:right w:w="108" w:type="dxa"/>
            </w:tcMar>
          </w:tcPr>
          <w:p w14:paraId="343A468E"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1.4</w:t>
            </w:r>
          </w:p>
        </w:tc>
        <w:tc>
          <w:tcPr>
            <w:tcW w:w="1019" w:type="dxa"/>
            <w:shd w:val="clear" w:color="000000" w:fill="FFFFFF"/>
            <w:tcMar>
              <w:left w:w="108" w:type="dxa"/>
              <w:right w:w="108" w:type="dxa"/>
            </w:tcMar>
          </w:tcPr>
          <w:p w14:paraId="3AB19160"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0.3</w:t>
            </w:r>
          </w:p>
        </w:tc>
      </w:tr>
      <w:tr w:rsidR="00DB0919" w:rsidRPr="00451BDA" w14:paraId="1C8A947C" w14:textId="77777777" w:rsidTr="007724B8">
        <w:trPr>
          <w:trHeight w:val="1"/>
        </w:trPr>
        <w:tc>
          <w:tcPr>
            <w:tcW w:w="2224" w:type="dxa"/>
            <w:gridSpan w:val="2"/>
            <w:shd w:val="clear" w:color="000000" w:fill="FFFFFF"/>
          </w:tcPr>
          <w:p w14:paraId="589B639D" w14:textId="77777777" w:rsidR="00DB0919" w:rsidRPr="00451BDA" w:rsidRDefault="00DB0919" w:rsidP="007724B8">
            <w:pPr>
              <w:shd w:val="clear" w:color="auto" w:fill="FFFFFF" w:themeFill="background1"/>
              <w:tabs>
                <w:tab w:val="left" w:pos="5159"/>
              </w:tabs>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 xml:space="preserve"> FLBI</w:t>
            </w:r>
          </w:p>
        </w:tc>
        <w:tc>
          <w:tcPr>
            <w:tcW w:w="525" w:type="dxa"/>
            <w:shd w:val="clear" w:color="000000" w:fill="FFFFFF"/>
          </w:tcPr>
          <w:p w14:paraId="5C495600" w14:textId="77777777" w:rsidR="00DB0919" w:rsidRPr="00451BDA" w:rsidRDefault="00DB0919" w:rsidP="007724B8">
            <w:pPr>
              <w:shd w:val="clear" w:color="auto" w:fill="FFFFFF" w:themeFill="background1"/>
              <w:tabs>
                <w:tab w:val="left" w:pos="5159"/>
              </w:tabs>
              <w:spacing w:after="0" w:line="240" w:lineRule="auto"/>
              <w:rPr>
                <w:rFonts w:ascii="Times New Roman" w:eastAsia="Times New Roman" w:hAnsi="Times New Roman" w:cs="Times New Roman"/>
                <w:bCs/>
              </w:rPr>
            </w:pPr>
          </w:p>
        </w:tc>
        <w:tc>
          <w:tcPr>
            <w:tcW w:w="7038" w:type="dxa"/>
            <w:gridSpan w:val="10"/>
            <w:shd w:val="clear" w:color="000000" w:fill="FFFFFF"/>
            <w:tcMar>
              <w:left w:w="108" w:type="dxa"/>
              <w:right w:w="108" w:type="dxa"/>
            </w:tcMar>
          </w:tcPr>
          <w:p w14:paraId="04752149" w14:textId="77777777" w:rsidR="00DB0919" w:rsidRPr="00451BDA" w:rsidRDefault="00DB0919" w:rsidP="007724B8">
            <w:pPr>
              <w:shd w:val="clear" w:color="auto" w:fill="FFFFFF" w:themeFill="background1"/>
              <w:tabs>
                <w:tab w:val="left" w:pos="5159"/>
              </w:tabs>
              <w:spacing w:after="0" w:line="240" w:lineRule="auto"/>
              <w:rPr>
                <w:rFonts w:ascii="Times New Roman" w:hAnsi="Times New Roman" w:cs="Times New Roman"/>
                <w:bCs/>
              </w:rPr>
            </w:pPr>
            <w:r w:rsidRPr="00451BDA">
              <w:rPr>
                <w:rFonts w:ascii="Times New Roman" w:eastAsia="Times New Roman" w:hAnsi="Times New Roman" w:cs="Times New Roman"/>
                <w:bCs/>
              </w:rPr>
              <w:t xml:space="preserve">                        </w:t>
            </w:r>
          </w:p>
        </w:tc>
      </w:tr>
      <w:tr w:rsidR="00DB0919" w:rsidRPr="00451BDA" w14:paraId="35AAA624" w14:textId="77777777" w:rsidTr="007724B8">
        <w:trPr>
          <w:trHeight w:val="1"/>
        </w:trPr>
        <w:tc>
          <w:tcPr>
            <w:tcW w:w="1257" w:type="dxa"/>
            <w:shd w:val="clear" w:color="000000" w:fill="FFFFFF"/>
            <w:tcMar>
              <w:left w:w="108" w:type="dxa"/>
              <w:right w:w="108" w:type="dxa"/>
            </w:tcMar>
          </w:tcPr>
          <w:p w14:paraId="0B6F1DE9"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p>
        </w:tc>
        <w:tc>
          <w:tcPr>
            <w:tcW w:w="967" w:type="dxa"/>
            <w:shd w:val="clear" w:color="000000" w:fill="FFFFFF"/>
          </w:tcPr>
          <w:p w14:paraId="40DB2459"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CLM</w:t>
            </w:r>
          </w:p>
        </w:tc>
        <w:tc>
          <w:tcPr>
            <w:tcW w:w="1222" w:type="dxa"/>
            <w:gridSpan w:val="2"/>
            <w:shd w:val="clear" w:color="000000" w:fill="FFFFFF"/>
            <w:tcMar>
              <w:left w:w="108" w:type="dxa"/>
              <w:right w:w="108" w:type="dxa"/>
            </w:tcMar>
          </w:tcPr>
          <w:p w14:paraId="320E46B8"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13.9(65)</w:t>
            </w:r>
          </w:p>
        </w:tc>
        <w:tc>
          <w:tcPr>
            <w:tcW w:w="567" w:type="dxa"/>
            <w:shd w:val="clear" w:color="000000" w:fill="FFFFFF"/>
            <w:tcMar>
              <w:left w:w="108" w:type="dxa"/>
              <w:right w:w="108" w:type="dxa"/>
            </w:tcMar>
          </w:tcPr>
          <w:p w14:paraId="68BBD942"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4.8</w:t>
            </w:r>
          </w:p>
        </w:tc>
        <w:tc>
          <w:tcPr>
            <w:tcW w:w="1134" w:type="dxa"/>
            <w:shd w:val="clear" w:color="000000" w:fill="FFFFFF"/>
            <w:tcMar>
              <w:left w:w="108" w:type="dxa"/>
              <w:right w:w="108" w:type="dxa"/>
            </w:tcMar>
          </w:tcPr>
          <w:p w14:paraId="098A9FB5"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16.8(25)</w:t>
            </w:r>
          </w:p>
        </w:tc>
        <w:tc>
          <w:tcPr>
            <w:tcW w:w="567" w:type="dxa"/>
            <w:shd w:val="clear" w:color="000000" w:fill="FFFFFF"/>
            <w:tcMar>
              <w:left w:w="108" w:type="dxa"/>
              <w:right w:w="108" w:type="dxa"/>
            </w:tcMar>
          </w:tcPr>
          <w:p w14:paraId="261D975B"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5.0</w:t>
            </w:r>
          </w:p>
        </w:tc>
        <w:tc>
          <w:tcPr>
            <w:tcW w:w="1276" w:type="dxa"/>
            <w:gridSpan w:val="2"/>
            <w:shd w:val="clear" w:color="000000" w:fill="FFFFFF"/>
            <w:tcMar>
              <w:left w:w="108" w:type="dxa"/>
              <w:right w:w="108" w:type="dxa"/>
            </w:tcMar>
          </w:tcPr>
          <w:p w14:paraId="5844452A"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 xml:space="preserve">2.5(0.05)                   </w:t>
            </w:r>
          </w:p>
        </w:tc>
        <w:tc>
          <w:tcPr>
            <w:tcW w:w="567" w:type="dxa"/>
            <w:shd w:val="clear" w:color="000000" w:fill="FFFFFF"/>
          </w:tcPr>
          <w:p w14:paraId="4E1E448F"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2.9</w:t>
            </w:r>
          </w:p>
        </w:tc>
        <w:tc>
          <w:tcPr>
            <w:tcW w:w="567" w:type="dxa"/>
            <w:shd w:val="clear" w:color="000000" w:fill="FFFFFF"/>
            <w:tcMar>
              <w:left w:w="108" w:type="dxa"/>
              <w:right w:w="108" w:type="dxa"/>
            </w:tcMar>
          </w:tcPr>
          <w:p w14:paraId="7A38F5CA"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5.3</w:t>
            </w:r>
          </w:p>
        </w:tc>
        <w:tc>
          <w:tcPr>
            <w:tcW w:w="644" w:type="dxa"/>
            <w:shd w:val="clear" w:color="000000" w:fill="FFFFFF"/>
            <w:tcMar>
              <w:left w:w="108" w:type="dxa"/>
              <w:right w:w="108" w:type="dxa"/>
            </w:tcMar>
          </w:tcPr>
          <w:p w14:paraId="763A5066"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0.61</w:t>
            </w:r>
          </w:p>
        </w:tc>
        <w:tc>
          <w:tcPr>
            <w:tcW w:w="1019" w:type="dxa"/>
            <w:shd w:val="clear" w:color="000000" w:fill="FFFFFF"/>
            <w:tcMar>
              <w:left w:w="108" w:type="dxa"/>
              <w:right w:w="108" w:type="dxa"/>
            </w:tcMar>
          </w:tcPr>
          <w:p w14:paraId="362B4960"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0.5</w:t>
            </w:r>
          </w:p>
        </w:tc>
      </w:tr>
      <w:tr w:rsidR="00DB0919" w:rsidRPr="00451BDA" w14:paraId="6A2ECE67" w14:textId="77777777" w:rsidTr="007724B8">
        <w:trPr>
          <w:trHeight w:val="1"/>
        </w:trPr>
        <w:tc>
          <w:tcPr>
            <w:tcW w:w="1257" w:type="dxa"/>
            <w:shd w:val="clear" w:color="000000" w:fill="FFFFFF"/>
            <w:tcMar>
              <w:left w:w="108" w:type="dxa"/>
              <w:right w:w="108" w:type="dxa"/>
            </w:tcMar>
          </w:tcPr>
          <w:p w14:paraId="6EB48ABE"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p>
        </w:tc>
        <w:tc>
          <w:tcPr>
            <w:tcW w:w="967" w:type="dxa"/>
            <w:shd w:val="clear" w:color="000000" w:fill="FFFFFF"/>
          </w:tcPr>
          <w:p w14:paraId="1F3B88CC"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CES</w:t>
            </w:r>
          </w:p>
        </w:tc>
        <w:tc>
          <w:tcPr>
            <w:tcW w:w="1222" w:type="dxa"/>
            <w:gridSpan w:val="2"/>
            <w:shd w:val="clear" w:color="000000" w:fill="FFFFFF"/>
            <w:tcMar>
              <w:left w:w="108" w:type="dxa"/>
              <w:right w:w="108" w:type="dxa"/>
            </w:tcMar>
          </w:tcPr>
          <w:p w14:paraId="49FBB1A2"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17.6(65)</w:t>
            </w:r>
          </w:p>
        </w:tc>
        <w:tc>
          <w:tcPr>
            <w:tcW w:w="567" w:type="dxa"/>
            <w:shd w:val="clear" w:color="000000" w:fill="FFFFFF"/>
            <w:tcMar>
              <w:left w:w="108" w:type="dxa"/>
              <w:right w:w="108" w:type="dxa"/>
            </w:tcMar>
          </w:tcPr>
          <w:p w14:paraId="57DA5E2E"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6.1</w:t>
            </w:r>
          </w:p>
        </w:tc>
        <w:tc>
          <w:tcPr>
            <w:tcW w:w="1134" w:type="dxa"/>
            <w:shd w:val="clear" w:color="000000" w:fill="FFFFFF"/>
            <w:tcMar>
              <w:left w:w="108" w:type="dxa"/>
              <w:right w:w="108" w:type="dxa"/>
            </w:tcMar>
          </w:tcPr>
          <w:p w14:paraId="6F5BEBBE"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20.8(25)</w:t>
            </w:r>
          </w:p>
        </w:tc>
        <w:tc>
          <w:tcPr>
            <w:tcW w:w="567" w:type="dxa"/>
            <w:shd w:val="clear" w:color="000000" w:fill="FFFFFF"/>
            <w:tcMar>
              <w:left w:w="108" w:type="dxa"/>
              <w:right w:w="108" w:type="dxa"/>
            </w:tcMar>
          </w:tcPr>
          <w:p w14:paraId="346FBA7B"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6.8</w:t>
            </w:r>
          </w:p>
        </w:tc>
        <w:tc>
          <w:tcPr>
            <w:tcW w:w="1276" w:type="dxa"/>
            <w:gridSpan w:val="2"/>
            <w:shd w:val="clear" w:color="000000" w:fill="FFFFFF"/>
            <w:tcMar>
              <w:left w:w="108" w:type="dxa"/>
              <w:right w:w="108" w:type="dxa"/>
            </w:tcMar>
          </w:tcPr>
          <w:p w14:paraId="3D51CE3C"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2.1(0.03)</w:t>
            </w:r>
          </w:p>
        </w:tc>
        <w:tc>
          <w:tcPr>
            <w:tcW w:w="567" w:type="dxa"/>
            <w:shd w:val="clear" w:color="000000" w:fill="FFFFFF"/>
          </w:tcPr>
          <w:p w14:paraId="0661AD91"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3.1</w:t>
            </w:r>
          </w:p>
        </w:tc>
        <w:tc>
          <w:tcPr>
            <w:tcW w:w="567" w:type="dxa"/>
            <w:shd w:val="clear" w:color="000000" w:fill="FFFFFF"/>
            <w:tcMar>
              <w:left w:w="108" w:type="dxa"/>
              <w:right w:w="108" w:type="dxa"/>
            </w:tcMar>
          </w:tcPr>
          <w:p w14:paraId="6C4C3803"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6.1</w:t>
            </w:r>
          </w:p>
        </w:tc>
        <w:tc>
          <w:tcPr>
            <w:tcW w:w="644" w:type="dxa"/>
            <w:shd w:val="clear" w:color="000000" w:fill="FFFFFF"/>
            <w:tcMar>
              <w:left w:w="108" w:type="dxa"/>
              <w:right w:w="108" w:type="dxa"/>
            </w:tcMar>
          </w:tcPr>
          <w:p w14:paraId="430DCEF7"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0.23</w:t>
            </w:r>
          </w:p>
        </w:tc>
        <w:tc>
          <w:tcPr>
            <w:tcW w:w="1019" w:type="dxa"/>
            <w:shd w:val="clear" w:color="000000" w:fill="FFFFFF"/>
            <w:tcMar>
              <w:left w:w="108" w:type="dxa"/>
              <w:right w:w="108" w:type="dxa"/>
            </w:tcMar>
          </w:tcPr>
          <w:p w14:paraId="03C9A796"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0.4</w:t>
            </w:r>
          </w:p>
        </w:tc>
      </w:tr>
      <w:tr w:rsidR="00DB0919" w:rsidRPr="00451BDA" w14:paraId="7A3B3471" w14:textId="77777777" w:rsidTr="007724B8">
        <w:trPr>
          <w:trHeight w:val="1"/>
        </w:trPr>
        <w:tc>
          <w:tcPr>
            <w:tcW w:w="1257" w:type="dxa"/>
            <w:shd w:val="clear" w:color="000000" w:fill="FFFFFF"/>
            <w:tcMar>
              <w:left w:w="108" w:type="dxa"/>
              <w:right w:w="108" w:type="dxa"/>
            </w:tcMar>
          </w:tcPr>
          <w:p w14:paraId="20B12601"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p>
        </w:tc>
        <w:tc>
          <w:tcPr>
            <w:tcW w:w="967" w:type="dxa"/>
            <w:shd w:val="clear" w:color="000000" w:fill="FFFFFF"/>
          </w:tcPr>
          <w:p w14:paraId="470BAD02"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CGC</w:t>
            </w:r>
          </w:p>
        </w:tc>
        <w:tc>
          <w:tcPr>
            <w:tcW w:w="1222" w:type="dxa"/>
            <w:gridSpan w:val="2"/>
            <w:shd w:val="clear" w:color="000000" w:fill="FFFFFF"/>
            <w:tcMar>
              <w:left w:w="108" w:type="dxa"/>
              <w:right w:w="108" w:type="dxa"/>
            </w:tcMar>
          </w:tcPr>
          <w:p w14:paraId="25F90BDB"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18.2(65)</w:t>
            </w:r>
          </w:p>
        </w:tc>
        <w:tc>
          <w:tcPr>
            <w:tcW w:w="567" w:type="dxa"/>
            <w:shd w:val="clear" w:color="000000" w:fill="FFFFFF"/>
            <w:tcMar>
              <w:left w:w="108" w:type="dxa"/>
              <w:right w:w="108" w:type="dxa"/>
            </w:tcMar>
          </w:tcPr>
          <w:p w14:paraId="5E489A23"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6.7</w:t>
            </w:r>
          </w:p>
        </w:tc>
        <w:tc>
          <w:tcPr>
            <w:tcW w:w="1134" w:type="dxa"/>
            <w:shd w:val="clear" w:color="000000" w:fill="FFFFFF"/>
            <w:tcMar>
              <w:left w:w="108" w:type="dxa"/>
              <w:right w:w="108" w:type="dxa"/>
            </w:tcMar>
          </w:tcPr>
          <w:p w14:paraId="224E18CB"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21.4(25)</w:t>
            </w:r>
          </w:p>
        </w:tc>
        <w:tc>
          <w:tcPr>
            <w:tcW w:w="567" w:type="dxa"/>
            <w:shd w:val="clear" w:color="000000" w:fill="FFFFFF"/>
            <w:tcMar>
              <w:left w:w="108" w:type="dxa"/>
              <w:right w:w="108" w:type="dxa"/>
            </w:tcMar>
          </w:tcPr>
          <w:p w14:paraId="2919E2B0"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6.3</w:t>
            </w:r>
          </w:p>
        </w:tc>
        <w:tc>
          <w:tcPr>
            <w:tcW w:w="1276" w:type="dxa"/>
            <w:gridSpan w:val="2"/>
            <w:shd w:val="clear" w:color="000000" w:fill="FFFFFF"/>
            <w:tcMar>
              <w:left w:w="108" w:type="dxa"/>
              <w:right w:w="108" w:type="dxa"/>
            </w:tcMar>
          </w:tcPr>
          <w:p w14:paraId="611A4397"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2.0(0.04)</w:t>
            </w:r>
          </w:p>
        </w:tc>
        <w:tc>
          <w:tcPr>
            <w:tcW w:w="567" w:type="dxa"/>
            <w:shd w:val="clear" w:color="000000" w:fill="FFFFFF"/>
          </w:tcPr>
          <w:p w14:paraId="479FE6E6"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3.2</w:t>
            </w:r>
          </w:p>
        </w:tc>
        <w:tc>
          <w:tcPr>
            <w:tcW w:w="567" w:type="dxa"/>
            <w:shd w:val="clear" w:color="000000" w:fill="FFFFFF"/>
            <w:tcMar>
              <w:left w:w="108" w:type="dxa"/>
              <w:right w:w="108" w:type="dxa"/>
            </w:tcMar>
          </w:tcPr>
          <w:p w14:paraId="5C69E6BC"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6.3</w:t>
            </w:r>
          </w:p>
        </w:tc>
        <w:tc>
          <w:tcPr>
            <w:tcW w:w="644" w:type="dxa"/>
            <w:shd w:val="clear" w:color="000000" w:fill="FFFFFF"/>
            <w:tcMar>
              <w:left w:w="108" w:type="dxa"/>
              <w:right w:w="108" w:type="dxa"/>
            </w:tcMar>
          </w:tcPr>
          <w:p w14:paraId="65C5AAB0"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0.13</w:t>
            </w:r>
          </w:p>
        </w:tc>
        <w:tc>
          <w:tcPr>
            <w:tcW w:w="1019" w:type="dxa"/>
            <w:shd w:val="clear" w:color="000000" w:fill="FFFFFF"/>
            <w:tcMar>
              <w:left w:w="108" w:type="dxa"/>
              <w:right w:w="108" w:type="dxa"/>
            </w:tcMar>
          </w:tcPr>
          <w:p w14:paraId="6B320D75"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0.4</w:t>
            </w:r>
          </w:p>
        </w:tc>
      </w:tr>
      <w:tr w:rsidR="00DB0919" w:rsidRPr="00451BDA" w14:paraId="2A587213" w14:textId="77777777" w:rsidTr="007724B8">
        <w:trPr>
          <w:trHeight w:val="1"/>
        </w:trPr>
        <w:tc>
          <w:tcPr>
            <w:tcW w:w="1257" w:type="dxa"/>
            <w:shd w:val="clear" w:color="000000" w:fill="FFFFFF"/>
            <w:tcMar>
              <w:left w:w="108" w:type="dxa"/>
              <w:right w:w="108" w:type="dxa"/>
            </w:tcMar>
          </w:tcPr>
          <w:p w14:paraId="4C57C577"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hAnsi="Times New Roman" w:cs="Times New Roman"/>
                <w:bCs/>
              </w:rPr>
              <w:t>FIC</w:t>
            </w:r>
          </w:p>
        </w:tc>
        <w:tc>
          <w:tcPr>
            <w:tcW w:w="967" w:type="dxa"/>
            <w:shd w:val="clear" w:color="000000" w:fill="FFFFFF"/>
          </w:tcPr>
          <w:p w14:paraId="5E3F4E28"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p>
        </w:tc>
        <w:tc>
          <w:tcPr>
            <w:tcW w:w="525" w:type="dxa"/>
            <w:shd w:val="clear" w:color="000000" w:fill="FFFFFF"/>
          </w:tcPr>
          <w:p w14:paraId="3DA62BE6"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p>
        </w:tc>
        <w:tc>
          <w:tcPr>
            <w:tcW w:w="7038" w:type="dxa"/>
            <w:gridSpan w:val="10"/>
            <w:shd w:val="clear" w:color="000000" w:fill="FFFFFF"/>
            <w:tcMar>
              <w:left w:w="108" w:type="dxa"/>
              <w:right w:w="108" w:type="dxa"/>
            </w:tcMar>
          </w:tcPr>
          <w:p w14:paraId="2AEEE874"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p>
        </w:tc>
      </w:tr>
      <w:tr w:rsidR="00DB0919" w:rsidRPr="00451BDA" w14:paraId="4C324F1A" w14:textId="77777777" w:rsidTr="007724B8">
        <w:trPr>
          <w:trHeight w:val="1"/>
        </w:trPr>
        <w:tc>
          <w:tcPr>
            <w:tcW w:w="1257" w:type="dxa"/>
            <w:shd w:val="clear" w:color="000000" w:fill="FFFFFF"/>
            <w:tcMar>
              <w:left w:w="108" w:type="dxa"/>
              <w:right w:w="108" w:type="dxa"/>
            </w:tcMar>
          </w:tcPr>
          <w:p w14:paraId="1E1D04C4"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p>
        </w:tc>
        <w:tc>
          <w:tcPr>
            <w:tcW w:w="967" w:type="dxa"/>
            <w:shd w:val="clear" w:color="000000" w:fill="FFFFFF"/>
          </w:tcPr>
          <w:p w14:paraId="5A4CA014"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CLM</w:t>
            </w:r>
          </w:p>
        </w:tc>
        <w:tc>
          <w:tcPr>
            <w:tcW w:w="1222" w:type="dxa"/>
            <w:gridSpan w:val="2"/>
            <w:shd w:val="clear" w:color="000000" w:fill="FFFFFF"/>
            <w:tcMar>
              <w:left w:w="108" w:type="dxa"/>
              <w:right w:w="108" w:type="dxa"/>
            </w:tcMar>
          </w:tcPr>
          <w:p w14:paraId="48A6070B"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17.2(65)</w:t>
            </w:r>
          </w:p>
        </w:tc>
        <w:tc>
          <w:tcPr>
            <w:tcW w:w="567" w:type="dxa"/>
            <w:shd w:val="clear" w:color="000000" w:fill="FFFFFF"/>
            <w:tcMar>
              <w:left w:w="108" w:type="dxa"/>
              <w:right w:w="108" w:type="dxa"/>
            </w:tcMar>
          </w:tcPr>
          <w:p w14:paraId="2468FA6E"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5.1</w:t>
            </w:r>
          </w:p>
        </w:tc>
        <w:tc>
          <w:tcPr>
            <w:tcW w:w="1134" w:type="dxa"/>
            <w:shd w:val="clear" w:color="000000" w:fill="FFFFFF"/>
            <w:tcMar>
              <w:left w:w="108" w:type="dxa"/>
              <w:right w:w="108" w:type="dxa"/>
            </w:tcMar>
          </w:tcPr>
          <w:p w14:paraId="6A5C01BC"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18.1(25)</w:t>
            </w:r>
          </w:p>
        </w:tc>
        <w:tc>
          <w:tcPr>
            <w:tcW w:w="567" w:type="dxa"/>
            <w:shd w:val="clear" w:color="000000" w:fill="FFFFFF"/>
            <w:tcMar>
              <w:left w:w="108" w:type="dxa"/>
              <w:right w:w="108" w:type="dxa"/>
            </w:tcMar>
          </w:tcPr>
          <w:p w14:paraId="66BB76D7"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4.7</w:t>
            </w:r>
          </w:p>
        </w:tc>
        <w:tc>
          <w:tcPr>
            <w:tcW w:w="1276" w:type="dxa"/>
            <w:gridSpan w:val="2"/>
            <w:shd w:val="clear" w:color="000000" w:fill="FFFFFF"/>
            <w:tcMar>
              <w:left w:w="108" w:type="dxa"/>
              <w:right w:w="108" w:type="dxa"/>
            </w:tcMar>
          </w:tcPr>
          <w:p w14:paraId="40CB0560"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0.62(0.53)</w:t>
            </w:r>
          </w:p>
        </w:tc>
        <w:tc>
          <w:tcPr>
            <w:tcW w:w="567" w:type="dxa"/>
            <w:shd w:val="clear" w:color="000000" w:fill="FFFFFF"/>
          </w:tcPr>
          <w:p w14:paraId="479A0399"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0.85</w:t>
            </w:r>
          </w:p>
        </w:tc>
        <w:tc>
          <w:tcPr>
            <w:tcW w:w="567" w:type="dxa"/>
            <w:shd w:val="clear" w:color="000000" w:fill="FFFFFF"/>
            <w:tcMar>
              <w:left w:w="108" w:type="dxa"/>
              <w:right w:w="108" w:type="dxa"/>
            </w:tcMar>
          </w:tcPr>
          <w:p w14:paraId="7A88E89C"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3.0</w:t>
            </w:r>
          </w:p>
        </w:tc>
        <w:tc>
          <w:tcPr>
            <w:tcW w:w="644" w:type="dxa"/>
            <w:shd w:val="clear" w:color="000000" w:fill="FFFFFF"/>
            <w:tcMar>
              <w:left w:w="108" w:type="dxa"/>
              <w:right w:w="108" w:type="dxa"/>
            </w:tcMar>
          </w:tcPr>
          <w:p w14:paraId="71509551"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1.7</w:t>
            </w:r>
          </w:p>
        </w:tc>
        <w:tc>
          <w:tcPr>
            <w:tcW w:w="1019" w:type="dxa"/>
            <w:shd w:val="clear" w:color="000000" w:fill="FFFFFF"/>
            <w:tcMar>
              <w:left w:w="108" w:type="dxa"/>
              <w:right w:w="108" w:type="dxa"/>
            </w:tcMar>
          </w:tcPr>
          <w:p w14:paraId="3B7D2CF4"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0.1</w:t>
            </w:r>
          </w:p>
        </w:tc>
      </w:tr>
      <w:tr w:rsidR="00DB0919" w:rsidRPr="00451BDA" w14:paraId="0F29B0A0" w14:textId="77777777" w:rsidTr="007724B8">
        <w:trPr>
          <w:trHeight w:val="1"/>
        </w:trPr>
        <w:tc>
          <w:tcPr>
            <w:tcW w:w="1257" w:type="dxa"/>
            <w:shd w:val="clear" w:color="000000" w:fill="FFFFFF"/>
            <w:tcMar>
              <w:left w:w="108" w:type="dxa"/>
              <w:right w:w="108" w:type="dxa"/>
            </w:tcMar>
          </w:tcPr>
          <w:p w14:paraId="411176B5"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p>
        </w:tc>
        <w:tc>
          <w:tcPr>
            <w:tcW w:w="967" w:type="dxa"/>
            <w:shd w:val="clear" w:color="000000" w:fill="FFFFFF"/>
          </w:tcPr>
          <w:p w14:paraId="5603C48F"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CES</w:t>
            </w:r>
          </w:p>
        </w:tc>
        <w:tc>
          <w:tcPr>
            <w:tcW w:w="1222" w:type="dxa"/>
            <w:gridSpan w:val="2"/>
            <w:shd w:val="clear" w:color="000000" w:fill="FFFFFF"/>
            <w:tcMar>
              <w:left w:w="108" w:type="dxa"/>
              <w:right w:w="108" w:type="dxa"/>
            </w:tcMar>
          </w:tcPr>
          <w:p w14:paraId="699894BD"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18.3(65)</w:t>
            </w:r>
          </w:p>
        </w:tc>
        <w:tc>
          <w:tcPr>
            <w:tcW w:w="567" w:type="dxa"/>
            <w:shd w:val="clear" w:color="000000" w:fill="FFFFFF"/>
            <w:tcMar>
              <w:left w:w="108" w:type="dxa"/>
              <w:right w:w="108" w:type="dxa"/>
            </w:tcMar>
          </w:tcPr>
          <w:p w14:paraId="1D8EFAFE"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6.5</w:t>
            </w:r>
          </w:p>
        </w:tc>
        <w:tc>
          <w:tcPr>
            <w:tcW w:w="1134" w:type="dxa"/>
            <w:shd w:val="clear" w:color="000000" w:fill="FFFFFF"/>
            <w:tcMar>
              <w:left w:w="108" w:type="dxa"/>
              <w:right w:w="108" w:type="dxa"/>
            </w:tcMar>
          </w:tcPr>
          <w:p w14:paraId="113F9E12"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19.2(25)</w:t>
            </w:r>
          </w:p>
        </w:tc>
        <w:tc>
          <w:tcPr>
            <w:tcW w:w="567" w:type="dxa"/>
            <w:shd w:val="clear" w:color="000000" w:fill="FFFFFF"/>
            <w:tcMar>
              <w:left w:w="108" w:type="dxa"/>
              <w:right w:w="108" w:type="dxa"/>
            </w:tcMar>
          </w:tcPr>
          <w:p w14:paraId="509FCA11"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6.2</w:t>
            </w:r>
          </w:p>
        </w:tc>
        <w:tc>
          <w:tcPr>
            <w:tcW w:w="1276" w:type="dxa"/>
            <w:gridSpan w:val="2"/>
            <w:shd w:val="clear" w:color="000000" w:fill="FFFFFF"/>
            <w:tcMar>
              <w:left w:w="108" w:type="dxa"/>
              <w:right w:w="108" w:type="dxa"/>
            </w:tcMar>
          </w:tcPr>
          <w:p w14:paraId="1D17CA7D"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0.63(0.52)</w:t>
            </w:r>
          </w:p>
        </w:tc>
        <w:tc>
          <w:tcPr>
            <w:tcW w:w="567" w:type="dxa"/>
            <w:shd w:val="clear" w:color="000000" w:fill="FFFFFF"/>
          </w:tcPr>
          <w:p w14:paraId="34BFEEDC"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0.97</w:t>
            </w:r>
          </w:p>
        </w:tc>
        <w:tc>
          <w:tcPr>
            <w:tcW w:w="567" w:type="dxa"/>
            <w:shd w:val="clear" w:color="000000" w:fill="FFFFFF"/>
            <w:tcMar>
              <w:left w:w="108" w:type="dxa"/>
              <w:right w:w="108" w:type="dxa"/>
            </w:tcMar>
          </w:tcPr>
          <w:p w14:paraId="423B3268"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3.9</w:t>
            </w:r>
          </w:p>
        </w:tc>
        <w:tc>
          <w:tcPr>
            <w:tcW w:w="644" w:type="dxa"/>
            <w:shd w:val="clear" w:color="000000" w:fill="FFFFFF"/>
            <w:tcMar>
              <w:left w:w="108" w:type="dxa"/>
              <w:right w:w="108" w:type="dxa"/>
            </w:tcMar>
          </w:tcPr>
          <w:p w14:paraId="74099A5E"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2.0</w:t>
            </w:r>
          </w:p>
        </w:tc>
        <w:tc>
          <w:tcPr>
            <w:tcW w:w="1019" w:type="dxa"/>
            <w:shd w:val="clear" w:color="000000" w:fill="FFFFFF"/>
            <w:tcMar>
              <w:left w:w="108" w:type="dxa"/>
              <w:right w:w="108" w:type="dxa"/>
            </w:tcMar>
          </w:tcPr>
          <w:p w14:paraId="2F73F924"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0.1</w:t>
            </w:r>
          </w:p>
        </w:tc>
      </w:tr>
      <w:tr w:rsidR="00DB0919" w:rsidRPr="00451BDA" w14:paraId="0020E51D" w14:textId="77777777" w:rsidTr="007724B8">
        <w:trPr>
          <w:trHeight w:val="1"/>
        </w:trPr>
        <w:tc>
          <w:tcPr>
            <w:tcW w:w="1257" w:type="dxa"/>
            <w:shd w:val="clear" w:color="000000" w:fill="FFFFFF"/>
            <w:tcMar>
              <w:left w:w="108" w:type="dxa"/>
              <w:right w:w="108" w:type="dxa"/>
            </w:tcMar>
          </w:tcPr>
          <w:p w14:paraId="4D6995BC"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p>
        </w:tc>
        <w:tc>
          <w:tcPr>
            <w:tcW w:w="967" w:type="dxa"/>
            <w:shd w:val="clear" w:color="000000" w:fill="FFFFFF"/>
          </w:tcPr>
          <w:p w14:paraId="66A21C32"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CGC</w:t>
            </w:r>
          </w:p>
        </w:tc>
        <w:tc>
          <w:tcPr>
            <w:tcW w:w="1222" w:type="dxa"/>
            <w:gridSpan w:val="2"/>
            <w:shd w:val="clear" w:color="000000" w:fill="FFFFFF"/>
            <w:tcMar>
              <w:left w:w="108" w:type="dxa"/>
              <w:right w:w="108" w:type="dxa"/>
            </w:tcMar>
          </w:tcPr>
          <w:p w14:paraId="74208E44"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18.7(65)</w:t>
            </w:r>
          </w:p>
        </w:tc>
        <w:tc>
          <w:tcPr>
            <w:tcW w:w="567" w:type="dxa"/>
            <w:shd w:val="clear" w:color="000000" w:fill="FFFFFF"/>
            <w:tcMar>
              <w:left w:w="108" w:type="dxa"/>
              <w:right w:w="108" w:type="dxa"/>
            </w:tcMar>
          </w:tcPr>
          <w:p w14:paraId="1FFEBA52"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6.8</w:t>
            </w:r>
          </w:p>
        </w:tc>
        <w:tc>
          <w:tcPr>
            <w:tcW w:w="1134" w:type="dxa"/>
            <w:shd w:val="clear" w:color="000000" w:fill="FFFFFF"/>
            <w:tcMar>
              <w:left w:w="108" w:type="dxa"/>
              <w:right w:w="108" w:type="dxa"/>
            </w:tcMar>
          </w:tcPr>
          <w:p w14:paraId="0A3E99C2"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20.1(25)</w:t>
            </w:r>
          </w:p>
        </w:tc>
        <w:tc>
          <w:tcPr>
            <w:tcW w:w="567" w:type="dxa"/>
            <w:shd w:val="clear" w:color="000000" w:fill="FFFFFF"/>
            <w:tcMar>
              <w:left w:w="108" w:type="dxa"/>
              <w:right w:w="108" w:type="dxa"/>
            </w:tcMar>
          </w:tcPr>
          <w:p w14:paraId="1E9D6346"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6.4</w:t>
            </w:r>
          </w:p>
        </w:tc>
        <w:tc>
          <w:tcPr>
            <w:tcW w:w="1276" w:type="dxa"/>
            <w:gridSpan w:val="2"/>
            <w:shd w:val="clear" w:color="000000" w:fill="FFFFFF"/>
            <w:tcMar>
              <w:left w:w="108" w:type="dxa"/>
              <w:right w:w="108" w:type="dxa"/>
            </w:tcMar>
          </w:tcPr>
          <w:p w14:paraId="16F625F6"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0.88(0.37)</w:t>
            </w:r>
          </w:p>
        </w:tc>
        <w:tc>
          <w:tcPr>
            <w:tcW w:w="567" w:type="dxa"/>
            <w:shd w:val="clear" w:color="000000" w:fill="FFFFFF"/>
          </w:tcPr>
          <w:p w14:paraId="7C1B0450"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r w:rsidRPr="00451BDA">
              <w:rPr>
                <w:rFonts w:ascii="Times New Roman" w:eastAsia="Times New Roman" w:hAnsi="Times New Roman" w:cs="Times New Roman"/>
                <w:bCs/>
              </w:rPr>
              <w:t>1.4</w:t>
            </w:r>
          </w:p>
        </w:tc>
        <w:tc>
          <w:tcPr>
            <w:tcW w:w="567" w:type="dxa"/>
            <w:shd w:val="clear" w:color="000000" w:fill="FFFFFF"/>
            <w:tcMar>
              <w:left w:w="108" w:type="dxa"/>
              <w:right w:w="108" w:type="dxa"/>
            </w:tcMar>
          </w:tcPr>
          <w:p w14:paraId="338168E0"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4.5</w:t>
            </w:r>
          </w:p>
        </w:tc>
        <w:tc>
          <w:tcPr>
            <w:tcW w:w="644" w:type="dxa"/>
            <w:shd w:val="clear" w:color="000000" w:fill="FFFFFF"/>
            <w:tcMar>
              <w:left w:w="108" w:type="dxa"/>
              <w:right w:w="108" w:type="dxa"/>
            </w:tcMar>
          </w:tcPr>
          <w:p w14:paraId="06A11DF0"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1.7</w:t>
            </w:r>
          </w:p>
        </w:tc>
        <w:tc>
          <w:tcPr>
            <w:tcW w:w="1019" w:type="dxa"/>
            <w:shd w:val="clear" w:color="000000" w:fill="FFFFFF"/>
            <w:tcMar>
              <w:left w:w="108" w:type="dxa"/>
              <w:right w:w="108" w:type="dxa"/>
            </w:tcMar>
          </w:tcPr>
          <w:p w14:paraId="6E063B61"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r w:rsidRPr="00451BDA">
              <w:rPr>
                <w:rFonts w:ascii="Times New Roman" w:eastAsia="Times New Roman" w:hAnsi="Times New Roman" w:cs="Times New Roman"/>
                <w:bCs/>
              </w:rPr>
              <w:t>0.5</w:t>
            </w:r>
          </w:p>
        </w:tc>
      </w:tr>
      <w:tr w:rsidR="00DB0919" w:rsidRPr="00451BDA" w14:paraId="2FF22746" w14:textId="77777777" w:rsidTr="007724B8">
        <w:trPr>
          <w:trHeight w:val="1"/>
        </w:trPr>
        <w:tc>
          <w:tcPr>
            <w:tcW w:w="1257" w:type="dxa"/>
            <w:tcBorders>
              <w:bottom w:val="single" w:sz="4" w:space="0" w:color="auto"/>
            </w:tcBorders>
            <w:shd w:val="clear" w:color="000000" w:fill="FFFFFF"/>
            <w:tcMar>
              <w:left w:w="108" w:type="dxa"/>
              <w:right w:w="108" w:type="dxa"/>
            </w:tcMar>
          </w:tcPr>
          <w:p w14:paraId="09023A2B" w14:textId="77777777" w:rsidR="00DB0919" w:rsidRPr="00451BDA" w:rsidRDefault="00DB0919" w:rsidP="007724B8">
            <w:pPr>
              <w:shd w:val="clear" w:color="auto" w:fill="FFFFFF" w:themeFill="background1"/>
              <w:spacing w:after="0" w:line="240" w:lineRule="auto"/>
              <w:rPr>
                <w:rFonts w:ascii="Times New Roman" w:hAnsi="Times New Roman" w:cs="Times New Roman"/>
                <w:bCs/>
              </w:rPr>
            </w:pPr>
          </w:p>
        </w:tc>
        <w:tc>
          <w:tcPr>
            <w:tcW w:w="967" w:type="dxa"/>
            <w:tcBorders>
              <w:bottom w:val="single" w:sz="4" w:space="0" w:color="auto"/>
            </w:tcBorders>
            <w:shd w:val="clear" w:color="000000" w:fill="FFFFFF"/>
          </w:tcPr>
          <w:p w14:paraId="357E32AE"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p>
        </w:tc>
        <w:tc>
          <w:tcPr>
            <w:tcW w:w="1222" w:type="dxa"/>
            <w:gridSpan w:val="2"/>
            <w:tcBorders>
              <w:bottom w:val="single" w:sz="4" w:space="0" w:color="auto"/>
            </w:tcBorders>
            <w:shd w:val="clear" w:color="000000" w:fill="FFFFFF"/>
            <w:tcMar>
              <w:left w:w="108" w:type="dxa"/>
              <w:right w:w="108" w:type="dxa"/>
            </w:tcMar>
          </w:tcPr>
          <w:p w14:paraId="456B01C3"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p>
        </w:tc>
        <w:tc>
          <w:tcPr>
            <w:tcW w:w="567" w:type="dxa"/>
            <w:tcBorders>
              <w:bottom w:val="single" w:sz="4" w:space="0" w:color="auto"/>
            </w:tcBorders>
            <w:shd w:val="clear" w:color="000000" w:fill="FFFFFF"/>
            <w:tcMar>
              <w:left w:w="108" w:type="dxa"/>
              <w:right w:w="108" w:type="dxa"/>
            </w:tcMar>
          </w:tcPr>
          <w:p w14:paraId="352F681D"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p>
        </w:tc>
        <w:tc>
          <w:tcPr>
            <w:tcW w:w="1134" w:type="dxa"/>
            <w:tcBorders>
              <w:bottom w:val="single" w:sz="4" w:space="0" w:color="auto"/>
            </w:tcBorders>
            <w:shd w:val="clear" w:color="000000" w:fill="FFFFFF"/>
            <w:tcMar>
              <w:left w:w="108" w:type="dxa"/>
              <w:right w:w="108" w:type="dxa"/>
            </w:tcMar>
          </w:tcPr>
          <w:p w14:paraId="76B9E4F1"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p>
        </w:tc>
        <w:tc>
          <w:tcPr>
            <w:tcW w:w="567" w:type="dxa"/>
            <w:tcBorders>
              <w:bottom w:val="single" w:sz="4" w:space="0" w:color="auto"/>
            </w:tcBorders>
            <w:shd w:val="clear" w:color="000000" w:fill="FFFFFF"/>
            <w:tcMar>
              <w:left w:w="108" w:type="dxa"/>
              <w:right w:w="108" w:type="dxa"/>
            </w:tcMar>
          </w:tcPr>
          <w:p w14:paraId="5490EB88"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p>
        </w:tc>
        <w:tc>
          <w:tcPr>
            <w:tcW w:w="1276" w:type="dxa"/>
            <w:gridSpan w:val="2"/>
            <w:tcBorders>
              <w:bottom w:val="single" w:sz="4" w:space="0" w:color="auto"/>
            </w:tcBorders>
            <w:shd w:val="clear" w:color="000000" w:fill="FFFFFF"/>
            <w:tcMar>
              <w:left w:w="108" w:type="dxa"/>
              <w:right w:w="108" w:type="dxa"/>
            </w:tcMar>
          </w:tcPr>
          <w:p w14:paraId="56A8B585"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p>
        </w:tc>
        <w:tc>
          <w:tcPr>
            <w:tcW w:w="567" w:type="dxa"/>
            <w:tcBorders>
              <w:bottom w:val="single" w:sz="4" w:space="0" w:color="auto"/>
            </w:tcBorders>
            <w:shd w:val="clear" w:color="000000" w:fill="FFFFFF"/>
          </w:tcPr>
          <w:p w14:paraId="2148857C"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p>
        </w:tc>
        <w:tc>
          <w:tcPr>
            <w:tcW w:w="567" w:type="dxa"/>
            <w:tcBorders>
              <w:bottom w:val="single" w:sz="4" w:space="0" w:color="auto"/>
            </w:tcBorders>
            <w:shd w:val="clear" w:color="000000" w:fill="FFFFFF"/>
            <w:tcMar>
              <w:left w:w="108" w:type="dxa"/>
              <w:right w:w="108" w:type="dxa"/>
            </w:tcMar>
          </w:tcPr>
          <w:p w14:paraId="7635BB89"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p>
        </w:tc>
        <w:tc>
          <w:tcPr>
            <w:tcW w:w="644" w:type="dxa"/>
            <w:tcBorders>
              <w:bottom w:val="single" w:sz="4" w:space="0" w:color="auto"/>
            </w:tcBorders>
            <w:shd w:val="clear" w:color="000000" w:fill="FFFFFF"/>
            <w:tcMar>
              <w:left w:w="108" w:type="dxa"/>
              <w:right w:w="108" w:type="dxa"/>
            </w:tcMar>
          </w:tcPr>
          <w:p w14:paraId="066880A4"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p>
        </w:tc>
        <w:tc>
          <w:tcPr>
            <w:tcW w:w="1019" w:type="dxa"/>
            <w:tcBorders>
              <w:bottom w:val="single" w:sz="4" w:space="0" w:color="auto"/>
            </w:tcBorders>
            <w:shd w:val="clear" w:color="000000" w:fill="FFFFFF"/>
            <w:tcMar>
              <w:left w:w="108" w:type="dxa"/>
              <w:right w:w="108" w:type="dxa"/>
            </w:tcMar>
          </w:tcPr>
          <w:p w14:paraId="721BCF71" w14:textId="77777777" w:rsidR="00DB0919" w:rsidRPr="00451BDA" w:rsidRDefault="00DB0919" w:rsidP="007724B8">
            <w:pPr>
              <w:shd w:val="clear" w:color="auto" w:fill="FFFFFF" w:themeFill="background1"/>
              <w:spacing w:after="0" w:line="240" w:lineRule="auto"/>
              <w:rPr>
                <w:rFonts w:ascii="Times New Roman" w:eastAsia="Times New Roman" w:hAnsi="Times New Roman" w:cs="Times New Roman"/>
                <w:bCs/>
              </w:rPr>
            </w:pPr>
          </w:p>
        </w:tc>
      </w:tr>
    </w:tbl>
    <w:p w14:paraId="77D980C4" w14:textId="77777777" w:rsidR="00DB0919" w:rsidRPr="00451BDA" w:rsidRDefault="00DB0919" w:rsidP="00DB0919">
      <w:pPr>
        <w:shd w:val="clear" w:color="auto" w:fill="FFFFFF" w:themeFill="background1"/>
        <w:rPr>
          <w:rFonts w:ascii="Times New Roman" w:eastAsia="Times New Roman" w:hAnsi="Times New Roman" w:cs="Times New Roman"/>
          <w:bCs/>
        </w:rPr>
      </w:pPr>
      <w:r w:rsidRPr="00451BDA">
        <w:rPr>
          <w:rFonts w:ascii="Times New Roman" w:eastAsia="Times New Roman" w:hAnsi="Times New Roman" w:cs="Times New Roman"/>
          <w:bCs/>
        </w:rPr>
        <w:t>Note: FCDE= FM with curriculum development experience; CLM= Curriculum embedded in labor market information; CES=Curriculum embedded in employability skills; CGC= Curriculum embedded in global citizenship; FRCR= FM with regular curriculum revision experience; FLBI= FM with labor market information; FIC= FM with international certification</w:t>
      </w:r>
    </w:p>
    <w:p w14:paraId="6E2DE553" w14:textId="77777777" w:rsidR="00DB0919" w:rsidRPr="00451BDA" w:rsidRDefault="00DB0919" w:rsidP="00DB0919">
      <w:pPr>
        <w:rPr>
          <w:rFonts w:ascii="Times New Roman" w:hAnsi="Times New Roman" w:cs="Times New Roman"/>
        </w:rPr>
      </w:pPr>
      <w:r w:rsidRPr="00451BDA">
        <w:rPr>
          <w:rFonts w:ascii="Times New Roman" w:hAnsi="Times New Roman" w:cs="Times New Roman"/>
        </w:rPr>
        <w:t xml:space="preserve">Source(s): Created by </w:t>
      </w:r>
      <w:proofErr w:type="gramStart"/>
      <w:r w:rsidRPr="00451BDA">
        <w:rPr>
          <w:rFonts w:ascii="Times New Roman" w:hAnsi="Times New Roman" w:cs="Times New Roman"/>
        </w:rPr>
        <w:t>authors</w:t>
      </w:r>
      <w:proofErr w:type="gramEnd"/>
    </w:p>
    <w:p w14:paraId="1C442FEA" w14:textId="389B23FB" w:rsidR="001929B2" w:rsidRPr="00451BDA" w:rsidRDefault="00000000" w:rsidP="007A0506">
      <w:pPr>
        <w:shd w:val="clear" w:color="auto" w:fill="FFFFFF" w:themeFill="background1"/>
        <w:spacing w:line="240" w:lineRule="auto"/>
        <w:ind w:firstLine="720"/>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Findings show that </w:t>
      </w:r>
      <w:r w:rsidR="00523849" w:rsidRPr="00451BDA">
        <w:rPr>
          <w:rFonts w:ascii="Times New Roman" w:eastAsia="Times New Roman" w:hAnsi="Times New Roman" w:cs="Times New Roman"/>
          <w:bCs/>
        </w:rPr>
        <w:t>FM</w:t>
      </w:r>
      <w:r w:rsidRPr="00451BDA">
        <w:rPr>
          <w:rFonts w:ascii="Times New Roman" w:eastAsia="Times New Roman" w:hAnsi="Times New Roman" w:cs="Times New Roman"/>
          <w:bCs/>
        </w:rPr>
        <w:t xml:space="preserve"> with curriculum development and revision experience</w:t>
      </w:r>
      <w:r w:rsidR="00226B27" w:rsidRPr="00451BDA">
        <w:rPr>
          <w:rFonts w:ascii="Times New Roman" w:eastAsia="Times New Roman" w:hAnsi="Times New Roman" w:cs="Times New Roman"/>
          <w:bCs/>
        </w:rPr>
        <w:t xml:space="preserve"> </w:t>
      </w:r>
      <w:r w:rsidRPr="00451BDA">
        <w:rPr>
          <w:rFonts w:ascii="Times New Roman" w:eastAsia="Times New Roman" w:hAnsi="Times New Roman" w:cs="Times New Roman"/>
          <w:bCs/>
        </w:rPr>
        <w:t>and having labor market information perceived curriculum at the undergraduate level</w:t>
      </w:r>
      <w:r w:rsidR="000127F9" w:rsidRPr="00451BDA">
        <w:rPr>
          <w:rFonts w:ascii="Times New Roman" w:eastAsia="Times New Roman" w:hAnsi="Times New Roman" w:cs="Times New Roman"/>
          <w:bCs/>
        </w:rPr>
        <w:t xml:space="preserve"> </w:t>
      </w:r>
      <w:r w:rsidRPr="00451BDA">
        <w:rPr>
          <w:rFonts w:ascii="Times New Roman" w:eastAsia="Times New Roman" w:hAnsi="Times New Roman" w:cs="Times New Roman"/>
          <w:bCs/>
        </w:rPr>
        <w:t xml:space="preserve">significantly lower on </w:t>
      </w:r>
      <w:r w:rsidR="00C61B46" w:rsidRPr="00451BDA">
        <w:rPr>
          <w:rFonts w:ascii="Times New Roman" w:eastAsia="Times New Roman" w:hAnsi="Times New Roman" w:cs="Times New Roman"/>
          <w:bCs/>
        </w:rPr>
        <w:t>IOC</w:t>
      </w:r>
      <w:r w:rsidRPr="00451BDA">
        <w:rPr>
          <w:rFonts w:ascii="Times New Roman" w:eastAsia="Times New Roman" w:hAnsi="Times New Roman" w:cs="Times New Roman"/>
          <w:bCs/>
        </w:rPr>
        <w:t xml:space="preserve"> than </w:t>
      </w:r>
      <w:r w:rsidR="00523849" w:rsidRPr="00451BDA">
        <w:rPr>
          <w:rFonts w:ascii="Times New Roman" w:eastAsia="Times New Roman" w:hAnsi="Times New Roman" w:cs="Times New Roman"/>
          <w:bCs/>
        </w:rPr>
        <w:t>FM</w:t>
      </w:r>
      <w:r w:rsidRPr="00451BDA">
        <w:rPr>
          <w:rFonts w:ascii="Times New Roman" w:eastAsia="Times New Roman" w:hAnsi="Times New Roman" w:cs="Times New Roman"/>
          <w:bCs/>
        </w:rPr>
        <w:t xml:space="preserve"> without these experiences. In all these variables, the role of curriculum development and labor market experience contribute the most consistently across all dimensions of the </w:t>
      </w:r>
      <w:r w:rsidR="00C61B46" w:rsidRPr="00451BDA">
        <w:rPr>
          <w:rFonts w:ascii="Times New Roman" w:eastAsia="Times New Roman" w:hAnsi="Times New Roman" w:cs="Times New Roman"/>
          <w:bCs/>
        </w:rPr>
        <w:t>PI</w:t>
      </w:r>
      <w:r w:rsidR="00AE5C59" w:rsidRPr="00451BDA">
        <w:rPr>
          <w:rFonts w:ascii="Times New Roman" w:eastAsia="Times New Roman" w:hAnsi="Times New Roman" w:cs="Times New Roman"/>
          <w:bCs/>
        </w:rPr>
        <w:t>C-F</w:t>
      </w:r>
      <w:r w:rsidRPr="00451BDA">
        <w:rPr>
          <w:rFonts w:ascii="Times New Roman" w:eastAsia="Times New Roman" w:hAnsi="Times New Roman" w:cs="Times New Roman"/>
          <w:bCs/>
        </w:rPr>
        <w:t xml:space="preserve"> Scale (Table </w:t>
      </w:r>
      <w:r w:rsidR="00AB1BDC" w:rsidRPr="00451BDA">
        <w:rPr>
          <w:rFonts w:ascii="Times New Roman" w:eastAsia="Times New Roman" w:hAnsi="Times New Roman" w:cs="Times New Roman"/>
          <w:bCs/>
        </w:rPr>
        <w:t>3</w:t>
      </w:r>
      <w:r w:rsidRPr="00451BDA">
        <w:rPr>
          <w:rFonts w:ascii="Times New Roman" w:eastAsia="Times New Roman" w:hAnsi="Times New Roman" w:cs="Times New Roman"/>
          <w:bCs/>
        </w:rPr>
        <w:t xml:space="preserve">). </w:t>
      </w:r>
    </w:p>
    <w:p w14:paraId="712CD62D" w14:textId="77777777" w:rsidR="00E75B55" w:rsidRPr="00451BDA" w:rsidRDefault="00E75B55" w:rsidP="007A0506">
      <w:pPr>
        <w:shd w:val="clear" w:color="auto" w:fill="FFFFFF" w:themeFill="background1"/>
        <w:spacing w:line="240" w:lineRule="auto"/>
        <w:ind w:firstLine="720"/>
        <w:contextualSpacing/>
        <w:rPr>
          <w:rFonts w:ascii="Times New Roman" w:eastAsia="Times New Roman" w:hAnsi="Times New Roman" w:cs="Times New Roman"/>
          <w:bCs/>
        </w:rPr>
      </w:pPr>
    </w:p>
    <w:p w14:paraId="05DB558D" w14:textId="08FDAFAC" w:rsidR="00E75B55" w:rsidRPr="00451BDA" w:rsidRDefault="00000000" w:rsidP="007A0506">
      <w:pPr>
        <w:shd w:val="clear" w:color="auto" w:fill="FFFFFF" w:themeFill="background1"/>
        <w:rPr>
          <w:rFonts w:ascii="Times New Roman" w:eastAsia="Times New Roman" w:hAnsi="Times New Roman" w:cs="Times New Roman"/>
          <w:bCs/>
        </w:rPr>
      </w:pPr>
      <w:r w:rsidRPr="00451BDA">
        <w:rPr>
          <w:rFonts w:ascii="Times New Roman" w:hAnsi="Times New Roman" w:cs="Times New Roman"/>
          <w:bCs/>
          <w:noProof/>
        </w:rPr>
        <w:drawing>
          <wp:inline distT="0" distB="0" distL="0" distR="0" wp14:anchorId="2934B7A8" wp14:editId="66766AB7">
            <wp:extent cx="6553200" cy="5181600"/>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561221"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553200" cy="5181600"/>
                    </a:xfrm>
                    <a:prstGeom prst="rect">
                      <a:avLst/>
                    </a:prstGeom>
                    <a:noFill/>
                    <a:ln>
                      <a:solidFill>
                        <a:schemeClr val="accent1"/>
                      </a:solidFill>
                      <a:prstDash val="sysDot"/>
                    </a:ln>
                  </pic:spPr>
                </pic:pic>
              </a:graphicData>
            </a:graphic>
          </wp:inline>
        </w:drawing>
      </w:r>
    </w:p>
    <w:p w14:paraId="0C1FD0B2" w14:textId="38EF2F65" w:rsidR="00D91901" w:rsidRPr="00451BDA" w:rsidRDefault="00000000" w:rsidP="00D91901">
      <w:pPr>
        <w:shd w:val="clear" w:color="auto" w:fill="FFFFFF" w:themeFill="background1"/>
        <w:rPr>
          <w:rFonts w:ascii="Times New Roman" w:eastAsia="Times New Roman" w:hAnsi="Times New Roman" w:cs="Times New Roman"/>
          <w:bCs/>
        </w:rPr>
      </w:pPr>
      <w:r w:rsidRPr="00451BDA">
        <w:rPr>
          <w:rFonts w:ascii="Times New Roman" w:eastAsia="Times New Roman" w:hAnsi="Times New Roman" w:cs="Times New Roman"/>
          <w:bCs/>
        </w:rPr>
        <w:lastRenderedPageBreak/>
        <w:t xml:space="preserve">Figure 1: Labor market experiences of </w:t>
      </w:r>
      <w:r w:rsidR="00523849" w:rsidRPr="00451BDA">
        <w:rPr>
          <w:rFonts w:ascii="Times New Roman" w:eastAsia="Times New Roman" w:hAnsi="Times New Roman" w:cs="Times New Roman"/>
          <w:bCs/>
        </w:rPr>
        <w:t>FM</w:t>
      </w:r>
      <w:r w:rsidRPr="00451BDA">
        <w:rPr>
          <w:rFonts w:ascii="Times New Roman" w:eastAsia="Times New Roman" w:hAnsi="Times New Roman" w:cs="Times New Roman"/>
          <w:bCs/>
        </w:rPr>
        <w:t xml:space="preserve"> with and without curriculum development experiences and curriculum revision experiences.</w:t>
      </w:r>
    </w:p>
    <w:p w14:paraId="2B2F68D5" w14:textId="0DE9B970" w:rsidR="001929B2" w:rsidRPr="00451BDA" w:rsidRDefault="00000000" w:rsidP="007A0506">
      <w:pPr>
        <w:shd w:val="clear" w:color="auto" w:fill="FFFFFF" w:themeFill="background1"/>
        <w:spacing w:line="240" w:lineRule="auto"/>
        <w:ind w:firstLine="720"/>
        <w:contextualSpacing/>
        <w:rPr>
          <w:rFonts w:ascii="Times New Roman" w:eastAsia="Times New Roman" w:hAnsi="Times New Roman" w:cs="Times New Roman"/>
          <w:bCs/>
        </w:rPr>
      </w:pPr>
      <w:proofErr w:type="gramStart"/>
      <w:r w:rsidRPr="00451BDA">
        <w:rPr>
          <w:rFonts w:ascii="Times New Roman" w:eastAsia="Times New Roman" w:hAnsi="Times New Roman" w:cs="Times New Roman"/>
          <w:bCs/>
        </w:rPr>
        <w:t>The m</w:t>
      </w:r>
      <w:r w:rsidR="00695DA6" w:rsidRPr="00451BDA">
        <w:rPr>
          <w:rFonts w:ascii="Times New Roman" w:eastAsia="Times New Roman" w:hAnsi="Times New Roman" w:cs="Times New Roman"/>
          <w:bCs/>
        </w:rPr>
        <w:t>ajority of</w:t>
      </w:r>
      <w:proofErr w:type="gramEnd"/>
      <w:r w:rsidR="00695DA6" w:rsidRPr="00451BDA">
        <w:rPr>
          <w:rFonts w:ascii="Times New Roman" w:eastAsia="Times New Roman" w:hAnsi="Times New Roman" w:cs="Times New Roman"/>
          <w:bCs/>
        </w:rPr>
        <w:t xml:space="preserve"> the </w:t>
      </w:r>
      <w:r w:rsidR="00523849" w:rsidRPr="00451BDA">
        <w:rPr>
          <w:rFonts w:ascii="Times New Roman" w:eastAsia="Times New Roman" w:hAnsi="Times New Roman" w:cs="Times New Roman"/>
          <w:bCs/>
        </w:rPr>
        <w:t>FM</w:t>
      </w:r>
      <w:r w:rsidR="000D7CD5" w:rsidRPr="00451BDA">
        <w:rPr>
          <w:rFonts w:ascii="Times New Roman" w:eastAsia="Times New Roman" w:hAnsi="Times New Roman" w:cs="Times New Roman"/>
          <w:bCs/>
        </w:rPr>
        <w:t xml:space="preserve"> from the two institutions</w:t>
      </w:r>
      <w:r w:rsidR="00695DA6" w:rsidRPr="00451BDA">
        <w:rPr>
          <w:rFonts w:ascii="Times New Roman" w:eastAsia="Times New Roman" w:hAnsi="Times New Roman" w:cs="Times New Roman"/>
          <w:bCs/>
        </w:rPr>
        <w:t xml:space="preserve"> had</w:t>
      </w:r>
      <w:r w:rsidRPr="00451BDA">
        <w:rPr>
          <w:rFonts w:ascii="Times New Roman" w:eastAsia="Times New Roman" w:hAnsi="Times New Roman" w:cs="Times New Roman"/>
          <w:bCs/>
        </w:rPr>
        <w:t xml:space="preserve"> </w:t>
      </w:r>
      <w:r w:rsidR="001D055E" w:rsidRPr="00451BDA">
        <w:rPr>
          <w:rFonts w:ascii="Times New Roman" w:eastAsia="Times New Roman" w:hAnsi="Times New Roman" w:cs="Times New Roman"/>
          <w:bCs/>
        </w:rPr>
        <w:t xml:space="preserve">experience of </w:t>
      </w:r>
      <w:r w:rsidRPr="00451BDA">
        <w:rPr>
          <w:rFonts w:ascii="Times New Roman" w:eastAsia="Times New Roman" w:hAnsi="Times New Roman" w:cs="Times New Roman"/>
          <w:bCs/>
        </w:rPr>
        <w:t xml:space="preserve">curriculum development </w:t>
      </w:r>
      <w:r w:rsidR="00B36A8C" w:rsidRPr="00451BDA">
        <w:rPr>
          <w:rFonts w:ascii="Times New Roman" w:eastAsia="Times New Roman" w:hAnsi="Times New Roman" w:cs="Times New Roman"/>
          <w:bCs/>
        </w:rPr>
        <w:t>(</w:t>
      </w:r>
      <w:proofErr w:type="spellStart"/>
      <w:r w:rsidR="00B36A8C" w:rsidRPr="00451BDA">
        <w:rPr>
          <w:rFonts w:ascii="Times New Roman" w:eastAsia="Times New Roman" w:hAnsi="Times New Roman" w:cs="Times New Roman"/>
          <w:bCs/>
        </w:rPr>
        <w:t>ExpCD</w:t>
      </w:r>
      <w:proofErr w:type="spellEnd"/>
      <w:r w:rsidR="00B36A8C" w:rsidRPr="00451BDA">
        <w:rPr>
          <w:rFonts w:ascii="Times New Roman" w:eastAsia="Times New Roman" w:hAnsi="Times New Roman" w:cs="Times New Roman"/>
          <w:bCs/>
        </w:rPr>
        <w:t>)</w:t>
      </w:r>
      <w:r w:rsidR="001D055E" w:rsidRPr="00451BDA">
        <w:rPr>
          <w:rFonts w:ascii="Times New Roman" w:eastAsia="Times New Roman" w:hAnsi="Times New Roman" w:cs="Times New Roman"/>
          <w:bCs/>
        </w:rPr>
        <w:t xml:space="preserve"> </w:t>
      </w:r>
      <w:r w:rsidRPr="00451BDA">
        <w:rPr>
          <w:rFonts w:ascii="Times New Roman" w:eastAsia="Times New Roman" w:hAnsi="Times New Roman" w:cs="Times New Roman"/>
          <w:bCs/>
        </w:rPr>
        <w:t xml:space="preserve">and </w:t>
      </w:r>
      <w:r w:rsidR="001D055E" w:rsidRPr="00451BDA">
        <w:rPr>
          <w:rFonts w:ascii="Times New Roman" w:eastAsia="Times New Roman" w:hAnsi="Times New Roman" w:cs="Times New Roman"/>
          <w:bCs/>
        </w:rPr>
        <w:t xml:space="preserve">regular curriculum </w:t>
      </w:r>
      <w:r w:rsidRPr="00451BDA">
        <w:rPr>
          <w:rFonts w:ascii="Times New Roman" w:eastAsia="Times New Roman" w:hAnsi="Times New Roman" w:cs="Times New Roman"/>
          <w:bCs/>
        </w:rPr>
        <w:t>revision experiences</w:t>
      </w:r>
      <w:r w:rsidR="000D7CD5" w:rsidRPr="00451BDA">
        <w:rPr>
          <w:rFonts w:ascii="Times New Roman" w:eastAsia="Times New Roman" w:hAnsi="Times New Roman" w:cs="Times New Roman"/>
          <w:bCs/>
        </w:rPr>
        <w:t xml:space="preserve"> (</w:t>
      </w:r>
      <w:proofErr w:type="spellStart"/>
      <w:r w:rsidR="000D7CD5" w:rsidRPr="00451BDA">
        <w:rPr>
          <w:rFonts w:ascii="Times New Roman" w:eastAsia="Times New Roman" w:hAnsi="Times New Roman" w:cs="Times New Roman"/>
          <w:bCs/>
        </w:rPr>
        <w:t>RegR</w:t>
      </w:r>
      <w:r w:rsidR="001D055E" w:rsidRPr="00451BDA">
        <w:rPr>
          <w:rFonts w:ascii="Times New Roman" w:eastAsia="Times New Roman" w:hAnsi="Times New Roman" w:cs="Times New Roman"/>
          <w:bCs/>
        </w:rPr>
        <w:t>ev</w:t>
      </w:r>
      <w:proofErr w:type="spellEnd"/>
      <w:r w:rsidR="001D055E" w:rsidRPr="00451BDA">
        <w:rPr>
          <w:rFonts w:ascii="Times New Roman" w:eastAsia="Times New Roman" w:hAnsi="Times New Roman" w:cs="Times New Roman"/>
          <w:bCs/>
        </w:rPr>
        <w:t>)</w:t>
      </w:r>
      <w:r w:rsidRPr="00451BDA">
        <w:rPr>
          <w:rFonts w:ascii="Times New Roman" w:eastAsia="Times New Roman" w:hAnsi="Times New Roman" w:cs="Times New Roman"/>
          <w:bCs/>
        </w:rPr>
        <w:t>,</w:t>
      </w:r>
      <w:r w:rsidR="000D7CD5" w:rsidRPr="00451BDA">
        <w:rPr>
          <w:rFonts w:ascii="Times New Roman" w:eastAsia="Times New Roman" w:hAnsi="Times New Roman" w:cs="Times New Roman"/>
          <w:bCs/>
        </w:rPr>
        <w:t xml:space="preserve"> and the</w:t>
      </w:r>
      <w:r w:rsidR="00695DA6" w:rsidRPr="00451BDA">
        <w:rPr>
          <w:rFonts w:ascii="Times New Roman" w:eastAsia="Times New Roman" w:hAnsi="Times New Roman" w:cs="Times New Roman"/>
          <w:bCs/>
        </w:rPr>
        <w:t xml:space="preserve"> </w:t>
      </w:r>
      <w:r w:rsidR="000D7CD5" w:rsidRPr="00451BDA">
        <w:rPr>
          <w:rFonts w:ascii="Times New Roman" w:eastAsia="Times New Roman" w:hAnsi="Times New Roman" w:cs="Times New Roman"/>
          <w:bCs/>
        </w:rPr>
        <w:t xml:space="preserve">same </w:t>
      </w:r>
      <w:r w:rsidR="00523849" w:rsidRPr="00451BDA">
        <w:rPr>
          <w:rFonts w:ascii="Times New Roman" w:eastAsia="Times New Roman" w:hAnsi="Times New Roman" w:cs="Times New Roman"/>
          <w:bCs/>
        </w:rPr>
        <w:t>FM</w:t>
      </w:r>
      <w:r w:rsidR="00695DA6" w:rsidRPr="00451BDA">
        <w:rPr>
          <w:rFonts w:ascii="Times New Roman" w:eastAsia="Times New Roman" w:hAnsi="Times New Roman" w:cs="Times New Roman"/>
          <w:bCs/>
        </w:rPr>
        <w:t xml:space="preserve"> reported</w:t>
      </w:r>
      <w:r w:rsidRPr="00451BDA">
        <w:rPr>
          <w:rFonts w:ascii="Times New Roman" w:eastAsia="Times New Roman" w:hAnsi="Times New Roman" w:cs="Times New Roman"/>
          <w:bCs/>
        </w:rPr>
        <w:t xml:space="preserve"> </w:t>
      </w:r>
      <w:r w:rsidR="0000178B" w:rsidRPr="00451BDA">
        <w:rPr>
          <w:rFonts w:ascii="Times New Roman" w:eastAsia="Times New Roman" w:hAnsi="Times New Roman" w:cs="Times New Roman"/>
          <w:bCs/>
        </w:rPr>
        <w:t>having experience</w:t>
      </w:r>
      <w:r w:rsidRPr="00451BDA">
        <w:rPr>
          <w:rFonts w:ascii="Times New Roman" w:eastAsia="Times New Roman" w:hAnsi="Times New Roman" w:cs="Times New Roman"/>
          <w:bCs/>
        </w:rPr>
        <w:t xml:space="preserve">/knowledge of </w:t>
      </w:r>
      <w:r w:rsidR="003C288B" w:rsidRPr="00451BDA">
        <w:rPr>
          <w:rFonts w:ascii="Times New Roman" w:eastAsia="Times New Roman" w:hAnsi="Times New Roman" w:cs="Times New Roman"/>
          <w:bCs/>
        </w:rPr>
        <w:t xml:space="preserve">the </w:t>
      </w:r>
      <w:r w:rsidRPr="00451BDA">
        <w:rPr>
          <w:rFonts w:ascii="Times New Roman" w:eastAsia="Times New Roman" w:hAnsi="Times New Roman" w:cs="Times New Roman"/>
          <w:bCs/>
        </w:rPr>
        <w:t>labor market when compared to the</w:t>
      </w:r>
      <w:r w:rsidR="002A0E94" w:rsidRPr="00451BDA">
        <w:rPr>
          <w:rFonts w:ascii="Times New Roman" w:eastAsia="Times New Roman" w:hAnsi="Times New Roman" w:cs="Times New Roman"/>
          <w:bCs/>
        </w:rPr>
        <w:t>ir counterpart groups</w:t>
      </w:r>
      <w:r w:rsidRPr="00451BDA">
        <w:rPr>
          <w:rFonts w:ascii="Times New Roman" w:eastAsia="Times New Roman" w:hAnsi="Times New Roman" w:cs="Times New Roman"/>
          <w:bCs/>
        </w:rPr>
        <w:t xml:space="preserve"> (Figure 1). </w:t>
      </w:r>
      <w:r w:rsidR="000D7CD5" w:rsidRPr="00451BDA">
        <w:rPr>
          <w:rFonts w:ascii="Times New Roman" w:eastAsia="Times New Roman" w:hAnsi="Times New Roman" w:cs="Times New Roman"/>
          <w:bCs/>
        </w:rPr>
        <w:t xml:space="preserve">Exploration through </w:t>
      </w:r>
      <w:r w:rsidRPr="00451BDA">
        <w:rPr>
          <w:rFonts w:ascii="Times New Roman" w:eastAsia="Times New Roman" w:hAnsi="Times New Roman" w:cs="Times New Roman"/>
          <w:bCs/>
        </w:rPr>
        <w:t xml:space="preserve">chi-square analysis further confirmed the </w:t>
      </w:r>
      <w:r w:rsidR="00D35D7B" w:rsidRPr="00451BDA">
        <w:rPr>
          <w:rFonts w:ascii="Times New Roman" w:eastAsia="Times New Roman" w:hAnsi="Times New Roman" w:cs="Times New Roman"/>
          <w:bCs/>
        </w:rPr>
        <w:t>significant group differences.</w:t>
      </w:r>
      <w:r w:rsidR="00695DA6" w:rsidRPr="00451BDA">
        <w:rPr>
          <w:rFonts w:ascii="Times New Roman" w:eastAsia="Times New Roman" w:hAnsi="Times New Roman" w:cs="Times New Roman"/>
          <w:bCs/>
        </w:rPr>
        <w:t xml:space="preserve"> </w:t>
      </w:r>
    </w:p>
    <w:p w14:paraId="6DA735A0" w14:textId="6E60622F" w:rsidR="00AB608B" w:rsidRPr="00451BDA" w:rsidRDefault="00000000" w:rsidP="00E42F56">
      <w:pPr>
        <w:pStyle w:val="Heading1"/>
        <w:shd w:val="clear" w:color="auto" w:fill="FFFFFF" w:themeFill="background1"/>
        <w:rPr>
          <w:bCs w:val="0"/>
          <w:sz w:val="22"/>
          <w:szCs w:val="22"/>
        </w:rPr>
      </w:pPr>
      <w:r w:rsidRPr="00451BDA">
        <w:rPr>
          <w:bCs w:val="0"/>
          <w:sz w:val="22"/>
          <w:szCs w:val="22"/>
        </w:rPr>
        <w:t>Discussion</w:t>
      </w:r>
      <w:r w:rsidR="00AE5C59" w:rsidRPr="00451BDA">
        <w:rPr>
          <w:bCs w:val="0"/>
          <w:sz w:val="22"/>
          <w:szCs w:val="22"/>
        </w:rPr>
        <w:t xml:space="preserve"> and Implications</w:t>
      </w:r>
    </w:p>
    <w:p w14:paraId="1195F88A" w14:textId="14542390" w:rsidR="00066E1B" w:rsidRPr="00451BDA" w:rsidRDefault="00000000" w:rsidP="006A3D2C">
      <w:pPr>
        <w:shd w:val="clear" w:color="auto" w:fill="FFFFFF" w:themeFill="background1"/>
        <w:spacing w:line="240" w:lineRule="auto"/>
        <w:contextualSpacing/>
        <w:rPr>
          <w:rFonts w:ascii="Times New Roman" w:eastAsia="Times New Roman" w:hAnsi="Times New Roman" w:cs="Times New Roman"/>
          <w:bCs/>
        </w:rPr>
      </w:pPr>
      <w:r w:rsidRPr="00451BDA">
        <w:rPr>
          <w:rFonts w:ascii="Times New Roman" w:eastAsia="Times New Roman" w:hAnsi="Times New Roman" w:cs="Times New Roman"/>
          <w:bCs/>
        </w:rPr>
        <w:tab/>
        <w:t xml:space="preserve">The </w:t>
      </w:r>
      <w:r w:rsidR="00E750B2" w:rsidRPr="00451BDA">
        <w:rPr>
          <w:rFonts w:ascii="Times New Roman" w:eastAsia="Times New Roman" w:hAnsi="Times New Roman" w:cs="Times New Roman"/>
          <w:bCs/>
        </w:rPr>
        <w:t xml:space="preserve">findings support </w:t>
      </w:r>
      <w:r w:rsidR="00CA2CDA" w:rsidRPr="00451BDA">
        <w:rPr>
          <w:rFonts w:ascii="Times New Roman" w:eastAsia="Times New Roman" w:hAnsi="Times New Roman" w:cs="Times New Roman"/>
          <w:bCs/>
        </w:rPr>
        <w:t xml:space="preserve">a </w:t>
      </w:r>
      <w:r w:rsidR="00E750B2" w:rsidRPr="00451BDA">
        <w:rPr>
          <w:rFonts w:ascii="Times New Roman" w:eastAsia="Times New Roman" w:hAnsi="Times New Roman" w:cs="Times New Roman"/>
          <w:bCs/>
        </w:rPr>
        <w:t>dynamic systems approach</w:t>
      </w:r>
      <w:r w:rsidR="003F5D71" w:rsidRPr="00451BDA">
        <w:rPr>
          <w:rFonts w:ascii="Times New Roman" w:eastAsia="Times New Roman" w:hAnsi="Times New Roman" w:cs="Times New Roman"/>
          <w:bCs/>
        </w:rPr>
        <w:t xml:space="preserve"> </w:t>
      </w:r>
      <w:r w:rsidR="00E750B2" w:rsidRPr="00451BDA">
        <w:rPr>
          <w:rFonts w:ascii="Times New Roman" w:eastAsia="Times New Roman" w:hAnsi="Times New Roman" w:cs="Times New Roman"/>
          <w:bCs/>
        </w:rPr>
        <w:t xml:space="preserve">to internationalization </w:t>
      </w:r>
      <w:r w:rsidR="00AB1BDC" w:rsidRPr="00451BDA">
        <w:rPr>
          <w:rFonts w:ascii="Times New Roman" w:eastAsia="Times New Roman" w:hAnsi="Times New Roman" w:cs="Times New Roman"/>
          <w:bCs/>
        </w:rPr>
        <w:t xml:space="preserve">(Zhou, 2016) </w:t>
      </w:r>
      <w:r w:rsidR="00E750B2" w:rsidRPr="00451BDA">
        <w:rPr>
          <w:rFonts w:ascii="Times New Roman" w:eastAsia="Times New Roman" w:hAnsi="Times New Roman" w:cs="Times New Roman"/>
          <w:bCs/>
        </w:rPr>
        <w:t>by reflecting global influences on two local contexts</w:t>
      </w:r>
      <w:r w:rsidR="004F76AF" w:rsidRPr="00451BDA">
        <w:rPr>
          <w:rFonts w:ascii="Times New Roman" w:eastAsia="Times New Roman" w:hAnsi="Times New Roman" w:cs="Times New Roman"/>
          <w:bCs/>
        </w:rPr>
        <w:t>.</w:t>
      </w:r>
      <w:r w:rsidR="00E750B2" w:rsidRPr="00451BDA">
        <w:rPr>
          <w:rFonts w:ascii="Times New Roman" w:eastAsia="Times New Roman" w:hAnsi="Times New Roman" w:cs="Times New Roman"/>
          <w:bCs/>
        </w:rPr>
        <w:t xml:space="preserve"> </w:t>
      </w:r>
      <w:r w:rsidR="004F76AF" w:rsidRPr="00451BDA">
        <w:rPr>
          <w:rFonts w:ascii="Times New Roman" w:eastAsia="Times New Roman" w:hAnsi="Times New Roman" w:cs="Times New Roman"/>
          <w:bCs/>
        </w:rPr>
        <w:t>Similar perceptions about IoC indicate that b</w:t>
      </w:r>
      <w:r w:rsidR="00C52B00" w:rsidRPr="00451BDA">
        <w:rPr>
          <w:rFonts w:ascii="Times New Roman" w:eastAsia="Times New Roman" w:hAnsi="Times New Roman" w:cs="Times New Roman"/>
          <w:bCs/>
        </w:rPr>
        <w:t xml:space="preserve">oth institutions seem to </w:t>
      </w:r>
      <w:r w:rsidRPr="00451BDA">
        <w:rPr>
          <w:rFonts w:ascii="Times New Roman" w:eastAsia="Times New Roman" w:hAnsi="Times New Roman" w:cs="Times New Roman"/>
          <w:bCs/>
        </w:rPr>
        <w:t>invest equally</w:t>
      </w:r>
      <w:r w:rsidR="00C52B00" w:rsidRPr="00451BDA">
        <w:rPr>
          <w:rFonts w:ascii="Times New Roman" w:eastAsia="Times New Roman" w:hAnsi="Times New Roman" w:cs="Times New Roman"/>
          <w:bCs/>
        </w:rPr>
        <w:t xml:space="preserve"> </w:t>
      </w:r>
      <w:r w:rsidR="004F76AF" w:rsidRPr="00451BDA">
        <w:rPr>
          <w:rFonts w:ascii="Times New Roman" w:eastAsia="Times New Roman" w:hAnsi="Times New Roman" w:cs="Times New Roman"/>
          <w:bCs/>
        </w:rPr>
        <w:t>in attain</w:t>
      </w:r>
      <w:r w:rsidRPr="00451BDA">
        <w:rPr>
          <w:rFonts w:ascii="Times New Roman" w:eastAsia="Times New Roman" w:hAnsi="Times New Roman" w:cs="Times New Roman"/>
          <w:bCs/>
        </w:rPr>
        <w:t xml:space="preserve">ing it, </w:t>
      </w:r>
      <w:r w:rsidR="00C52B00" w:rsidRPr="00451BDA">
        <w:rPr>
          <w:rFonts w:ascii="Times New Roman" w:eastAsia="Times New Roman" w:hAnsi="Times New Roman" w:cs="Times New Roman"/>
          <w:bCs/>
        </w:rPr>
        <w:t>and this reflects the importance of internationalization at home. A multitude of factors</w:t>
      </w:r>
      <w:r w:rsidRPr="00451BDA">
        <w:rPr>
          <w:rFonts w:ascii="Times New Roman" w:eastAsia="Times New Roman" w:hAnsi="Times New Roman" w:cs="Times New Roman"/>
          <w:bCs/>
        </w:rPr>
        <w:t>, such as</w:t>
      </w:r>
      <w:r w:rsidR="00E750B2" w:rsidRPr="00451BDA">
        <w:rPr>
          <w:rFonts w:ascii="Times New Roman" w:eastAsia="Times New Roman" w:hAnsi="Times New Roman" w:cs="Times New Roman"/>
          <w:bCs/>
        </w:rPr>
        <w:t xml:space="preserve"> global-level approaches</w:t>
      </w:r>
      <w:r w:rsidR="00C52B00" w:rsidRPr="00451BDA">
        <w:rPr>
          <w:rFonts w:ascii="Times New Roman" w:eastAsia="Times New Roman" w:hAnsi="Times New Roman" w:cs="Times New Roman"/>
          <w:bCs/>
        </w:rPr>
        <w:t xml:space="preserve"> and historical and emergent educational ties</w:t>
      </w:r>
      <w:r w:rsidRPr="00451BDA">
        <w:rPr>
          <w:rFonts w:ascii="Times New Roman" w:eastAsia="Times New Roman" w:hAnsi="Times New Roman" w:cs="Times New Roman"/>
          <w:bCs/>
        </w:rPr>
        <w:t>,</w:t>
      </w:r>
      <w:r w:rsidR="00E750B2" w:rsidRPr="00451BDA">
        <w:rPr>
          <w:rFonts w:ascii="Times New Roman" w:eastAsia="Times New Roman" w:hAnsi="Times New Roman" w:cs="Times New Roman"/>
          <w:bCs/>
        </w:rPr>
        <w:t xml:space="preserve"> seem to influence institutional approaches</w:t>
      </w:r>
      <w:r w:rsidR="00AB1BDC" w:rsidRPr="00451BDA">
        <w:rPr>
          <w:rFonts w:ascii="Times New Roman" w:eastAsia="Times New Roman" w:hAnsi="Times New Roman" w:cs="Times New Roman"/>
          <w:bCs/>
        </w:rPr>
        <w:t xml:space="preserve">. </w:t>
      </w:r>
      <w:r w:rsidRPr="00451BDA">
        <w:rPr>
          <w:rFonts w:ascii="Times New Roman" w:eastAsia="Times New Roman" w:hAnsi="Times New Roman" w:cs="Times New Roman"/>
          <w:bCs/>
        </w:rPr>
        <w:t xml:space="preserve">Institutional priorities to compete internationally, such as in the QS ranking, may serve as a dominant factor to uplift IaH. In addition, the majority of </w:t>
      </w:r>
      <w:r w:rsidR="00523849" w:rsidRPr="00451BDA">
        <w:rPr>
          <w:rFonts w:ascii="Times New Roman" w:eastAsia="Times New Roman" w:hAnsi="Times New Roman" w:cs="Times New Roman"/>
          <w:bCs/>
        </w:rPr>
        <w:t>FM</w:t>
      </w:r>
      <w:r w:rsidRPr="00451BDA">
        <w:rPr>
          <w:rFonts w:ascii="Times New Roman" w:eastAsia="Times New Roman" w:hAnsi="Times New Roman" w:cs="Times New Roman"/>
          <w:bCs/>
        </w:rPr>
        <w:t xml:space="preserve"> in the two institutions reported having curriculum revision and development experiences along with updated information about jobs, careers</w:t>
      </w:r>
      <w:r w:rsidR="006E79B5" w:rsidRPr="00451BDA">
        <w:rPr>
          <w:rFonts w:ascii="Times New Roman" w:eastAsia="Times New Roman" w:hAnsi="Times New Roman" w:cs="Times New Roman"/>
          <w:bCs/>
        </w:rPr>
        <w:t>,</w:t>
      </w:r>
      <w:r w:rsidRPr="00451BDA">
        <w:rPr>
          <w:rFonts w:ascii="Times New Roman" w:eastAsia="Times New Roman" w:hAnsi="Times New Roman" w:cs="Times New Roman"/>
          <w:bCs/>
        </w:rPr>
        <w:t xml:space="preserve"> and industry, which seems to contribute to equivalent focus on IoC.</w:t>
      </w:r>
    </w:p>
    <w:p w14:paraId="2ED46F2B" w14:textId="4156B74B" w:rsidR="00365DE0" w:rsidRPr="00451BDA" w:rsidRDefault="00000000" w:rsidP="00773777">
      <w:pPr>
        <w:shd w:val="clear" w:color="auto" w:fill="FFFFFF" w:themeFill="background1"/>
        <w:spacing w:line="240" w:lineRule="auto"/>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However, insightful findings emerge when </w:t>
      </w:r>
      <w:r w:rsidR="00C52B00" w:rsidRPr="00451BDA">
        <w:rPr>
          <w:rFonts w:ascii="Times New Roman" w:eastAsia="Times New Roman" w:hAnsi="Times New Roman" w:cs="Times New Roman"/>
          <w:bCs/>
        </w:rPr>
        <w:t>slight differences</w:t>
      </w:r>
      <w:r w:rsidR="005D4B95" w:rsidRPr="00451BDA">
        <w:rPr>
          <w:rFonts w:ascii="Times New Roman" w:eastAsia="Times New Roman" w:hAnsi="Times New Roman" w:cs="Times New Roman"/>
          <w:bCs/>
        </w:rPr>
        <w:t xml:space="preserve"> </w:t>
      </w:r>
      <w:r w:rsidR="00C52B00" w:rsidRPr="00451BDA">
        <w:rPr>
          <w:rFonts w:ascii="Times New Roman" w:eastAsia="Times New Roman" w:hAnsi="Times New Roman" w:cs="Times New Roman"/>
          <w:bCs/>
        </w:rPr>
        <w:t xml:space="preserve">in perceptions </w:t>
      </w:r>
      <w:r w:rsidR="005D4B95" w:rsidRPr="00451BDA">
        <w:rPr>
          <w:rFonts w:ascii="Times New Roman" w:eastAsia="Times New Roman" w:hAnsi="Times New Roman" w:cs="Times New Roman"/>
          <w:bCs/>
        </w:rPr>
        <w:t>reflective of</w:t>
      </w:r>
      <w:r w:rsidRPr="00451BDA">
        <w:rPr>
          <w:rFonts w:ascii="Times New Roman" w:eastAsia="Times New Roman" w:hAnsi="Times New Roman" w:cs="Times New Roman"/>
          <w:bCs/>
        </w:rPr>
        <w:t xml:space="preserve"> institutional </w:t>
      </w:r>
      <w:r w:rsidR="00C52B00" w:rsidRPr="00451BDA">
        <w:rPr>
          <w:rFonts w:ascii="Times New Roman" w:eastAsia="Times New Roman" w:hAnsi="Times New Roman" w:cs="Times New Roman"/>
          <w:bCs/>
        </w:rPr>
        <w:t>strategies</w:t>
      </w:r>
      <w:r w:rsidRPr="00451BDA">
        <w:rPr>
          <w:rFonts w:ascii="Times New Roman" w:eastAsia="Times New Roman" w:hAnsi="Times New Roman" w:cs="Times New Roman"/>
          <w:bCs/>
        </w:rPr>
        <w:t xml:space="preserve"> are interpreted through the unique sociocultural </w:t>
      </w:r>
      <w:r w:rsidR="00CA2CDA" w:rsidRPr="00451BDA">
        <w:rPr>
          <w:rFonts w:ascii="Times New Roman" w:eastAsia="Times New Roman" w:hAnsi="Times New Roman" w:cs="Times New Roman"/>
          <w:bCs/>
        </w:rPr>
        <w:t xml:space="preserve">lens </w:t>
      </w:r>
      <w:r w:rsidRPr="00451BDA">
        <w:rPr>
          <w:rFonts w:ascii="Times New Roman" w:eastAsia="Times New Roman" w:hAnsi="Times New Roman" w:cs="Times New Roman"/>
          <w:bCs/>
        </w:rPr>
        <w:t xml:space="preserve">that underpins the </w:t>
      </w:r>
      <w:r w:rsidR="003F5D71" w:rsidRPr="00451BDA">
        <w:rPr>
          <w:rFonts w:ascii="Times New Roman" w:eastAsia="Times New Roman" w:hAnsi="Times New Roman" w:cs="Times New Roman"/>
          <w:bCs/>
        </w:rPr>
        <w:t>national and local realities of internationalization.</w:t>
      </w:r>
    </w:p>
    <w:p w14:paraId="66D22721" w14:textId="3B16F75D" w:rsidR="00C52B00" w:rsidRPr="00451BDA" w:rsidRDefault="00000000" w:rsidP="006A3D2C">
      <w:pPr>
        <w:shd w:val="clear" w:color="auto" w:fill="FFFFFF" w:themeFill="background1"/>
        <w:spacing w:line="240" w:lineRule="auto"/>
        <w:ind w:firstLine="720"/>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Slight mean differences indicate that </w:t>
      </w:r>
      <w:r w:rsidR="00523849" w:rsidRPr="00451BDA">
        <w:rPr>
          <w:rFonts w:ascii="Times New Roman" w:eastAsia="Times New Roman" w:hAnsi="Times New Roman" w:cs="Times New Roman"/>
          <w:bCs/>
        </w:rPr>
        <w:t>FM</w:t>
      </w:r>
      <w:r w:rsidRPr="00451BDA">
        <w:rPr>
          <w:rFonts w:ascii="Times New Roman" w:eastAsia="Times New Roman" w:hAnsi="Times New Roman" w:cs="Times New Roman"/>
          <w:bCs/>
        </w:rPr>
        <w:t xml:space="preserve"> from</w:t>
      </w:r>
      <w:r w:rsidR="00CA2CDA" w:rsidRPr="00451BDA">
        <w:rPr>
          <w:rFonts w:ascii="Times New Roman" w:eastAsia="Times New Roman" w:hAnsi="Times New Roman" w:cs="Times New Roman"/>
          <w:bCs/>
        </w:rPr>
        <w:t xml:space="preserve"> the</w:t>
      </w:r>
      <w:r w:rsidR="000E0534" w:rsidRPr="00451BDA">
        <w:rPr>
          <w:rFonts w:ascii="Times New Roman" w:eastAsia="Times New Roman" w:hAnsi="Times New Roman" w:cs="Times New Roman"/>
          <w:bCs/>
        </w:rPr>
        <w:t xml:space="preserve"> </w:t>
      </w:r>
      <w:r w:rsidRPr="00451BDA">
        <w:rPr>
          <w:rFonts w:ascii="Times New Roman" w:eastAsia="Times New Roman" w:hAnsi="Times New Roman" w:cs="Times New Roman"/>
          <w:bCs/>
        </w:rPr>
        <w:t xml:space="preserve">Pakistan-based university had a higher mean score on curriculum embedded in employability skills, while </w:t>
      </w:r>
      <w:r w:rsidR="00523849" w:rsidRPr="00451BDA">
        <w:rPr>
          <w:rFonts w:ascii="Times New Roman" w:eastAsia="Times New Roman" w:hAnsi="Times New Roman" w:cs="Times New Roman"/>
          <w:bCs/>
        </w:rPr>
        <w:t>FM</w:t>
      </w:r>
      <w:r w:rsidRPr="00451BDA">
        <w:rPr>
          <w:rFonts w:ascii="Times New Roman" w:eastAsia="Times New Roman" w:hAnsi="Times New Roman" w:cs="Times New Roman"/>
          <w:bCs/>
        </w:rPr>
        <w:t xml:space="preserve"> from the UK-based</w:t>
      </w:r>
      <w:r w:rsidR="000E0534" w:rsidRPr="00451BDA">
        <w:rPr>
          <w:rFonts w:ascii="Times New Roman" w:eastAsia="Times New Roman" w:hAnsi="Times New Roman" w:cs="Times New Roman"/>
          <w:bCs/>
        </w:rPr>
        <w:t xml:space="preserve"> </w:t>
      </w:r>
      <w:r w:rsidRPr="00451BDA">
        <w:rPr>
          <w:rFonts w:ascii="Times New Roman" w:eastAsia="Times New Roman" w:hAnsi="Times New Roman" w:cs="Times New Roman"/>
          <w:bCs/>
        </w:rPr>
        <w:t>University scored a little higher on curriculum embedded in global citizenship. This is indicative of sociocultural-level differences that provide a direction for I</w:t>
      </w:r>
      <w:r w:rsidR="004F76AF" w:rsidRPr="00451BDA">
        <w:rPr>
          <w:rFonts w:ascii="Times New Roman" w:eastAsia="Times New Roman" w:hAnsi="Times New Roman" w:cs="Times New Roman"/>
          <w:bCs/>
        </w:rPr>
        <w:t>aH</w:t>
      </w:r>
      <w:r w:rsidRPr="00451BDA">
        <w:rPr>
          <w:rFonts w:ascii="Times New Roman" w:eastAsia="Times New Roman" w:hAnsi="Times New Roman" w:cs="Times New Roman"/>
          <w:bCs/>
        </w:rPr>
        <w:t xml:space="preserve">. The former university, </w:t>
      </w:r>
      <w:r w:rsidR="00CA2CDA" w:rsidRPr="00451BDA">
        <w:rPr>
          <w:rFonts w:ascii="Times New Roman" w:eastAsia="Times New Roman" w:hAnsi="Times New Roman" w:cs="Times New Roman"/>
          <w:bCs/>
        </w:rPr>
        <w:t>in</w:t>
      </w:r>
      <w:r w:rsidRPr="00451BDA">
        <w:rPr>
          <w:rFonts w:ascii="Times New Roman" w:eastAsia="Times New Roman" w:hAnsi="Times New Roman" w:cs="Times New Roman"/>
          <w:bCs/>
        </w:rPr>
        <w:t xml:space="preserve"> preparing students for international mobility, is likely to invest more in employability skills development, while the latter is likely to be influenced by the multicultural context. </w:t>
      </w:r>
    </w:p>
    <w:p w14:paraId="4BD33CD8" w14:textId="77777777" w:rsidR="00C52B00" w:rsidRPr="00451BDA" w:rsidRDefault="00C52B00" w:rsidP="00773777">
      <w:pPr>
        <w:shd w:val="clear" w:color="auto" w:fill="FFFFFF" w:themeFill="background1"/>
        <w:spacing w:line="240" w:lineRule="auto"/>
        <w:contextualSpacing/>
        <w:rPr>
          <w:rFonts w:ascii="Times New Roman" w:eastAsia="Times New Roman" w:hAnsi="Times New Roman" w:cs="Times New Roman"/>
          <w:bCs/>
        </w:rPr>
      </w:pPr>
    </w:p>
    <w:p w14:paraId="47D2C03B" w14:textId="0E699333" w:rsidR="00013D61" w:rsidRPr="00451BDA" w:rsidRDefault="00000000" w:rsidP="006A3D2C">
      <w:pPr>
        <w:shd w:val="clear" w:color="auto" w:fill="FFFFFF" w:themeFill="background1"/>
        <w:spacing w:line="240" w:lineRule="auto"/>
        <w:ind w:firstLine="720"/>
        <w:contextualSpacing/>
        <w:rPr>
          <w:rFonts w:ascii="Times New Roman" w:eastAsia="Times New Roman" w:hAnsi="Times New Roman" w:cs="Times New Roman"/>
          <w:bCs/>
        </w:rPr>
      </w:pPr>
      <w:r w:rsidRPr="00451BDA">
        <w:rPr>
          <w:rFonts w:ascii="Times New Roman" w:eastAsia="Times New Roman" w:hAnsi="Times New Roman" w:cs="Times New Roman"/>
          <w:bCs/>
        </w:rPr>
        <w:t>E</w:t>
      </w:r>
      <w:r w:rsidR="00F361D5" w:rsidRPr="00451BDA">
        <w:rPr>
          <w:rFonts w:ascii="Times New Roman" w:eastAsia="Times New Roman" w:hAnsi="Times New Roman" w:cs="Times New Roman"/>
          <w:bCs/>
        </w:rPr>
        <w:t xml:space="preserve">xploratory analyses revealed that Pakistan-based </w:t>
      </w:r>
      <w:r w:rsidR="00523849" w:rsidRPr="00451BDA">
        <w:rPr>
          <w:rFonts w:ascii="Times New Roman" w:eastAsia="Times New Roman" w:hAnsi="Times New Roman" w:cs="Times New Roman"/>
          <w:bCs/>
        </w:rPr>
        <w:t>FM</w:t>
      </w:r>
      <w:r w:rsidR="00F361D5" w:rsidRPr="00451BDA">
        <w:rPr>
          <w:rFonts w:ascii="Times New Roman" w:eastAsia="Times New Roman" w:hAnsi="Times New Roman" w:cs="Times New Roman"/>
          <w:bCs/>
        </w:rPr>
        <w:t xml:space="preserve"> provided rich responses </w:t>
      </w:r>
      <w:r w:rsidR="00CA2CDA" w:rsidRPr="00451BDA">
        <w:rPr>
          <w:rFonts w:ascii="Times New Roman" w:eastAsia="Times New Roman" w:hAnsi="Times New Roman" w:cs="Times New Roman"/>
          <w:bCs/>
        </w:rPr>
        <w:t>with specific reference</w:t>
      </w:r>
      <w:r w:rsidRPr="00451BDA">
        <w:rPr>
          <w:rFonts w:ascii="Times New Roman" w:eastAsia="Times New Roman" w:hAnsi="Times New Roman" w:cs="Times New Roman"/>
          <w:bCs/>
        </w:rPr>
        <w:t xml:space="preserve">s </w:t>
      </w:r>
      <w:proofErr w:type="gramStart"/>
      <w:r w:rsidRPr="00451BDA">
        <w:rPr>
          <w:rFonts w:ascii="Times New Roman" w:eastAsia="Times New Roman" w:hAnsi="Times New Roman" w:cs="Times New Roman"/>
          <w:bCs/>
        </w:rPr>
        <w:t xml:space="preserve">to </w:t>
      </w:r>
      <w:r w:rsidR="00F361D5" w:rsidRPr="00451BDA">
        <w:rPr>
          <w:rFonts w:ascii="Times New Roman" w:eastAsia="Times New Roman" w:hAnsi="Times New Roman" w:cs="Times New Roman"/>
          <w:bCs/>
        </w:rPr>
        <w:t xml:space="preserve"> their</w:t>
      </w:r>
      <w:proofErr w:type="gramEnd"/>
      <w:r w:rsidR="00F361D5" w:rsidRPr="00451BDA">
        <w:rPr>
          <w:rFonts w:ascii="Times New Roman" w:eastAsia="Times New Roman" w:hAnsi="Times New Roman" w:cs="Times New Roman"/>
          <w:bCs/>
        </w:rPr>
        <w:t xml:space="preserve"> </w:t>
      </w:r>
      <w:r w:rsidR="00CA2CDA" w:rsidRPr="00451BDA">
        <w:rPr>
          <w:rFonts w:ascii="Times New Roman" w:eastAsia="Times New Roman" w:hAnsi="Times New Roman" w:cs="Times New Roman"/>
          <w:bCs/>
        </w:rPr>
        <w:t>degree</w:t>
      </w:r>
      <w:r w:rsidR="00F361D5" w:rsidRPr="00451BDA">
        <w:rPr>
          <w:rFonts w:ascii="Times New Roman" w:eastAsia="Times New Roman" w:hAnsi="Times New Roman" w:cs="Times New Roman"/>
          <w:bCs/>
        </w:rPr>
        <w:t xml:space="preserve">s </w:t>
      </w:r>
      <w:r w:rsidR="00CA2CDA" w:rsidRPr="00451BDA">
        <w:rPr>
          <w:rFonts w:ascii="Times New Roman" w:eastAsia="Times New Roman" w:hAnsi="Times New Roman" w:cs="Times New Roman"/>
          <w:bCs/>
        </w:rPr>
        <w:t xml:space="preserve">gained </w:t>
      </w:r>
      <w:r w:rsidR="00F361D5" w:rsidRPr="00451BDA">
        <w:rPr>
          <w:rFonts w:ascii="Times New Roman" w:eastAsia="Times New Roman" w:hAnsi="Times New Roman" w:cs="Times New Roman"/>
          <w:bCs/>
        </w:rPr>
        <w:t xml:space="preserve">from </w:t>
      </w:r>
      <w:r w:rsidR="00CA2CDA" w:rsidRPr="00451BDA">
        <w:rPr>
          <w:rFonts w:ascii="Times New Roman" w:eastAsia="Times New Roman" w:hAnsi="Times New Roman" w:cs="Times New Roman"/>
          <w:bCs/>
        </w:rPr>
        <w:t xml:space="preserve">studying </w:t>
      </w:r>
      <w:r w:rsidR="00F361D5" w:rsidRPr="00451BDA">
        <w:rPr>
          <w:rFonts w:ascii="Times New Roman" w:eastAsia="Times New Roman" w:hAnsi="Times New Roman" w:cs="Times New Roman"/>
          <w:bCs/>
        </w:rPr>
        <w:t>abroad.</w:t>
      </w:r>
      <w:r w:rsidR="00020865" w:rsidRPr="00451BDA">
        <w:rPr>
          <w:rFonts w:ascii="Times New Roman" w:eastAsia="Times New Roman" w:hAnsi="Times New Roman" w:cs="Times New Roman"/>
          <w:bCs/>
        </w:rPr>
        <w:t xml:space="preserve"> This is indicative of </w:t>
      </w:r>
      <w:r w:rsidR="00FC1A68" w:rsidRPr="00451BDA">
        <w:rPr>
          <w:rFonts w:ascii="Times New Roman" w:eastAsia="Times New Roman" w:hAnsi="Times New Roman" w:cs="Times New Roman"/>
          <w:bCs/>
        </w:rPr>
        <w:t xml:space="preserve">conscious efforts to internationalize by the Pakistan-based </w:t>
      </w:r>
      <w:r w:rsidR="00CA2CDA" w:rsidRPr="00451BDA">
        <w:rPr>
          <w:rFonts w:ascii="Times New Roman" w:eastAsia="Times New Roman" w:hAnsi="Times New Roman" w:cs="Times New Roman"/>
          <w:bCs/>
        </w:rPr>
        <w:t xml:space="preserve">and </w:t>
      </w:r>
      <w:r w:rsidR="00FC1A68" w:rsidRPr="00451BDA">
        <w:rPr>
          <w:rFonts w:ascii="Times New Roman" w:eastAsia="Times New Roman" w:hAnsi="Times New Roman" w:cs="Times New Roman"/>
          <w:bCs/>
        </w:rPr>
        <w:t>university</w:t>
      </w:r>
      <w:r w:rsidRPr="00451BDA">
        <w:rPr>
          <w:rFonts w:ascii="Times New Roman" w:eastAsia="Times New Roman" w:hAnsi="Times New Roman" w:cs="Times New Roman"/>
          <w:bCs/>
        </w:rPr>
        <w:t>, which yield comparable results to the multinational context</w:t>
      </w:r>
      <w:r w:rsidR="008743C3" w:rsidRPr="00451BDA">
        <w:rPr>
          <w:rFonts w:ascii="Times New Roman" w:eastAsia="Times New Roman" w:hAnsi="Times New Roman" w:cs="Times New Roman"/>
          <w:bCs/>
        </w:rPr>
        <w:t>.</w:t>
      </w:r>
      <w:r w:rsidR="00FC1A68" w:rsidRPr="00451BDA">
        <w:rPr>
          <w:rFonts w:ascii="Times New Roman" w:eastAsia="Times New Roman" w:hAnsi="Times New Roman" w:cs="Times New Roman"/>
          <w:bCs/>
        </w:rPr>
        <w:t xml:space="preserve"> </w:t>
      </w:r>
      <w:r w:rsidR="008743C3" w:rsidRPr="00451BDA">
        <w:rPr>
          <w:rFonts w:ascii="Times New Roman" w:eastAsia="Times New Roman" w:hAnsi="Times New Roman" w:cs="Times New Roman"/>
          <w:bCs/>
        </w:rPr>
        <w:t>This</w:t>
      </w:r>
      <w:r w:rsidR="00FC1A68" w:rsidRPr="00451BDA">
        <w:rPr>
          <w:rFonts w:ascii="Times New Roman" w:eastAsia="Times New Roman" w:hAnsi="Times New Roman" w:cs="Times New Roman"/>
          <w:bCs/>
        </w:rPr>
        <w:t xml:space="preserve"> </w:t>
      </w:r>
      <w:r w:rsidRPr="00451BDA">
        <w:rPr>
          <w:rFonts w:ascii="Times New Roman" w:eastAsia="Times New Roman" w:hAnsi="Times New Roman" w:cs="Times New Roman"/>
          <w:bCs/>
        </w:rPr>
        <w:t xml:space="preserve">partially </w:t>
      </w:r>
      <w:r w:rsidR="00FC1A68" w:rsidRPr="00451BDA">
        <w:rPr>
          <w:rFonts w:ascii="Times New Roman" w:eastAsia="Times New Roman" w:hAnsi="Times New Roman" w:cs="Times New Roman"/>
          <w:bCs/>
        </w:rPr>
        <w:t xml:space="preserve">supports previous findings that intentional efforts to support </w:t>
      </w:r>
      <w:r w:rsidR="00523849" w:rsidRPr="00451BDA">
        <w:rPr>
          <w:rFonts w:ascii="Times New Roman" w:eastAsia="Times New Roman" w:hAnsi="Times New Roman" w:cs="Times New Roman"/>
          <w:bCs/>
        </w:rPr>
        <w:t>FM</w:t>
      </w:r>
      <w:r w:rsidR="00FC1A68" w:rsidRPr="00451BDA">
        <w:rPr>
          <w:rFonts w:ascii="Times New Roman" w:eastAsia="Times New Roman" w:hAnsi="Times New Roman" w:cs="Times New Roman"/>
          <w:bCs/>
        </w:rPr>
        <w:t xml:space="preserve"> </w:t>
      </w:r>
      <w:r w:rsidR="008743C3" w:rsidRPr="00451BDA">
        <w:rPr>
          <w:rFonts w:ascii="Times New Roman" w:eastAsia="Times New Roman" w:hAnsi="Times New Roman" w:cs="Times New Roman"/>
          <w:bCs/>
        </w:rPr>
        <w:t>help</w:t>
      </w:r>
      <w:r w:rsidR="00FC1A68" w:rsidRPr="00451BDA">
        <w:rPr>
          <w:rFonts w:ascii="Times New Roman" w:eastAsia="Times New Roman" w:hAnsi="Times New Roman" w:cs="Times New Roman"/>
          <w:bCs/>
        </w:rPr>
        <w:t xml:space="preserve"> overcome barriers to </w:t>
      </w:r>
      <w:r w:rsidR="00C61B46" w:rsidRPr="00451BDA">
        <w:rPr>
          <w:rFonts w:ascii="Times New Roman" w:eastAsia="Times New Roman" w:hAnsi="Times New Roman" w:cs="Times New Roman"/>
          <w:bCs/>
        </w:rPr>
        <w:t>IoC</w:t>
      </w:r>
      <w:r w:rsidRPr="00451BDA">
        <w:rPr>
          <w:rFonts w:ascii="Times New Roman" w:eastAsia="Times New Roman" w:hAnsi="Times New Roman" w:cs="Times New Roman"/>
          <w:bCs/>
        </w:rPr>
        <w:t>,</w:t>
      </w:r>
      <w:r w:rsidR="00FC1A68" w:rsidRPr="00451BDA">
        <w:rPr>
          <w:rFonts w:ascii="Times New Roman" w:eastAsia="Times New Roman" w:hAnsi="Times New Roman" w:cs="Times New Roman"/>
          <w:bCs/>
        </w:rPr>
        <w:t xml:space="preserve"> such as a lack of experience, interest, and cross-cultural competence (Niehaus and Williams, 2016). </w:t>
      </w:r>
    </w:p>
    <w:p w14:paraId="7C7B633C" w14:textId="77777777" w:rsidR="00AB1BDC" w:rsidRPr="00451BDA" w:rsidRDefault="00AB1BDC" w:rsidP="002A4210">
      <w:pPr>
        <w:shd w:val="clear" w:color="auto" w:fill="FFFFFF" w:themeFill="background1"/>
        <w:spacing w:line="240" w:lineRule="auto"/>
        <w:contextualSpacing/>
        <w:rPr>
          <w:rFonts w:ascii="Times New Roman" w:eastAsia="Times New Roman" w:hAnsi="Times New Roman" w:cs="Times New Roman"/>
          <w:bCs/>
        </w:rPr>
      </w:pPr>
    </w:p>
    <w:p w14:paraId="3FEAD34B" w14:textId="74C28DC5" w:rsidR="00FE6F07" w:rsidRPr="00451BDA" w:rsidRDefault="00000000" w:rsidP="00AB1BDC">
      <w:pPr>
        <w:shd w:val="clear" w:color="auto" w:fill="FFFFFF" w:themeFill="background1"/>
        <w:spacing w:line="240" w:lineRule="auto"/>
        <w:ind w:firstLine="720"/>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The findings </w:t>
      </w:r>
      <w:r w:rsidR="00AB608B" w:rsidRPr="00451BDA">
        <w:rPr>
          <w:rFonts w:ascii="Times New Roman" w:eastAsia="Times New Roman" w:hAnsi="Times New Roman" w:cs="Times New Roman"/>
          <w:bCs/>
        </w:rPr>
        <w:t>demonstra</w:t>
      </w:r>
      <w:r w:rsidR="003C288B" w:rsidRPr="00451BDA">
        <w:rPr>
          <w:rFonts w:ascii="Times New Roman" w:eastAsia="Times New Roman" w:hAnsi="Times New Roman" w:cs="Times New Roman"/>
          <w:bCs/>
        </w:rPr>
        <w:t>te</w:t>
      </w:r>
      <w:r w:rsidR="00AB608B" w:rsidRPr="00451BDA">
        <w:rPr>
          <w:rFonts w:ascii="Times New Roman" w:eastAsia="Times New Roman" w:hAnsi="Times New Roman" w:cs="Times New Roman"/>
          <w:bCs/>
        </w:rPr>
        <w:t xml:space="preserve"> </w:t>
      </w:r>
      <w:r w:rsidR="003C288B" w:rsidRPr="00451BDA">
        <w:rPr>
          <w:rFonts w:ascii="Times New Roman" w:eastAsia="Times New Roman" w:hAnsi="Times New Roman" w:cs="Times New Roman"/>
          <w:bCs/>
        </w:rPr>
        <w:t xml:space="preserve">a </w:t>
      </w:r>
      <w:r w:rsidR="00AB608B" w:rsidRPr="00451BDA">
        <w:rPr>
          <w:rFonts w:ascii="Times New Roman" w:eastAsia="Times New Roman" w:hAnsi="Times New Roman" w:cs="Times New Roman"/>
          <w:bCs/>
        </w:rPr>
        <w:t xml:space="preserve">convergence of </w:t>
      </w:r>
      <w:r w:rsidR="00523849" w:rsidRPr="00451BDA">
        <w:rPr>
          <w:rFonts w:ascii="Times New Roman" w:eastAsia="Times New Roman" w:hAnsi="Times New Roman" w:cs="Times New Roman"/>
          <w:bCs/>
        </w:rPr>
        <w:t>FM</w:t>
      </w:r>
      <w:r w:rsidR="00AB608B" w:rsidRPr="00451BDA">
        <w:rPr>
          <w:rFonts w:ascii="Times New Roman" w:eastAsia="Times New Roman" w:hAnsi="Times New Roman" w:cs="Times New Roman"/>
          <w:bCs/>
        </w:rPr>
        <w:t xml:space="preserve"> perceptions across disciplines</w:t>
      </w:r>
      <w:r w:rsidR="003C288B" w:rsidRPr="00451BDA">
        <w:rPr>
          <w:rFonts w:ascii="Times New Roman" w:eastAsia="Times New Roman" w:hAnsi="Times New Roman" w:cs="Times New Roman"/>
          <w:bCs/>
        </w:rPr>
        <w:t xml:space="preserve"> </w:t>
      </w:r>
      <w:r w:rsidR="00FE5132" w:rsidRPr="00451BDA">
        <w:rPr>
          <w:rFonts w:ascii="Times New Roman" w:eastAsia="Times New Roman" w:hAnsi="Times New Roman" w:cs="Times New Roman"/>
          <w:bCs/>
        </w:rPr>
        <w:t>when</w:t>
      </w:r>
      <w:r w:rsidR="003C288B" w:rsidRPr="00451BDA">
        <w:rPr>
          <w:rFonts w:ascii="Times New Roman" w:eastAsia="Times New Roman" w:hAnsi="Times New Roman" w:cs="Times New Roman"/>
          <w:bCs/>
        </w:rPr>
        <w:t xml:space="preserve"> </w:t>
      </w:r>
      <w:r w:rsidR="00AB608B" w:rsidRPr="00451BDA">
        <w:rPr>
          <w:rFonts w:ascii="Times New Roman" w:eastAsia="Times New Roman" w:hAnsi="Times New Roman" w:cs="Times New Roman"/>
          <w:bCs/>
        </w:rPr>
        <w:t xml:space="preserve">data collected from </w:t>
      </w:r>
      <w:r w:rsidR="00523849" w:rsidRPr="00451BDA">
        <w:rPr>
          <w:rFonts w:ascii="Times New Roman" w:eastAsia="Times New Roman" w:hAnsi="Times New Roman" w:cs="Times New Roman"/>
          <w:bCs/>
        </w:rPr>
        <w:t>FM</w:t>
      </w:r>
      <w:r w:rsidR="00AB608B" w:rsidRPr="00451BDA">
        <w:rPr>
          <w:rFonts w:ascii="Times New Roman" w:eastAsia="Times New Roman" w:hAnsi="Times New Roman" w:cs="Times New Roman"/>
          <w:bCs/>
        </w:rPr>
        <w:t xml:space="preserve"> from engineering</w:t>
      </w:r>
      <w:r w:rsidR="005145E5" w:rsidRPr="00451BDA">
        <w:rPr>
          <w:rFonts w:ascii="Times New Roman" w:eastAsia="Times New Roman" w:hAnsi="Times New Roman" w:cs="Times New Roman"/>
          <w:bCs/>
        </w:rPr>
        <w:t xml:space="preserve"> and design</w:t>
      </w:r>
      <w:r w:rsidR="00AB608B" w:rsidRPr="00451BDA">
        <w:rPr>
          <w:rFonts w:ascii="Times New Roman" w:eastAsia="Times New Roman" w:hAnsi="Times New Roman" w:cs="Times New Roman"/>
          <w:bCs/>
        </w:rPr>
        <w:t>, natural sciences</w:t>
      </w:r>
      <w:r w:rsidR="00125C9B" w:rsidRPr="00451BDA">
        <w:rPr>
          <w:rFonts w:ascii="Times New Roman" w:eastAsia="Times New Roman" w:hAnsi="Times New Roman" w:cs="Times New Roman"/>
          <w:bCs/>
        </w:rPr>
        <w:t>,</w:t>
      </w:r>
      <w:r w:rsidR="00AB608B" w:rsidRPr="00451BDA">
        <w:rPr>
          <w:rFonts w:ascii="Times New Roman" w:eastAsia="Times New Roman" w:hAnsi="Times New Roman" w:cs="Times New Roman"/>
          <w:bCs/>
        </w:rPr>
        <w:t xml:space="preserve"> and </w:t>
      </w:r>
      <w:r w:rsidR="00EA5C1D" w:rsidRPr="00451BDA">
        <w:rPr>
          <w:rFonts w:ascii="Times New Roman" w:eastAsia="Times New Roman" w:hAnsi="Times New Roman" w:cs="Times New Roman"/>
          <w:bCs/>
        </w:rPr>
        <w:t>humanities</w:t>
      </w:r>
      <w:r w:rsidR="00125C9B" w:rsidRPr="00451BDA">
        <w:rPr>
          <w:rFonts w:ascii="Times New Roman" w:eastAsia="Times New Roman" w:hAnsi="Times New Roman" w:cs="Times New Roman"/>
          <w:bCs/>
        </w:rPr>
        <w:t xml:space="preserve"> </w:t>
      </w:r>
      <w:r w:rsidR="00AB1BDC" w:rsidRPr="00451BDA">
        <w:rPr>
          <w:rFonts w:ascii="Times New Roman" w:eastAsia="Times New Roman" w:hAnsi="Times New Roman" w:cs="Times New Roman"/>
          <w:bCs/>
        </w:rPr>
        <w:t>corroborate</w:t>
      </w:r>
      <w:r w:rsidR="00125C9B" w:rsidRPr="00451BDA">
        <w:rPr>
          <w:rFonts w:ascii="Times New Roman" w:eastAsia="Times New Roman" w:hAnsi="Times New Roman" w:cs="Times New Roman"/>
          <w:bCs/>
        </w:rPr>
        <w:t xml:space="preserve"> </w:t>
      </w:r>
      <w:r w:rsidR="003C288B" w:rsidRPr="00451BDA">
        <w:rPr>
          <w:rFonts w:ascii="Times New Roman" w:eastAsia="Times New Roman" w:hAnsi="Times New Roman" w:cs="Times New Roman"/>
          <w:bCs/>
        </w:rPr>
        <w:t>previous</w:t>
      </w:r>
      <w:r w:rsidR="009A789E" w:rsidRPr="00451BDA">
        <w:rPr>
          <w:rFonts w:ascii="Times New Roman" w:eastAsia="Times New Roman" w:hAnsi="Times New Roman" w:cs="Times New Roman"/>
          <w:bCs/>
        </w:rPr>
        <w:t xml:space="preserve"> research </w:t>
      </w:r>
      <w:r w:rsidR="00AB608B" w:rsidRPr="00451BDA">
        <w:rPr>
          <w:rFonts w:ascii="Times New Roman" w:eastAsia="Times New Roman" w:hAnsi="Times New Roman" w:cs="Times New Roman"/>
          <w:bCs/>
        </w:rPr>
        <w:t>(Stromquist, 2007)</w:t>
      </w:r>
      <w:r w:rsidRPr="00451BDA">
        <w:rPr>
          <w:rFonts w:ascii="Times New Roman" w:eastAsia="Times New Roman" w:hAnsi="Times New Roman" w:cs="Times New Roman"/>
          <w:bCs/>
        </w:rPr>
        <w:t>. However,</w:t>
      </w:r>
      <w:r w:rsidR="00AB608B" w:rsidRPr="00451BDA">
        <w:rPr>
          <w:rFonts w:ascii="Times New Roman" w:eastAsia="Times New Roman" w:hAnsi="Times New Roman" w:cs="Times New Roman"/>
          <w:bCs/>
        </w:rPr>
        <w:t xml:space="preserve"> </w:t>
      </w:r>
      <w:r w:rsidR="00523849" w:rsidRPr="00451BDA">
        <w:rPr>
          <w:rFonts w:ascii="Times New Roman" w:eastAsia="Times New Roman" w:hAnsi="Times New Roman" w:cs="Times New Roman"/>
          <w:bCs/>
        </w:rPr>
        <w:t>FM</w:t>
      </w:r>
      <w:r w:rsidR="00AB608B" w:rsidRPr="00451BDA">
        <w:rPr>
          <w:rFonts w:ascii="Times New Roman" w:eastAsia="Times New Roman" w:hAnsi="Times New Roman" w:cs="Times New Roman"/>
          <w:bCs/>
        </w:rPr>
        <w:t xml:space="preserve"> from engineering and design perceived the curriculum to be significantly </w:t>
      </w:r>
      <w:r w:rsidR="003C288B" w:rsidRPr="00451BDA">
        <w:rPr>
          <w:rFonts w:ascii="Times New Roman" w:eastAsia="Times New Roman" w:hAnsi="Times New Roman" w:cs="Times New Roman"/>
          <w:bCs/>
        </w:rPr>
        <w:t>inclusive of</w:t>
      </w:r>
      <w:r w:rsidR="00AB608B" w:rsidRPr="00451BDA">
        <w:rPr>
          <w:rFonts w:ascii="Times New Roman" w:eastAsia="Times New Roman" w:hAnsi="Times New Roman" w:cs="Times New Roman"/>
          <w:bCs/>
        </w:rPr>
        <w:t xml:space="preserve"> global citizenship when compared to </w:t>
      </w:r>
      <w:r w:rsidRPr="00451BDA">
        <w:rPr>
          <w:rFonts w:ascii="Times New Roman" w:eastAsia="Times New Roman" w:hAnsi="Times New Roman" w:cs="Times New Roman"/>
          <w:bCs/>
        </w:rPr>
        <w:t>the social sciences and h</w:t>
      </w:r>
      <w:r w:rsidR="009A789E" w:rsidRPr="00451BDA">
        <w:rPr>
          <w:rFonts w:ascii="Times New Roman" w:eastAsia="Times New Roman" w:hAnsi="Times New Roman" w:cs="Times New Roman"/>
          <w:bCs/>
        </w:rPr>
        <w:t>umanities, which may indicate</w:t>
      </w:r>
      <w:r w:rsidR="00AB608B" w:rsidRPr="00451BDA">
        <w:rPr>
          <w:rFonts w:ascii="Times New Roman" w:eastAsia="Times New Roman" w:hAnsi="Times New Roman" w:cs="Times New Roman"/>
          <w:bCs/>
        </w:rPr>
        <w:t xml:space="preserve"> </w:t>
      </w:r>
      <w:r w:rsidRPr="00451BDA">
        <w:rPr>
          <w:rFonts w:ascii="Times New Roman" w:eastAsia="Times New Roman" w:hAnsi="Times New Roman" w:cs="Times New Roman"/>
          <w:bCs/>
        </w:rPr>
        <w:t xml:space="preserve">that the models of work </w:t>
      </w:r>
      <w:r w:rsidR="003C288B" w:rsidRPr="00451BDA">
        <w:rPr>
          <w:rFonts w:ascii="Times New Roman" w:eastAsia="Times New Roman" w:hAnsi="Times New Roman" w:cs="Times New Roman"/>
          <w:bCs/>
        </w:rPr>
        <w:t xml:space="preserve">within </w:t>
      </w:r>
      <w:r w:rsidR="00236B1D" w:rsidRPr="00451BDA">
        <w:rPr>
          <w:rFonts w:ascii="Times New Roman" w:eastAsia="Times New Roman" w:hAnsi="Times New Roman" w:cs="Times New Roman"/>
          <w:bCs/>
        </w:rPr>
        <w:t>these disciplines</w:t>
      </w:r>
      <w:r w:rsidR="00AB608B" w:rsidRPr="00451BDA">
        <w:rPr>
          <w:rFonts w:ascii="Times New Roman" w:eastAsia="Times New Roman" w:hAnsi="Times New Roman" w:cs="Times New Roman"/>
          <w:bCs/>
        </w:rPr>
        <w:t xml:space="preserve"> are designed considering global ne</w:t>
      </w:r>
      <w:r w:rsidRPr="00451BDA">
        <w:rPr>
          <w:rFonts w:ascii="Times New Roman" w:eastAsia="Times New Roman" w:hAnsi="Times New Roman" w:cs="Times New Roman"/>
          <w:bCs/>
        </w:rPr>
        <w:t>ed</w:t>
      </w:r>
      <w:r w:rsidR="003C288B" w:rsidRPr="00451BDA">
        <w:rPr>
          <w:rFonts w:ascii="Times New Roman" w:eastAsia="Times New Roman" w:hAnsi="Times New Roman" w:cs="Times New Roman"/>
          <w:bCs/>
        </w:rPr>
        <w:t>s</w:t>
      </w:r>
      <w:r w:rsidRPr="00451BDA">
        <w:rPr>
          <w:rFonts w:ascii="Times New Roman" w:eastAsia="Times New Roman" w:hAnsi="Times New Roman" w:cs="Times New Roman"/>
          <w:bCs/>
        </w:rPr>
        <w:t xml:space="preserve">. </w:t>
      </w:r>
      <w:r w:rsidR="00AB1BDC" w:rsidRPr="00451BDA">
        <w:rPr>
          <w:rFonts w:ascii="Times New Roman" w:eastAsia="Times New Roman" w:hAnsi="Times New Roman" w:cs="Times New Roman"/>
          <w:bCs/>
        </w:rPr>
        <w:t>The two participating institutions have a history of investing in engineering programs</w:t>
      </w:r>
      <w:r w:rsidRPr="00451BDA">
        <w:rPr>
          <w:rFonts w:ascii="Times New Roman" w:eastAsia="Times New Roman" w:hAnsi="Times New Roman" w:cs="Times New Roman"/>
          <w:bCs/>
        </w:rPr>
        <w:t>, which supports previous stud</w:t>
      </w:r>
      <w:r w:rsidR="00CA2CDA" w:rsidRPr="00451BDA">
        <w:rPr>
          <w:rFonts w:ascii="Times New Roman" w:eastAsia="Times New Roman" w:hAnsi="Times New Roman" w:cs="Times New Roman"/>
          <w:bCs/>
        </w:rPr>
        <w:t>ies</w:t>
      </w:r>
      <w:r w:rsidR="00AB1BDC" w:rsidRPr="00451BDA">
        <w:rPr>
          <w:rFonts w:ascii="Times New Roman" w:eastAsia="Times New Roman" w:hAnsi="Times New Roman" w:cs="Times New Roman"/>
          <w:bCs/>
        </w:rPr>
        <w:t xml:space="preserve"> indicating emerging fields in engineering and outcome-based engineering education to facilitate student mobility and global needs (Chak, 2011). </w:t>
      </w:r>
      <w:r w:rsidR="009A789E" w:rsidRPr="00451BDA">
        <w:rPr>
          <w:rFonts w:ascii="Times New Roman" w:eastAsia="Times New Roman" w:hAnsi="Times New Roman" w:cs="Times New Roman"/>
          <w:bCs/>
        </w:rPr>
        <w:t xml:space="preserve">However, it </w:t>
      </w:r>
      <w:r w:rsidR="0041004F" w:rsidRPr="00451BDA">
        <w:rPr>
          <w:rFonts w:ascii="Times New Roman" w:eastAsia="Times New Roman" w:hAnsi="Times New Roman" w:cs="Times New Roman"/>
          <w:bCs/>
        </w:rPr>
        <w:t>is difficult</w:t>
      </w:r>
      <w:r w:rsidR="009A789E" w:rsidRPr="00451BDA">
        <w:rPr>
          <w:rFonts w:ascii="Times New Roman" w:eastAsia="Times New Roman" w:hAnsi="Times New Roman" w:cs="Times New Roman"/>
          <w:bCs/>
        </w:rPr>
        <w:t xml:space="preserve"> to generalize the results because </w:t>
      </w:r>
      <w:r w:rsidR="00AB1BDC" w:rsidRPr="00451BDA">
        <w:rPr>
          <w:rFonts w:ascii="Times New Roman" w:eastAsia="Times New Roman" w:hAnsi="Times New Roman" w:cs="Times New Roman"/>
          <w:bCs/>
        </w:rPr>
        <w:t xml:space="preserve">of </w:t>
      </w:r>
      <w:r w:rsidRPr="00451BDA">
        <w:rPr>
          <w:rFonts w:ascii="Times New Roman" w:eastAsia="Times New Roman" w:hAnsi="Times New Roman" w:cs="Times New Roman"/>
          <w:bCs/>
        </w:rPr>
        <w:t>the responses received from a small sample.</w:t>
      </w:r>
    </w:p>
    <w:p w14:paraId="2667E089" w14:textId="3362AC02" w:rsidR="00020865" w:rsidRPr="00451BDA" w:rsidRDefault="00020865" w:rsidP="00B51699">
      <w:pPr>
        <w:shd w:val="clear" w:color="auto" w:fill="FFFFFF" w:themeFill="background1"/>
        <w:spacing w:line="240" w:lineRule="auto"/>
        <w:ind w:firstLine="720"/>
        <w:contextualSpacing/>
        <w:rPr>
          <w:rFonts w:ascii="Times New Roman" w:eastAsia="Times New Roman" w:hAnsi="Times New Roman" w:cs="Times New Roman"/>
          <w:bCs/>
        </w:rPr>
      </w:pPr>
    </w:p>
    <w:p w14:paraId="522A3255" w14:textId="7D164C4D" w:rsidR="00020865" w:rsidRPr="00451BDA" w:rsidRDefault="00000000" w:rsidP="002D4D53">
      <w:pPr>
        <w:shd w:val="clear" w:color="auto" w:fill="FFFFFF" w:themeFill="background1"/>
        <w:spacing w:line="240" w:lineRule="auto"/>
        <w:ind w:firstLine="720"/>
        <w:contextualSpacing/>
        <w:rPr>
          <w:rFonts w:ascii="Times New Roman" w:eastAsia="Times New Roman" w:hAnsi="Times New Roman" w:cs="Times New Roman"/>
          <w:bCs/>
        </w:rPr>
      </w:pPr>
      <w:r w:rsidRPr="00451BDA">
        <w:rPr>
          <w:rFonts w:ascii="Times New Roman" w:hAnsi="Times New Roman" w:cs="Times New Roman"/>
          <w:bCs/>
          <w:color w:val="000000"/>
          <w:shd w:val="clear" w:color="auto" w:fill="FFFFFF"/>
        </w:rPr>
        <w:t xml:space="preserve">Empowering </w:t>
      </w:r>
      <w:r w:rsidR="00523849" w:rsidRPr="00451BDA">
        <w:rPr>
          <w:rFonts w:ascii="Times New Roman" w:hAnsi="Times New Roman" w:cs="Times New Roman"/>
          <w:bCs/>
          <w:color w:val="000000"/>
          <w:shd w:val="clear" w:color="auto" w:fill="FFFFFF"/>
        </w:rPr>
        <w:t>FM</w:t>
      </w:r>
      <w:r w:rsidRPr="00451BDA">
        <w:rPr>
          <w:rFonts w:ascii="Times New Roman" w:hAnsi="Times New Roman" w:cs="Times New Roman"/>
          <w:bCs/>
          <w:color w:val="000000"/>
          <w:shd w:val="clear" w:color="auto" w:fill="FFFFFF"/>
        </w:rPr>
        <w:t xml:space="preserve"> may also help overcome attitudinal barriers (Kirk et al</w:t>
      </w:r>
      <w:r w:rsidRPr="00451BDA">
        <w:rPr>
          <w:rFonts w:ascii="Times New Roman" w:eastAsia="Calibri" w:hAnsi="Times New Roman" w:cs="Times New Roman"/>
          <w:bCs/>
          <w:color w:val="000000"/>
        </w:rPr>
        <w:t xml:space="preserve">., 2018). </w:t>
      </w:r>
      <w:r w:rsidRPr="00451BDA">
        <w:rPr>
          <w:rFonts w:ascii="Times New Roman" w:hAnsi="Times New Roman" w:cs="Times New Roman"/>
          <w:bCs/>
          <w:color w:val="000000"/>
          <w:shd w:val="clear" w:color="auto" w:fill="FFFFFF"/>
        </w:rPr>
        <w:t xml:space="preserve">Interestingly, findings are contrary to a general notion </w:t>
      </w:r>
      <w:r w:rsidRPr="00451BDA">
        <w:rPr>
          <w:rFonts w:ascii="Times New Roman" w:eastAsia="Times New Roman" w:hAnsi="Times New Roman" w:cs="Times New Roman"/>
          <w:bCs/>
        </w:rPr>
        <w:t>about reluctance to engage in internationalization considering that it is generally more relevant to the Pakistani context than the UK (Rubab et al., 2020) due to the fear of brain drain or loss of cultural identity.</w:t>
      </w:r>
      <w:r w:rsidR="002D4D53" w:rsidRPr="00451BDA">
        <w:rPr>
          <w:rFonts w:ascii="Times New Roman" w:eastAsia="Times New Roman" w:hAnsi="Times New Roman" w:cs="Times New Roman"/>
          <w:bCs/>
        </w:rPr>
        <w:t xml:space="preserve"> </w:t>
      </w:r>
      <w:r w:rsidRPr="00451BDA">
        <w:rPr>
          <w:rFonts w:ascii="Times New Roman" w:hAnsi="Times New Roman" w:cs="Times New Roman"/>
          <w:bCs/>
          <w:color w:val="000000"/>
          <w:shd w:val="clear" w:color="auto" w:fill="FFFFFF"/>
        </w:rPr>
        <w:t>Despite certain limitations of this study, such as quantitative focus and small sample</w:t>
      </w:r>
      <w:r w:rsidRPr="00451BDA">
        <w:rPr>
          <w:rFonts w:ascii="Times New Roman" w:eastAsia="Calibri" w:hAnsi="Times New Roman" w:cs="Times New Roman"/>
          <w:bCs/>
          <w:color w:val="000000"/>
        </w:rPr>
        <w:t xml:space="preserve"> </w:t>
      </w:r>
      <w:r w:rsidR="002C5681" w:rsidRPr="00451BDA">
        <w:rPr>
          <w:rFonts w:ascii="Times New Roman" w:eastAsia="Calibri" w:hAnsi="Times New Roman" w:cs="Times New Roman"/>
          <w:bCs/>
          <w:color w:val="000000"/>
        </w:rPr>
        <w:t>size</w:t>
      </w:r>
      <w:r w:rsidR="002C5681" w:rsidRPr="00451BDA">
        <w:rPr>
          <w:rFonts w:ascii="Times New Roman" w:hAnsi="Times New Roman" w:cs="Times New Roman"/>
          <w:bCs/>
          <w:color w:val="000000"/>
          <w:shd w:val="clear" w:color="auto" w:fill="FFFFFF"/>
        </w:rPr>
        <w:t>, the</w:t>
      </w:r>
      <w:r w:rsidRPr="00451BDA">
        <w:rPr>
          <w:rFonts w:ascii="Times New Roman" w:eastAsia="Calibri" w:hAnsi="Times New Roman" w:cs="Times New Roman"/>
          <w:bCs/>
          <w:color w:val="000000"/>
        </w:rPr>
        <w:t xml:space="preserve"> findings </w:t>
      </w:r>
      <w:r w:rsidR="00066E1B" w:rsidRPr="00451BDA">
        <w:rPr>
          <w:rFonts w:ascii="Times New Roman" w:hAnsi="Times New Roman" w:cs="Times New Roman"/>
          <w:bCs/>
          <w:color w:val="000000"/>
          <w:shd w:val="clear" w:color="auto" w:fill="FFFFFF"/>
        </w:rPr>
        <w:t>reiterate</w:t>
      </w:r>
      <w:r w:rsidRPr="00451BDA">
        <w:rPr>
          <w:rFonts w:ascii="Times New Roman" w:hAnsi="Times New Roman" w:cs="Times New Roman"/>
          <w:bCs/>
          <w:color w:val="000000"/>
          <w:shd w:val="clear" w:color="auto" w:fill="FFFFFF"/>
        </w:rPr>
        <w:t xml:space="preserve"> </w:t>
      </w:r>
      <w:r w:rsidRPr="00451BDA">
        <w:rPr>
          <w:rFonts w:ascii="Times New Roman" w:eastAsia="Calibri" w:hAnsi="Times New Roman" w:cs="Times New Roman"/>
          <w:bCs/>
          <w:color w:val="000000"/>
        </w:rPr>
        <w:t xml:space="preserve">that </w:t>
      </w:r>
      <w:r w:rsidR="00523849" w:rsidRPr="00451BDA">
        <w:rPr>
          <w:rFonts w:ascii="Times New Roman" w:hAnsi="Times New Roman" w:cs="Times New Roman"/>
          <w:bCs/>
          <w:color w:val="000000"/>
          <w:shd w:val="clear" w:color="auto" w:fill="FFFFFF"/>
        </w:rPr>
        <w:t>FM</w:t>
      </w:r>
      <w:r w:rsidRPr="00451BDA">
        <w:rPr>
          <w:rFonts w:ascii="Times New Roman" w:hAnsi="Times New Roman" w:cs="Times New Roman"/>
          <w:bCs/>
          <w:color w:val="000000"/>
          <w:shd w:val="clear" w:color="auto" w:fill="FFFFFF"/>
        </w:rPr>
        <w:t xml:space="preserve"> perceptions can be taken as an initial step to understand</w:t>
      </w:r>
      <w:r w:rsidRPr="00451BDA">
        <w:rPr>
          <w:rFonts w:ascii="Times New Roman" w:eastAsia="Calibri" w:hAnsi="Times New Roman" w:cs="Times New Roman"/>
          <w:bCs/>
          <w:color w:val="000000"/>
        </w:rPr>
        <w:t xml:space="preserve">ing </w:t>
      </w:r>
      <w:r w:rsidRPr="00451BDA">
        <w:rPr>
          <w:rFonts w:ascii="Times New Roman" w:hAnsi="Times New Roman" w:cs="Times New Roman"/>
          <w:bCs/>
          <w:color w:val="000000"/>
          <w:shd w:val="clear" w:color="auto" w:fill="FFFFFF"/>
        </w:rPr>
        <w:t>IoC.</w:t>
      </w:r>
    </w:p>
    <w:p w14:paraId="37D9CF68" w14:textId="7C23658F" w:rsidR="00020865" w:rsidRPr="00451BDA" w:rsidRDefault="00000000" w:rsidP="00020865">
      <w:pPr>
        <w:shd w:val="clear" w:color="auto" w:fill="FFFFFF" w:themeFill="background1"/>
        <w:spacing w:line="240" w:lineRule="auto"/>
        <w:ind w:firstLine="720"/>
        <w:contextualSpacing/>
        <w:rPr>
          <w:rFonts w:ascii="Times New Roman" w:eastAsia="Times New Roman" w:hAnsi="Times New Roman" w:cs="Times New Roman"/>
          <w:bCs/>
        </w:rPr>
      </w:pPr>
      <w:r w:rsidRPr="00451BDA">
        <w:rPr>
          <w:rFonts w:ascii="Times New Roman" w:eastAsia="Times New Roman" w:hAnsi="Times New Roman" w:cs="Times New Roman"/>
          <w:bCs/>
        </w:rPr>
        <w:lastRenderedPageBreak/>
        <w:t xml:space="preserve">Interpretation of findings requires caution as in-depth information could not be taken, and </w:t>
      </w:r>
      <w:proofErr w:type="gramStart"/>
      <w:r w:rsidR="00F17536" w:rsidRPr="00451BDA">
        <w:rPr>
          <w:rFonts w:ascii="Times New Roman" w:eastAsia="Times New Roman" w:hAnsi="Times New Roman" w:cs="Times New Roman"/>
          <w:bCs/>
        </w:rPr>
        <w:t>the majority</w:t>
      </w:r>
      <w:r w:rsidRPr="00451BDA">
        <w:rPr>
          <w:rFonts w:ascii="Times New Roman" w:eastAsia="Times New Roman" w:hAnsi="Times New Roman" w:cs="Times New Roman"/>
          <w:bCs/>
        </w:rPr>
        <w:t xml:space="preserve"> of</w:t>
      </w:r>
      <w:proofErr w:type="gramEnd"/>
      <w:r w:rsidRPr="00451BDA">
        <w:rPr>
          <w:rFonts w:ascii="Times New Roman" w:eastAsia="Times New Roman" w:hAnsi="Times New Roman" w:cs="Times New Roman"/>
          <w:bCs/>
        </w:rPr>
        <w:t xml:space="preserve"> the </w:t>
      </w:r>
      <w:r w:rsidR="00523849" w:rsidRPr="00451BDA">
        <w:rPr>
          <w:rFonts w:ascii="Times New Roman" w:eastAsia="Times New Roman" w:hAnsi="Times New Roman" w:cs="Times New Roman"/>
          <w:bCs/>
        </w:rPr>
        <w:t>FM</w:t>
      </w:r>
      <w:r w:rsidRPr="00451BDA">
        <w:rPr>
          <w:rFonts w:ascii="Times New Roman" w:eastAsia="Times New Roman" w:hAnsi="Times New Roman" w:cs="Times New Roman"/>
          <w:bCs/>
        </w:rPr>
        <w:t xml:space="preserve"> had curriculum development, revision</w:t>
      </w:r>
      <w:r w:rsidR="00F17536" w:rsidRPr="00451BDA">
        <w:rPr>
          <w:rFonts w:ascii="Times New Roman" w:eastAsia="Times New Roman" w:hAnsi="Times New Roman" w:cs="Times New Roman"/>
          <w:bCs/>
        </w:rPr>
        <w:t>,</w:t>
      </w:r>
      <w:r w:rsidRPr="00451BDA">
        <w:rPr>
          <w:rFonts w:ascii="Times New Roman" w:eastAsia="Times New Roman" w:hAnsi="Times New Roman" w:cs="Times New Roman"/>
          <w:bCs/>
        </w:rPr>
        <w:t xml:space="preserve"> and labor market experience</w:t>
      </w:r>
      <w:r w:rsidR="00F17536" w:rsidRPr="00451BDA">
        <w:rPr>
          <w:rFonts w:ascii="Times New Roman" w:eastAsia="Times New Roman" w:hAnsi="Times New Roman" w:cs="Times New Roman"/>
          <w:bCs/>
        </w:rPr>
        <w:t xml:space="preserve">. This was expected because data were collected through two universities striving to seek a place in the list of </w:t>
      </w:r>
      <w:r w:rsidR="00CA2CDA" w:rsidRPr="00451BDA">
        <w:rPr>
          <w:rFonts w:ascii="Times New Roman" w:eastAsia="Times New Roman" w:hAnsi="Times New Roman" w:cs="Times New Roman"/>
          <w:bCs/>
        </w:rPr>
        <w:t>the top</w:t>
      </w:r>
      <w:r w:rsidR="00F17536" w:rsidRPr="00451BDA">
        <w:rPr>
          <w:rFonts w:ascii="Times New Roman" w:eastAsia="Times New Roman" w:hAnsi="Times New Roman" w:cs="Times New Roman"/>
          <w:bCs/>
        </w:rPr>
        <w:t xml:space="preserve"> 500 in </w:t>
      </w:r>
      <w:r w:rsidRPr="00451BDA">
        <w:rPr>
          <w:rFonts w:ascii="Times New Roman" w:eastAsia="Times New Roman" w:hAnsi="Times New Roman" w:cs="Times New Roman"/>
          <w:bCs/>
        </w:rPr>
        <w:t>the QS ranking.</w:t>
      </w:r>
    </w:p>
    <w:p w14:paraId="76B13BC7" w14:textId="77777777" w:rsidR="005D4B95" w:rsidRPr="00451BDA" w:rsidRDefault="005D4B95" w:rsidP="00B51699">
      <w:pPr>
        <w:shd w:val="clear" w:color="auto" w:fill="FFFFFF" w:themeFill="background1"/>
        <w:spacing w:line="240" w:lineRule="auto"/>
        <w:ind w:firstLine="720"/>
        <w:contextualSpacing/>
        <w:rPr>
          <w:rFonts w:ascii="Times New Roman" w:eastAsia="Times New Roman" w:hAnsi="Times New Roman" w:cs="Times New Roman"/>
          <w:bCs/>
        </w:rPr>
      </w:pPr>
    </w:p>
    <w:p w14:paraId="5B96684C" w14:textId="030C74C0" w:rsidR="005D4B95" w:rsidRPr="00451BDA" w:rsidRDefault="00000000" w:rsidP="00DB0919">
      <w:pPr>
        <w:shd w:val="clear" w:color="auto" w:fill="FFFFFF" w:themeFill="background1"/>
        <w:spacing w:line="240" w:lineRule="auto"/>
        <w:contextualSpacing/>
        <w:rPr>
          <w:rFonts w:ascii="Times New Roman" w:eastAsia="Times New Roman" w:hAnsi="Times New Roman" w:cs="Times New Roman"/>
          <w:b/>
        </w:rPr>
      </w:pPr>
      <w:r w:rsidRPr="00451BDA">
        <w:rPr>
          <w:rFonts w:ascii="Times New Roman" w:eastAsia="Times New Roman" w:hAnsi="Times New Roman" w:cs="Times New Roman"/>
          <w:b/>
        </w:rPr>
        <w:t>Implications</w:t>
      </w:r>
    </w:p>
    <w:p w14:paraId="79903B80" w14:textId="77777777" w:rsidR="005D4B95" w:rsidRPr="00451BDA" w:rsidRDefault="005D4B95" w:rsidP="00F17536">
      <w:pPr>
        <w:shd w:val="clear" w:color="auto" w:fill="FFFFFF" w:themeFill="background1"/>
        <w:spacing w:line="240" w:lineRule="auto"/>
        <w:contextualSpacing/>
        <w:rPr>
          <w:rFonts w:ascii="Times New Roman" w:eastAsia="Times New Roman" w:hAnsi="Times New Roman" w:cs="Times New Roman"/>
          <w:bCs/>
        </w:rPr>
      </w:pPr>
    </w:p>
    <w:p w14:paraId="115C908B" w14:textId="7BED4455" w:rsidR="005618E8" w:rsidRPr="00451BDA" w:rsidRDefault="00000000" w:rsidP="00F17536">
      <w:pPr>
        <w:shd w:val="clear" w:color="auto" w:fill="FFFFFF" w:themeFill="background1"/>
        <w:spacing w:line="240" w:lineRule="auto"/>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The findings reiterate that the needs of IaH have influenced various contexts, but understanding the contextual needs and socio-cultural factors for internationalization may provide a significant direction for internationalizing the undergraduate curriculum. In this journey, hiring </w:t>
      </w:r>
      <w:r w:rsidR="00523849" w:rsidRPr="00451BDA">
        <w:rPr>
          <w:rFonts w:ascii="Times New Roman" w:eastAsia="Times New Roman" w:hAnsi="Times New Roman" w:cs="Times New Roman"/>
          <w:bCs/>
        </w:rPr>
        <w:t>FM</w:t>
      </w:r>
      <w:r w:rsidRPr="00451BDA">
        <w:rPr>
          <w:rFonts w:ascii="Times New Roman" w:eastAsia="Times New Roman" w:hAnsi="Times New Roman" w:cs="Times New Roman"/>
          <w:bCs/>
        </w:rPr>
        <w:t xml:space="preserve"> with international degrees is of significant value in non-Western contexts. Lastly, the participating universities may learn from the discipline of engineering how best to focus on IoC and extend and adapt the models for internationalizing other curricula and programs in the same universities.</w:t>
      </w:r>
      <w:r w:rsidR="006E79B5" w:rsidRPr="00451BDA">
        <w:rPr>
          <w:rFonts w:ascii="Times New Roman" w:eastAsia="Times New Roman" w:hAnsi="Times New Roman" w:cs="Times New Roman"/>
          <w:bCs/>
        </w:rPr>
        <w:t xml:space="preserve"> </w:t>
      </w:r>
      <w:r w:rsidRPr="00451BDA">
        <w:rPr>
          <w:rFonts w:ascii="Times New Roman" w:eastAsia="Times New Roman" w:hAnsi="Times New Roman" w:cs="Times New Roman"/>
          <w:bCs/>
        </w:rPr>
        <w:t>Finally, creating educational ties with developed countries other than those competing for QS ranking may provide significant opportunities for IoC.</w:t>
      </w:r>
    </w:p>
    <w:p w14:paraId="0C3B06DC" w14:textId="77777777" w:rsidR="005D4B95" w:rsidRPr="00451BDA" w:rsidRDefault="005D4B95" w:rsidP="00232A3C">
      <w:pPr>
        <w:shd w:val="clear" w:color="auto" w:fill="FFFFFF" w:themeFill="background1"/>
        <w:spacing w:line="240" w:lineRule="auto"/>
        <w:ind w:firstLine="720"/>
        <w:contextualSpacing/>
        <w:rPr>
          <w:rFonts w:ascii="Times New Roman" w:eastAsia="Times New Roman" w:hAnsi="Times New Roman" w:cs="Times New Roman"/>
          <w:bCs/>
        </w:rPr>
      </w:pPr>
    </w:p>
    <w:p w14:paraId="709DA821" w14:textId="5D0265A7" w:rsidR="009405FA" w:rsidRPr="00451BDA" w:rsidRDefault="00000000" w:rsidP="002C5681">
      <w:pPr>
        <w:shd w:val="clear" w:color="auto" w:fill="FFFFFF" w:themeFill="background1"/>
        <w:spacing w:line="240" w:lineRule="auto"/>
        <w:contextualSpacing/>
        <w:rPr>
          <w:rFonts w:ascii="Times New Roman" w:eastAsia="Times New Roman" w:hAnsi="Times New Roman" w:cs="Times New Roman"/>
          <w:b/>
        </w:rPr>
      </w:pPr>
      <w:r w:rsidRPr="00451BDA">
        <w:rPr>
          <w:rFonts w:ascii="Times New Roman" w:eastAsia="Times New Roman" w:hAnsi="Times New Roman" w:cs="Times New Roman"/>
          <w:b/>
        </w:rPr>
        <w:t>Conclusion</w:t>
      </w:r>
    </w:p>
    <w:p w14:paraId="26F9107B" w14:textId="4F2801C8" w:rsidR="005117C9" w:rsidRPr="00451BDA" w:rsidRDefault="00000000">
      <w:pPr>
        <w:shd w:val="clear" w:color="auto" w:fill="FFFFFF" w:themeFill="background1"/>
        <w:spacing w:line="240" w:lineRule="auto"/>
        <w:ind w:firstLine="720"/>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It is concluded that, despite </w:t>
      </w:r>
      <w:r w:rsidR="00914B8D" w:rsidRPr="00451BDA">
        <w:rPr>
          <w:rFonts w:ascii="Times New Roman" w:eastAsia="Times New Roman" w:hAnsi="Times New Roman" w:cs="Times New Roman"/>
          <w:bCs/>
        </w:rPr>
        <w:t>the existence of nationalist approaches in some form and shape (</w:t>
      </w:r>
      <w:proofErr w:type="spellStart"/>
      <w:r w:rsidR="00914B8D" w:rsidRPr="00451BDA">
        <w:rPr>
          <w:rFonts w:ascii="Times New Roman" w:eastAsia="Times New Roman" w:hAnsi="Times New Roman" w:cs="Times New Roman"/>
          <w:bCs/>
        </w:rPr>
        <w:t>Altbacch</w:t>
      </w:r>
      <w:proofErr w:type="spellEnd"/>
      <w:r w:rsidR="00914B8D" w:rsidRPr="00451BDA">
        <w:rPr>
          <w:rFonts w:ascii="Times New Roman" w:eastAsia="Times New Roman" w:hAnsi="Times New Roman" w:cs="Times New Roman"/>
          <w:bCs/>
        </w:rPr>
        <w:t xml:space="preserve"> and </w:t>
      </w:r>
      <w:r w:rsidR="00147106" w:rsidRPr="00451BDA">
        <w:rPr>
          <w:rFonts w:ascii="Times New Roman" w:eastAsia="Times New Roman" w:hAnsi="Times New Roman" w:cs="Times New Roman"/>
          <w:bCs/>
        </w:rPr>
        <w:t>D</w:t>
      </w:r>
      <w:r w:rsidR="00914B8D" w:rsidRPr="00451BDA">
        <w:rPr>
          <w:rFonts w:ascii="Times New Roman" w:eastAsia="Times New Roman" w:hAnsi="Times New Roman" w:cs="Times New Roman"/>
          <w:bCs/>
        </w:rPr>
        <w:t>e Wi</w:t>
      </w:r>
      <w:r w:rsidR="00352CFA" w:rsidRPr="00451BDA">
        <w:rPr>
          <w:rFonts w:ascii="Times New Roman" w:eastAsia="Times New Roman" w:hAnsi="Times New Roman" w:cs="Times New Roman"/>
          <w:bCs/>
        </w:rPr>
        <w:t>t, 2018</w:t>
      </w:r>
      <w:r w:rsidR="00E1322C" w:rsidRPr="00451BDA">
        <w:rPr>
          <w:rFonts w:ascii="Times New Roman" w:eastAsia="Times New Roman" w:hAnsi="Times New Roman" w:cs="Times New Roman"/>
          <w:bCs/>
        </w:rPr>
        <w:t xml:space="preserve">), </w:t>
      </w:r>
      <w:r w:rsidRPr="00451BDA">
        <w:rPr>
          <w:rFonts w:ascii="Times New Roman" w:eastAsia="Times New Roman" w:hAnsi="Times New Roman" w:cs="Times New Roman"/>
          <w:bCs/>
        </w:rPr>
        <w:t xml:space="preserve">institutional priorities may </w:t>
      </w:r>
      <w:r w:rsidR="000834A2" w:rsidRPr="00451BDA">
        <w:rPr>
          <w:rFonts w:ascii="Times New Roman" w:eastAsia="Times New Roman" w:hAnsi="Times New Roman" w:cs="Times New Roman"/>
          <w:bCs/>
        </w:rPr>
        <w:t>converge due to globalization, despite local</w:t>
      </w:r>
      <w:r w:rsidRPr="00451BDA">
        <w:rPr>
          <w:rFonts w:ascii="Times New Roman" w:eastAsia="Times New Roman" w:hAnsi="Times New Roman" w:cs="Times New Roman"/>
          <w:bCs/>
        </w:rPr>
        <w:t>- and national</w:t>
      </w:r>
      <w:r w:rsidR="000834A2" w:rsidRPr="00451BDA">
        <w:rPr>
          <w:rFonts w:ascii="Times New Roman" w:eastAsia="Times New Roman" w:hAnsi="Times New Roman" w:cs="Times New Roman"/>
          <w:bCs/>
        </w:rPr>
        <w:t xml:space="preserve">-level realities. </w:t>
      </w:r>
      <w:r w:rsidR="00020865" w:rsidRPr="00451BDA">
        <w:rPr>
          <w:rFonts w:ascii="Times New Roman" w:eastAsia="Times New Roman" w:hAnsi="Times New Roman" w:cs="Times New Roman"/>
          <w:bCs/>
        </w:rPr>
        <w:t>IoC</w:t>
      </w:r>
      <w:r w:rsidR="000834A2" w:rsidRPr="00451BDA">
        <w:rPr>
          <w:rFonts w:ascii="Times New Roman" w:eastAsia="Times New Roman" w:hAnsi="Times New Roman" w:cs="Times New Roman"/>
          <w:bCs/>
        </w:rPr>
        <w:t xml:space="preserve"> seems equally important</w:t>
      </w:r>
      <w:r w:rsidR="00020865" w:rsidRPr="00451BDA">
        <w:rPr>
          <w:rFonts w:ascii="Times New Roman" w:eastAsia="Times New Roman" w:hAnsi="Times New Roman" w:cs="Times New Roman"/>
          <w:bCs/>
        </w:rPr>
        <w:t xml:space="preserve"> for different contexts</w:t>
      </w:r>
      <w:r w:rsidR="000834A2" w:rsidRPr="00451BDA">
        <w:rPr>
          <w:rFonts w:ascii="Times New Roman" w:eastAsia="Times New Roman" w:hAnsi="Times New Roman" w:cs="Times New Roman"/>
          <w:bCs/>
        </w:rPr>
        <w:t xml:space="preserve"> despite national re</w:t>
      </w:r>
      <w:r w:rsidR="00020865" w:rsidRPr="00451BDA">
        <w:rPr>
          <w:rFonts w:ascii="Times New Roman" w:eastAsia="Times New Roman" w:hAnsi="Times New Roman" w:cs="Times New Roman"/>
          <w:bCs/>
        </w:rPr>
        <w:t>a</w:t>
      </w:r>
      <w:r w:rsidR="000834A2" w:rsidRPr="00451BDA">
        <w:rPr>
          <w:rFonts w:ascii="Times New Roman" w:eastAsia="Times New Roman" w:hAnsi="Times New Roman" w:cs="Times New Roman"/>
          <w:bCs/>
        </w:rPr>
        <w:t>lities</w:t>
      </w:r>
      <w:r w:rsidRPr="00451BDA">
        <w:rPr>
          <w:rFonts w:ascii="Times New Roman" w:eastAsia="Times New Roman" w:hAnsi="Times New Roman" w:cs="Times New Roman"/>
          <w:bCs/>
        </w:rPr>
        <w:t xml:space="preserve">, </w:t>
      </w:r>
      <w:r w:rsidR="00020865" w:rsidRPr="00451BDA">
        <w:rPr>
          <w:rFonts w:ascii="Times New Roman" w:eastAsia="Times New Roman" w:hAnsi="Times New Roman" w:cs="Times New Roman"/>
          <w:bCs/>
        </w:rPr>
        <w:t>mainly due to globalization and international ranking</w:t>
      </w:r>
      <w:r w:rsidRPr="00451BDA">
        <w:rPr>
          <w:rFonts w:ascii="Times New Roman" w:eastAsia="Times New Roman" w:hAnsi="Times New Roman" w:cs="Times New Roman"/>
          <w:bCs/>
        </w:rPr>
        <w:t>s.</w:t>
      </w:r>
    </w:p>
    <w:p w14:paraId="28E33BEA" w14:textId="12D7845A" w:rsidR="005117C9" w:rsidRPr="00451BDA" w:rsidRDefault="00000000">
      <w:pPr>
        <w:shd w:val="clear" w:color="auto" w:fill="FFFFFF" w:themeFill="background1"/>
        <w:spacing w:line="240" w:lineRule="auto"/>
        <w:ind w:firstLine="720"/>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These findings provide preliminary evidence </w:t>
      </w:r>
      <w:r w:rsidR="00205531" w:rsidRPr="00451BDA">
        <w:rPr>
          <w:rFonts w:ascii="Times New Roman" w:eastAsia="Times New Roman" w:hAnsi="Times New Roman" w:cs="Times New Roman"/>
          <w:bCs/>
        </w:rPr>
        <w:t>of global influences on IoC in selected contexts. Similar levels of perceptions may connote sociocultural and educational linkages</w:t>
      </w:r>
      <w:r w:rsidRPr="00451BDA">
        <w:rPr>
          <w:rFonts w:ascii="Times New Roman" w:eastAsia="Times New Roman" w:hAnsi="Times New Roman" w:cs="Times New Roman"/>
          <w:bCs/>
        </w:rPr>
        <w:t xml:space="preserve">, whereas slight differences </w:t>
      </w:r>
      <w:r w:rsidR="00205531" w:rsidRPr="00451BDA">
        <w:rPr>
          <w:rFonts w:ascii="Times New Roman" w:eastAsia="Times New Roman" w:hAnsi="Times New Roman" w:cs="Times New Roman"/>
          <w:bCs/>
        </w:rPr>
        <w:t xml:space="preserve">in </w:t>
      </w:r>
      <w:r w:rsidRPr="00451BDA">
        <w:rPr>
          <w:rFonts w:ascii="Times New Roman" w:eastAsia="Times New Roman" w:hAnsi="Times New Roman" w:cs="Times New Roman"/>
          <w:bCs/>
        </w:rPr>
        <w:t xml:space="preserve">the two areas of IoC may be considered </w:t>
      </w:r>
      <w:r w:rsidR="00205531" w:rsidRPr="00451BDA">
        <w:rPr>
          <w:rFonts w:ascii="Times New Roman" w:eastAsia="Times New Roman" w:hAnsi="Times New Roman" w:cs="Times New Roman"/>
          <w:bCs/>
        </w:rPr>
        <w:t xml:space="preserve">reflective of institutional priorities and contextual demands or challenges. In terms of broad implications, </w:t>
      </w:r>
      <w:r w:rsidRPr="00451BDA">
        <w:rPr>
          <w:rFonts w:ascii="Times New Roman" w:eastAsia="Times New Roman" w:hAnsi="Times New Roman" w:cs="Times New Roman"/>
          <w:bCs/>
        </w:rPr>
        <w:t xml:space="preserve">the results indicate that institutional strategies can be designed considering the local realities and FM’s </w:t>
      </w:r>
      <w:r w:rsidR="00346EF2" w:rsidRPr="00451BDA">
        <w:rPr>
          <w:rFonts w:ascii="Times New Roman" w:eastAsia="Times New Roman" w:hAnsi="Times New Roman" w:cs="Times New Roman"/>
          <w:bCs/>
        </w:rPr>
        <w:t xml:space="preserve">especially </w:t>
      </w:r>
      <w:r w:rsidR="00205531" w:rsidRPr="00451BDA">
        <w:rPr>
          <w:rFonts w:ascii="Times New Roman" w:eastAsia="Times New Roman" w:hAnsi="Times New Roman" w:cs="Times New Roman"/>
          <w:bCs/>
        </w:rPr>
        <w:t>with international education</w:t>
      </w:r>
      <w:r w:rsidRPr="00451BDA">
        <w:rPr>
          <w:rFonts w:ascii="Times New Roman" w:eastAsia="Times New Roman" w:hAnsi="Times New Roman" w:cs="Times New Roman"/>
          <w:bCs/>
        </w:rPr>
        <w:t xml:space="preserve">, and </w:t>
      </w:r>
      <w:r w:rsidR="00205531" w:rsidRPr="00451BDA">
        <w:rPr>
          <w:rFonts w:ascii="Times New Roman" w:eastAsia="Times New Roman" w:hAnsi="Times New Roman" w:cs="Times New Roman"/>
          <w:bCs/>
        </w:rPr>
        <w:t>knowledge of</w:t>
      </w:r>
      <w:r w:rsidRPr="00451BDA">
        <w:rPr>
          <w:rFonts w:ascii="Times New Roman" w:eastAsia="Times New Roman" w:hAnsi="Times New Roman" w:cs="Times New Roman"/>
          <w:bCs/>
        </w:rPr>
        <w:t xml:space="preserve"> the labor market may prove to be an asset for </w:t>
      </w:r>
      <w:r w:rsidR="00205531" w:rsidRPr="00451BDA">
        <w:rPr>
          <w:rFonts w:ascii="Times New Roman" w:eastAsia="Times New Roman" w:hAnsi="Times New Roman" w:cs="Times New Roman"/>
          <w:bCs/>
        </w:rPr>
        <w:t>developing countries to promote IoC.</w:t>
      </w:r>
      <w:r w:rsidR="00785C2B" w:rsidRPr="00451BDA">
        <w:rPr>
          <w:rFonts w:ascii="Times New Roman" w:eastAsia="Times New Roman" w:hAnsi="Times New Roman" w:cs="Times New Roman"/>
          <w:bCs/>
        </w:rPr>
        <w:t xml:space="preserve"> A qualitative study can further explore how faculty with international education and experience can innovatively</w:t>
      </w:r>
      <w:r w:rsidRPr="00451BDA">
        <w:rPr>
          <w:rFonts w:ascii="Times New Roman" w:eastAsia="Times New Roman" w:hAnsi="Times New Roman" w:cs="Times New Roman"/>
          <w:bCs/>
        </w:rPr>
        <w:t xml:space="preserve"> contribute to IoC. Considering the longevity of service in higher education may not serve as a valid criterion to identify FM who can genuinely contribute to IoC.</w:t>
      </w:r>
    </w:p>
    <w:p w14:paraId="55F5E5D4" w14:textId="77777777" w:rsidR="00304BDA" w:rsidRPr="00451BDA" w:rsidRDefault="00304BDA">
      <w:pPr>
        <w:shd w:val="clear" w:color="auto" w:fill="FFFFFF" w:themeFill="background1"/>
        <w:spacing w:line="240" w:lineRule="auto"/>
        <w:ind w:firstLine="720"/>
        <w:contextualSpacing/>
        <w:rPr>
          <w:rFonts w:ascii="Times New Roman" w:eastAsia="Times New Roman" w:hAnsi="Times New Roman" w:cs="Times New Roman"/>
          <w:bCs/>
        </w:rPr>
      </w:pPr>
    </w:p>
    <w:p w14:paraId="08516126" w14:textId="77777777" w:rsidR="002C3154" w:rsidRPr="00451BDA" w:rsidRDefault="002C3154">
      <w:pPr>
        <w:shd w:val="clear" w:color="auto" w:fill="FFFFFF" w:themeFill="background1"/>
        <w:spacing w:line="240" w:lineRule="auto"/>
        <w:ind w:firstLine="720"/>
        <w:contextualSpacing/>
        <w:rPr>
          <w:rFonts w:ascii="Times New Roman" w:eastAsia="Times New Roman" w:hAnsi="Times New Roman" w:cs="Times New Roman"/>
          <w:bCs/>
        </w:rPr>
      </w:pPr>
    </w:p>
    <w:p w14:paraId="29741CBE" w14:textId="77777777" w:rsidR="002C3154" w:rsidRPr="00451BDA" w:rsidRDefault="002C3154">
      <w:pPr>
        <w:shd w:val="clear" w:color="auto" w:fill="FFFFFF" w:themeFill="background1"/>
        <w:spacing w:line="240" w:lineRule="auto"/>
        <w:ind w:firstLine="720"/>
        <w:contextualSpacing/>
        <w:rPr>
          <w:rFonts w:ascii="Times New Roman" w:eastAsia="Times New Roman" w:hAnsi="Times New Roman" w:cs="Times New Roman"/>
          <w:bCs/>
        </w:rPr>
      </w:pPr>
    </w:p>
    <w:p w14:paraId="3F4D6E58" w14:textId="77777777" w:rsidR="002C3154" w:rsidRPr="00451BDA" w:rsidRDefault="002C3154">
      <w:pPr>
        <w:shd w:val="clear" w:color="auto" w:fill="FFFFFF" w:themeFill="background1"/>
        <w:spacing w:line="240" w:lineRule="auto"/>
        <w:ind w:firstLine="720"/>
        <w:contextualSpacing/>
        <w:rPr>
          <w:rFonts w:ascii="Times New Roman" w:eastAsia="Times New Roman" w:hAnsi="Times New Roman" w:cs="Times New Roman"/>
          <w:bCs/>
        </w:rPr>
      </w:pPr>
    </w:p>
    <w:p w14:paraId="3FF5C583" w14:textId="77777777" w:rsidR="002C3154" w:rsidRPr="00451BDA" w:rsidRDefault="002C3154">
      <w:pPr>
        <w:shd w:val="clear" w:color="auto" w:fill="FFFFFF" w:themeFill="background1"/>
        <w:spacing w:line="240" w:lineRule="auto"/>
        <w:ind w:firstLine="720"/>
        <w:contextualSpacing/>
        <w:rPr>
          <w:rFonts w:ascii="Times New Roman" w:eastAsia="Times New Roman" w:hAnsi="Times New Roman" w:cs="Times New Roman"/>
          <w:bCs/>
        </w:rPr>
      </w:pPr>
    </w:p>
    <w:p w14:paraId="6B9AC064" w14:textId="77777777" w:rsidR="002C3154" w:rsidRPr="00451BDA" w:rsidRDefault="002C3154">
      <w:pPr>
        <w:shd w:val="clear" w:color="auto" w:fill="FFFFFF" w:themeFill="background1"/>
        <w:spacing w:line="240" w:lineRule="auto"/>
        <w:ind w:firstLine="720"/>
        <w:contextualSpacing/>
        <w:rPr>
          <w:rFonts w:ascii="Times New Roman" w:eastAsia="Times New Roman" w:hAnsi="Times New Roman" w:cs="Times New Roman"/>
          <w:bCs/>
        </w:rPr>
      </w:pPr>
    </w:p>
    <w:p w14:paraId="17594624" w14:textId="77777777" w:rsidR="002C3154" w:rsidRPr="00451BDA" w:rsidRDefault="002C3154">
      <w:pPr>
        <w:shd w:val="clear" w:color="auto" w:fill="FFFFFF" w:themeFill="background1"/>
        <w:spacing w:line="240" w:lineRule="auto"/>
        <w:ind w:firstLine="720"/>
        <w:contextualSpacing/>
        <w:rPr>
          <w:rFonts w:ascii="Times New Roman" w:eastAsia="Times New Roman" w:hAnsi="Times New Roman" w:cs="Times New Roman"/>
          <w:bCs/>
        </w:rPr>
      </w:pPr>
    </w:p>
    <w:p w14:paraId="17DFA933" w14:textId="77777777" w:rsidR="002C3154" w:rsidRPr="00451BDA" w:rsidRDefault="002C3154">
      <w:pPr>
        <w:shd w:val="clear" w:color="auto" w:fill="FFFFFF" w:themeFill="background1"/>
        <w:spacing w:line="240" w:lineRule="auto"/>
        <w:ind w:firstLine="720"/>
        <w:contextualSpacing/>
        <w:rPr>
          <w:rFonts w:ascii="Times New Roman" w:eastAsia="Times New Roman" w:hAnsi="Times New Roman" w:cs="Times New Roman"/>
          <w:bCs/>
        </w:rPr>
      </w:pPr>
    </w:p>
    <w:p w14:paraId="6F541954" w14:textId="77777777" w:rsidR="002C3154" w:rsidRPr="00451BDA" w:rsidRDefault="002C3154">
      <w:pPr>
        <w:shd w:val="clear" w:color="auto" w:fill="FFFFFF" w:themeFill="background1"/>
        <w:spacing w:line="240" w:lineRule="auto"/>
        <w:ind w:firstLine="720"/>
        <w:contextualSpacing/>
        <w:rPr>
          <w:rFonts w:ascii="Times New Roman" w:eastAsia="Times New Roman" w:hAnsi="Times New Roman" w:cs="Times New Roman"/>
          <w:bCs/>
        </w:rPr>
      </w:pPr>
    </w:p>
    <w:p w14:paraId="6645C2D0" w14:textId="77777777" w:rsidR="002C3154" w:rsidRPr="00451BDA" w:rsidRDefault="002C3154">
      <w:pPr>
        <w:shd w:val="clear" w:color="auto" w:fill="FFFFFF" w:themeFill="background1"/>
        <w:spacing w:line="240" w:lineRule="auto"/>
        <w:ind w:firstLine="720"/>
        <w:contextualSpacing/>
        <w:rPr>
          <w:rFonts w:ascii="Times New Roman" w:eastAsia="Times New Roman" w:hAnsi="Times New Roman" w:cs="Times New Roman"/>
          <w:bCs/>
        </w:rPr>
      </w:pPr>
    </w:p>
    <w:p w14:paraId="10DCA14E" w14:textId="77777777" w:rsidR="002C3154" w:rsidRPr="00451BDA" w:rsidRDefault="002C3154">
      <w:pPr>
        <w:shd w:val="clear" w:color="auto" w:fill="FFFFFF" w:themeFill="background1"/>
        <w:spacing w:line="240" w:lineRule="auto"/>
        <w:ind w:firstLine="720"/>
        <w:contextualSpacing/>
        <w:rPr>
          <w:rFonts w:ascii="Times New Roman" w:eastAsia="Times New Roman" w:hAnsi="Times New Roman" w:cs="Times New Roman"/>
          <w:bCs/>
        </w:rPr>
      </w:pPr>
    </w:p>
    <w:p w14:paraId="51587728" w14:textId="77777777" w:rsidR="002C3154" w:rsidRPr="00451BDA" w:rsidRDefault="002C3154">
      <w:pPr>
        <w:shd w:val="clear" w:color="auto" w:fill="FFFFFF" w:themeFill="background1"/>
        <w:spacing w:line="240" w:lineRule="auto"/>
        <w:ind w:firstLine="720"/>
        <w:contextualSpacing/>
        <w:rPr>
          <w:rFonts w:ascii="Times New Roman" w:eastAsia="Times New Roman" w:hAnsi="Times New Roman" w:cs="Times New Roman"/>
          <w:bCs/>
        </w:rPr>
      </w:pPr>
    </w:p>
    <w:p w14:paraId="33FDB910" w14:textId="77777777" w:rsidR="002C3154" w:rsidRPr="00451BDA" w:rsidRDefault="002C3154">
      <w:pPr>
        <w:shd w:val="clear" w:color="auto" w:fill="FFFFFF" w:themeFill="background1"/>
        <w:spacing w:line="240" w:lineRule="auto"/>
        <w:ind w:firstLine="720"/>
        <w:contextualSpacing/>
        <w:rPr>
          <w:rFonts w:ascii="Times New Roman" w:eastAsia="Times New Roman" w:hAnsi="Times New Roman" w:cs="Times New Roman"/>
          <w:bCs/>
        </w:rPr>
      </w:pPr>
    </w:p>
    <w:p w14:paraId="5F0B6E5F" w14:textId="77777777" w:rsidR="002C3154" w:rsidRPr="00451BDA" w:rsidRDefault="002C3154">
      <w:pPr>
        <w:shd w:val="clear" w:color="auto" w:fill="FFFFFF" w:themeFill="background1"/>
        <w:spacing w:line="240" w:lineRule="auto"/>
        <w:ind w:firstLine="720"/>
        <w:contextualSpacing/>
        <w:rPr>
          <w:rFonts w:ascii="Times New Roman" w:eastAsia="Times New Roman" w:hAnsi="Times New Roman" w:cs="Times New Roman"/>
          <w:bCs/>
        </w:rPr>
      </w:pPr>
    </w:p>
    <w:p w14:paraId="1D9DD0C3" w14:textId="77777777" w:rsidR="002C3154" w:rsidRPr="00451BDA" w:rsidRDefault="002C3154">
      <w:pPr>
        <w:shd w:val="clear" w:color="auto" w:fill="FFFFFF" w:themeFill="background1"/>
        <w:spacing w:line="240" w:lineRule="auto"/>
        <w:ind w:firstLine="720"/>
        <w:contextualSpacing/>
        <w:rPr>
          <w:rFonts w:ascii="Times New Roman" w:eastAsia="Times New Roman" w:hAnsi="Times New Roman" w:cs="Times New Roman"/>
          <w:bCs/>
        </w:rPr>
      </w:pPr>
    </w:p>
    <w:p w14:paraId="29F5D182" w14:textId="77777777" w:rsidR="002C3154" w:rsidRPr="00451BDA" w:rsidRDefault="002C3154">
      <w:pPr>
        <w:shd w:val="clear" w:color="auto" w:fill="FFFFFF" w:themeFill="background1"/>
        <w:spacing w:line="240" w:lineRule="auto"/>
        <w:ind w:firstLine="720"/>
        <w:contextualSpacing/>
        <w:rPr>
          <w:rFonts w:ascii="Times New Roman" w:eastAsia="Times New Roman" w:hAnsi="Times New Roman" w:cs="Times New Roman"/>
          <w:bCs/>
        </w:rPr>
      </w:pPr>
    </w:p>
    <w:p w14:paraId="1B9B3BCE" w14:textId="77777777" w:rsidR="002C3154" w:rsidRPr="00451BDA" w:rsidRDefault="002C3154">
      <w:pPr>
        <w:shd w:val="clear" w:color="auto" w:fill="FFFFFF" w:themeFill="background1"/>
        <w:spacing w:line="240" w:lineRule="auto"/>
        <w:ind w:firstLine="720"/>
        <w:contextualSpacing/>
        <w:rPr>
          <w:rFonts w:ascii="Times New Roman" w:eastAsia="Times New Roman" w:hAnsi="Times New Roman" w:cs="Times New Roman"/>
          <w:bCs/>
        </w:rPr>
      </w:pPr>
    </w:p>
    <w:p w14:paraId="3D2EB590" w14:textId="77777777" w:rsidR="002C3154" w:rsidRPr="00451BDA" w:rsidRDefault="002C3154">
      <w:pPr>
        <w:shd w:val="clear" w:color="auto" w:fill="FFFFFF" w:themeFill="background1"/>
        <w:spacing w:line="240" w:lineRule="auto"/>
        <w:ind w:firstLine="720"/>
        <w:contextualSpacing/>
        <w:rPr>
          <w:rFonts w:ascii="Times New Roman" w:eastAsia="Times New Roman" w:hAnsi="Times New Roman" w:cs="Times New Roman"/>
          <w:bCs/>
        </w:rPr>
      </w:pPr>
    </w:p>
    <w:p w14:paraId="2415F2C1" w14:textId="77777777" w:rsidR="002C3154" w:rsidRPr="00451BDA" w:rsidRDefault="002C3154">
      <w:pPr>
        <w:shd w:val="clear" w:color="auto" w:fill="FFFFFF" w:themeFill="background1"/>
        <w:spacing w:line="240" w:lineRule="auto"/>
        <w:ind w:firstLine="720"/>
        <w:contextualSpacing/>
        <w:rPr>
          <w:rFonts w:ascii="Times New Roman" w:eastAsia="Times New Roman" w:hAnsi="Times New Roman" w:cs="Times New Roman"/>
          <w:bCs/>
        </w:rPr>
      </w:pPr>
    </w:p>
    <w:p w14:paraId="41420F2E" w14:textId="77777777" w:rsidR="002C3154" w:rsidRPr="00451BDA" w:rsidRDefault="002C3154">
      <w:pPr>
        <w:shd w:val="clear" w:color="auto" w:fill="FFFFFF" w:themeFill="background1"/>
        <w:spacing w:line="240" w:lineRule="auto"/>
        <w:ind w:firstLine="720"/>
        <w:contextualSpacing/>
        <w:rPr>
          <w:rFonts w:ascii="Times New Roman" w:eastAsia="Times New Roman" w:hAnsi="Times New Roman" w:cs="Times New Roman"/>
          <w:bCs/>
        </w:rPr>
      </w:pPr>
    </w:p>
    <w:p w14:paraId="0F70628F" w14:textId="77777777" w:rsidR="002C3154" w:rsidRPr="00451BDA" w:rsidRDefault="002C3154">
      <w:pPr>
        <w:shd w:val="clear" w:color="auto" w:fill="FFFFFF" w:themeFill="background1"/>
        <w:spacing w:line="240" w:lineRule="auto"/>
        <w:ind w:firstLine="720"/>
        <w:contextualSpacing/>
        <w:rPr>
          <w:rFonts w:ascii="Times New Roman" w:eastAsia="Times New Roman" w:hAnsi="Times New Roman" w:cs="Times New Roman"/>
          <w:bCs/>
        </w:rPr>
      </w:pPr>
    </w:p>
    <w:p w14:paraId="3BB86503" w14:textId="77777777" w:rsidR="002C3154" w:rsidRPr="00451BDA" w:rsidRDefault="002C3154">
      <w:pPr>
        <w:shd w:val="clear" w:color="auto" w:fill="FFFFFF" w:themeFill="background1"/>
        <w:spacing w:line="240" w:lineRule="auto"/>
        <w:ind w:firstLine="720"/>
        <w:contextualSpacing/>
        <w:rPr>
          <w:rFonts w:ascii="Times New Roman" w:eastAsia="Times New Roman" w:hAnsi="Times New Roman" w:cs="Times New Roman"/>
          <w:bCs/>
        </w:rPr>
      </w:pPr>
    </w:p>
    <w:p w14:paraId="4AFE559D" w14:textId="77777777" w:rsidR="002C3154" w:rsidRPr="00451BDA" w:rsidRDefault="002C3154">
      <w:pPr>
        <w:shd w:val="clear" w:color="auto" w:fill="FFFFFF" w:themeFill="background1"/>
        <w:spacing w:line="240" w:lineRule="auto"/>
        <w:ind w:firstLine="720"/>
        <w:contextualSpacing/>
        <w:rPr>
          <w:rFonts w:ascii="Times New Roman" w:eastAsia="Times New Roman" w:hAnsi="Times New Roman" w:cs="Times New Roman"/>
          <w:bCs/>
        </w:rPr>
      </w:pPr>
    </w:p>
    <w:p w14:paraId="6FA6B994" w14:textId="77777777" w:rsidR="002C3154" w:rsidRPr="00451BDA" w:rsidRDefault="002C3154">
      <w:pPr>
        <w:shd w:val="clear" w:color="auto" w:fill="FFFFFF" w:themeFill="background1"/>
        <w:spacing w:line="240" w:lineRule="auto"/>
        <w:ind w:firstLine="720"/>
        <w:contextualSpacing/>
        <w:rPr>
          <w:rFonts w:ascii="Times New Roman" w:eastAsia="Times New Roman" w:hAnsi="Times New Roman" w:cs="Times New Roman"/>
          <w:bCs/>
        </w:rPr>
      </w:pPr>
    </w:p>
    <w:p w14:paraId="74F02F2F" w14:textId="77777777" w:rsidR="002C3154" w:rsidRPr="00451BDA" w:rsidRDefault="002C3154">
      <w:pPr>
        <w:shd w:val="clear" w:color="auto" w:fill="FFFFFF" w:themeFill="background1"/>
        <w:spacing w:line="240" w:lineRule="auto"/>
        <w:ind w:firstLine="720"/>
        <w:contextualSpacing/>
        <w:rPr>
          <w:rFonts w:ascii="Times New Roman" w:eastAsia="Times New Roman" w:hAnsi="Times New Roman" w:cs="Times New Roman"/>
          <w:bCs/>
        </w:rPr>
      </w:pPr>
    </w:p>
    <w:p w14:paraId="2093ECBF" w14:textId="77777777" w:rsidR="002C3154" w:rsidRPr="00451BDA" w:rsidRDefault="002C3154">
      <w:pPr>
        <w:shd w:val="clear" w:color="auto" w:fill="FFFFFF" w:themeFill="background1"/>
        <w:spacing w:line="240" w:lineRule="auto"/>
        <w:ind w:firstLine="720"/>
        <w:contextualSpacing/>
        <w:rPr>
          <w:rFonts w:ascii="Times New Roman" w:eastAsia="Times New Roman" w:hAnsi="Times New Roman" w:cs="Times New Roman"/>
          <w:bCs/>
        </w:rPr>
      </w:pPr>
    </w:p>
    <w:p w14:paraId="78BA2615" w14:textId="77777777" w:rsidR="002C3154" w:rsidRPr="00451BDA" w:rsidRDefault="002C3154">
      <w:pPr>
        <w:shd w:val="clear" w:color="auto" w:fill="FFFFFF" w:themeFill="background1"/>
        <w:spacing w:line="240" w:lineRule="auto"/>
        <w:ind w:firstLine="720"/>
        <w:contextualSpacing/>
        <w:rPr>
          <w:rFonts w:ascii="Times New Roman" w:eastAsia="Times New Roman" w:hAnsi="Times New Roman" w:cs="Times New Roman"/>
          <w:bCs/>
        </w:rPr>
      </w:pPr>
    </w:p>
    <w:p w14:paraId="684ADDB6" w14:textId="77777777" w:rsidR="002C3154" w:rsidRPr="00451BDA" w:rsidRDefault="002C3154">
      <w:pPr>
        <w:shd w:val="clear" w:color="auto" w:fill="FFFFFF" w:themeFill="background1"/>
        <w:spacing w:line="240" w:lineRule="auto"/>
        <w:ind w:firstLine="720"/>
        <w:contextualSpacing/>
        <w:rPr>
          <w:rFonts w:ascii="Times New Roman" w:eastAsia="Times New Roman" w:hAnsi="Times New Roman" w:cs="Times New Roman"/>
          <w:bCs/>
        </w:rPr>
      </w:pPr>
    </w:p>
    <w:p w14:paraId="7C79C0B1" w14:textId="77777777" w:rsidR="002C3154" w:rsidRPr="00451BDA" w:rsidRDefault="002C3154">
      <w:pPr>
        <w:shd w:val="clear" w:color="auto" w:fill="FFFFFF" w:themeFill="background1"/>
        <w:spacing w:line="240" w:lineRule="auto"/>
        <w:ind w:firstLine="720"/>
        <w:contextualSpacing/>
        <w:rPr>
          <w:rFonts w:ascii="Times New Roman" w:eastAsia="Times New Roman" w:hAnsi="Times New Roman" w:cs="Times New Roman"/>
          <w:bCs/>
        </w:rPr>
      </w:pPr>
    </w:p>
    <w:p w14:paraId="357DEB9D" w14:textId="77777777" w:rsidR="002C3154" w:rsidRPr="00451BDA" w:rsidRDefault="002C3154">
      <w:pPr>
        <w:shd w:val="clear" w:color="auto" w:fill="FFFFFF" w:themeFill="background1"/>
        <w:spacing w:line="240" w:lineRule="auto"/>
        <w:ind w:firstLine="720"/>
        <w:contextualSpacing/>
        <w:rPr>
          <w:rFonts w:ascii="Times New Roman" w:eastAsia="Times New Roman" w:hAnsi="Times New Roman" w:cs="Times New Roman"/>
          <w:bCs/>
        </w:rPr>
      </w:pPr>
    </w:p>
    <w:p w14:paraId="2692021D" w14:textId="77777777" w:rsidR="002C3154" w:rsidRPr="00451BDA" w:rsidRDefault="002C3154">
      <w:pPr>
        <w:shd w:val="clear" w:color="auto" w:fill="FFFFFF" w:themeFill="background1"/>
        <w:spacing w:line="240" w:lineRule="auto"/>
        <w:ind w:firstLine="720"/>
        <w:contextualSpacing/>
        <w:rPr>
          <w:rFonts w:ascii="Times New Roman" w:eastAsia="Times New Roman" w:hAnsi="Times New Roman" w:cs="Times New Roman"/>
          <w:bCs/>
        </w:rPr>
      </w:pPr>
    </w:p>
    <w:p w14:paraId="0BDBFEFA" w14:textId="77777777" w:rsidR="002C3154" w:rsidRPr="00451BDA" w:rsidRDefault="002C3154">
      <w:pPr>
        <w:shd w:val="clear" w:color="auto" w:fill="FFFFFF" w:themeFill="background1"/>
        <w:spacing w:line="240" w:lineRule="auto"/>
        <w:ind w:firstLine="720"/>
        <w:contextualSpacing/>
        <w:rPr>
          <w:rFonts w:ascii="Times New Roman" w:eastAsia="Times New Roman" w:hAnsi="Times New Roman" w:cs="Times New Roman"/>
          <w:bCs/>
        </w:rPr>
      </w:pPr>
    </w:p>
    <w:p w14:paraId="2DFB60AF" w14:textId="77777777" w:rsidR="002C3154" w:rsidRPr="00451BDA" w:rsidRDefault="002C3154">
      <w:pPr>
        <w:shd w:val="clear" w:color="auto" w:fill="FFFFFF" w:themeFill="background1"/>
        <w:spacing w:line="240" w:lineRule="auto"/>
        <w:ind w:firstLine="720"/>
        <w:contextualSpacing/>
        <w:rPr>
          <w:rFonts w:ascii="Times New Roman" w:eastAsia="Times New Roman" w:hAnsi="Times New Roman" w:cs="Times New Roman"/>
          <w:bCs/>
        </w:rPr>
      </w:pPr>
    </w:p>
    <w:p w14:paraId="13007678" w14:textId="77777777" w:rsidR="002C3154" w:rsidRPr="00451BDA" w:rsidRDefault="002C3154">
      <w:pPr>
        <w:shd w:val="clear" w:color="auto" w:fill="FFFFFF" w:themeFill="background1"/>
        <w:spacing w:line="240" w:lineRule="auto"/>
        <w:ind w:firstLine="720"/>
        <w:contextualSpacing/>
        <w:rPr>
          <w:rFonts w:ascii="Times New Roman" w:eastAsia="Times New Roman" w:hAnsi="Times New Roman" w:cs="Times New Roman"/>
          <w:bCs/>
        </w:rPr>
      </w:pPr>
    </w:p>
    <w:p w14:paraId="536CB1E3" w14:textId="77777777" w:rsidR="002C3154" w:rsidRPr="00451BDA" w:rsidRDefault="002C3154">
      <w:pPr>
        <w:shd w:val="clear" w:color="auto" w:fill="FFFFFF" w:themeFill="background1"/>
        <w:spacing w:line="240" w:lineRule="auto"/>
        <w:ind w:firstLine="720"/>
        <w:contextualSpacing/>
        <w:rPr>
          <w:rFonts w:ascii="Times New Roman" w:eastAsia="Times New Roman" w:hAnsi="Times New Roman" w:cs="Times New Roman"/>
          <w:bCs/>
        </w:rPr>
      </w:pPr>
    </w:p>
    <w:p w14:paraId="3E1A00E1" w14:textId="77777777" w:rsidR="002C3154" w:rsidRPr="00451BDA" w:rsidRDefault="002C3154">
      <w:pPr>
        <w:shd w:val="clear" w:color="auto" w:fill="FFFFFF" w:themeFill="background1"/>
        <w:spacing w:line="240" w:lineRule="auto"/>
        <w:ind w:firstLine="720"/>
        <w:contextualSpacing/>
        <w:rPr>
          <w:rFonts w:ascii="Times New Roman" w:eastAsia="Times New Roman" w:hAnsi="Times New Roman" w:cs="Times New Roman"/>
          <w:bCs/>
        </w:rPr>
      </w:pPr>
    </w:p>
    <w:p w14:paraId="584E5453" w14:textId="77777777" w:rsidR="002C3154" w:rsidRPr="00451BDA" w:rsidRDefault="002C3154">
      <w:pPr>
        <w:shd w:val="clear" w:color="auto" w:fill="FFFFFF" w:themeFill="background1"/>
        <w:spacing w:line="240" w:lineRule="auto"/>
        <w:ind w:firstLine="720"/>
        <w:contextualSpacing/>
        <w:rPr>
          <w:rFonts w:ascii="Times New Roman" w:eastAsia="Times New Roman" w:hAnsi="Times New Roman" w:cs="Times New Roman"/>
          <w:bCs/>
        </w:rPr>
      </w:pPr>
    </w:p>
    <w:p w14:paraId="0CD89720" w14:textId="77777777" w:rsidR="002C3154" w:rsidRPr="00451BDA" w:rsidRDefault="002C3154">
      <w:pPr>
        <w:shd w:val="clear" w:color="auto" w:fill="FFFFFF" w:themeFill="background1"/>
        <w:spacing w:line="240" w:lineRule="auto"/>
        <w:ind w:firstLine="720"/>
        <w:contextualSpacing/>
        <w:rPr>
          <w:rFonts w:ascii="Times New Roman" w:eastAsia="Times New Roman" w:hAnsi="Times New Roman" w:cs="Times New Roman"/>
          <w:bCs/>
        </w:rPr>
      </w:pPr>
    </w:p>
    <w:p w14:paraId="312579BB" w14:textId="77777777" w:rsidR="002C3154" w:rsidRPr="00451BDA" w:rsidRDefault="002C3154">
      <w:pPr>
        <w:shd w:val="clear" w:color="auto" w:fill="FFFFFF" w:themeFill="background1"/>
        <w:spacing w:line="240" w:lineRule="auto"/>
        <w:ind w:firstLine="720"/>
        <w:contextualSpacing/>
        <w:rPr>
          <w:rFonts w:ascii="Times New Roman" w:eastAsia="Times New Roman" w:hAnsi="Times New Roman" w:cs="Times New Roman"/>
          <w:bCs/>
        </w:rPr>
      </w:pPr>
    </w:p>
    <w:p w14:paraId="0D4F761C" w14:textId="77777777" w:rsidR="002C3154" w:rsidRPr="00451BDA" w:rsidRDefault="002C3154">
      <w:pPr>
        <w:shd w:val="clear" w:color="auto" w:fill="FFFFFF" w:themeFill="background1"/>
        <w:spacing w:line="240" w:lineRule="auto"/>
        <w:ind w:firstLine="720"/>
        <w:contextualSpacing/>
        <w:rPr>
          <w:rFonts w:ascii="Times New Roman" w:eastAsia="Times New Roman" w:hAnsi="Times New Roman" w:cs="Times New Roman"/>
          <w:bCs/>
        </w:rPr>
      </w:pPr>
    </w:p>
    <w:p w14:paraId="1FAD9B62" w14:textId="77777777" w:rsidR="002C3154" w:rsidRPr="00451BDA" w:rsidRDefault="002C3154" w:rsidP="002C3154">
      <w:pPr>
        <w:pStyle w:val="Heading1"/>
        <w:shd w:val="clear" w:color="auto" w:fill="FFFFFF" w:themeFill="background1"/>
        <w:contextualSpacing/>
        <w:rPr>
          <w:bCs w:val="0"/>
          <w:sz w:val="22"/>
          <w:szCs w:val="22"/>
        </w:rPr>
      </w:pPr>
      <w:r w:rsidRPr="00451BDA">
        <w:rPr>
          <w:bCs w:val="0"/>
          <w:sz w:val="22"/>
          <w:szCs w:val="22"/>
        </w:rPr>
        <w:t>References</w:t>
      </w:r>
    </w:p>
    <w:p w14:paraId="622EB5D2" w14:textId="77777777" w:rsidR="002C3154" w:rsidRPr="00451BDA" w:rsidRDefault="002C3154" w:rsidP="002C3154">
      <w:pPr>
        <w:shd w:val="clear" w:color="auto" w:fill="FFFFFF" w:themeFill="background1"/>
        <w:spacing w:after="0" w:line="240" w:lineRule="auto"/>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Abdi, H. (2003), </w:t>
      </w:r>
      <w:proofErr w:type="gramStart"/>
      <w:r w:rsidRPr="00451BDA">
        <w:rPr>
          <w:rFonts w:ascii="Times New Roman" w:eastAsia="Times New Roman" w:hAnsi="Times New Roman" w:cs="Times New Roman"/>
          <w:bCs/>
        </w:rPr>
        <w:t xml:space="preserve">“ </w:t>
      </w:r>
      <w:r w:rsidRPr="00451BDA">
        <w:rPr>
          <w:rFonts w:ascii="Times New Roman" w:eastAsia="Times New Roman" w:hAnsi="Times New Roman" w:cs="Times New Roman"/>
          <w:bCs/>
          <w:i/>
        </w:rPr>
        <w:t>Factor</w:t>
      </w:r>
      <w:proofErr w:type="gramEnd"/>
      <w:r w:rsidRPr="00451BDA">
        <w:rPr>
          <w:rFonts w:ascii="Times New Roman" w:eastAsia="Times New Roman" w:hAnsi="Times New Roman" w:cs="Times New Roman"/>
          <w:bCs/>
          <w:i/>
        </w:rPr>
        <w:t xml:space="preserve"> rotations in factor analysis”</w:t>
      </w:r>
      <w:r w:rsidRPr="00451BDA">
        <w:rPr>
          <w:rFonts w:ascii="Times New Roman" w:eastAsia="Times New Roman" w:hAnsi="Times New Roman" w:cs="Times New Roman"/>
          <w:bCs/>
        </w:rPr>
        <w:t xml:space="preserve">. In Lewis-Beck M., Bryman, A., </w:t>
      </w:r>
      <w:proofErr w:type="spellStart"/>
      <w:r w:rsidRPr="00451BDA">
        <w:rPr>
          <w:rFonts w:ascii="Times New Roman" w:eastAsia="Times New Roman" w:hAnsi="Times New Roman" w:cs="Times New Roman"/>
          <w:bCs/>
        </w:rPr>
        <w:t>Futing</w:t>
      </w:r>
      <w:proofErr w:type="spellEnd"/>
      <w:r w:rsidRPr="00451BDA">
        <w:rPr>
          <w:rFonts w:ascii="Times New Roman" w:eastAsia="Times New Roman" w:hAnsi="Times New Roman" w:cs="Times New Roman"/>
          <w:bCs/>
        </w:rPr>
        <w:t xml:space="preserve"> </w:t>
      </w:r>
    </w:p>
    <w:p w14:paraId="35023479" w14:textId="77777777" w:rsidR="002C3154" w:rsidRPr="00451BDA" w:rsidRDefault="002C3154" w:rsidP="002C3154">
      <w:pPr>
        <w:shd w:val="clear" w:color="auto" w:fill="FFFFFF" w:themeFill="background1"/>
        <w:spacing w:after="0" w:line="240" w:lineRule="auto"/>
        <w:ind w:left="720"/>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T. (Eds.), </w:t>
      </w:r>
      <w:r w:rsidRPr="00451BDA">
        <w:rPr>
          <w:rFonts w:ascii="Times New Roman" w:eastAsia="Times New Roman" w:hAnsi="Times New Roman" w:cs="Times New Roman"/>
          <w:bCs/>
          <w:iCs/>
        </w:rPr>
        <w:t>Encyclopedia of Social Sciences Research Methods.</w:t>
      </w:r>
      <w:r w:rsidRPr="00451BDA">
        <w:rPr>
          <w:rFonts w:ascii="Times New Roman" w:eastAsia="Times New Roman" w:hAnsi="Times New Roman" w:cs="Times New Roman"/>
          <w:bCs/>
        </w:rPr>
        <w:t xml:space="preserve"> Thousand Oaks (CA): Sage. </w:t>
      </w:r>
    </w:p>
    <w:p w14:paraId="30A3D11D" w14:textId="77777777" w:rsidR="002C3154" w:rsidRPr="00451BDA" w:rsidRDefault="002C3154" w:rsidP="002C3154">
      <w:pPr>
        <w:shd w:val="clear" w:color="auto" w:fill="FFFFFF" w:themeFill="background1"/>
        <w:spacing w:after="0" w:line="240" w:lineRule="auto"/>
        <w:contextualSpacing/>
        <w:rPr>
          <w:rFonts w:ascii="Times New Roman" w:eastAsia="Times New Roman" w:hAnsi="Times New Roman" w:cs="Times New Roman"/>
          <w:bCs/>
        </w:rPr>
      </w:pPr>
      <w:proofErr w:type="spellStart"/>
      <w:r w:rsidRPr="00451BDA">
        <w:rPr>
          <w:rFonts w:ascii="Times New Roman" w:eastAsia="Times New Roman" w:hAnsi="Times New Roman" w:cs="Times New Roman"/>
          <w:bCs/>
        </w:rPr>
        <w:t>Akinbod</w:t>
      </w:r>
      <w:proofErr w:type="spellEnd"/>
      <w:r w:rsidRPr="00451BDA">
        <w:rPr>
          <w:rFonts w:ascii="Times New Roman" w:eastAsia="Times New Roman" w:hAnsi="Times New Roman" w:cs="Times New Roman"/>
          <w:bCs/>
        </w:rPr>
        <w:t>, A.I. Said, R.A.S and Adesina, M. (2017</w:t>
      </w:r>
      <w:proofErr w:type="gramStart"/>
      <w:r w:rsidRPr="00451BDA">
        <w:rPr>
          <w:rFonts w:ascii="Times New Roman" w:eastAsia="Times New Roman" w:hAnsi="Times New Roman" w:cs="Times New Roman"/>
          <w:bCs/>
        </w:rPr>
        <w:t>),“</w:t>
      </w:r>
      <w:proofErr w:type="gramEnd"/>
      <w:r w:rsidRPr="00451BDA">
        <w:rPr>
          <w:rFonts w:ascii="Times New Roman" w:eastAsia="Times New Roman" w:hAnsi="Times New Roman" w:cs="Times New Roman"/>
          <w:bCs/>
        </w:rPr>
        <w:t xml:space="preserve">Internationalization of higher education: </w:t>
      </w:r>
    </w:p>
    <w:p w14:paraId="179A0022" w14:textId="77777777" w:rsidR="002C3154" w:rsidRPr="00451BDA" w:rsidRDefault="002C3154" w:rsidP="002C3154">
      <w:pPr>
        <w:shd w:val="clear" w:color="auto" w:fill="FFFFFF" w:themeFill="background1"/>
        <w:spacing w:after="0" w:line="240" w:lineRule="auto"/>
        <w:ind w:left="720"/>
        <w:contextualSpacing/>
        <w:rPr>
          <w:rFonts w:ascii="Times New Roman" w:hAnsi="Times New Roman" w:cs="Times New Roman"/>
          <w:bCs/>
        </w:rPr>
      </w:pPr>
      <w:r w:rsidRPr="00451BDA">
        <w:rPr>
          <w:rFonts w:ascii="Times New Roman" w:eastAsia="Times New Roman" w:hAnsi="Times New Roman" w:cs="Times New Roman"/>
          <w:bCs/>
        </w:rPr>
        <w:t xml:space="preserve">The pros and cons”. In: </w:t>
      </w:r>
      <w:r w:rsidRPr="00451BDA">
        <w:rPr>
          <w:rFonts w:ascii="Times New Roman" w:eastAsia="Times New Roman" w:hAnsi="Times New Roman" w:cs="Times New Roman"/>
          <w:bCs/>
          <w:i/>
        </w:rPr>
        <w:t>Social Sciences Postgraduate International Seminar (SSPIS). School of Social Sciences</w:t>
      </w:r>
      <w:r w:rsidRPr="00451BDA">
        <w:rPr>
          <w:rFonts w:ascii="Times New Roman" w:eastAsia="Times New Roman" w:hAnsi="Times New Roman" w:cs="Times New Roman"/>
          <w:bCs/>
        </w:rPr>
        <w:t xml:space="preserve">, USM, </w:t>
      </w:r>
      <w:proofErr w:type="spellStart"/>
      <w:r w:rsidRPr="00451BDA">
        <w:rPr>
          <w:rFonts w:ascii="Times New Roman" w:eastAsia="Times New Roman" w:hAnsi="Times New Roman" w:cs="Times New Roman"/>
          <w:bCs/>
        </w:rPr>
        <w:t>Pulau</w:t>
      </w:r>
      <w:proofErr w:type="spellEnd"/>
      <w:r w:rsidRPr="00451BDA">
        <w:rPr>
          <w:rFonts w:ascii="Times New Roman" w:eastAsia="Times New Roman" w:hAnsi="Times New Roman" w:cs="Times New Roman"/>
          <w:bCs/>
        </w:rPr>
        <w:t xml:space="preserve"> Pinang, Malaysia. Pp. 791-795. Available at: </w:t>
      </w:r>
      <w:hyperlink r:id="rId9">
        <w:r w:rsidRPr="00451BDA">
          <w:rPr>
            <w:rFonts w:ascii="Times New Roman" w:eastAsia="Times New Roman" w:hAnsi="Times New Roman" w:cs="Times New Roman"/>
            <w:bCs/>
            <w:u w:val="single"/>
          </w:rPr>
          <w:t>http://eprints.usm.my/41227/1/ART_108.pdf</w:t>
        </w:r>
      </w:hyperlink>
      <w:r w:rsidRPr="00451BDA">
        <w:rPr>
          <w:rFonts w:ascii="Times New Roman" w:eastAsia="Times New Roman" w:hAnsi="Times New Roman" w:cs="Times New Roman"/>
          <w:bCs/>
        </w:rPr>
        <w:t xml:space="preserve"> .</w:t>
      </w:r>
    </w:p>
    <w:p w14:paraId="0A03CD7B" w14:textId="77777777" w:rsidR="002C3154" w:rsidRPr="00451BDA" w:rsidRDefault="002C3154" w:rsidP="002C3154">
      <w:pPr>
        <w:pStyle w:val="Heading3"/>
        <w:shd w:val="clear" w:color="auto" w:fill="FFFFFF" w:themeFill="background1"/>
        <w:spacing w:before="0" w:line="240" w:lineRule="auto"/>
        <w:contextualSpacing/>
        <w:rPr>
          <w:rFonts w:ascii="Times New Roman" w:eastAsia="Times New Roman" w:hAnsi="Times New Roman" w:cs="Times New Roman"/>
          <w:bCs/>
          <w:color w:val="auto"/>
          <w:sz w:val="22"/>
          <w:szCs w:val="22"/>
        </w:rPr>
      </w:pPr>
      <w:proofErr w:type="spellStart"/>
      <w:r w:rsidRPr="00451BDA">
        <w:rPr>
          <w:rFonts w:ascii="Times New Roman" w:eastAsia="Times New Roman" w:hAnsi="Times New Roman" w:cs="Times New Roman"/>
          <w:bCs/>
          <w:color w:val="auto"/>
          <w:sz w:val="22"/>
          <w:szCs w:val="22"/>
        </w:rPr>
        <w:lastRenderedPageBreak/>
        <w:t>Altbach</w:t>
      </w:r>
      <w:proofErr w:type="spellEnd"/>
      <w:r w:rsidRPr="00451BDA">
        <w:rPr>
          <w:rFonts w:ascii="Times New Roman" w:eastAsia="Times New Roman" w:hAnsi="Times New Roman" w:cs="Times New Roman"/>
          <w:bCs/>
          <w:color w:val="auto"/>
          <w:sz w:val="22"/>
          <w:szCs w:val="22"/>
        </w:rPr>
        <w:t xml:space="preserve">, P. G. and Knight, J. (2007), “The internationalization of higher education: motivations </w:t>
      </w:r>
    </w:p>
    <w:p w14:paraId="4EEE92D7" w14:textId="77777777" w:rsidR="002C3154" w:rsidRPr="00451BDA" w:rsidRDefault="002C3154" w:rsidP="002C3154">
      <w:pPr>
        <w:pStyle w:val="Heading3"/>
        <w:shd w:val="clear" w:color="auto" w:fill="FFFFFF" w:themeFill="background1"/>
        <w:spacing w:before="0" w:line="240" w:lineRule="auto"/>
        <w:ind w:left="720"/>
        <w:contextualSpacing/>
        <w:rPr>
          <w:rFonts w:ascii="Times New Roman" w:eastAsia="Times New Roman" w:hAnsi="Times New Roman" w:cs="Times New Roman"/>
          <w:bCs/>
          <w:color w:val="auto"/>
          <w:sz w:val="22"/>
          <w:szCs w:val="22"/>
        </w:rPr>
      </w:pPr>
      <w:r w:rsidRPr="00451BDA">
        <w:rPr>
          <w:rFonts w:ascii="Times New Roman" w:eastAsia="Times New Roman" w:hAnsi="Times New Roman" w:cs="Times New Roman"/>
          <w:bCs/>
          <w:color w:val="auto"/>
          <w:sz w:val="22"/>
          <w:szCs w:val="22"/>
        </w:rPr>
        <w:t xml:space="preserve">and Realities”. </w:t>
      </w:r>
      <w:r w:rsidRPr="00451BDA">
        <w:rPr>
          <w:rFonts w:ascii="Times New Roman" w:eastAsia="Times New Roman" w:hAnsi="Times New Roman" w:cs="Times New Roman"/>
          <w:bCs/>
          <w:i/>
          <w:color w:val="auto"/>
          <w:sz w:val="22"/>
          <w:szCs w:val="22"/>
        </w:rPr>
        <w:t>Journal of Studies in International Education, Vol. 11</w:t>
      </w:r>
      <w:r w:rsidRPr="00451BDA">
        <w:rPr>
          <w:rFonts w:ascii="Times New Roman" w:eastAsia="Times New Roman" w:hAnsi="Times New Roman" w:cs="Times New Roman"/>
          <w:bCs/>
          <w:color w:val="auto"/>
          <w:sz w:val="22"/>
          <w:szCs w:val="22"/>
        </w:rPr>
        <w:t>(No. 3-4): pp. 290-305.DOI: 10.1177%2F1028315307303542.</w:t>
      </w:r>
    </w:p>
    <w:p w14:paraId="318433EC" w14:textId="77777777" w:rsidR="002C3154" w:rsidRPr="00451BDA" w:rsidRDefault="002C3154" w:rsidP="002C3154">
      <w:pPr>
        <w:pStyle w:val="Heading3"/>
        <w:shd w:val="clear" w:color="auto" w:fill="FFFFFF" w:themeFill="background1"/>
        <w:spacing w:before="0" w:line="240" w:lineRule="auto"/>
        <w:contextualSpacing/>
        <w:rPr>
          <w:rFonts w:ascii="Times New Roman" w:eastAsia="Times New Roman" w:hAnsi="Times New Roman" w:cs="Times New Roman"/>
          <w:bCs/>
          <w:color w:val="auto"/>
          <w:sz w:val="22"/>
          <w:szCs w:val="22"/>
        </w:rPr>
      </w:pPr>
      <w:proofErr w:type="spellStart"/>
      <w:r w:rsidRPr="00451BDA">
        <w:rPr>
          <w:rFonts w:ascii="Times New Roman" w:hAnsi="Times New Roman" w:cs="Times New Roman"/>
          <w:bCs/>
          <w:color w:val="auto"/>
          <w:sz w:val="22"/>
          <w:szCs w:val="22"/>
        </w:rPr>
        <w:t>Altbach</w:t>
      </w:r>
      <w:proofErr w:type="spellEnd"/>
      <w:r w:rsidRPr="00451BDA">
        <w:rPr>
          <w:rFonts w:ascii="Times New Roman" w:hAnsi="Times New Roman" w:cs="Times New Roman"/>
          <w:bCs/>
          <w:color w:val="auto"/>
          <w:sz w:val="22"/>
          <w:szCs w:val="22"/>
        </w:rPr>
        <w:t xml:space="preserve">, P.G and De Wit, H. (2018), </w:t>
      </w:r>
      <w:proofErr w:type="gramStart"/>
      <w:r w:rsidRPr="00451BDA">
        <w:rPr>
          <w:rFonts w:ascii="Times New Roman" w:hAnsi="Times New Roman" w:cs="Times New Roman"/>
          <w:bCs/>
          <w:color w:val="auto"/>
          <w:sz w:val="22"/>
          <w:szCs w:val="22"/>
        </w:rPr>
        <w:t xml:space="preserve">“ </w:t>
      </w:r>
      <w:r w:rsidRPr="00451BDA">
        <w:rPr>
          <w:rFonts w:ascii="Times New Roman" w:eastAsia="Times New Roman" w:hAnsi="Times New Roman" w:cs="Times New Roman"/>
          <w:bCs/>
          <w:color w:val="auto"/>
          <w:sz w:val="22"/>
          <w:szCs w:val="22"/>
        </w:rPr>
        <w:t>Are</w:t>
      </w:r>
      <w:proofErr w:type="gramEnd"/>
      <w:r w:rsidRPr="00451BDA">
        <w:rPr>
          <w:rFonts w:ascii="Times New Roman" w:eastAsia="Times New Roman" w:hAnsi="Times New Roman" w:cs="Times New Roman"/>
          <w:bCs/>
          <w:color w:val="auto"/>
          <w:sz w:val="22"/>
          <w:szCs w:val="22"/>
        </w:rPr>
        <w:t xml:space="preserve"> we facing a fundamental challenge to higher </w:t>
      </w:r>
    </w:p>
    <w:p w14:paraId="37C8BB34" w14:textId="77777777" w:rsidR="002C3154" w:rsidRPr="00451BDA" w:rsidRDefault="002C3154" w:rsidP="002C3154">
      <w:pPr>
        <w:pStyle w:val="Heading3"/>
        <w:shd w:val="clear" w:color="auto" w:fill="FFFFFF" w:themeFill="background1"/>
        <w:spacing w:before="0" w:line="240" w:lineRule="auto"/>
        <w:ind w:firstLine="720"/>
        <w:contextualSpacing/>
        <w:rPr>
          <w:rFonts w:ascii="Times New Roman" w:eastAsia="Times New Roman" w:hAnsi="Times New Roman" w:cs="Times New Roman"/>
          <w:bCs/>
          <w:color w:val="auto"/>
          <w:sz w:val="22"/>
          <w:szCs w:val="22"/>
        </w:rPr>
      </w:pPr>
      <w:r w:rsidRPr="00451BDA">
        <w:rPr>
          <w:rFonts w:ascii="Times New Roman" w:eastAsia="Times New Roman" w:hAnsi="Times New Roman" w:cs="Times New Roman"/>
          <w:bCs/>
          <w:color w:val="auto"/>
          <w:sz w:val="22"/>
          <w:szCs w:val="22"/>
        </w:rPr>
        <w:t xml:space="preserve">education internationalization?” </w:t>
      </w:r>
      <w:r w:rsidRPr="00451BDA">
        <w:rPr>
          <w:rFonts w:ascii="Times New Roman" w:eastAsia="Times New Roman" w:hAnsi="Times New Roman" w:cs="Times New Roman"/>
          <w:bCs/>
          <w:i/>
          <w:color w:val="auto"/>
          <w:sz w:val="22"/>
          <w:szCs w:val="22"/>
        </w:rPr>
        <w:t>International Higher Education</w:t>
      </w:r>
      <w:r w:rsidRPr="00451BDA">
        <w:rPr>
          <w:rFonts w:ascii="Times New Roman" w:eastAsia="Times New Roman" w:hAnsi="Times New Roman" w:cs="Times New Roman"/>
          <w:bCs/>
          <w:color w:val="auto"/>
          <w:sz w:val="22"/>
          <w:szCs w:val="22"/>
        </w:rPr>
        <w:t xml:space="preserve"> Vol. 9. No. 3. pp. 2-4. </w:t>
      </w:r>
    </w:p>
    <w:p w14:paraId="03711837" w14:textId="24B9F93A" w:rsidR="002C3154" w:rsidRPr="00451BDA" w:rsidRDefault="002C3154" w:rsidP="002C3154">
      <w:pPr>
        <w:pStyle w:val="Heading3"/>
        <w:shd w:val="clear" w:color="auto" w:fill="FFFFFF" w:themeFill="background1"/>
        <w:spacing w:before="300" w:after="825" w:line="240" w:lineRule="auto"/>
        <w:contextualSpacing/>
        <w:rPr>
          <w:rFonts w:ascii="Times New Roman" w:eastAsia="Times New Roman" w:hAnsi="Times New Roman" w:cs="Times New Roman"/>
          <w:bCs/>
          <w:color w:val="auto"/>
          <w:sz w:val="22"/>
          <w:szCs w:val="22"/>
        </w:rPr>
      </w:pPr>
      <w:r w:rsidRPr="00451BDA">
        <w:rPr>
          <w:rFonts w:ascii="Times New Roman" w:eastAsia="Times New Roman" w:hAnsi="Times New Roman" w:cs="Times New Roman"/>
          <w:bCs/>
          <w:color w:val="auto"/>
          <w:sz w:val="22"/>
          <w:szCs w:val="22"/>
        </w:rPr>
        <w:t>American Council on Education. (2023)</w:t>
      </w:r>
      <w:proofErr w:type="gramStart"/>
      <w:r w:rsidRPr="00451BDA">
        <w:rPr>
          <w:rFonts w:ascii="Times New Roman" w:eastAsia="Times New Roman" w:hAnsi="Times New Roman" w:cs="Times New Roman"/>
          <w:bCs/>
          <w:color w:val="auto"/>
          <w:sz w:val="22"/>
          <w:szCs w:val="22"/>
        </w:rPr>
        <w:t>,”</w:t>
      </w:r>
      <w:r w:rsidRPr="00451BDA">
        <w:rPr>
          <w:rFonts w:ascii="Times New Roman" w:eastAsia="Times New Roman" w:hAnsi="Times New Roman" w:cs="Times New Roman"/>
          <w:bCs/>
          <w:i/>
          <w:color w:val="auto"/>
          <w:sz w:val="22"/>
          <w:szCs w:val="22"/>
        </w:rPr>
        <w:t>What</w:t>
      </w:r>
      <w:proofErr w:type="gramEnd"/>
      <w:r w:rsidRPr="00451BDA">
        <w:rPr>
          <w:rFonts w:ascii="Times New Roman" w:eastAsia="Times New Roman" w:hAnsi="Times New Roman" w:cs="Times New Roman"/>
          <w:bCs/>
          <w:i/>
          <w:color w:val="auto"/>
          <w:sz w:val="22"/>
          <w:szCs w:val="22"/>
        </w:rPr>
        <w:t xml:space="preserve"> is comprehensive internationalization?”</w:t>
      </w:r>
      <w:r w:rsidRPr="00451BDA">
        <w:rPr>
          <w:rFonts w:ascii="Times New Roman" w:eastAsia="Times New Roman" w:hAnsi="Times New Roman" w:cs="Times New Roman"/>
          <w:bCs/>
          <w:color w:val="auto"/>
          <w:sz w:val="22"/>
          <w:szCs w:val="22"/>
        </w:rPr>
        <w:t xml:space="preserve"> </w:t>
      </w:r>
    </w:p>
    <w:p w14:paraId="24BAB359" w14:textId="77777777" w:rsidR="002C3154" w:rsidRPr="00451BDA" w:rsidRDefault="002C3154" w:rsidP="002C3154">
      <w:pPr>
        <w:pStyle w:val="Heading3"/>
        <w:shd w:val="clear" w:color="auto" w:fill="FFFFFF" w:themeFill="background1"/>
        <w:spacing w:before="300" w:after="825" w:line="240" w:lineRule="auto"/>
        <w:ind w:firstLine="720"/>
        <w:contextualSpacing/>
        <w:rPr>
          <w:rFonts w:ascii="Times New Roman" w:eastAsia="Times New Roman" w:hAnsi="Times New Roman" w:cs="Times New Roman"/>
          <w:bCs/>
          <w:color w:val="auto"/>
          <w:sz w:val="22"/>
          <w:szCs w:val="22"/>
        </w:rPr>
      </w:pPr>
      <w:r w:rsidRPr="00451BDA">
        <w:rPr>
          <w:rFonts w:ascii="Times New Roman" w:eastAsia="Times New Roman" w:hAnsi="Times New Roman" w:cs="Times New Roman"/>
          <w:bCs/>
          <w:color w:val="auto"/>
          <w:sz w:val="22"/>
          <w:szCs w:val="22"/>
        </w:rPr>
        <w:t xml:space="preserve">Available </w:t>
      </w:r>
    </w:p>
    <w:p w14:paraId="297F2E1B" w14:textId="77777777" w:rsidR="002C3154" w:rsidRPr="00451BDA" w:rsidRDefault="002C3154" w:rsidP="002C3154">
      <w:pPr>
        <w:pStyle w:val="Heading3"/>
        <w:shd w:val="clear" w:color="auto" w:fill="FFFFFF" w:themeFill="background1"/>
        <w:spacing w:before="300" w:after="825" w:line="240" w:lineRule="auto"/>
        <w:ind w:left="720"/>
        <w:contextualSpacing/>
        <w:rPr>
          <w:rFonts w:ascii="Times New Roman" w:eastAsia="Times New Roman" w:hAnsi="Times New Roman" w:cs="Times New Roman"/>
          <w:bCs/>
          <w:color w:val="auto"/>
          <w:sz w:val="22"/>
          <w:szCs w:val="22"/>
        </w:rPr>
      </w:pPr>
      <w:r w:rsidRPr="00451BDA">
        <w:rPr>
          <w:rFonts w:ascii="Times New Roman" w:eastAsia="Times New Roman" w:hAnsi="Times New Roman" w:cs="Times New Roman"/>
          <w:bCs/>
          <w:color w:val="auto"/>
          <w:sz w:val="22"/>
          <w:szCs w:val="22"/>
        </w:rPr>
        <w:t xml:space="preserve">at: </w:t>
      </w:r>
      <w:hyperlink r:id="rId10" w:history="1">
        <w:r w:rsidRPr="00451BDA">
          <w:rPr>
            <w:rStyle w:val="Hyperlink"/>
            <w:rFonts w:ascii="Times New Roman" w:eastAsia="Times New Roman" w:hAnsi="Times New Roman" w:cs="Times New Roman"/>
            <w:bCs/>
            <w:color w:val="auto"/>
            <w:sz w:val="22"/>
            <w:szCs w:val="22"/>
          </w:rPr>
          <w:t>https://www.acenet.edu/Research-Insights/Pages/Internationalization/CIGE-Model-for-Comprehensive-Internationalization.aspx</w:t>
        </w:r>
      </w:hyperlink>
      <w:r w:rsidRPr="00451BDA">
        <w:rPr>
          <w:rFonts w:ascii="Times New Roman" w:eastAsia="Times New Roman" w:hAnsi="Times New Roman" w:cs="Times New Roman"/>
          <w:bCs/>
          <w:color w:val="auto"/>
          <w:sz w:val="22"/>
          <w:szCs w:val="22"/>
        </w:rPr>
        <w:t xml:space="preserve"> </w:t>
      </w:r>
    </w:p>
    <w:p w14:paraId="0F18944F" w14:textId="77777777" w:rsidR="002C3154" w:rsidRPr="00451BDA" w:rsidRDefault="002C3154" w:rsidP="002C3154">
      <w:pPr>
        <w:pStyle w:val="Heading3"/>
        <w:shd w:val="clear" w:color="auto" w:fill="FFFFFF" w:themeFill="background1"/>
        <w:spacing w:before="300" w:after="825" w:line="240" w:lineRule="auto"/>
        <w:contextualSpacing/>
        <w:rPr>
          <w:rFonts w:ascii="Times New Roman" w:eastAsia="Times New Roman" w:hAnsi="Times New Roman" w:cs="Times New Roman"/>
          <w:bCs/>
          <w:color w:val="auto"/>
          <w:sz w:val="22"/>
          <w:szCs w:val="22"/>
          <w:shd w:val="clear" w:color="auto" w:fill="FFFFFF"/>
        </w:rPr>
      </w:pPr>
      <w:r w:rsidRPr="00451BDA">
        <w:rPr>
          <w:rFonts w:ascii="Times New Roman" w:eastAsia="Times New Roman" w:hAnsi="Times New Roman" w:cs="Times New Roman"/>
          <w:bCs/>
          <w:color w:val="auto"/>
          <w:sz w:val="22"/>
          <w:szCs w:val="22"/>
          <w:shd w:val="clear" w:color="auto" w:fill="FFFFFF"/>
        </w:rPr>
        <w:t xml:space="preserve">Agrawal, V and Dasgupta, S. (2018), “Identifying the key employability skills: evidence from </w:t>
      </w:r>
    </w:p>
    <w:p w14:paraId="3CFE4DA7" w14:textId="253B4872" w:rsidR="002C3154" w:rsidRPr="00451BDA" w:rsidRDefault="002C3154" w:rsidP="002C3154">
      <w:pPr>
        <w:pStyle w:val="Heading3"/>
        <w:shd w:val="clear" w:color="auto" w:fill="FFFFFF" w:themeFill="background1"/>
        <w:spacing w:before="300" w:after="825" w:line="240" w:lineRule="auto"/>
        <w:ind w:firstLine="720"/>
        <w:contextualSpacing/>
        <w:rPr>
          <w:rFonts w:ascii="Times New Roman" w:eastAsia="Times New Roman" w:hAnsi="Times New Roman" w:cs="Times New Roman"/>
          <w:bCs/>
          <w:color w:val="auto"/>
          <w:sz w:val="22"/>
          <w:szCs w:val="22"/>
          <w:shd w:val="clear" w:color="auto" w:fill="FFFFFF"/>
        </w:rPr>
      </w:pPr>
      <w:r w:rsidRPr="00451BDA">
        <w:rPr>
          <w:rFonts w:ascii="Times New Roman" w:eastAsia="Times New Roman" w:hAnsi="Times New Roman" w:cs="Times New Roman"/>
          <w:bCs/>
          <w:color w:val="auto"/>
          <w:sz w:val="22"/>
          <w:szCs w:val="22"/>
          <w:shd w:val="clear" w:color="auto" w:fill="FFFFFF"/>
        </w:rPr>
        <w:t xml:space="preserve">literature review”. </w:t>
      </w:r>
      <w:r w:rsidRPr="00451BDA">
        <w:rPr>
          <w:rFonts w:ascii="Times New Roman" w:eastAsia="Times New Roman" w:hAnsi="Times New Roman" w:cs="Times New Roman"/>
          <w:bCs/>
          <w:i/>
          <w:color w:val="auto"/>
          <w:sz w:val="22"/>
          <w:szCs w:val="22"/>
          <w:shd w:val="clear" w:color="auto" w:fill="FFFFFF"/>
        </w:rPr>
        <w:t>IOSR Journal of Business and Management</w:t>
      </w:r>
      <w:r w:rsidRPr="00451BDA">
        <w:rPr>
          <w:rFonts w:ascii="Times New Roman" w:eastAsia="Times New Roman" w:hAnsi="Times New Roman" w:cs="Times New Roman"/>
          <w:bCs/>
          <w:color w:val="auto"/>
          <w:sz w:val="22"/>
          <w:szCs w:val="22"/>
          <w:shd w:val="clear" w:color="auto" w:fill="FFFFFF"/>
        </w:rPr>
        <w:t xml:space="preserve">, </w:t>
      </w:r>
      <w:r w:rsidR="006D0D1F" w:rsidRPr="00451BDA">
        <w:rPr>
          <w:rFonts w:ascii="Times New Roman" w:eastAsia="Times New Roman" w:hAnsi="Times New Roman" w:cs="Times New Roman"/>
          <w:bCs/>
          <w:color w:val="auto"/>
          <w:sz w:val="22"/>
          <w:szCs w:val="22"/>
          <w:shd w:val="clear" w:color="auto" w:fill="FFFFFF"/>
        </w:rPr>
        <w:t xml:space="preserve">Vol. 21. No 2, </w:t>
      </w:r>
      <w:r w:rsidRPr="00451BDA">
        <w:rPr>
          <w:rFonts w:ascii="Times New Roman" w:eastAsia="Times New Roman" w:hAnsi="Times New Roman" w:cs="Times New Roman"/>
          <w:bCs/>
          <w:color w:val="auto"/>
          <w:sz w:val="22"/>
          <w:szCs w:val="22"/>
          <w:shd w:val="clear" w:color="auto" w:fill="FFFFFF"/>
        </w:rPr>
        <w:t>pp. 85-90.</w:t>
      </w:r>
    </w:p>
    <w:p w14:paraId="02F5C6EE" w14:textId="5030BFED" w:rsidR="002C3154" w:rsidRPr="00451BDA" w:rsidRDefault="002C3154" w:rsidP="002C3154">
      <w:pPr>
        <w:pStyle w:val="Heading3"/>
        <w:shd w:val="clear" w:color="auto" w:fill="FFFFFF" w:themeFill="background1"/>
        <w:spacing w:before="300" w:after="825" w:line="240" w:lineRule="auto"/>
        <w:contextualSpacing/>
        <w:rPr>
          <w:rFonts w:ascii="Times New Roman" w:hAnsi="Times New Roman" w:cs="Times New Roman"/>
          <w:bCs/>
          <w:i/>
          <w:color w:val="auto"/>
          <w:sz w:val="22"/>
          <w:szCs w:val="22"/>
        </w:rPr>
      </w:pPr>
      <w:r w:rsidRPr="00451BDA">
        <w:rPr>
          <w:rFonts w:ascii="Times New Roman" w:hAnsi="Times New Roman" w:cs="Times New Roman"/>
          <w:bCs/>
          <w:color w:val="auto"/>
          <w:sz w:val="22"/>
          <w:szCs w:val="22"/>
        </w:rPr>
        <w:t>Association of Universities, The Netherlands (2018). “</w:t>
      </w:r>
      <w:r w:rsidRPr="00451BDA">
        <w:rPr>
          <w:rFonts w:ascii="Times New Roman" w:hAnsi="Times New Roman" w:cs="Times New Roman"/>
          <w:bCs/>
          <w:i/>
          <w:color w:val="auto"/>
          <w:sz w:val="22"/>
          <w:szCs w:val="22"/>
        </w:rPr>
        <w:t>Internationali</w:t>
      </w:r>
      <w:r w:rsidR="006D0D1F" w:rsidRPr="00451BDA">
        <w:rPr>
          <w:rFonts w:ascii="Times New Roman" w:hAnsi="Times New Roman" w:cs="Times New Roman"/>
          <w:bCs/>
          <w:i/>
          <w:color w:val="auto"/>
          <w:sz w:val="22"/>
          <w:szCs w:val="22"/>
        </w:rPr>
        <w:t>z</w:t>
      </w:r>
      <w:r w:rsidRPr="00451BDA">
        <w:rPr>
          <w:rFonts w:ascii="Times New Roman" w:hAnsi="Times New Roman" w:cs="Times New Roman"/>
          <w:bCs/>
          <w:i/>
          <w:color w:val="auto"/>
          <w:sz w:val="22"/>
          <w:szCs w:val="22"/>
        </w:rPr>
        <w:t xml:space="preserve">ation agenda for higher </w:t>
      </w:r>
    </w:p>
    <w:p w14:paraId="29DD41F9" w14:textId="77777777" w:rsidR="002C3154" w:rsidRPr="00451BDA" w:rsidRDefault="002C3154" w:rsidP="002C3154">
      <w:pPr>
        <w:pStyle w:val="Heading3"/>
        <w:shd w:val="clear" w:color="auto" w:fill="FFFFFF" w:themeFill="background1"/>
        <w:spacing w:before="0" w:line="240" w:lineRule="auto"/>
        <w:ind w:left="720"/>
        <w:contextualSpacing/>
        <w:rPr>
          <w:rFonts w:ascii="Times New Roman" w:hAnsi="Times New Roman" w:cs="Times New Roman"/>
          <w:bCs/>
          <w:color w:val="auto"/>
          <w:sz w:val="22"/>
          <w:szCs w:val="22"/>
          <w:u w:val="single"/>
        </w:rPr>
      </w:pPr>
      <w:r w:rsidRPr="00451BDA">
        <w:rPr>
          <w:rFonts w:ascii="Times New Roman" w:hAnsi="Times New Roman" w:cs="Times New Roman"/>
          <w:bCs/>
          <w:i/>
          <w:color w:val="auto"/>
          <w:sz w:val="22"/>
          <w:szCs w:val="22"/>
        </w:rPr>
        <w:t>Education”</w:t>
      </w:r>
      <w:r w:rsidRPr="00451BDA">
        <w:rPr>
          <w:rFonts w:ascii="Times New Roman" w:hAnsi="Times New Roman" w:cs="Times New Roman"/>
          <w:bCs/>
          <w:color w:val="auto"/>
          <w:sz w:val="22"/>
          <w:szCs w:val="22"/>
        </w:rPr>
        <w:t xml:space="preserve">. Available at: </w:t>
      </w:r>
      <w:hyperlink r:id="rId11" w:history="1">
        <w:r w:rsidRPr="00451BDA">
          <w:rPr>
            <w:rStyle w:val="Hyperlink"/>
            <w:rFonts w:ascii="Times New Roman" w:hAnsi="Times New Roman" w:cs="Times New Roman"/>
            <w:bCs/>
            <w:color w:val="auto"/>
            <w:sz w:val="22"/>
            <w:szCs w:val="22"/>
          </w:rPr>
          <w:t>https://www.vsnu.nl/files/documents/Internationalisation%20Agenda%20for%20Higher%20Education.pdf</w:t>
        </w:r>
      </w:hyperlink>
      <w:r w:rsidRPr="00451BDA">
        <w:rPr>
          <w:rFonts w:ascii="Times New Roman" w:hAnsi="Times New Roman" w:cs="Times New Roman"/>
          <w:bCs/>
          <w:color w:val="auto"/>
          <w:sz w:val="22"/>
          <w:szCs w:val="22"/>
        </w:rPr>
        <w:t xml:space="preserve"> (accessed 1 March, 2022).</w:t>
      </w:r>
    </w:p>
    <w:p w14:paraId="2838B910" w14:textId="77777777" w:rsidR="002C3154" w:rsidRPr="00451BDA" w:rsidRDefault="002C3154" w:rsidP="002C3154">
      <w:pPr>
        <w:pStyle w:val="Heading3"/>
        <w:shd w:val="clear" w:color="auto" w:fill="FFFFFF" w:themeFill="background1"/>
        <w:spacing w:before="0" w:line="240" w:lineRule="auto"/>
        <w:contextualSpacing/>
        <w:rPr>
          <w:rFonts w:ascii="Times New Roman" w:hAnsi="Times New Roman" w:cs="Times New Roman"/>
          <w:bCs/>
          <w:i/>
          <w:color w:val="auto"/>
          <w:sz w:val="22"/>
          <w:szCs w:val="22"/>
        </w:rPr>
      </w:pPr>
      <w:r w:rsidRPr="00451BDA">
        <w:rPr>
          <w:rFonts w:ascii="Times New Roman" w:hAnsi="Times New Roman" w:cs="Times New Roman"/>
          <w:bCs/>
          <w:color w:val="auto"/>
          <w:sz w:val="22"/>
          <w:szCs w:val="22"/>
        </w:rPr>
        <w:t>Australian Government (2015)</w:t>
      </w:r>
      <w:proofErr w:type="gramStart"/>
      <w:r w:rsidRPr="00451BDA">
        <w:rPr>
          <w:rFonts w:ascii="Times New Roman" w:hAnsi="Times New Roman" w:cs="Times New Roman"/>
          <w:bCs/>
          <w:color w:val="auto"/>
          <w:sz w:val="22"/>
          <w:szCs w:val="22"/>
        </w:rPr>
        <w:t>.”</w:t>
      </w:r>
      <w:r w:rsidRPr="00451BDA">
        <w:rPr>
          <w:rFonts w:ascii="Times New Roman" w:hAnsi="Times New Roman" w:cs="Times New Roman"/>
          <w:bCs/>
          <w:i/>
          <w:color w:val="auto"/>
          <w:sz w:val="22"/>
          <w:szCs w:val="22"/>
        </w:rPr>
        <w:t>The</w:t>
      </w:r>
      <w:proofErr w:type="gramEnd"/>
      <w:r w:rsidRPr="00451BDA">
        <w:rPr>
          <w:rFonts w:ascii="Times New Roman" w:hAnsi="Times New Roman" w:cs="Times New Roman"/>
          <w:bCs/>
          <w:i/>
          <w:color w:val="auto"/>
          <w:sz w:val="22"/>
          <w:szCs w:val="22"/>
        </w:rPr>
        <w:t xml:space="preserve"> value of international education to Australia”. </w:t>
      </w:r>
    </w:p>
    <w:p w14:paraId="23206FDC" w14:textId="77777777" w:rsidR="002C3154" w:rsidRPr="00451BDA" w:rsidRDefault="002C3154" w:rsidP="002C3154">
      <w:pPr>
        <w:pStyle w:val="Heading3"/>
        <w:shd w:val="clear" w:color="auto" w:fill="FFFFFF" w:themeFill="background1"/>
        <w:spacing w:before="300" w:after="825" w:line="240" w:lineRule="auto"/>
        <w:ind w:left="720"/>
        <w:contextualSpacing/>
        <w:rPr>
          <w:rStyle w:val="Hyperlink"/>
          <w:rFonts w:ascii="Times New Roman" w:hAnsi="Times New Roman" w:cs="Times New Roman"/>
          <w:bCs/>
          <w:color w:val="auto"/>
          <w:sz w:val="22"/>
          <w:szCs w:val="22"/>
        </w:rPr>
      </w:pPr>
      <w:r w:rsidRPr="00451BDA">
        <w:rPr>
          <w:rStyle w:val="Hyperlink"/>
          <w:rFonts w:ascii="Times New Roman" w:hAnsi="Times New Roman" w:cs="Times New Roman"/>
          <w:bCs/>
          <w:color w:val="auto"/>
          <w:sz w:val="22"/>
          <w:szCs w:val="22"/>
          <w:u w:val="none"/>
        </w:rPr>
        <w:t>Available at:</w:t>
      </w:r>
      <w:r w:rsidRPr="00451BDA">
        <w:rPr>
          <w:rStyle w:val="Hyperlink"/>
          <w:rFonts w:ascii="Times New Roman" w:hAnsi="Times New Roman" w:cs="Times New Roman"/>
          <w:bCs/>
          <w:color w:val="auto"/>
          <w:sz w:val="22"/>
          <w:szCs w:val="22"/>
        </w:rPr>
        <w:t xml:space="preserve"> </w:t>
      </w:r>
      <w:hyperlink r:id="rId12" w:history="1">
        <w:r w:rsidRPr="00451BDA">
          <w:rPr>
            <w:rStyle w:val="Hyperlink"/>
            <w:rFonts w:ascii="Times New Roman" w:hAnsi="Times New Roman" w:cs="Times New Roman"/>
            <w:bCs/>
            <w:color w:val="auto"/>
            <w:sz w:val="22"/>
            <w:szCs w:val="22"/>
          </w:rPr>
          <w:t>https://internationaleducation.gov.au/research/research-papers/Documents/ValueInternationalEd.pdf</w:t>
        </w:r>
      </w:hyperlink>
      <w:r w:rsidRPr="00451BDA">
        <w:rPr>
          <w:rStyle w:val="Hyperlink"/>
          <w:rFonts w:ascii="Times New Roman" w:hAnsi="Times New Roman" w:cs="Times New Roman"/>
          <w:bCs/>
          <w:color w:val="auto"/>
          <w:sz w:val="22"/>
          <w:szCs w:val="22"/>
        </w:rPr>
        <w:t xml:space="preserve"> (accessed 22 March, 2022).</w:t>
      </w:r>
    </w:p>
    <w:p w14:paraId="2E70049E" w14:textId="77777777" w:rsidR="002C3154" w:rsidRPr="00451BDA" w:rsidRDefault="002C3154" w:rsidP="002C3154">
      <w:pPr>
        <w:pStyle w:val="Heading3"/>
        <w:shd w:val="clear" w:color="auto" w:fill="FFFFFF" w:themeFill="background1"/>
        <w:spacing w:before="300" w:after="825" w:line="240" w:lineRule="auto"/>
        <w:contextualSpacing/>
        <w:rPr>
          <w:rFonts w:ascii="Times New Roman" w:eastAsia="Times New Roman" w:hAnsi="Times New Roman" w:cs="Times New Roman"/>
          <w:bCs/>
          <w:color w:val="auto"/>
          <w:sz w:val="22"/>
          <w:szCs w:val="22"/>
          <w:shd w:val="clear" w:color="auto" w:fill="FFFFFF"/>
        </w:rPr>
      </w:pPr>
      <w:proofErr w:type="spellStart"/>
      <w:r w:rsidRPr="00451BDA">
        <w:rPr>
          <w:rFonts w:ascii="Times New Roman" w:eastAsia="Times New Roman" w:hAnsi="Times New Roman" w:cs="Times New Roman"/>
          <w:bCs/>
          <w:color w:val="auto"/>
          <w:sz w:val="22"/>
          <w:szCs w:val="22"/>
          <w:shd w:val="clear" w:color="auto" w:fill="FFFFFF"/>
        </w:rPr>
        <w:t>Bedenlier</w:t>
      </w:r>
      <w:proofErr w:type="spellEnd"/>
      <w:r w:rsidRPr="00451BDA">
        <w:rPr>
          <w:rFonts w:ascii="Times New Roman" w:eastAsia="Times New Roman" w:hAnsi="Times New Roman" w:cs="Times New Roman"/>
          <w:bCs/>
          <w:color w:val="auto"/>
          <w:sz w:val="22"/>
          <w:szCs w:val="22"/>
          <w:shd w:val="clear" w:color="auto" w:fill="FFFFFF"/>
        </w:rPr>
        <w:t xml:space="preserve">. S, </w:t>
      </w:r>
      <w:proofErr w:type="spellStart"/>
      <w:r w:rsidRPr="00451BDA">
        <w:rPr>
          <w:rFonts w:ascii="Times New Roman" w:eastAsia="Times New Roman" w:hAnsi="Times New Roman" w:cs="Times New Roman"/>
          <w:bCs/>
          <w:color w:val="auto"/>
          <w:sz w:val="22"/>
          <w:szCs w:val="22"/>
          <w:shd w:val="clear" w:color="auto" w:fill="FFFFFF"/>
        </w:rPr>
        <w:t>Kondakci</w:t>
      </w:r>
      <w:proofErr w:type="spellEnd"/>
      <w:r w:rsidRPr="00451BDA">
        <w:rPr>
          <w:rFonts w:ascii="Times New Roman" w:eastAsia="Times New Roman" w:hAnsi="Times New Roman" w:cs="Times New Roman"/>
          <w:bCs/>
          <w:color w:val="auto"/>
          <w:sz w:val="22"/>
          <w:szCs w:val="22"/>
          <w:shd w:val="clear" w:color="auto" w:fill="FFFFFF"/>
        </w:rPr>
        <w:t xml:space="preserve">. Y, and Zawacki-Richter. O. (2017), “Two decades of research into the </w:t>
      </w:r>
    </w:p>
    <w:p w14:paraId="1A6DF5FF" w14:textId="77777777" w:rsidR="002C3154" w:rsidRPr="00451BDA" w:rsidRDefault="002C3154" w:rsidP="002C3154">
      <w:pPr>
        <w:pStyle w:val="Heading3"/>
        <w:shd w:val="clear" w:color="auto" w:fill="FFFFFF" w:themeFill="background1"/>
        <w:spacing w:before="300" w:after="825" w:line="240" w:lineRule="auto"/>
        <w:ind w:left="720"/>
        <w:contextualSpacing/>
        <w:rPr>
          <w:rFonts w:ascii="Times New Roman" w:eastAsia="Times New Roman" w:hAnsi="Times New Roman" w:cs="Times New Roman"/>
          <w:bCs/>
          <w:color w:val="auto"/>
          <w:sz w:val="22"/>
          <w:szCs w:val="22"/>
          <w:shd w:val="clear" w:color="auto" w:fill="FFFFFF"/>
        </w:rPr>
      </w:pPr>
      <w:r w:rsidRPr="00451BDA">
        <w:rPr>
          <w:rFonts w:ascii="Times New Roman" w:eastAsia="Times New Roman" w:hAnsi="Times New Roman" w:cs="Times New Roman"/>
          <w:bCs/>
          <w:color w:val="auto"/>
          <w:sz w:val="22"/>
          <w:szCs w:val="22"/>
          <w:shd w:val="clear" w:color="auto" w:fill="FFFFFF"/>
        </w:rPr>
        <w:t xml:space="preserve">internationalization of HE: Major themes in the Journal of Studies in International Education (1997-2016)”. </w:t>
      </w:r>
      <w:r w:rsidRPr="00451BDA">
        <w:rPr>
          <w:rFonts w:ascii="Times New Roman" w:eastAsia="Times New Roman" w:hAnsi="Times New Roman" w:cs="Times New Roman"/>
          <w:bCs/>
          <w:i/>
          <w:color w:val="auto"/>
          <w:sz w:val="22"/>
          <w:szCs w:val="22"/>
          <w:shd w:val="clear" w:color="auto" w:fill="FFFFFF"/>
        </w:rPr>
        <w:t xml:space="preserve">Journal of Studies in International Education Vol. </w:t>
      </w:r>
      <w:r w:rsidRPr="00451BDA">
        <w:rPr>
          <w:rFonts w:ascii="Times New Roman" w:eastAsia="Times New Roman" w:hAnsi="Times New Roman" w:cs="Times New Roman"/>
          <w:bCs/>
          <w:color w:val="auto"/>
          <w:sz w:val="22"/>
          <w:szCs w:val="22"/>
          <w:shd w:val="clear" w:color="auto" w:fill="FFFFFF"/>
        </w:rPr>
        <w:t>22. No. 2. pp.108-135</w:t>
      </w:r>
      <w:r w:rsidRPr="00451BDA">
        <w:rPr>
          <w:rFonts w:ascii="Times New Roman" w:eastAsia="Times New Roman" w:hAnsi="Times New Roman" w:cs="Times New Roman"/>
          <w:bCs/>
          <w:i/>
          <w:color w:val="auto"/>
          <w:sz w:val="22"/>
          <w:szCs w:val="22"/>
          <w:shd w:val="clear" w:color="auto" w:fill="FFFFFF"/>
        </w:rPr>
        <w:t xml:space="preserve">. </w:t>
      </w:r>
    </w:p>
    <w:p w14:paraId="0782EDE3" w14:textId="77777777" w:rsidR="002C3154" w:rsidRPr="00451BDA" w:rsidRDefault="002C3154" w:rsidP="002C3154">
      <w:pPr>
        <w:pStyle w:val="Heading3"/>
        <w:shd w:val="clear" w:color="auto" w:fill="FFFFFF" w:themeFill="background1"/>
        <w:spacing w:before="300" w:after="825" w:line="240" w:lineRule="auto"/>
        <w:contextualSpacing/>
        <w:rPr>
          <w:rFonts w:ascii="Times New Roman" w:hAnsi="Times New Roman" w:cs="Times New Roman"/>
          <w:bCs/>
          <w:color w:val="auto"/>
          <w:sz w:val="22"/>
          <w:szCs w:val="22"/>
        </w:rPr>
      </w:pPr>
      <w:proofErr w:type="spellStart"/>
      <w:proofErr w:type="gramStart"/>
      <w:r w:rsidRPr="00451BDA">
        <w:rPr>
          <w:rFonts w:ascii="Times New Roman" w:eastAsia="Times New Roman" w:hAnsi="Times New Roman" w:cs="Times New Roman"/>
          <w:bCs/>
          <w:color w:val="auto"/>
          <w:sz w:val="22"/>
          <w:szCs w:val="22"/>
        </w:rPr>
        <w:t>Beelen,J</w:t>
      </w:r>
      <w:proofErr w:type="spellEnd"/>
      <w:r w:rsidRPr="00451BDA">
        <w:rPr>
          <w:rFonts w:ascii="Times New Roman" w:eastAsia="Times New Roman" w:hAnsi="Times New Roman" w:cs="Times New Roman"/>
          <w:bCs/>
          <w:color w:val="auto"/>
          <w:sz w:val="22"/>
          <w:szCs w:val="22"/>
        </w:rPr>
        <w:t>.</w:t>
      </w:r>
      <w:proofErr w:type="gramEnd"/>
      <w:r w:rsidRPr="00451BDA">
        <w:rPr>
          <w:rFonts w:ascii="Times New Roman" w:eastAsia="Times New Roman" w:hAnsi="Times New Roman" w:cs="Times New Roman"/>
          <w:bCs/>
          <w:color w:val="auto"/>
          <w:sz w:val="22"/>
          <w:szCs w:val="22"/>
        </w:rPr>
        <w:t xml:space="preserve"> and Jones, E. (2015), “Redefining internationalization at home”. In </w:t>
      </w:r>
      <w:r w:rsidRPr="00451BDA">
        <w:rPr>
          <w:rFonts w:ascii="Times New Roman" w:hAnsi="Times New Roman" w:cs="Times New Roman"/>
          <w:bCs/>
          <w:color w:val="auto"/>
          <w:sz w:val="22"/>
          <w:szCs w:val="22"/>
        </w:rPr>
        <w:t xml:space="preserve">A. Curaj., L., M.R. </w:t>
      </w:r>
    </w:p>
    <w:p w14:paraId="44ECE46C" w14:textId="77777777" w:rsidR="002C3154" w:rsidRPr="00451BDA" w:rsidRDefault="002C3154" w:rsidP="002C3154">
      <w:pPr>
        <w:pStyle w:val="Heading3"/>
        <w:shd w:val="clear" w:color="auto" w:fill="FFFFFF" w:themeFill="background1"/>
        <w:spacing w:before="300" w:after="825" w:line="240" w:lineRule="auto"/>
        <w:ind w:left="720"/>
        <w:contextualSpacing/>
        <w:rPr>
          <w:rFonts w:ascii="Times New Roman" w:hAnsi="Times New Roman" w:cs="Times New Roman"/>
          <w:bCs/>
          <w:color w:val="auto"/>
          <w:sz w:val="22"/>
          <w:szCs w:val="22"/>
        </w:rPr>
      </w:pPr>
      <w:proofErr w:type="spellStart"/>
      <w:r w:rsidRPr="00451BDA">
        <w:rPr>
          <w:rFonts w:ascii="Times New Roman" w:hAnsi="Times New Roman" w:cs="Times New Roman"/>
          <w:bCs/>
          <w:color w:val="auto"/>
          <w:sz w:val="22"/>
          <w:szCs w:val="22"/>
        </w:rPr>
        <w:t>Pricopie</w:t>
      </w:r>
      <w:proofErr w:type="spellEnd"/>
      <w:r w:rsidRPr="00451BDA">
        <w:rPr>
          <w:rFonts w:ascii="Times New Roman" w:hAnsi="Times New Roman" w:cs="Times New Roman"/>
          <w:bCs/>
          <w:color w:val="auto"/>
          <w:sz w:val="22"/>
          <w:szCs w:val="22"/>
        </w:rPr>
        <w:t xml:space="preserve">., J. Salmi., &amp; P. </w:t>
      </w:r>
      <w:proofErr w:type="gramStart"/>
      <w:r w:rsidRPr="00451BDA">
        <w:rPr>
          <w:rFonts w:ascii="Times New Roman" w:hAnsi="Times New Roman" w:cs="Times New Roman"/>
          <w:bCs/>
          <w:color w:val="auto"/>
          <w:sz w:val="22"/>
          <w:szCs w:val="22"/>
        </w:rPr>
        <w:t>Scott(</w:t>
      </w:r>
      <w:proofErr w:type="gramEnd"/>
      <w:r w:rsidRPr="00451BDA">
        <w:rPr>
          <w:rFonts w:ascii="Times New Roman" w:hAnsi="Times New Roman" w:cs="Times New Roman"/>
          <w:bCs/>
          <w:color w:val="auto"/>
          <w:sz w:val="22"/>
          <w:szCs w:val="22"/>
        </w:rPr>
        <w:t xml:space="preserve">Eds.). </w:t>
      </w:r>
      <w:r w:rsidRPr="00451BDA">
        <w:rPr>
          <w:rFonts w:ascii="Times New Roman" w:hAnsi="Times New Roman" w:cs="Times New Roman"/>
          <w:bCs/>
          <w:i/>
          <w:color w:val="auto"/>
          <w:sz w:val="22"/>
          <w:szCs w:val="22"/>
        </w:rPr>
        <w:t>The European higher education area: between critical reflections and future policies.</w:t>
      </w:r>
      <w:r w:rsidRPr="00451BDA">
        <w:rPr>
          <w:rFonts w:ascii="Times New Roman" w:hAnsi="Times New Roman" w:cs="Times New Roman"/>
          <w:bCs/>
          <w:color w:val="auto"/>
          <w:sz w:val="22"/>
          <w:szCs w:val="22"/>
        </w:rPr>
        <w:t xml:space="preserve"> Springer. </w:t>
      </w:r>
    </w:p>
    <w:p w14:paraId="4F03DD99" w14:textId="77777777" w:rsidR="002C3154" w:rsidRPr="00451BDA" w:rsidRDefault="002C3154" w:rsidP="002C3154">
      <w:pPr>
        <w:pStyle w:val="Heading3"/>
        <w:shd w:val="clear" w:color="auto" w:fill="FFFFFF" w:themeFill="background1"/>
        <w:spacing w:before="0" w:line="240" w:lineRule="auto"/>
        <w:contextualSpacing/>
        <w:rPr>
          <w:rFonts w:ascii="Times New Roman" w:eastAsia="Times New Roman" w:hAnsi="Times New Roman" w:cs="Times New Roman"/>
          <w:bCs/>
          <w:color w:val="auto"/>
          <w:sz w:val="22"/>
          <w:szCs w:val="22"/>
        </w:rPr>
      </w:pPr>
      <w:r w:rsidRPr="00451BDA">
        <w:rPr>
          <w:rFonts w:ascii="Times New Roman" w:eastAsia="Times New Roman" w:hAnsi="Times New Roman" w:cs="Times New Roman"/>
          <w:bCs/>
          <w:color w:val="auto"/>
          <w:sz w:val="22"/>
          <w:szCs w:val="22"/>
        </w:rPr>
        <w:t xml:space="preserve">British Council. (2022). Pakistan and the UK. Findings and recommendations for primary </w:t>
      </w:r>
    </w:p>
    <w:p w14:paraId="625912AB" w14:textId="77777777" w:rsidR="002C3154" w:rsidRPr="00451BDA" w:rsidRDefault="002C3154" w:rsidP="002C3154">
      <w:pPr>
        <w:pStyle w:val="Heading3"/>
        <w:shd w:val="clear" w:color="auto" w:fill="FFFFFF" w:themeFill="background1"/>
        <w:spacing w:before="0" w:line="240" w:lineRule="auto"/>
        <w:ind w:firstLine="720"/>
        <w:contextualSpacing/>
        <w:rPr>
          <w:rFonts w:ascii="Times New Roman" w:eastAsia="Times New Roman" w:hAnsi="Times New Roman" w:cs="Times New Roman"/>
          <w:bCs/>
          <w:color w:val="auto"/>
          <w:sz w:val="22"/>
          <w:szCs w:val="22"/>
        </w:rPr>
      </w:pPr>
      <w:proofErr w:type="gramStart"/>
      <w:r w:rsidRPr="00451BDA">
        <w:rPr>
          <w:rFonts w:ascii="Times New Roman" w:eastAsia="Times New Roman" w:hAnsi="Times New Roman" w:cs="Times New Roman"/>
          <w:bCs/>
          <w:color w:val="auto"/>
          <w:sz w:val="22"/>
          <w:szCs w:val="22"/>
        </w:rPr>
        <w:t>research.https://www.britishcouncil.org/sites/default/files/bc_environment_for_tne_partn</w:t>
      </w:r>
      <w:proofErr w:type="gramEnd"/>
    </w:p>
    <w:p w14:paraId="0E2E0D08" w14:textId="77777777" w:rsidR="002C3154" w:rsidRPr="00451BDA" w:rsidRDefault="002C3154" w:rsidP="002C3154">
      <w:pPr>
        <w:pStyle w:val="Heading3"/>
        <w:shd w:val="clear" w:color="auto" w:fill="FFFFFF" w:themeFill="background1"/>
        <w:spacing w:before="0" w:line="240" w:lineRule="auto"/>
        <w:ind w:left="720"/>
        <w:contextualSpacing/>
        <w:rPr>
          <w:rFonts w:ascii="Times New Roman" w:eastAsia="Times New Roman" w:hAnsi="Times New Roman" w:cs="Times New Roman"/>
          <w:bCs/>
          <w:color w:val="auto"/>
          <w:sz w:val="22"/>
          <w:szCs w:val="22"/>
        </w:rPr>
      </w:pPr>
      <w:r w:rsidRPr="00451BDA">
        <w:rPr>
          <w:rFonts w:ascii="Times New Roman" w:eastAsia="Times New Roman" w:hAnsi="Times New Roman" w:cs="Times New Roman"/>
          <w:bCs/>
          <w:color w:val="auto"/>
          <w:sz w:val="22"/>
          <w:szCs w:val="22"/>
        </w:rPr>
        <w:t xml:space="preserve">erships_in_pakistan.pdf (accessed 19 </w:t>
      </w:r>
      <w:proofErr w:type="gramStart"/>
      <w:r w:rsidRPr="00451BDA">
        <w:rPr>
          <w:rFonts w:ascii="Times New Roman" w:eastAsia="Times New Roman" w:hAnsi="Times New Roman" w:cs="Times New Roman"/>
          <w:bCs/>
          <w:color w:val="auto"/>
          <w:sz w:val="22"/>
          <w:szCs w:val="22"/>
        </w:rPr>
        <w:t>March,</w:t>
      </w:r>
      <w:proofErr w:type="gramEnd"/>
      <w:r w:rsidRPr="00451BDA">
        <w:rPr>
          <w:rFonts w:ascii="Times New Roman" w:eastAsia="Times New Roman" w:hAnsi="Times New Roman" w:cs="Times New Roman"/>
          <w:bCs/>
          <w:color w:val="auto"/>
          <w:sz w:val="22"/>
          <w:szCs w:val="22"/>
        </w:rPr>
        <w:t xml:space="preserve"> 2023).</w:t>
      </w:r>
    </w:p>
    <w:p w14:paraId="17B69665" w14:textId="77777777" w:rsidR="002C3154" w:rsidRPr="00451BDA" w:rsidRDefault="002C3154" w:rsidP="002C3154">
      <w:pPr>
        <w:pStyle w:val="Heading3"/>
        <w:shd w:val="clear" w:color="auto" w:fill="FFFFFF" w:themeFill="background1"/>
        <w:spacing w:before="0" w:line="240" w:lineRule="auto"/>
        <w:contextualSpacing/>
        <w:rPr>
          <w:rFonts w:ascii="Times New Roman" w:eastAsia="Times New Roman" w:hAnsi="Times New Roman" w:cs="Times New Roman"/>
          <w:bCs/>
          <w:color w:val="auto"/>
          <w:sz w:val="22"/>
          <w:szCs w:val="22"/>
        </w:rPr>
      </w:pPr>
      <w:proofErr w:type="spellStart"/>
      <w:proofErr w:type="gramStart"/>
      <w:r w:rsidRPr="00451BDA">
        <w:rPr>
          <w:rFonts w:ascii="Times New Roman" w:eastAsia="Times New Roman" w:hAnsi="Times New Roman" w:cs="Times New Roman"/>
          <w:bCs/>
          <w:color w:val="auto"/>
          <w:sz w:val="22"/>
          <w:szCs w:val="22"/>
        </w:rPr>
        <w:t>Cantu,M.P</w:t>
      </w:r>
      <w:proofErr w:type="spellEnd"/>
      <w:r w:rsidRPr="00451BDA">
        <w:rPr>
          <w:rFonts w:ascii="Times New Roman" w:eastAsia="Times New Roman" w:hAnsi="Times New Roman" w:cs="Times New Roman"/>
          <w:bCs/>
          <w:color w:val="auto"/>
          <w:sz w:val="22"/>
          <w:szCs w:val="22"/>
        </w:rPr>
        <w:t>.</w:t>
      </w:r>
      <w:proofErr w:type="gramEnd"/>
      <w:r w:rsidRPr="00451BDA">
        <w:rPr>
          <w:rFonts w:ascii="Times New Roman" w:eastAsia="Times New Roman" w:hAnsi="Times New Roman" w:cs="Times New Roman"/>
          <w:bCs/>
          <w:color w:val="auto"/>
          <w:sz w:val="22"/>
          <w:szCs w:val="22"/>
        </w:rPr>
        <w:t xml:space="preserve"> (2013), “Three effective strategies of internationalization in American Universities”.</w:t>
      </w:r>
    </w:p>
    <w:p w14:paraId="52B453CB" w14:textId="77777777" w:rsidR="002C3154" w:rsidRPr="00451BDA" w:rsidRDefault="002C3154" w:rsidP="002C3154">
      <w:pPr>
        <w:pStyle w:val="Heading3"/>
        <w:shd w:val="clear" w:color="auto" w:fill="FFFFFF" w:themeFill="background1"/>
        <w:spacing w:before="0" w:line="240" w:lineRule="auto"/>
        <w:ind w:firstLine="720"/>
        <w:contextualSpacing/>
        <w:rPr>
          <w:rFonts w:ascii="Times New Roman" w:hAnsi="Times New Roman" w:cs="Times New Roman"/>
          <w:bCs/>
          <w:color w:val="auto"/>
          <w:sz w:val="22"/>
          <w:szCs w:val="22"/>
        </w:rPr>
      </w:pPr>
      <w:r w:rsidRPr="00451BDA">
        <w:rPr>
          <w:rFonts w:ascii="Times New Roman" w:eastAsia="Times New Roman" w:hAnsi="Times New Roman" w:cs="Times New Roman"/>
          <w:bCs/>
          <w:i/>
          <w:color w:val="auto"/>
          <w:sz w:val="22"/>
          <w:szCs w:val="22"/>
        </w:rPr>
        <w:t>Journal of International Education and Leadership, Vol.3</w:t>
      </w:r>
      <w:r w:rsidRPr="00451BDA">
        <w:rPr>
          <w:rFonts w:ascii="Times New Roman" w:eastAsia="Times New Roman" w:hAnsi="Times New Roman" w:cs="Times New Roman"/>
          <w:bCs/>
          <w:color w:val="auto"/>
          <w:sz w:val="22"/>
          <w:szCs w:val="22"/>
        </w:rPr>
        <w:t>. No.3, pp.1-12.</w:t>
      </w:r>
    </w:p>
    <w:p w14:paraId="6AFF67F0" w14:textId="77777777" w:rsidR="002C3154" w:rsidRPr="00451BDA" w:rsidRDefault="002C3154" w:rsidP="002C3154">
      <w:pPr>
        <w:shd w:val="clear" w:color="auto" w:fill="FFFFFF" w:themeFill="background1"/>
        <w:spacing w:after="0" w:line="240" w:lineRule="auto"/>
        <w:contextualSpacing/>
        <w:rPr>
          <w:rFonts w:ascii="Times New Roman" w:eastAsia="Times New Roman" w:hAnsi="Times New Roman" w:cs="Times New Roman"/>
          <w:bCs/>
          <w:i/>
        </w:rPr>
      </w:pPr>
      <w:r w:rsidRPr="00451BDA">
        <w:rPr>
          <w:rFonts w:ascii="Times New Roman" w:eastAsia="Times New Roman" w:hAnsi="Times New Roman" w:cs="Times New Roman"/>
          <w:bCs/>
        </w:rPr>
        <w:t xml:space="preserve">Chak, C. (2011), “Changing engineering curriculum in globalized world, </w:t>
      </w:r>
      <w:r w:rsidRPr="00451BDA">
        <w:rPr>
          <w:rFonts w:ascii="Times New Roman" w:eastAsia="Times New Roman" w:hAnsi="Times New Roman" w:cs="Times New Roman"/>
          <w:bCs/>
          <w:i/>
        </w:rPr>
        <w:t xml:space="preserve">New Horizons in </w:t>
      </w:r>
    </w:p>
    <w:p w14:paraId="6343502E" w14:textId="6FC23271" w:rsidR="002C3154" w:rsidRPr="00451BDA" w:rsidRDefault="002C3154" w:rsidP="002C3154">
      <w:pPr>
        <w:shd w:val="clear" w:color="auto" w:fill="FFFFFF" w:themeFill="background1"/>
        <w:spacing w:after="0" w:line="240" w:lineRule="auto"/>
        <w:ind w:left="720"/>
        <w:contextualSpacing/>
        <w:rPr>
          <w:rFonts w:ascii="Times New Roman" w:eastAsia="Times New Roman" w:hAnsi="Times New Roman" w:cs="Times New Roman"/>
          <w:bCs/>
        </w:rPr>
      </w:pPr>
      <w:r w:rsidRPr="00451BDA">
        <w:rPr>
          <w:rFonts w:ascii="Times New Roman" w:eastAsia="Times New Roman" w:hAnsi="Times New Roman" w:cs="Times New Roman"/>
          <w:bCs/>
          <w:i/>
        </w:rPr>
        <w:t xml:space="preserve">Education, Vol. </w:t>
      </w:r>
      <w:r w:rsidRPr="00451BDA">
        <w:rPr>
          <w:rFonts w:ascii="Times New Roman" w:eastAsia="Times New Roman" w:hAnsi="Times New Roman" w:cs="Times New Roman"/>
          <w:bCs/>
        </w:rPr>
        <w:t>59.</w:t>
      </w:r>
      <w:r w:rsidR="002C03CD" w:rsidRPr="00451BDA">
        <w:rPr>
          <w:rFonts w:ascii="Times New Roman" w:eastAsia="Times New Roman" w:hAnsi="Times New Roman" w:cs="Times New Roman"/>
          <w:bCs/>
        </w:rPr>
        <w:t xml:space="preserve"> </w:t>
      </w:r>
      <w:r w:rsidRPr="00451BDA">
        <w:rPr>
          <w:rFonts w:ascii="Times New Roman" w:eastAsia="Times New Roman" w:hAnsi="Times New Roman" w:cs="Times New Roman"/>
          <w:bCs/>
        </w:rPr>
        <w:t>No.</w:t>
      </w:r>
      <w:proofErr w:type="gramStart"/>
      <w:r w:rsidRPr="00451BDA">
        <w:rPr>
          <w:rFonts w:ascii="Times New Roman" w:eastAsia="Times New Roman" w:hAnsi="Times New Roman" w:cs="Times New Roman"/>
          <w:bCs/>
        </w:rPr>
        <w:t>3.pp.</w:t>
      </w:r>
      <w:proofErr w:type="gramEnd"/>
      <w:r w:rsidRPr="00451BDA" w:rsidDel="0030036B">
        <w:rPr>
          <w:rFonts w:ascii="Times New Roman" w:eastAsia="Times New Roman" w:hAnsi="Times New Roman" w:cs="Times New Roman"/>
          <w:bCs/>
        </w:rPr>
        <w:t xml:space="preserve"> </w:t>
      </w:r>
      <w:r w:rsidRPr="00451BDA">
        <w:rPr>
          <w:rFonts w:ascii="Times New Roman" w:eastAsia="Times New Roman" w:hAnsi="Times New Roman" w:cs="Times New Roman"/>
          <w:bCs/>
        </w:rPr>
        <w:t>59-70. Available at https://files.eric.ed.gov/fulltext/EJ955545.pdf</w:t>
      </w:r>
    </w:p>
    <w:p w14:paraId="6D829048" w14:textId="77777777" w:rsidR="006D0D1F" w:rsidRPr="00451BDA" w:rsidRDefault="002C3154" w:rsidP="002C3154">
      <w:pPr>
        <w:shd w:val="clear" w:color="auto" w:fill="FFFFFF" w:themeFill="background1"/>
        <w:spacing w:after="0" w:line="240" w:lineRule="auto"/>
        <w:contextualSpacing/>
        <w:rPr>
          <w:rFonts w:ascii="Times New Roman" w:hAnsi="Times New Roman" w:cs="Times New Roman"/>
        </w:rPr>
      </w:pPr>
      <w:r w:rsidRPr="00451BDA">
        <w:rPr>
          <w:rFonts w:ascii="Times New Roman" w:hAnsi="Times New Roman" w:cs="Times New Roman"/>
        </w:rPr>
        <w:t xml:space="preserve">Chankseliani, M. (2017), “Four rationales of HE internationalization: Perspectives of U.K. </w:t>
      </w:r>
    </w:p>
    <w:p w14:paraId="35261DF6" w14:textId="44E60EF8" w:rsidR="002C3154" w:rsidRPr="00451BDA" w:rsidRDefault="002C3154" w:rsidP="006D0D1F">
      <w:pPr>
        <w:shd w:val="clear" w:color="auto" w:fill="FFFFFF" w:themeFill="background1"/>
        <w:spacing w:after="0" w:line="240" w:lineRule="auto"/>
        <w:ind w:left="720"/>
        <w:contextualSpacing/>
        <w:rPr>
          <w:rFonts w:ascii="Times New Roman" w:hAnsi="Times New Roman" w:cs="Times New Roman"/>
        </w:rPr>
      </w:pPr>
      <w:r w:rsidRPr="00451BDA">
        <w:rPr>
          <w:rFonts w:ascii="Times New Roman" w:hAnsi="Times New Roman" w:cs="Times New Roman"/>
        </w:rPr>
        <w:t xml:space="preserve">universities on attracting students from former Soviet countries”, </w:t>
      </w:r>
      <w:r w:rsidRPr="00451BDA">
        <w:rPr>
          <w:rFonts w:ascii="Times New Roman" w:hAnsi="Times New Roman" w:cs="Times New Roman"/>
          <w:i/>
          <w:iCs/>
        </w:rPr>
        <w:t>Journal of Studies in International Education,</w:t>
      </w:r>
      <w:r w:rsidR="006D0D1F" w:rsidRPr="00451BDA">
        <w:rPr>
          <w:rFonts w:ascii="Times New Roman" w:hAnsi="Times New Roman" w:cs="Times New Roman"/>
        </w:rPr>
        <w:t xml:space="preserve"> Vol. 22. No. 1. </w:t>
      </w:r>
      <w:r w:rsidRPr="00451BDA">
        <w:rPr>
          <w:rFonts w:ascii="Times New Roman" w:hAnsi="Times New Roman" w:cs="Times New Roman"/>
        </w:rPr>
        <w:t>pp. 1–18.</w:t>
      </w:r>
    </w:p>
    <w:p w14:paraId="12582649" w14:textId="77777777" w:rsidR="002C3154" w:rsidRPr="00451BDA" w:rsidRDefault="002C3154" w:rsidP="002C3154">
      <w:pPr>
        <w:shd w:val="clear" w:color="auto" w:fill="FFFFFF" w:themeFill="background1"/>
        <w:spacing w:after="0" w:line="240" w:lineRule="auto"/>
        <w:contextualSpacing/>
        <w:rPr>
          <w:rFonts w:ascii="Times New Roman" w:eastAsia="Times New Roman" w:hAnsi="Times New Roman" w:cs="Times New Roman"/>
          <w:bCs/>
          <w:i/>
        </w:rPr>
      </w:pPr>
      <w:proofErr w:type="spellStart"/>
      <w:proofErr w:type="gramStart"/>
      <w:r w:rsidRPr="00451BDA">
        <w:rPr>
          <w:rFonts w:ascii="Times New Roman" w:eastAsia="Times New Roman" w:hAnsi="Times New Roman" w:cs="Times New Roman"/>
          <w:bCs/>
        </w:rPr>
        <w:t>Clifford,V</w:t>
      </w:r>
      <w:proofErr w:type="spellEnd"/>
      <w:r w:rsidRPr="00451BDA">
        <w:rPr>
          <w:rFonts w:ascii="Times New Roman" w:eastAsia="Times New Roman" w:hAnsi="Times New Roman" w:cs="Times New Roman"/>
          <w:bCs/>
        </w:rPr>
        <w:t>.</w:t>
      </w:r>
      <w:proofErr w:type="gramEnd"/>
      <w:r w:rsidRPr="00451BDA">
        <w:rPr>
          <w:rFonts w:ascii="Times New Roman" w:eastAsia="Times New Roman" w:hAnsi="Times New Roman" w:cs="Times New Roman"/>
          <w:bCs/>
        </w:rPr>
        <w:t xml:space="preserve"> (2013), “</w:t>
      </w:r>
      <w:r w:rsidRPr="00451BDA">
        <w:rPr>
          <w:rFonts w:ascii="Times New Roman" w:eastAsia="Times New Roman" w:hAnsi="Times New Roman" w:cs="Times New Roman"/>
          <w:bCs/>
          <w:i/>
        </w:rPr>
        <w:t xml:space="preserve">The elusive concept of internationalization of the curriculum”. </w:t>
      </w:r>
    </w:p>
    <w:p w14:paraId="5AC16FAC" w14:textId="77777777" w:rsidR="002C3154" w:rsidRPr="00451BDA" w:rsidRDefault="002C3154" w:rsidP="002C3154">
      <w:pPr>
        <w:shd w:val="clear" w:color="auto" w:fill="FFFFFF" w:themeFill="background1"/>
        <w:spacing w:after="0" w:line="240" w:lineRule="auto"/>
        <w:ind w:left="720"/>
        <w:contextualSpacing/>
        <w:rPr>
          <w:rFonts w:ascii="Times New Roman" w:eastAsia="Times New Roman" w:hAnsi="Times New Roman" w:cs="Times New Roman"/>
          <w:bCs/>
        </w:rPr>
      </w:pPr>
      <w:r w:rsidRPr="00451BDA">
        <w:rPr>
          <w:rFonts w:ascii="Times New Roman" w:eastAsia="Times New Roman" w:hAnsi="Times New Roman" w:cs="Times New Roman"/>
          <w:bCs/>
          <w:u w:val="single"/>
        </w:rPr>
        <w:t xml:space="preserve">Available at: </w:t>
      </w:r>
      <w:hyperlink r:id="rId13" w:history="1">
        <w:r w:rsidRPr="00451BDA">
          <w:rPr>
            <w:rStyle w:val="Hyperlink"/>
            <w:rFonts w:ascii="Times New Roman" w:eastAsia="Times New Roman" w:hAnsi="Times New Roman" w:cs="Times New Roman"/>
            <w:bCs/>
            <w:color w:val="auto"/>
          </w:rPr>
          <w:t>https://www.brookes.ac.uk/services/cci/definitions.html</w:t>
        </w:r>
      </w:hyperlink>
      <w:r w:rsidRPr="00451BDA">
        <w:rPr>
          <w:rFonts w:ascii="Times New Roman" w:eastAsia="Times New Roman" w:hAnsi="Times New Roman" w:cs="Times New Roman"/>
          <w:bCs/>
          <w:u w:val="single"/>
        </w:rPr>
        <w:t xml:space="preserve"> </w:t>
      </w:r>
      <w:r w:rsidRPr="00451BDA">
        <w:rPr>
          <w:rFonts w:ascii="Times New Roman" w:eastAsia="Times New Roman" w:hAnsi="Times New Roman" w:cs="Times New Roman"/>
          <w:bCs/>
        </w:rPr>
        <w:t xml:space="preserve">(accessed 1 </w:t>
      </w:r>
      <w:proofErr w:type="gramStart"/>
      <w:r w:rsidRPr="00451BDA">
        <w:rPr>
          <w:rFonts w:ascii="Times New Roman" w:eastAsia="Times New Roman" w:hAnsi="Times New Roman" w:cs="Times New Roman"/>
          <w:bCs/>
        </w:rPr>
        <w:t>March,</w:t>
      </w:r>
      <w:proofErr w:type="gramEnd"/>
      <w:r w:rsidRPr="00451BDA">
        <w:rPr>
          <w:rFonts w:ascii="Times New Roman" w:eastAsia="Times New Roman" w:hAnsi="Times New Roman" w:cs="Times New Roman"/>
          <w:bCs/>
        </w:rPr>
        <w:t xml:space="preserve"> 2022).</w:t>
      </w:r>
    </w:p>
    <w:p w14:paraId="49E5F951" w14:textId="77777777" w:rsidR="002C3154" w:rsidRPr="00451BDA" w:rsidRDefault="002C3154" w:rsidP="002C3154">
      <w:pPr>
        <w:pStyle w:val="Heading3"/>
        <w:shd w:val="clear" w:color="auto" w:fill="FFFFFF" w:themeFill="background1"/>
        <w:spacing w:before="0" w:line="240" w:lineRule="auto"/>
        <w:contextualSpacing/>
        <w:rPr>
          <w:rFonts w:ascii="Times New Roman" w:hAnsi="Times New Roman" w:cs="Times New Roman"/>
          <w:bCs/>
          <w:color w:val="auto"/>
          <w:sz w:val="22"/>
          <w:szCs w:val="22"/>
        </w:rPr>
      </w:pPr>
      <w:proofErr w:type="spellStart"/>
      <w:proofErr w:type="gramStart"/>
      <w:r w:rsidRPr="00451BDA">
        <w:rPr>
          <w:rFonts w:ascii="Times New Roman" w:hAnsi="Times New Roman" w:cs="Times New Roman"/>
          <w:bCs/>
          <w:color w:val="auto"/>
          <w:sz w:val="22"/>
          <w:szCs w:val="22"/>
        </w:rPr>
        <w:t>Craig,O</w:t>
      </w:r>
      <w:proofErr w:type="spellEnd"/>
      <w:r w:rsidRPr="00451BDA">
        <w:rPr>
          <w:rFonts w:ascii="Times New Roman" w:hAnsi="Times New Roman" w:cs="Times New Roman"/>
          <w:bCs/>
          <w:color w:val="auto"/>
          <w:sz w:val="22"/>
          <w:szCs w:val="22"/>
        </w:rPr>
        <w:t>.</w:t>
      </w:r>
      <w:proofErr w:type="gramEnd"/>
      <w:r w:rsidRPr="00451BDA">
        <w:rPr>
          <w:rFonts w:ascii="Times New Roman" w:hAnsi="Times New Roman" w:cs="Times New Roman"/>
          <w:bCs/>
          <w:color w:val="auto"/>
          <w:sz w:val="22"/>
          <w:szCs w:val="22"/>
        </w:rPr>
        <w:t xml:space="preserve"> (2022), “</w:t>
      </w:r>
      <w:r w:rsidRPr="00451BDA">
        <w:rPr>
          <w:rFonts w:ascii="Times New Roman" w:hAnsi="Times New Roman" w:cs="Times New Roman"/>
          <w:bCs/>
          <w:i/>
          <w:color w:val="auto"/>
          <w:sz w:val="22"/>
          <w:szCs w:val="22"/>
        </w:rPr>
        <w:t>QS World University Rankings – Methodology”.</w:t>
      </w:r>
      <w:r w:rsidRPr="00451BDA">
        <w:rPr>
          <w:rFonts w:ascii="Times New Roman" w:hAnsi="Times New Roman" w:cs="Times New Roman"/>
          <w:bCs/>
          <w:color w:val="auto"/>
          <w:sz w:val="22"/>
          <w:szCs w:val="22"/>
        </w:rPr>
        <w:t xml:space="preserve"> </w:t>
      </w:r>
    </w:p>
    <w:p w14:paraId="169A7E7B" w14:textId="77777777" w:rsidR="002C3154" w:rsidRPr="00451BDA" w:rsidRDefault="002C3154" w:rsidP="002C3154">
      <w:pPr>
        <w:pStyle w:val="Heading3"/>
        <w:shd w:val="clear" w:color="auto" w:fill="FFFFFF" w:themeFill="background1"/>
        <w:spacing w:before="0" w:line="240" w:lineRule="auto"/>
        <w:ind w:left="720"/>
        <w:contextualSpacing/>
        <w:rPr>
          <w:rStyle w:val="Hyperlink"/>
          <w:rFonts w:ascii="Times New Roman" w:hAnsi="Times New Roman" w:cs="Times New Roman"/>
          <w:bCs/>
          <w:color w:val="auto"/>
          <w:sz w:val="22"/>
          <w:szCs w:val="22"/>
        </w:rPr>
      </w:pPr>
      <w:r w:rsidRPr="00451BDA">
        <w:rPr>
          <w:rStyle w:val="Hyperlink"/>
          <w:rFonts w:ascii="Times New Roman" w:hAnsi="Times New Roman" w:cs="Times New Roman"/>
          <w:bCs/>
          <w:color w:val="auto"/>
          <w:sz w:val="22"/>
          <w:szCs w:val="22"/>
        </w:rPr>
        <w:t xml:space="preserve">Available at: </w:t>
      </w:r>
      <w:hyperlink r:id="rId14" w:history="1">
        <w:r w:rsidRPr="00451BDA">
          <w:rPr>
            <w:rStyle w:val="Hyperlink"/>
            <w:rFonts w:ascii="Times New Roman" w:hAnsi="Times New Roman" w:cs="Times New Roman"/>
            <w:bCs/>
            <w:color w:val="auto"/>
            <w:sz w:val="22"/>
            <w:szCs w:val="22"/>
          </w:rPr>
          <w:t>https://www.topuniversities.com/qs-world-university-rankings/methodology</w:t>
        </w:r>
      </w:hyperlink>
      <w:r w:rsidRPr="00451BDA">
        <w:rPr>
          <w:rStyle w:val="Hyperlink"/>
          <w:rFonts w:ascii="Times New Roman" w:hAnsi="Times New Roman" w:cs="Times New Roman"/>
          <w:bCs/>
          <w:color w:val="auto"/>
          <w:sz w:val="22"/>
          <w:szCs w:val="22"/>
        </w:rPr>
        <w:t xml:space="preserve"> (accessed 1 </w:t>
      </w:r>
      <w:proofErr w:type="gramStart"/>
      <w:r w:rsidRPr="00451BDA">
        <w:rPr>
          <w:rStyle w:val="Hyperlink"/>
          <w:rFonts w:ascii="Times New Roman" w:hAnsi="Times New Roman" w:cs="Times New Roman"/>
          <w:bCs/>
          <w:color w:val="auto"/>
          <w:sz w:val="22"/>
          <w:szCs w:val="22"/>
        </w:rPr>
        <w:t>March,</w:t>
      </w:r>
      <w:proofErr w:type="gramEnd"/>
      <w:r w:rsidRPr="00451BDA">
        <w:rPr>
          <w:rStyle w:val="Hyperlink"/>
          <w:rFonts w:ascii="Times New Roman" w:hAnsi="Times New Roman" w:cs="Times New Roman"/>
          <w:bCs/>
          <w:color w:val="auto"/>
          <w:sz w:val="22"/>
          <w:szCs w:val="22"/>
        </w:rPr>
        <w:t xml:space="preserve"> 2022).</w:t>
      </w:r>
    </w:p>
    <w:p w14:paraId="3FF2F74C" w14:textId="77777777" w:rsidR="002C3154" w:rsidRPr="00451BDA" w:rsidRDefault="002C3154" w:rsidP="002C3154">
      <w:pPr>
        <w:pStyle w:val="Heading3"/>
        <w:shd w:val="clear" w:color="auto" w:fill="FFFFFF" w:themeFill="background1"/>
        <w:spacing w:before="0" w:line="240" w:lineRule="auto"/>
        <w:contextualSpacing/>
        <w:rPr>
          <w:rFonts w:ascii="Times New Roman" w:eastAsia="Times New Roman" w:hAnsi="Times New Roman" w:cs="Times New Roman"/>
          <w:bCs/>
          <w:color w:val="auto"/>
          <w:sz w:val="22"/>
          <w:szCs w:val="22"/>
        </w:rPr>
      </w:pPr>
      <w:proofErr w:type="spellStart"/>
      <w:r w:rsidRPr="00451BDA">
        <w:rPr>
          <w:rFonts w:ascii="Times New Roman" w:eastAsia="Times New Roman" w:hAnsi="Times New Roman" w:cs="Times New Roman"/>
          <w:bCs/>
          <w:color w:val="auto"/>
          <w:sz w:val="22"/>
          <w:szCs w:val="22"/>
        </w:rPr>
        <w:t>Crosling</w:t>
      </w:r>
      <w:proofErr w:type="spellEnd"/>
      <w:r w:rsidRPr="00451BDA">
        <w:rPr>
          <w:rFonts w:ascii="Times New Roman" w:eastAsia="Times New Roman" w:hAnsi="Times New Roman" w:cs="Times New Roman"/>
          <w:bCs/>
          <w:color w:val="auto"/>
          <w:sz w:val="22"/>
          <w:szCs w:val="22"/>
        </w:rPr>
        <w:t xml:space="preserve">, G, Edwards, R. and Schroder </w:t>
      </w:r>
      <w:proofErr w:type="gramStart"/>
      <w:r w:rsidRPr="00451BDA">
        <w:rPr>
          <w:rFonts w:ascii="Times New Roman" w:eastAsia="Times New Roman" w:hAnsi="Times New Roman" w:cs="Times New Roman"/>
          <w:bCs/>
          <w:color w:val="auto"/>
          <w:sz w:val="22"/>
          <w:szCs w:val="22"/>
        </w:rPr>
        <w:t>B.(</w:t>
      </w:r>
      <w:proofErr w:type="gramEnd"/>
      <w:r w:rsidRPr="00451BDA">
        <w:rPr>
          <w:rFonts w:ascii="Times New Roman" w:eastAsia="Times New Roman" w:hAnsi="Times New Roman" w:cs="Times New Roman"/>
          <w:bCs/>
          <w:color w:val="auto"/>
          <w:sz w:val="22"/>
          <w:szCs w:val="22"/>
        </w:rPr>
        <w:t xml:space="preserve">2008), “Internationalizing the curriculum: the </w:t>
      </w:r>
    </w:p>
    <w:p w14:paraId="6705E471" w14:textId="6E57098A" w:rsidR="002C3154" w:rsidRPr="00451BDA" w:rsidRDefault="002C3154" w:rsidP="002C3154">
      <w:pPr>
        <w:pStyle w:val="Heading3"/>
        <w:shd w:val="clear" w:color="auto" w:fill="FFFFFF" w:themeFill="background1"/>
        <w:spacing w:before="0" w:line="240" w:lineRule="auto"/>
        <w:ind w:left="720"/>
        <w:contextualSpacing/>
        <w:rPr>
          <w:rFonts w:ascii="Times New Roman" w:eastAsia="Times New Roman" w:hAnsi="Times New Roman" w:cs="Times New Roman"/>
          <w:bCs/>
          <w:color w:val="auto"/>
          <w:sz w:val="22"/>
          <w:szCs w:val="22"/>
        </w:rPr>
      </w:pPr>
      <w:r w:rsidRPr="00451BDA">
        <w:rPr>
          <w:rFonts w:ascii="Times New Roman" w:eastAsia="Times New Roman" w:hAnsi="Times New Roman" w:cs="Times New Roman"/>
          <w:bCs/>
          <w:color w:val="auto"/>
          <w:sz w:val="22"/>
          <w:szCs w:val="22"/>
        </w:rPr>
        <w:t xml:space="preserve">implementation experience in a faculty of business and economics”. </w:t>
      </w:r>
      <w:r w:rsidRPr="00451BDA">
        <w:rPr>
          <w:rFonts w:ascii="Times New Roman" w:eastAsia="Times New Roman" w:hAnsi="Times New Roman" w:cs="Times New Roman"/>
          <w:bCs/>
          <w:i/>
          <w:color w:val="auto"/>
          <w:sz w:val="22"/>
          <w:szCs w:val="22"/>
        </w:rPr>
        <w:t>Journal of HE Policy and Management. Vol.30</w:t>
      </w:r>
      <w:r w:rsidRPr="00451BDA">
        <w:rPr>
          <w:rFonts w:ascii="Times New Roman" w:eastAsia="Times New Roman" w:hAnsi="Times New Roman" w:cs="Times New Roman"/>
          <w:bCs/>
          <w:color w:val="auto"/>
          <w:sz w:val="22"/>
          <w:szCs w:val="22"/>
        </w:rPr>
        <w:t>. No.2.</w:t>
      </w:r>
      <w:r w:rsidR="006D0D1F" w:rsidRPr="00451BDA">
        <w:rPr>
          <w:rFonts w:ascii="Times New Roman" w:eastAsia="Times New Roman" w:hAnsi="Times New Roman" w:cs="Times New Roman"/>
          <w:bCs/>
          <w:color w:val="auto"/>
          <w:sz w:val="22"/>
          <w:szCs w:val="22"/>
        </w:rPr>
        <w:t xml:space="preserve"> </w:t>
      </w:r>
      <w:r w:rsidRPr="00451BDA">
        <w:rPr>
          <w:rFonts w:ascii="Times New Roman" w:eastAsia="Times New Roman" w:hAnsi="Times New Roman" w:cs="Times New Roman"/>
          <w:bCs/>
          <w:color w:val="auto"/>
          <w:sz w:val="22"/>
          <w:szCs w:val="22"/>
        </w:rPr>
        <w:t xml:space="preserve">pp.107-121. </w:t>
      </w:r>
    </w:p>
    <w:p w14:paraId="6819A7FA" w14:textId="77777777" w:rsidR="002C3154" w:rsidRPr="00451BDA" w:rsidRDefault="002C3154" w:rsidP="002C3154">
      <w:pPr>
        <w:pStyle w:val="Heading3"/>
        <w:shd w:val="clear" w:color="auto" w:fill="FFFFFF" w:themeFill="background1"/>
        <w:spacing w:before="0" w:line="240" w:lineRule="auto"/>
        <w:contextualSpacing/>
        <w:rPr>
          <w:rFonts w:ascii="Times New Roman" w:hAnsi="Times New Roman" w:cs="Times New Roman"/>
          <w:bCs/>
          <w:color w:val="auto"/>
          <w:sz w:val="22"/>
          <w:szCs w:val="22"/>
        </w:rPr>
      </w:pPr>
      <w:r w:rsidRPr="00451BDA">
        <w:rPr>
          <w:rFonts w:ascii="Times New Roman" w:hAnsi="Times New Roman" w:cs="Times New Roman"/>
          <w:bCs/>
          <w:color w:val="auto"/>
          <w:sz w:val="22"/>
          <w:szCs w:val="22"/>
        </w:rPr>
        <w:t xml:space="preserve">De Wit, H. (2020), “Internationalization of higher education: The need for more ethical and </w:t>
      </w:r>
    </w:p>
    <w:p w14:paraId="3B4E155C" w14:textId="77777777" w:rsidR="002C3154" w:rsidRPr="00451BDA" w:rsidRDefault="002C3154" w:rsidP="002C3154">
      <w:pPr>
        <w:pStyle w:val="Heading3"/>
        <w:shd w:val="clear" w:color="auto" w:fill="FFFFFF" w:themeFill="background1"/>
        <w:spacing w:before="0" w:line="240" w:lineRule="auto"/>
        <w:ind w:left="720"/>
        <w:contextualSpacing/>
        <w:rPr>
          <w:rFonts w:ascii="Times New Roman" w:hAnsi="Times New Roman" w:cs="Times New Roman"/>
          <w:bCs/>
          <w:color w:val="auto"/>
          <w:sz w:val="22"/>
          <w:szCs w:val="22"/>
          <w:shd w:val="clear" w:color="auto" w:fill="FFFFFF"/>
        </w:rPr>
      </w:pPr>
      <w:r w:rsidRPr="00451BDA">
        <w:rPr>
          <w:rFonts w:ascii="Times New Roman" w:hAnsi="Times New Roman" w:cs="Times New Roman"/>
          <w:bCs/>
          <w:color w:val="auto"/>
          <w:sz w:val="22"/>
          <w:szCs w:val="22"/>
        </w:rPr>
        <w:t xml:space="preserve">qualitative approach”. </w:t>
      </w:r>
      <w:r w:rsidRPr="00451BDA">
        <w:rPr>
          <w:rFonts w:ascii="Times New Roman" w:hAnsi="Times New Roman" w:cs="Times New Roman"/>
          <w:bCs/>
          <w:i/>
          <w:color w:val="auto"/>
          <w:sz w:val="22"/>
          <w:szCs w:val="22"/>
        </w:rPr>
        <w:t>Journal of International Students.</w:t>
      </w:r>
      <w:r w:rsidRPr="00451BDA">
        <w:rPr>
          <w:rFonts w:ascii="Times New Roman" w:hAnsi="Times New Roman" w:cs="Times New Roman"/>
          <w:bCs/>
          <w:color w:val="auto"/>
          <w:sz w:val="22"/>
          <w:szCs w:val="22"/>
        </w:rPr>
        <w:t xml:space="preserve"> Vol.10. No.1. pp.1-6. </w:t>
      </w:r>
    </w:p>
    <w:p w14:paraId="3D9647B5" w14:textId="77777777" w:rsidR="002C3154" w:rsidRPr="00451BDA" w:rsidRDefault="002C3154" w:rsidP="002C3154">
      <w:pPr>
        <w:shd w:val="clear" w:color="auto" w:fill="FFFFFF" w:themeFill="background1"/>
        <w:spacing w:after="0" w:line="240" w:lineRule="auto"/>
        <w:contextualSpacing/>
        <w:rPr>
          <w:rFonts w:ascii="Times New Roman" w:hAnsi="Times New Roman" w:cs="Times New Roman"/>
          <w:bCs/>
        </w:rPr>
      </w:pPr>
      <w:r w:rsidRPr="00451BDA">
        <w:rPr>
          <w:rFonts w:ascii="Times New Roman" w:hAnsi="Times New Roman" w:cs="Times New Roman"/>
          <w:bCs/>
        </w:rPr>
        <w:t xml:space="preserve">De Wit, </w:t>
      </w:r>
      <w:proofErr w:type="gramStart"/>
      <w:r w:rsidRPr="00451BDA">
        <w:rPr>
          <w:rFonts w:ascii="Times New Roman" w:hAnsi="Times New Roman" w:cs="Times New Roman"/>
          <w:bCs/>
        </w:rPr>
        <w:t>H.(</w:t>
      </w:r>
      <w:proofErr w:type="gramEnd"/>
      <w:r w:rsidRPr="00451BDA">
        <w:rPr>
          <w:rFonts w:ascii="Times New Roman" w:hAnsi="Times New Roman" w:cs="Times New Roman"/>
          <w:bCs/>
        </w:rPr>
        <w:t xml:space="preserve">2013),“Internationalization of higher education, an introduction on the why, how and </w:t>
      </w:r>
    </w:p>
    <w:p w14:paraId="4949CA10" w14:textId="77777777" w:rsidR="002C3154" w:rsidRPr="00451BDA" w:rsidRDefault="002C3154" w:rsidP="002C3154">
      <w:pPr>
        <w:shd w:val="clear" w:color="auto" w:fill="FFFFFF" w:themeFill="background1"/>
        <w:spacing w:after="0" w:line="240" w:lineRule="auto"/>
        <w:ind w:left="720"/>
        <w:contextualSpacing/>
        <w:rPr>
          <w:rFonts w:ascii="Times New Roman" w:hAnsi="Times New Roman" w:cs="Times New Roman"/>
          <w:bCs/>
        </w:rPr>
      </w:pPr>
      <w:r w:rsidRPr="00451BDA">
        <w:rPr>
          <w:rFonts w:ascii="Times New Roman" w:hAnsi="Times New Roman" w:cs="Times New Roman"/>
          <w:bCs/>
        </w:rPr>
        <w:t>What”. Hans De Wit. An Introduction to Higher Education Internationalization (eds</w:t>
      </w:r>
      <w:proofErr w:type="gramStart"/>
      <w:r w:rsidRPr="00451BDA">
        <w:rPr>
          <w:rFonts w:ascii="Times New Roman" w:hAnsi="Times New Roman" w:cs="Times New Roman"/>
          <w:bCs/>
        </w:rPr>
        <w:t>).Centre</w:t>
      </w:r>
      <w:proofErr w:type="gramEnd"/>
      <w:r w:rsidRPr="00451BDA">
        <w:rPr>
          <w:rFonts w:ascii="Times New Roman" w:hAnsi="Times New Roman" w:cs="Times New Roman"/>
          <w:bCs/>
        </w:rPr>
        <w:t xml:space="preserve"> for Higher Education Internationalization. Italy. Available at: </w:t>
      </w:r>
      <w:hyperlink r:id="rId15" w:history="1">
        <w:r w:rsidRPr="00451BDA">
          <w:rPr>
            <w:rStyle w:val="Hyperlink"/>
            <w:rFonts w:ascii="Times New Roman" w:hAnsi="Times New Roman" w:cs="Times New Roman"/>
            <w:bCs/>
            <w:color w:val="auto"/>
          </w:rPr>
          <w:t>https://citeseerx.ist.psu.edu/viewdoc/download?doi=10.1.1.905.8413&amp;rep=rep1&amp;type=pdf</w:t>
        </w:r>
      </w:hyperlink>
      <w:r w:rsidRPr="00451BDA">
        <w:rPr>
          <w:rStyle w:val="Hyperlink"/>
          <w:rFonts w:ascii="Times New Roman" w:hAnsi="Times New Roman" w:cs="Times New Roman"/>
          <w:bCs/>
          <w:color w:val="auto"/>
        </w:rPr>
        <w:t xml:space="preserve"> (accessed 1 </w:t>
      </w:r>
      <w:proofErr w:type="gramStart"/>
      <w:r w:rsidRPr="00451BDA">
        <w:rPr>
          <w:rStyle w:val="Hyperlink"/>
          <w:rFonts w:ascii="Times New Roman" w:hAnsi="Times New Roman" w:cs="Times New Roman"/>
          <w:bCs/>
          <w:color w:val="auto"/>
        </w:rPr>
        <w:t>March,</w:t>
      </w:r>
      <w:proofErr w:type="gramEnd"/>
      <w:r w:rsidRPr="00451BDA">
        <w:rPr>
          <w:rStyle w:val="Hyperlink"/>
          <w:rFonts w:ascii="Times New Roman" w:hAnsi="Times New Roman" w:cs="Times New Roman"/>
          <w:bCs/>
          <w:color w:val="auto"/>
        </w:rPr>
        <w:t xml:space="preserve"> 2022)</w:t>
      </w:r>
    </w:p>
    <w:p w14:paraId="2ED9A374" w14:textId="77777777" w:rsidR="002C3154" w:rsidRPr="00451BDA" w:rsidRDefault="002C3154" w:rsidP="002C3154">
      <w:pPr>
        <w:pStyle w:val="Heading3"/>
        <w:shd w:val="clear" w:color="auto" w:fill="FFFFFF" w:themeFill="background1"/>
        <w:spacing w:before="0" w:line="240" w:lineRule="auto"/>
        <w:contextualSpacing/>
        <w:rPr>
          <w:rFonts w:ascii="Times New Roman" w:hAnsi="Times New Roman" w:cs="Times New Roman"/>
          <w:bCs/>
          <w:color w:val="auto"/>
          <w:sz w:val="22"/>
          <w:szCs w:val="22"/>
        </w:rPr>
      </w:pPr>
      <w:r w:rsidRPr="00451BDA">
        <w:rPr>
          <w:rFonts w:ascii="Times New Roman" w:hAnsi="Times New Roman" w:cs="Times New Roman"/>
          <w:bCs/>
          <w:color w:val="auto"/>
          <w:sz w:val="22"/>
          <w:szCs w:val="22"/>
        </w:rPr>
        <w:lastRenderedPageBreak/>
        <w:t xml:space="preserve">Department of Education and Department of International Trade, UK. (2021), “International </w:t>
      </w:r>
    </w:p>
    <w:p w14:paraId="6E60523C" w14:textId="77777777" w:rsidR="002C3154" w:rsidRPr="00451BDA" w:rsidRDefault="002C3154" w:rsidP="002C3154">
      <w:pPr>
        <w:pStyle w:val="Heading3"/>
        <w:shd w:val="clear" w:color="auto" w:fill="FFFFFF" w:themeFill="background1"/>
        <w:spacing w:before="0" w:line="240" w:lineRule="auto"/>
        <w:ind w:left="720"/>
        <w:contextualSpacing/>
        <w:rPr>
          <w:rStyle w:val="Hyperlink"/>
          <w:rFonts w:ascii="Times New Roman" w:hAnsi="Times New Roman" w:cs="Times New Roman"/>
          <w:bCs/>
          <w:color w:val="auto"/>
          <w:sz w:val="22"/>
          <w:szCs w:val="22"/>
        </w:rPr>
      </w:pPr>
      <w:r w:rsidRPr="00451BDA">
        <w:rPr>
          <w:rFonts w:ascii="Times New Roman" w:hAnsi="Times New Roman" w:cs="Times New Roman"/>
          <w:bCs/>
          <w:color w:val="auto"/>
          <w:sz w:val="22"/>
          <w:szCs w:val="22"/>
        </w:rPr>
        <w:t xml:space="preserve">education strategy, global potential, global growth”. Available at: </w:t>
      </w:r>
      <w:hyperlink r:id="rId16" w:history="1">
        <w:r w:rsidRPr="00451BDA">
          <w:rPr>
            <w:rStyle w:val="Hyperlink"/>
            <w:rFonts w:ascii="Times New Roman" w:hAnsi="Times New Roman" w:cs="Times New Roman"/>
            <w:bCs/>
            <w:color w:val="auto"/>
            <w:sz w:val="22"/>
            <w:szCs w:val="22"/>
          </w:rPr>
          <w:t>https://www.gov.uk/government/publications/international-education-strategy-global-potential-global-growth/international-education-strategy-global-potential-global-growth</w:t>
        </w:r>
      </w:hyperlink>
      <w:r w:rsidRPr="00451BDA">
        <w:rPr>
          <w:rStyle w:val="Hyperlink"/>
          <w:rFonts w:ascii="Times New Roman" w:hAnsi="Times New Roman" w:cs="Times New Roman"/>
          <w:bCs/>
          <w:color w:val="auto"/>
          <w:sz w:val="22"/>
          <w:szCs w:val="22"/>
        </w:rPr>
        <w:t xml:space="preserve"> </w:t>
      </w:r>
      <w:r w:rsidRPr="00451BDA">
        <w:rPr>
          <w:rStyle w:val="Hyperlink"/>
          <w:rFonts w:ascii="Times New Roman" w:hAnsi="Times New Roman" w:cs="Times New Roman"/>
          <w:bCs/>
          <w:color w:val="auto"/>
          <w:sz w:val="22"/>
          <w:szCs w:val="22"/>
          <w:u w:val="none"/>
        </w:rPr>
        <w:t>(accessed 1 March, 2022).</w:t>
      </w:r>
    </w:p>
    <w:p w14:paraId="003FB160" w14:textId="77777777" w:rsidR="002C3154" w:rsidRPr="00451BDA" w:rsidRDefault="002C3154" w:rsidP="002C3154">
      <w:pPr>
        <w:shd w:val="clear" w:color="auto" w:fill="FFFFFF" w:themeFill="background1"/>
        <w:spacing w:after="0" w:line="240" w:lineRule="auto"/>
        <w:contextualSpacing/>
        <w:rPr>
          <w:rFonts w:ascii="Times New Roman" w:eastAsia="Times New Roman" w:hAnsi="Times New Roman" w:cs="Times New Roman"/>
          <w:bCs/>
          <w:i/>
        </w:rPr>
      </w:pPr>
      <w:r w:rsidRPr="00451BDA">
        <w:rPr>
          <w:rFonts w:ascii="Times New Roman" w:eastAsia="Times New Roman" w:hAnsi="Times New Roman" w:cs="Times New Roman"/>
          <w:bCs/>
        </w:rPr>
        <w:t>Deborah, S. (2014), “</w:t>
      </w:r>
      <w:r w:rsidRPr="00451BDA">
        <w:rPr>
          <w:rFonts w:ascii="Times New Roman" w:eastAsia="Times New Roman" w:hAnsi="Times New Roman" w:cs="Times New Roman"/>
          <w:bCs/>
          <w:i/>
        </w:rPr>
        <w:t xml:space="preserve">Students’ perceptions of internationalization in higher education”. Annual </w:t>
      </w:r>
    </w:p>
    <w:p w14:paraId="268460CE" w14:textId="77777777" w:rsidR="002C3154" w:rsidRPr="00451BDA" w:rsidRDefault="002C3154" w:rsidP="002C3154">
      <w:pPr>
        <w:shd w:val="clear" w:color="auto" w:fill="FFFFFF" w:themeFill="background1"/>
        <w:spacing w:after="0" w:line="240" w:lineRule="auto"/>
        <w:ind w:left="720"/>
        <w:contextualSpacing/>
        <w:rPr>
          <w:rFonts w:ascii="Times New Roman" w:eastAsia="Times New Roman" w:hAnsi="Times New Roman" w:cs="Times New Roman"/>
          <w:bCs/>
        </w:rPr>
      </w:pPr>
      <w:r w:rsidRPr="00451BDA">
        <w:rPr>
          <w:rFonts w:ascii="Times New Roman" w:eastAsia="Times New Roman" w:hAnsi="Times New Roman" w:cs="Times New Roman"/>
          <w:bCs/>
          <w:i/>
        </w:rPr>
        <w:t>conference at the Society for Research into Higher Education</w:t>
      </w:r>
      <w:r w:rsidRPr="00451BDA">
        <w:rPr>
          <w:rFonts w:ascii="Times New Roman" w:eastAsia="Times New Roman" w:hAnsi="Times New Roman" w:cs="Times New Roman"/>
          <w:bCs/>
        </w:rPr>
        <w:t xml:space="preserve">. Available at: </w:t>
      </w:r>
      <w:hyperlink r:id="rId17">
        <w:r w:rsidRPr="00451BDA">
          <w:rPr>
            <w:rFonts w:ascii="Times New Roman" w:eastAsia="Times New Roman" w:hAnsi="Times New Roman" w:cs="Times New Roman"/>
            <w:bCs/>
            <w:u w:val="single"/>
          </w:rPr>
          <w:t>https://www.srhe.ac.uk/conference2014/abstracts/0188.pdf</w:t>
        </w:r>
      </w:hyperlink>
      <w:r w:rsidRPr="00451BDA">
        <w:rPr>
          <w:rFonts w:ascii="Times New Roman" w:eastAsia="Times New Roman" w:hAnsi="Times New Roman" w:cs="Times New Roman"/>
          <w:bCs/>
          <w:u w:val="single"/>
        </w:rPr>
        <w:t xml:space="preserve"> (accessed 1 </w:t>
      </w:r>
      <w:proofErr w:type="gramStart"/>
      <w:r w:rsidRPr="00451BDA">
        <w:rPr>
          <w:rFonts w:ascii="Times New Roman" w:eastAsia="Times New Roman" w:hAnsi="Times New Roman" w:cs="Times New Roman"/>
          <w:bCs/>
          <w:u w:val="single"/>
        </w:rPr>
        <w:t>March,</w:t>
      </w:r>
      <w:proofErr w:type="gramEnd"/>
      <w:r w:rsidRPr="00451BDA">
        <w:rPr>
          <w:rFonts w:ascii="Times New Roman" w:eastAsia="Times New Roman" w:hAnsi="Times New Roman" w:cs="Times New Roman"/>
          <w:bCs/>
          <w:u w:val="single"/>
        </w:rPr>
        <w:t xml:space="preserve"> 2022).</w:t>
      </w:r>
    </w:p>
    <w:p w14:paraId="3F8289C4" w14:textId="77777777" w:rsidR="002C3154" w:rsidRPr="00451BDA" w:rsidRDefault="002C3154" w:rsidP="002C3154">
      <w:pPr>
        <w:shd w:val="clear" w:color="auto" w:fill="FFFFFF" w:themeFill="background1"/>
        <w:spacing w:after="0" w:line="240" w:lineRule="auto"/>
        <w:contextualSpacing/>
        <w:rPr>
          <w:rFonts w:ascii="Times New Roman" w:eastAsia="Times New Roman" w:hAnsi="Times New Roman" w:cs="Times New Roman"/>
          <w:bCs/>
          <w:i/>
        </w:rPr>
      </w:pPr>
      <w:r w:rsidRPr="00451BDA">
        <w:rPr>
          <w:rFonts w:ascii="Times New Roman" w:eastAsia="Times New Roman" w:hAnsi="Times New Roman" w:cs="Times New Roman"/>
          <w:bCs/>
        </w:rPr>
        <w:t>De Jager. (2004), “</w:t>
      </w:r>
      <w:r w:rsidRPr="00451BDA">
        <w:rPr>
          <w:rFonts w:ascii="Times New Roman" w:eastAsia="Times New Roman" w:hAnsi="Times New Roman" w:cs="Times New Roman"/>
          <w:bCs/>
          <w:i/>
        </w:rPr>
        <w:t xml:space="preserve">Employers expectations and prospective employee realities: a model to </w:t>
      </w:r>
    </w:p>
    <w:p w14:paraId="0DEBFEA5" w14:textId="085B75A4" w:rsidR="002C3154" w:rsidRPr="00451BDA" w:rsidRDefault="002C3154" w:rsidP="002C3154">
      <w:pPr>
        <w:shd w:val="clear" w:color="auto" w:fill="FFFFFF" w:themeFill="background1"/>
        <w:spacing w:after="0" w:line="240" w:lineRule="auto"/>
        <w:ind w:left="720"/>
        <w:contextualSpacing/>
        <w:rPr>
          <w:rFonts w:ascii="Times New Roman" w:eastAsia="Times New Roman" w:hAnsi="Times New Roman" w:cs="Times New Roman"/>
          <w:bCs/>
        </w:rPr>
      </w:pPr>
      <w:r w:rsidRPr="00451BDA">
        <w:rPr>
          <w:rFonts w:ascii="Times New Roman" w:eastAsia="Times New Roman" w:hAnsi="Times New Roman" w:cs="Times New Roman"/>
          <w:bCs/>
          <w:i/>
        </w:rPr>
        <w:t>address the need of employable skills”</w:t>
      </w:r>
      <w:r w:rsidRPr="00451BDA">
        <w:rPr>
          <w:rFonts w:ascii="Times New Roman" w:eastAsia="Times New Roman" w:hAnsi="Times New Roman" w:cs="Times New Roman"/>
          <w:bCs/>
        </w:rPr>
        <w:t>. The Department of Business Management at North-West University.</w:t>
      </w:r>
      <w:r w:rsidR="00655B93" w:rsidRPr="00451BDA">
        <w:rPr>
          <w:rFonts w:ascii="Times New Roman" w:eastAsia="Times New Roman" w:hAnsi="Times New Roman" w:cs="Times New Roman"/>
          <w:bCs/>
        </w:rPr>
        <w:t xml:space="preserve"> </w:t>
      </w:r>
      <w:proofErr w:type="spellStart"/>
      <w:r w:rsidR="00655B93" w:rsidRPr="00451BDA">
        <w:rPr>
          <w:rFonts w:ascii="Times New Roman" w:eastAsia="Times New Roman" w:hAnsi="Times New Roman" w:cs="Times New Roman"/>
          <w:bCs/>
        </w:rPr>
        <w:t>Vanderbijlpark</w:t>
      </w:r>
      <w:proofErr w:type="spellEnd"/>
      <w:r w:rsidR="00655B93" w:rsidRPr="00451BDA">
        <w:rPr>
          <w:rFonts w:ascii="Times New Roman" w:eastAsia="Times New Roman" w:hAnsi="Times New Roman" w:cs="Times New Roman"/>
          <w:bCs/>
        </w:rPr>
        <w:t>.</w:t>
      </w:r>
    </w:p>
    <w:p w14:paraId="3194BCA2" w14:textId="77777777" w:rsidR="002C3154" w:rsidRPr="00451BDA" w:rsidRDefault="002C3154" w:rsidP="002C3154">
      <w:pPr>
        <w:shd w:val="clear" w:color="auto" w:fill="FFFFFF" w:themeFill="background1"/>
        <w:spacing w:after="0" w:line="240" w:lineRule="auto"/>
        <w:contextualSpacing/>
        <w:rPr>
          <w:rFonts w:ascii="Times New Roman" w:eastAsia="Times New Roman" w:hAnsi="Times New Roman" w:cs="Times New Roman"/>
          <w:bCs/>
        </w:rPr>
      </w:pPr>
      <w:r w:rsidRPr="00451BDA">
        <w:rPr>
          <w:rFonts w:ascii="Times New Roman" w:eastAsia="Times New Roman" w:hAnsi="Times New Roman" w:cs="Times New Roman"/>
          <w:bCs/>
        </w:rPr>
        <w:t>Gopal, A. (2011), “Internationalization of higher education: Preparing faculty to teach cross-</w:t>
      </w:r>
    </w:p>
    <w:p w14:paraId="321571A3" w14:textId="4E5CA8F9" w:rsidR="002C3154" w:rsidRPr="00451BDA" w:rsidRDefault="002C03CD" w:rsidP="002C3154">
      <w:pPr>
        <w:shd w:val="clear" w:color="auto" w:fill="FFFFFF" w:themeFill="background1"/>
        <w:spacing w:after="0" w:line="240" w:lineRule="auto"/>
        <w:ind w:left="720"/>
        <w:contextualSpacing/>
        <w:rPr>
          <w:rFonts w:ascii="Times New Roman" w:eastAsia="Times New Roman" w:hAnsi="Times New Roman" w:cs="Times New Roman"/>
          <w:bCs/>
        </w:rPr>
      </w:pPr>
      <w:r w:rsidRPr="00451BDA">
        <w:rPr>
          <w:rFonts w:ascii="Times New Roman" w:eastAsia="Times New Roman" w:hAnsi="Times New Roman" w:cs="Times New Roman"/>
          <w:bCs/>
        </w:rPr>
        <w:t>culturally”.</w:t>
      </w:r>
      <w:r w:rsidRPr="00451BDA">
        <w:rPr>
          <w:rFonts w:ascii="Times New Roman" w:eastAsia="Times New Roman" w:hAnsi="Times New Roman" w:cs="Times New Roman"/>
          <w:bCs/>
          <w:i/>
          <w:iCs/>
        </w:rPr>
        <w:t xml:space="preserve"> International</w:t>
      </w:r>
      <w:r w:rsidR="002C3154" w:rsidRPr="00451BDA">
        <w:rPr>
          <w:rFonts w:ascii="Times New Roman" w:eastAsia="Times New Roman" w:hAnsi="Times New Roman" w:cs="Times New Roman"/>
          <w:bCs/>
          <w:i/>
          <w:iCs/>
        </w:rPr>
        <w:t xml:space="preserve"> Journal of Teaching and Learning in Higher Education,</w:t>
      </w:r>
      <w:r w:rsidR="002C3154" w:rsidRPr="00451BDA">
        <w:rPr>
          <w:rFonts w:ascii="Times New Roman" w:eastAsia="Times New Roman" w:hAnsi="Times New Roman" w:cs="Times New Roman"/>
          <w:bCs/>
        </w:rPr>
        <w:t xml:space="preserve"> Vol.23. No.3. pp.373-381.</w:t>
      </w:r>
    </w:p>
    <w:p w14:paraId="7BB54B6F" w14:textId="77777777" w:rsidR="002C3154" w:rsidRPr="00451BDA" w:rsidRDefault="002C3154" w:rsidP="002C3154">
      <w:pPr>
        <w:shd w:val="clear" w:color="auto" w:fill="FFFFFF" w:themeFill="background1"/>
        <w:spacing w:after="0" w:line="240" w:lineRule="auto"/>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Gouldthorpe, J.L. Harder, A. </w:t>
      </w:r>
      <w:proofErr w:type="spellStart"/>
      <w:r w:rsidRPr="00451BDA">
        <w:rPr>
          <w:rFonts w:ascii="Times New Roman" w:eastAsia="Times New Roman" w:hAnsi="Times New Roman" w:cs="Times New Roman"/>
          <w:bCs/>
        </w:rPr>
        <w:t>Stadman</w:t>
      </w:r>
      <w:proofErr w:type="spellEnd"/>
      <w:r w:rsidRPr="00451BDA">
        <w:rPr>
          <w:rFonts w:ascii="Times New Roman" w:eastAsia="Times New Roman" w:hAnsi="Times New Roman" w:cs="Times New Roman"/>
          <w:bCs/>
        </w:rPr>
        <w:t xml:space="preserve">, N.L.P. and Roberts, T.G. (2012), “Steps toward </w:t>
      </w:r>
    </w:p>
    <w:p w14:paraId="751BDDA1" w14:textId="77777777" w:rsidR="002C3154" w:rsidRPr="00451BDA" w:rsidRDefault="002C3154" w:rsidP="002C3154">
      <w:pPr>
        <w:shd w:val="clear" w:color="auto" w:fill="FFFFFF" w:themeFill="background1"/>
        <w:spacing w:after="0" w:line="240" w:lineRule="auto"/>
        <w:ind w:left="720"/>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internationalization in undergraduate programs: The use of reflective activities for faculty international experiences”. </w:t>
      </w:r>
      <w:r w:rsidRPr="00451BDA">
        <w:rPr>
          <w:rFonts w:ascii="Times New Roman" w:eastAsia="Times New Roman" w:hAnsi="Times New Roman" w:cs="Times New Roman"/>
          <w:bCs/>
          <w:i/>
        </w:rPr>
        <w:t xml:space="preserve">Journal of International Agricultural and Extension Education. </w:t>
      </w:r>
      <w:r w:rsidRPr="00451BDA">
        <w:rPr>
          <w:rFonts w:ascii="Times New Roman" w:eastAsia="Times New Roman" w:hAnsi="Times New Roman" w:cs="Times New Roman"/>
          <w:bCs/>
          <w:iCs/>
        </w:rPr>
        <w:t>Vol.19.</w:t>
      </w:r>
      <w:r w:rsidRPr="00451BDA">
        <w:rPr>
          <w:rFonts w:ascii="Times New Roman" w:eastAsia="Times New Roman" w:hAnsi="Times New Roman" w:cs="Times New Roman"/>
          <w:bCs/>
        </w:rPr>
        <w:t xml:space="preserve"> No.1. pp.30-1. </w:t>
      </w:r>
    </w:p>
    <w:p w14:paraId="49125084" w14:textId="77777777" w:rsidR="002C3154" w:rsidRPr="00451BDA" w:rsidRDefault="002C3154" w:rsidP="002C3154">
      <w:pPr>
        <w:shd w:val="clear" w:color="auto" w:fill="FFFFFF" w:themeFill="background1"/>
        <w:spacing w:after="0" w:line="240" w:lineRule="auto"/>
        <w:contextualSpacing/>
        <w:rPr>
          <w:rFonts w:ascii="Times New Roman" w:eastAsia="Times New Roman" w:hAnsi="Times New Roman" w:cs="Times New Roman"/>
          <w:bCs/>
          <w:i/>
        </w:rPr>
      </w:pPr>
      <w:r w:rsidRPr="00451BDA">
        <w:rPr>
          <w:rFonts w:ascii="Times New Roman" w:eastAsia="Times New Roman" w:hAnsi="Times New Roman" w:cs="Times New Roman"/>
          <w:bCs/>
        </w:rPr>
        <w:t xml:space="preserve">Helms, R. M. (2021), </w:t>
      </w:r>
      <w:r w:rsidRPr="00451BDA">
        <w:rPr>
          <w:rFonts w:ascii="Times New Roman" w:eastAsia="Times New Roman" w:hAnsi="Times New Roman" w:cs="Times New Roman"/>
          <w:bCs/>
          <w:i/>
        </w:rPr>
        <w:t>Internationalization in action: Internationalizing the curriculum. Part I-</w:t>
      </w:r>
    </w:p>
    <w:p w14:paraId="5EA7A880" w14:textId="77777777" w:rsidR="002C3154" w:rsidRPr="00451BDA" w:rsidRDefault="002C3154" w:rsidP="002C3154">
      <w:pPr>
        <w:shd w:val="clear" w:color="auto" w:fill="FFFFFF" w:themeFill="background1"/>
        <w:spacing w:after="0" w:line="240" w:lineRule="auto"/>
        <w:ind w:left="720"/>
        <w:contextualSpacing/>
        <w:rPr>
          <w:rFonts w:ascii="Times New Roman" w:eastAsia="Times New Roman" w:hAnsi="Times New Roman" w:cs="Times New Roman"/>
          <w:bCs/>
        </w:rPr>
      </w:pPr>
      <w:r w:rsidRPr="00451BDA">
        <w:rPr>
          <w:rFonts w:ascii="Times New Roman" w:eastAsia="Times New Roman" w:hAnsi="Times New Roman" w:cs="Times New Roman"/>
          <w:bCs/>
          <w:i/>
        </w:rPr>
        <w:t>individual courses</w:t>
      </w:r>
      <w:r w:rsidRPr="00451BDA">
        <w:rPr>
          <w:rFonts w:ascii="Times New Roman" w:eastAsia="Times New Roman" w:hAnsi="Times New Roman" w:cs="Times New Roman"/>
          <w:bCs/>
        </w:rPr>
        <w:t xml:space="preserve">, American Council on Education. Available at: </w:t>
      </w:r>
      <w:hyperlink r:id="rId18" w:history="1">
        <w:r w:rsidRPr="00451BDA">
          <w:rPr>
            <w:rStyle w:val="Hyperlink"/>
            <w:rFonts w:ascii="Times New Roman" w:hAnsi="Times New Roman" w:cs="Times New Roman"/>
            <w:bCs/>
            <w:color w:val="auto"/>
          </w:rPr>
          <w:t>https://www.acenet.edu/Research-</w:t>
        </w:r>
      </w:hyperlink>
      <w:r w:rsidRPr="00451BDA">
        <w:rPr>
          <w:rFonts w:ascii="Times New Roman" w:hAnsi="Times New Roman" w:cs="Times New Roman"/>
          <w:bCs/>
        </w:rPr>
        <w:t>Insights/Pages/Internationalization/Intlz-in-Action-2013-December.aspx</w:t>
      </w:r>
      <w:r w:rsidRPr="00451BDA">
        <w:rPr>
          <w:rFonts w:ascii="Times New Roman" w:eastAsia="Times New Roman" w:hAnsi="Times New Roman" w:cs="Times New Roman"/>
          <w:bCs/>
        </w:rPr>
        <w:t>.</w:t>
      </w:r>
    </w:p>
    <w:p w14:paraId="60F81A74" w14:textId="77777777" w:rsidR="002C3154" w:rsidRPr="00451BDA" w:rsidRDefault="002C3154" w:rsidP="002C3154">
      <w:pPr>
        <w:shd w:val="clear" w:color="auto" w:fill="FFFFFF" w:themeFill="background1"/>
        <w:spacing w:after="0" w:line="240" w:lineRule="auto"/>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Herman, G. (2005), “Internationalization of Australian HE: A critical review of literature and </w:t>
      </w:r>
    </w:p>
    <w:p w14:paraId="291BB9D2" w14:textId="77777777" w:rsidR="002C3154" w:rsidRPr="00451BDA" w:rsidRDefault="002C3154" w:rsidP="002C3154">
      <w:pPr>
        <w:shd w:val="clear" w:color="auto" w:fill="FFFFFF" w:themeFill="background1"/>
        <w:spacing w:after="0" w:line="240" w:lineRule="auto"/>
        <w:ind w:left="720"/>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Research”. </w:t>
      </w:r>
      <w:r w:rsidRPr="00451BDA">
        <w:rPr>
          <w:rFonts w:ascii="Times New Roman" w:eastAsia="Times New Roman" w:hAnsi="Times New Roman" w:cs="Times New Roman"/>
          <w:bCs/>
          <w:i/>
        </w:rPr>
        <w:t xml:space="preserve">P. </w:t>
      </w:r>
      <w:proofErr w:type="spellStart"/>
      <w:r w:rsidRPr="00451BDA">
        <w:rPr>
          <w:rFonts w:ascii="Times New Roman" w:eastAsia="Times New Roman" w:hAnsi="Times New Roman" w:cs="Times New Roman"/>
          <w:bCs/>
          <w:i/>
        </w:rPr>
        <w:t>Ninnes</w:t>
      </w:r>
      <w:proofErr w:type="spellEnd"/>
      <w:r w:rsidRPr="00451BDA">
        <w:rPr>
          <w:rFonts w:ascii="Times New Roman" w:eastAsia="Times New Roman" w:hAnsi="Times New Roman" w:cs="Times New Roman"/>
          <w:bCs/>
          <w:i/>
        </w:rPr>
        <w:t xml:space="preserve"> and M. </w:t>
      </w:r>
      <w:proofErr w:type="spellStart"/>
      <w:r w:rsidRPr="00451BDA">
        <w:rPr>
          <w:rFonts w:ascii="Times New Roman" w:eastAsia="Times New Roman" w:hAnsi="Times New Roman" w:cs="Times New Roman"/>
          <w:bCs/>
          <w:i/>
        </w:rPr>
        <w:t>Hellstén</w:t>
      </w:r>
      <w:proofErr w:type="spellEnd"/>
      <w:r w:rsidRPr="00451BDA">
        <w:rPr>
          <w:rFonts w:ascii="Times New Roman" w:eastAsia="Times New Roman" w:hAnsi="Times New Roman" w:cs="Times New Roman"/>
          <w:bCs/>
          <w:i/>
        </w:rPr>
        <w:t xml:space="preserve"> (eds.), Internationalizing HE, </w:t>
      </w:r>
      <w:r w:rsidRPr="00451BDA">
        <w:rPr>
          <w:rFonts w:ascii="Times New Roman" w:eastAsia="Times New Roman" w:hAnsi="Times New Roman" w:cs="Times New Roman"/>
          <w:bCs/>
        </w:rPr>
        <w:t>119-140.</w:t>
      </w:r>
      <w:r w:rsidRPr="00451BDA">
        <w:rPr>
          <w:rFonts w:ascii="Times New Roman" w:eastAsia="Times New Roman" w:hAnsi="Times New Roman" w:cs="Times New Roman"/>
          <w:bCs/>
          <w:i/>
        </w:rPr>
        <w:t xml:space="preserve"> Springer. Printed in the Netherlands.</w:t>
      </w:r>
      <w:r w:rsidRPr="00451BDA">
        <w:rPr>
          <w:rFonts w:ascii="Times New Roman" w:eastAsia="Times New Roman" w:hAnsi="Times New Roman" w:cs="Times New Roman"/>
          <w:bCs/>
        </w:rPr>
        <w:t xml:space="preserve"> Available at: </w:t>
      </w:r>
      <w:hyperlink r:id="rId19" w:history="1">
        <w:r w:rsidRPr="00451BDA">
          <w:rPr>
            <w:rStyle w:val="Hyperlink"/>
            <w:rFonts w:ascii="Times New Roman" w:hAnsi="Times New Roman" w:cs="Times New Roman"/>
            <w:bCs/>
            <w:color w:val="auto"/>
          </w:rPr>
          <w:t>https://federation.edu.au/__data/assets/pdf_file/0013/221251/6-Internationalization-Harman.pdf</w:t>
        </w:r>
      </w:hyperlink>
      <w:r w:rsidRPr="00451BDA">
        <w:rPr>
          <w:rFonts w:ascii="Times New Roman" w:eastAsia="Times New Roman" w:hAnsi="Times New Roman" w:cs="Times New Roman"/>
          <w:bCs/>
        </w:rPr>
        <w:t>. (</w:t>
      </w:r>
      <w:proofErr w:type="gramStart"/>
      <w:r w:rsidRPr="00451BDA">
        <w:rPr>
          <w:rFonts w:ascii="Times New Roman" w:eastAsia="Times New Roman" w:hAnsi="Times New Roman" w:cs="Times New Roman"/>
          <w:bCs/>
        </w:rPr>
        <w:t>accessed</w:t>
      </w:r>
      <w:proofErr w:type="gramEnd"/>
      <w:r w:rsidRPr="00451BDA">
        <w:rPr>
          <w:rFonts w:ascii="Times New Roman" w:eastAsia="Times New Roman" w:hAnsi="Times New Roman" w:cs="Times New Roman"/>
          <w:bCs/>
        </w:rPr>
        <w:t xml:space="preserve"> 1 March, 2022).</w:t>
      </w:r>
    </w:p>
    <w:p w14:paraId="27B4736C" w14:textId="6DD2A766" w:rsidR="002C3154" w:rsidRPr="00451BDA" w:rsidRDefault="002C3154" w:rsidP="002C3154">
      <w:pPr>
        <w:shd w:val="clear" w:color="auto" w:fill="FFFFFF" w:themeFill="background1"/>
        <w:spacing w:after="0" w:line="240" w:lineRule="auto"/>
        <w:contextualSpacing/>
        <w:rPr>
          <w:rStyle w:val="arttitle"/>
          <w:rFonts w:ascii="Times New Roman" w:hAnsi="Times New Roman" w:cs="Times New Roman"/>
          <w:bCs/>
          <w:shd w:val="clear" w:color="auto" w:fill="FFFFFF"/>
        </w:rPr>
      </w:pPr>
      <w:r w:rsidRPr="00451BDA">
        <w:rPr>
          <w:rStyle w:val="authors"/>
          <w:rFonts w:ascii="Times New Roman" w:hAnsi="Times New Roman" w:cs="Times New Roman"/>
          <w:bCs/>
          <w:shd w:val="clear" w:color="auto" w:fill="FFFFFF"/>
        </w:rPr>
        <w:t>Horta, H. and Mok, K.</w:t>
      </w:r>
      <w:r w:rsidRPr="00451BDA">
        <w:rPr>
          <w:rFonts w:ascii="Times New Roman" w:hAnsi="Times New Roman" w:cs="Times New Roman"/>
          <w:bCs/>
          <w:shd w:val="clear" w:color="auto" w:fill="FFFFFF"/>
        </w:rPr>
        <w:t> </w:t>
      </w:r>
      <w:r w:rsidRPr="00451BDA">
        <w:rPr>
          <w:rStyle w:val="Date1"/>
          <w:rFonts w:ascii="Times New Roman" w:hAnsi="Times New Roman" w:cs="Times New Roman"/>
          <w:bCs/>
          <w:shd w:val="clear" w:color="auto" w:fill="FFFFFF"/>
        </w:rPr>
        <w:t>(2020),</w:t>
      </w:r>
      <w:r w:rsidR="00655B93" w:rsidRPr="00451BDA">
        <w:rPr>
          <w:rStyle w:val="Date1"/>
          <w:rFonts w:ascii="Times New Roman" w:hAnsi="Times New Roman" w:cs="Times New Roman"/>
          <w:bCs/>
          <w:shd w:val="clear" w:color="auto" w:fill="FFFFFF"/>
        </w:rPr>
        <w:t xml:space="preserve"> </w:t>
      </w:r>
      <w:r w:rsidRPr="00451BDA">
        <w:rPr>
          <w:rFonts w:ascii="Times New Roman" w:hAnsi="Times New Roman" w:cs="Times New Roman"/>
          <w:bCs/>
          <w:shd w:val="clear" w:color="auto" w:fill="FFFFFF"/>
        </w:rPr>
        <w:t>“</w:t>
      </w:r>
      <w:r w:rsidRPr="00451BDA">
        <w:rPr>
          <w:rStyle w:val="arttitle"/>
          <w:rFonts w:ascii="Times New Roman" w:hAnsi="Times New Roman" w:cs="Times New Roman"/>
          <w:bCs/>
          <w:shd w:val="clear" w:color="auto" w:fill="FFFFFF"/>
        </w:rPr>
        <w:t xml:space="preserve">Challenges to research systems, academic research and </w:t>
      </w:r>
    </w:p>
    <w:p w14:paraId="50BCD0AC" w14:textId="77777777" w:rsidR="002C3154" w:rsidRPr="00451BDA" w:rsidRDefault="002C3154" w:rsidP="002C3154">
      <w:pPr>
        <w:shd w:val="clear" w:color="auto" w:fill="FFFFFF" w:themeFill="background1"/>
        <w:spacing w:after="0" w:line="240" w:lineRule="auto"/>
        <w:ind w:left="720"/>
        <w:contextualSpacing/>
        <w:rPr>
          <w:rFonts w:ascii="Times New Roman" w:eastAsia="Times New Roman" w:hAnsi="Times New Roman" w:cs="Times New Roman"/>
          <w:bCs/>
        </w:rPr>
      </w:pPr>
      <w:r w:rsidRPr="00451BDA">
        <w:rPr>
          <w:rStyle w:val="arttitle"/>
          <w:rFonts w:ascii="Times New Roman" w:hAnsi="Times New Roman" w:cs="Times New Roman"/>
          <w:bCs/>
          <w:shd w:val="clear" w:color="auto" w:fill="FFFFFF"/>
        </w:rPr>
        <w:t>knowledge production in East Asia: learning from the past to inform future policy</w:t>
      </w:r>
      <w:r w:rsidRPr="00451BDA">
        <w:rPr>
          <w:rFonts w:ascii="Times New Roman" w:hAnsi="Times New Roman" w:cs="Times New Roman"/>
          <w:bCs/>
          <w:shd w:val="clear" w:color="auto" w:fill="FFFFFF"/>
        </w:rPr>
        <w:t xml:space="preserve">”. </w:t>
      </w:r>
      <w:r w:rsidRPr="00451BDA">
        <w:rPr>
          <w:rStyle w:val="serialtitle"/>
          <w:rFonts w:ascii="Times New Roman" w:hAnsi="Times New Roman" w:cs="Times New Roman"/>
          <w:bCs/>
          <w:i/>
          <w:shd w:val="clear" w:color="auto" w:fill="FFFFFF"/>
        </w:rPr>
        <w:t>Journal of Higher Education Policy and Management</w:t>
      </w:r>
      <w:r w:rsidRPr="00451BDA">
        <w:rPr>
          <w:rStyle w:val="serialtitle"/>
          <w:rFonts w:ascii="Times New Roman" w:hAnsi="Times New Roman" w:cs="Times New Roman"/>
          <w:bCs/>
          <w:shd w:val="clear" w:color="auto" w:fill="FFFFFF"/>
        </w:rPr>
        <w:t>.</w:t>
      </w:r>
      <w:r w:rsidRPr="00451BDA">
        <w:rPr>
          <w:rFonts w:ascii="Times New Roman" w:hAnsi="Times New Roman" w:cs="Times New Roman"/>
          <w:bCs/>
          <w:shd w:val="clear" w:color="auto" w:fill="FFFFFF"/>
        </w:rPr>
        <w:t xml:space="preserve"> Vol. </w:t>
      </w:r>
      <w:r w:rsidRPr="00451BDA">
        <w:rPr>
          <w:rStyle w:val="volumeissue"/>
          <w:rFonts w:ascii="Times New Roman" w:hAnsi="Times New Roman" w:cs="Times New Roman"/>
          <w:bCs/>
          <w:shd w:val="clear" w:color="auto" w:fill="FFFFFF"/>
        </w:rPr>
        <w:t>42. No. 2</w:t>
      </w:r>
      <w:r w:rsidRPr="00451BDA">
        <w:rPr>
          <w:rFonts w:ascii="Times New Roman" w:hAnsi="Times New Roman" w:cs="Times New Roman"/>
          <w:bCs/>
          <w:shd w:val="clear" w:color="auto" w:fill="FFFFFF"/>
        </w:rPr>
        <w:t>. pp</w:t>
      </w:r>
      <w:r w:rsidRPr="00451BDA">
        <w:rPr>
          <w:rStyle w:val="pagerange"/>
          <w:rFonts w:ascii="Times New Roman" w:hAnsi="Times New Roman" w:cs="Times New Roman"/>
          <w:bCs/>
          <w:shd w:val="clear" w:color="auto" w:fill="FFFFFF"/>
        </w:rPr>
        <w:t>119-133.</w:t>
      </w:r>
      <w:r w:rsidRPr="00451BDA">
        <w:rPr>
          <w:rFonts w:ascii="Times New Roman" w:hAnsi="Times New Roman" w:cs="Times New Roman"/>
          <w:bCs/>
          <w:shd w:val="clear" w:color="auto" w:fill="FFFFFF"/>
        </w:rPr>
        <w:t> </w:t>
      </w:r>
      <w:r w:rsidRPr="00451BDA" w:rsidDel="002A4E6F">
        <w:rPr>
          <w:rStyle w:val="doilink"/>
          <w:rFonts w:ascii="Times New Roman" w:hAnsi="Times New Roman" w:cs="Times New Roman"/>
          <w:bCs/>
          <w:shd w:val="clear" w:color="auto" w:fill="FFFFFF"/>
        </w:rPr>
        <w:t xml:space="preserve"> </w:t>
      </w:r>
    </w:p>
    <w:p w14:paraId="769E3989" w14:textId="77777777" w:rsidR="002C3154" w:rsidRPr="00451BDA" w:rsidRDefault="002C3154" w:rsidP="002C3154">
      <w:pPr>
        <w:shd w:val="clear" w:color="auto" w:fill="FFFFFF" w:themeFill="background1"/>
        <w:spacing w:after="0" w:line="240" w:lineRule="auto"/>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Imran, M., Kazmi, D.H., Rauf, M.B., Hafeez, A., Iqbal, s., and </w:t>
      </w:r>
      <w:proofErr w:type="spellStart"/>
      <w:r w:rsidRPr="00451BDA">
        <w:rPr>
          <w:rFonts w:ascii="Times New Roman" w:eastAsia="Times New Roman" w:hAnsi="Times New Roman" w:cs="Times New Roman"/>
          <w:bCs/>
        </w:rPr>
        <w:t>Solangi</w:t>
      </w:r>
      <w:proofErr w:type="spellEnd"/>
      <w:r w:rsidRPr="00451BDA">
        <w:rPr>
          <w:rFonts w:ascii="Times New Roman" w:eastAsia="Times New Roman" w:hAnsi="Times New Roman" w:cs="Times New Roman"/>
          <w:bCs/>
        </w:rPr>
        <w:t xml:space="preserve">, R. (2022), </w:t>
      </w:r>
    </w:p>
    <w:p w14:paraId="2F1241EB" w14:textId="77777777" w:rsidR="002C3154" w:rsidRPr="00451BDA" w:rsidRDefault="002C3154" w:rsidP="002C3154">
      <w:pPr>
        <w:shd w:val="clear" w:color="auto" w:fill="FFFFFF" w:themeFill="background1"/>
        <w:spacing w:after="0" w:line="240" w:lineRule="auto"/>
        <w:ind w:left="720"/>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“Internationalization education leadership of public universities of </w:t>
      </w:r>
      <w:proofErr w:type="spellStart"/>
      <w:r w:rsidRPr="00451BDA">
        <w:rPr>
          <w:rFonts w:ascii="Times New Roman" w:eastAsia="Times New Roman" w:hAnsi="Times New Roman" w:cs="Times New Roman"/>
          <w:bCs/>
        </w:rPr>
        <w:t>karachi</w:t>
      </w:r>
      <w:proofErr w:type="spellEnd"/>
      <w:r w:rsidRPr="00451BDA">
        <w:rPr>
          <w:rFonts w:ascii="Times New Roman" w:eastAsia="Times New Roman" w:hAnsi="Times New Roman" w:cs="Times New Roman"/>
          <w:bCs/>
        </w:rPr>
        <w:t>”, Journal of Positive School Psychology, Vol. 6, No. 11, pp. 1175-1188.</w:t>
      </w:r>
    </w:p>
    <w:p w14:paraId="6A77A5AB" w14:textId="77777777" w:rsidR="002C3154" w:rsidRPr="00451BDA" w:rsidRDefault="002C3154" w:rsidP="002C3154">
      <w:pPr>
        <w:shd w:val="clear" w:color="auto" w:fill="FFFFFF" w:themeFill="background1"/>
        <w:spacing w:after="0" w:line="240" w:lineRule="auto"/>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Javed, B., Zainab, B., Zakai, S.N., and Malik, S. (2019), “Perceptions of international student </w:t>
      </w:r>
    </w:p>
    <w:p w14:paraId="0B1B6E09" w14:textId="77777777" w:rsidR="002C3154" w:rsidRPr="00451BDA" w:rsidRDefault="002C3154" w:rsidP="002C3154">
      <w:pPr>
        <w:shd w:val="clear" w:color="auto" w:fill="FFFFFF" w:themeFill="background1"/>
        <w:spacing w:after="0" w:line="240" w:lineRule="auto"/>
        <w:ind w:left="720"/>
        <w:contextualSpacing/>
        <w:rPr>
          <w:rFonts w:ascii="Times New Roman" w:eastAsia="Times New Roman" w:hAnsi="Times New Roman" w:cs="Times New Roman"/>
          <w:bCs/>
        </w:rPr>
      </w:pPr>
      <w:r w:rsidRPr="00451BDA">
        <w:rPr>
          <w:rFonts w:ascii="Times New Roman" w:eastAsia="Times New Roman" w:hAnsi="Times New Roman" w:cs="Times New Roman"/>
          <w:bCs/>
        </w:rPr>
        <w:t>mobility: a qualitative case study”, Journal of Education and Educational Development, Vol.16, No. 2, pp. 269-287.</w:t>
      </w:r>
    </w:p>
    <w:p w14:paraId="36590BBD" w14:textId="77777777" w:rsidR="002C3154" w:rsidRPr="00451BDA" w:rsidRDefault="002C3154" w:rsidP="002C3154">
      <w:pPr>
        <w:shd w:val="clear" w:color="auto" w:fill="FFFFFF" w:themeFill="background1"/>
        <w:spacing w:after="0" w:line="240" w:lineRule="auto"/>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Jamil, H., and Jaffar, K. (2023), “Institutional policies and initiatives for the internationalization </w:t>
      </w:r>
    </w:p>
    <w:p w14:paraId="11241B8B" w14:textId="77777777" w:rsidR="002C3154" w:rsidRPr="00451BDA" w:rsidRDefault="002C3154" w:rsidP="002C3154">
      <w:pPr>
        <w:shd w:val="clear" w:color="auto" w:fill="FFFFFF" w:themeFill="background1"/>
        <w:spacing w:after="0" w:line="240" w:lineRule="auto"/>
        <w:ind w:left="720"/>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of HE: A case study </w:t>
      </w:r>
      <w:proofErr w:type="spellStart"/>
      <w:r w:rsidRPr="00451BDA">
        <w:rPr>
          <w:rFonts w:ascii="Times New Roman" w:eastAsia="Times New Roman" w:hAnsi="Times New Roman" w:cs="Times New Roman"/>
          <w:bCs/>
        </w:rPr>
        <w:t>od</w:t>
      </w:r>
      <w:proofErr w:type="spellEnd"/>
      <w:r w:rsidRPr="00451BDA">
        <w:rPr>
          <w:rFonts w:ascii="Times New Roman" w:eastAsia="Times New Roman" w:hAnsi="Times New Roman" w:cs="Times New Roman"/>
          <w:bCs/>
        </w:rPr>
        <w:t xml:space="preserve"> Southeast Asia and Pakistan”, Higher Education Reflections from the Field. </w:t>
      </w:r>
      <w:hyperlink r:id="rId20" w:history="1">
        <w:r w:rsidRPr="00451BDA">
          <w:rPr>
            <w:rStyle w:val="Hyperlink"/>
            <w:rFonts w:ascii="Times New Roman" w:eastAsia="Times New Roman" w:hAnsi="Times New Roman" w:cs="Times New Roman"/>
            <w:bCs/>
          </w:rPr>
          <w:t>https://www.intechopen.com/online-first/85758</w:t>
        </w:r>
      </w:hyperlink>
      <w:r w:rsidRPr="00451BDA">
        <w:rPr>
          <w:rFonts w:ascii="Times New Roman" w:eastAsia="Times New Roman" w:hAnsi="Times New Roman" w:cs="Times New Roman"/>
          <w:bCs/>
        </w:rPr>
        <w:t>. (</w:t>
      </w:r>
      <w:proofErr w:type="gramStart"/>
      <w:r w:rsidRPr="00451BDA">
        <w:rPr>
          <w:rFonts w:ascii="Times New Roman" w:eastAsia="Times New Roman" w:hAnsi="Times New Roman" w:cs="Times New Roman"/>
          <w:bCs/>
        </w:rPr>
        <w:t>accessed</w:t>
      </w:r>
      <w:proofErr w:type="gramEnd"/>
      <w:r w:rsidRPr="00451BDA">
        <w:rPr>
          <w:rFonts w:ascii="Times New Roman" w:eastAsia="Times New Roman" w:hAnsi="Times New Roman" w:cs="Times New Roman"/>
          <w:bCs/>
        </w:rPr>
        <w:t xml:space="preserve"> 22 April, 2023).</w:t>
      </w:r>
    </w:p>
    <w:p w14:paraId="31415AB8" w14:textId="77777777" w:rsidR="002C3154" w:rsidRPr="00451BDA" w:rsidRDefault="002C3154" w:rsidP="002C3154">
      <w:pPr>
        <w:shd w:val="clear" w:color="auto" w:fill="FFFFFF" w:themeFill="background1"/>
        <w:spacing w:after="0" w:line="240" w:lineRule="auto"/>
        <w:contextualSpacing/>
        <w:rPr>
          <w:rFonts w:ascii="Times New Roman" w:eastAsia="Times New Roman" w:hAnsi="Times New Roman" w:cs="Times New Roman"/>
          <w:bCs/>
        </w:rPr>
      </w:pPr>
      <w:proofErr w:type="spellStart"/>
      <w:r w:rsidRPr="00451BDA">
        <w:rPr>
          <w:rFonts w:ascii="Times New Roman" w:eastAsia="Times New Roman" w:hAnsi="Times New Roman" w:cs="Times New Roman"/>
          <w:bCs/>
        </w:rPr>
        <w:t>Jibeen</w:t>
      </w:r>
      <w:proofErr w:type="spellEnd"/>
      <w:r w:rsidRPr="00451BDA">
        <w:rPr>
          <w:rFonts w:ascii="Times New Roman" w:eastAsia="Times New Roman" w:hAnsi="Times New Roman" w:cs="Times New Roman"/>
          <w:bCs/>
        </w:rPr>
        <w:t xml:space="preserve"> T and Khan MA (2015), “Internationalization of HE: potential benefits and costs”, </w:t>
      </w:r>
    </w:p>
    <w:p w14:paraId="334219AA" w14:textId="77777777" w:rsidR="002C3154" w:rsidRPr="00451BDA" w:rsidRDefault="002C3154" w:rsidP="002C3154">
      <w:pPr>
        <w:shd w:val="clear" w:color="auto" w:fill="FFFFFF" w:themeFill="background1"/>
        <w:spacing w:after="0" w:line="240" w:lineRule="auto"/>
        <w:ind w:firstLine="720"/>
        <w:contextualSpacing/>
        <w:rPr>
          <w:rFonts w:ascii="Times New Roman" w:eastAsia="Times New Roman" w:hAnsi="Times New Roman" w:cs="Times New Roman"/>
          <w:bCs/>
        </w:rPr>
      </w:pPr>
      <w:r w:rsidRPr="00451BDA">
        <w:rPr>
          <w:rFonts w:ascii="Times New Roman" w:eastAsia="Times New Roman" w:hAnsi="Times New Roman" w:cs="Times New Roman"/>
          <w:bCs/>
          <w:i/>
        </w:rPr>
        <w:t xml:space="preserve">International Journal of Evaluation and Research in Education, </w:t>
      </w:r>
      <w:r w:rsidRPr="00451BDA">
        <w:rPr>
          <w:rFonts w:ascii="Times New Roman" w:eastAsia="Times New Roman" w:hAnsi="Times New Roman" w:cs="Times New Roman"/>
          <w:bCs/>
        </w:rPr>
        <w:t>4(4), 196-199.</w:t>
      </w:r>
    </w:p>
    <w:p w14:paraId="09DF59EA" w14:textId="77777777" w:rsidR="002C3154" w:rsidRPr="00451BDA" w:rsidRDefault="002C3154" w:rsidP="002C3154">
      <w:pPr>
        <w:shd w:val="clear" w:color="auto" w:fill="FFFFFF" w:themeFill="background1"/>
        <w:spacing w:after="0" w:line="240" w:lineRule="auto"/>
        <w:contextualSpacing/>
        <w:rPr>
          <w:rFonts w:ascii="Times New Roman" w:eastAsia="Times New Roman" w:hAnsi="Times New Roman" w:cs="Times New Roman"/>
          <w:bCs/>
        </w:rPr>
      </w:pPr>
      <w:proofErr w:type="spellStart"/>
      <w:r w:rsidRPr="00451BDA">
        <w:rPr>
          <w:rFonts w:ascii="Times New Roman" w:eastAsia="Times New Roman" w:hAnsi="Times New Roman" w:cs="Times New Roman"/>
          <w:bCs/>
        </w:rPr>
        <w:t>Jin</w:t>
      </w:r>
      <w:proofErr w:type="spellEnd"/>
      <w:r w:rsidRPr="00451BDA">
        <w:rPr>
          <w:rFonts w:ascii="Times New Roman" w:eastAsia="Times New Roman" w:hAnsi="Times New Roman" w:cs="Times New Roman"/>
          <w:bCs/>
        </w:rPr>
        <w:t xml:space="preserve">, L. and Schneider, J. (2019), “Faculty views on international students: A survey study”. </w:t>
      </w:r>
    </w:p>
    <w:p w14:paraId="5889209A" w14:textId="77777777" w:rsidR="002C3154" w:rsidRPr="00451BDA" w:rsidRDefault="002C3154" w:rsidP="002C3154">
      <w:pPr>
        <w:shd w:val="clear" w:color="auto" w:fill="FFFFFF" w:themeFill="background1"/>
        <w:spacing w:after="0" w:line="240" w:lineRule="auto"/>
        <w:ind w:firstLine="720"/>
        <w:contextualSpacing/>
        <w:rPr>
          <w:rFonts w:ascii="Times New Roman" w:eastAsia="Times New Roman" w:hAnsi="Times New Roman" w:cs="Times New Roman"/>
          <w:bCs/>
        </w:rPr>
      </w:pPr>
      <w:r w:rsidRPr="00451BDA">
        <w:rPr>
          <w:rFonts w:ascii="Times New Roman" w:eastAsia="Times New Roman" w:hAnsi="Times New Roman" w:cs="Times New Roman"/>
          <w:bCs/>
          <w:i/>
          <w:iCs/>
        </w:rPr>
        <w:t>Journal of International Students</w:t>
      </w:r>
      <w:r w:rsidRPr="00451BDA">
        <w:rPr>
          <w:rFonts w:ascii="Times New Roman" w:eastAsia="Times New Roman" w:hAnsi="Times New Roman" w:cs="Times New Roman"/>
          <w:bCs/>
        </w:rPr>
        <w:t xml:space="preserve">, Vol. 9. No. 1. pp.:84-99. </w:t>
      </w:r>
    </w:p>
    <w:p w14:paraId="1FB48F6F" w14:textId="77777777" w:rsidR="002C3154" w:rsidRPr="00451BDA" w:rsidRDefault="002C3154" w:rsidP="002C3154">
      <w:pPr>
        <w:shd w:val="clear" w:color="auto" w:fill="FFFFFF" w:themeFill="background1"/>
        <w:spacing w:after="0" w:line="240" w:lineRule="auto"/>
        <w:contextualSpacing/>
        <w:rPr>
          <w:rFonts w:ascii="Times New Roman" w:eastAsia="Times New Roman" w:hAnsi="Times New Roman" w:cs="Times New Roman"/>
          <w:bCs/>
          <w:i/>
        </w:rPr>
      </w:pPr>
      <w:r w:rsidRPr="00451BDA">
        <w:rPr>
          <w:rFonts w:ascii="Times New Roman" w:eastAsia="Times New Roman" w:hAnsi="Times New Roman" w:cs="Times New Roman"/>
          <w:bCs/>
        </w:rPr>
        <w:t xml:space="preserve">Jones, E. (2014), “Internationalization of the curriculum at home”. </w:t>
      </w:r>
      <w:r w:rsidRPr="00451BDA">
        <w:rPr>
          <w:rFonts w:ascii="Times New Roman" w:eastAsia="Times New Roman" w:hAnsi="Times New Roman" w:cs="Times New Roman"/>
          <w:bCs/>
          <w:i/>
        </w:rPr>
        <w:t xml:space="preserve">International Higher </w:t>
      </w:r>
    </w:p>
    <w:p w14:paraId="6CEF66D8" w14:textId="77777777" w:rsidR="002C3154" w:rsidRPr="00451BDA" w:rsidRDefault="002C3154" w:rsidP="002C3154">
      <w:pPr>
        <w:shd w:val="clear" w:color="auto" w:fill="FFFFFF" w:themeFill="background1"/>
        <w:spacing w:after="0" w:line="240" w:lineRule="auto"/>
        <w:ind w:firstLine="720"/>
        <w:contextualSpacing/>
        <w:rPr>
          <w:rFonts w:ascii="Times New Roman" w:eastAsia="Times New Roman" w:hAnsi="Times New Roman" w:cs="Times New Roman"/>
          <w:bCs/>
        </w:rPr>
      </w:pPr>
      <w:r w:rsidRPr="00451BDA">
        <w:rPr>
          <w:rFonts w:ascii="Times New Roman" w:eastAsia="Times New Roman" w:hAnsi="Times New Roman" w:cs="Times New Roman"/>
          <w:bCs/>
          <w:i/>
        </w:rPr>
        <w:t xml:space="preserve">Education. </w:t>
      </w:r>
      <w:r w:rsidRPr="00451BDA">
        <w:rPr>
          <w:rFonts w:ascii="Times New Roman" w:eastAsia="Times New Roman" w:hAnsi="Times New Roman" w:cs="Times New Roman"/>
          <w:bCs/>
          <w:iCs/>
        </w:rPr>
        <w:t>Vol.78.</w:t>
      </w:r>
      <w:r w:rsidRPr="00451BDA">
        <w:rPr>
          <w:rFonts w:ascii="Times New Roman" w:eastAsia="Times New Roman" w:hAnsi="Times New Roman" w:cs="Times New Roman"/>
          <w:bCs/>
        </w:rPr>
        <w:t xml:space="preserve"> No.6-8. </w:t>
      </w:r>
    </w:p>
    <w:p w14:paraId="37495E49" w14:textId="2B882B07" w:rsidR="002C3154" w:rsidRPr="00451BDA" w:rsidRDefault="002C3154" w:rsidP="002C3154">
      <w:pPr>
        <w:shd w:val="clear" w:color="auto" w:fill="FFFFFF" w:themeFill="background1"/>
        <w:spacing w:after="0" w:line="240" w:lineRule="auto"/>
        <w:contextualSpacing/>
        <w:rPr>
          <w:rFonts w:ascii="Times New Roman" w:eastAsia="Times New Roman" w:hAnsi="Times New Roman" w:cs="Times New Roman"/>
          <w:bCs/>
        </w:rPr>
      </w:pPr>
      <w:r w:rsidRPr="00451BDA">
        <w:rPr>
          <w:rFonts w:ascii="Times New Roman" w:eastAsia="Times New Roman" w:hAnsi="Times New Roman" w:cs="Times New Roman"/>
          <w:bCs/>
        </w:rPr>
        <w:t>Khan, A.H. (2017), “</w:t>
      </w:r>
      <w:r w:rsidR="00655B93" w:rsidRPr="00451BDA">
        <w:rPr>
          <w:rFonts w:ascii="Times New Roman" w:eastAsia="Times New Roman" w:hAnsi="Times New Roman" w:cs="Times New Roman"/>
          <w:bCs/>
        </w:rPr>
        <w:t>Globalization</w:t>
      </w:r>
      <w:r w:rsidRPr="00451BDA">
        <w:rPr>
          <w:rFonts w:ascii="Times New Roman" w:eastAsia="Times New Roman" w:hAnsi="Times New Roman" w:cs="Times New Roman"/>
          <w:bCs/>
        </w:rPr>
        <w:t xml:space="preserve"> and higher education in Pakistan”. Journal of Advanced </w:t>
      </w:r>
    </w:p>
    <w:p w14:paraId="14B2ED11" w14:textId="77777777" w:rsidR="002C3154" w:rsidRPr="00451BDA" w:rsidRDefault="002C3154" w:rsidP="002C3154">
      <w:pPr>
        <w:shd w:val="clear" w:color="auto" w:fill="FFFFFF" w:themeFill="background1"/>
        <w:spacing w:after="0" w:line="240" w:lineRule="auto"/>
        <w:ind w:firstLine="720"/>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Research in Social Sciences and Humanities. Vol. 2. No.4. 270-276. </w:t>
      </w:r>
    </w:p>
    <w:p w14:paraId="2F3D50C9" w14:textId="77777777" w:rsidR="002C3154" w:rsidRPr="00451BDA" w:rsidRDefault="002C3154" w:rsidP="002C3154">
      <w:pPr>
        <w:widowControl w:val="0"/>
        <w:shd w:val="clear" w:color="auto" w:fill="FFFFFF" w:themeFill="background1"/>
        <w:autoSpaceDE w:val="0"/>
        <w:autoSpaceDN w:val="0"/>
        <w:adjustRightInd w:val="0"/>
        <w:spacing w:after="0" w:line="240" w:lineRule="auto"/>
        <w:ind w:left="720" w:hanging="720"/>
        <w:contextualSpacing/>
        <w:rPr>
          <w:rFonts w:ascii="Times New Roman" w:hAnsi="Times New Roman" w:cs="Times New Roman"/>
          <w:bCs/>
        </w:rPr>
      </w:pPr>
      <w:r w:rsidRPr="00451BDA">
        <w:rPr>
          <w:rFonts w:ascii="Times New Roman" w:hAnsi="Times New Roman" w:cs="Times New Roman"/>
          <w:bCs/>
        </w:rPr>
        <w:t xml:space="preserve">Kirk, S.H. Newstead, C. Gann, R. and Rounsaville, C. (2018), “Empowerment and ownership in effective internationalization of the higher education curriculum”. </w:t>
      </w:r>
      <w:r w:rsidRPr="00451BDA">
        <w:rPr>
          <w:rFonts w:ascii="Times New Roman" w:hAnsi="Times New Roman" w:cs="Times New Roman"/>
          <w:bCs/>
          <w:i/>
          <w:iCs/>
        </w:rPr>
        <w:t xml:space="preserve">Higher Education, </w:t>
      </w:r>
      <w:r w:rsidRPr="00451BDA">
        <w:rPr>
          <w:rFonts w:ascii="Times New Roman" w:hAnsi="Times New Roman" w:cs="Times New Roman"/>
          <w:bCs/>
        </w:rPr>
        <w:t xml:space="preserve">No.76. No.6. pp.989–1005. </w:t>
      </w:r>
    </w:p>
    <w:p w14:paraId="113B4B9F" w14:textId="3F056789" w:rsidR="00655B93" w:rsidRPr="00451BDA" w:rsidRDefault="002C3154" w:rsidP="00655B93">
      <w:pPr>
        <w:shd w:val="clear" w:color="auto" w:fill="FFFFFF" w:themeFill="background1"/>
        <w:spacing w:after="0" w:line="240" w:lineRule="auto"/>
        <w:contextualSpacing/>
        <w:rPr>
          <w:rFonts w:ascii="Times New Roman" w:hAnsi="Times New Roman" w:cs="Times New Roman"/>
          <w:bCs/>
        </w:rPr>
      </w:pPr>
      <w:r w:rsidRPr="00451BDA">
        <w:rPr>
          <w:rFonts w:ascii="Times New Roman" w:hAnsi="Times New Roman" w:cs="Times New Roman"/>
          <w:bCs/>
        </w:rPr>
        <w:t>Knight, J.</w:t>
      </w:r>
      <w:r w:rsidR="00451BDA" w:rsidRPr="00451BDA">
        <w:rPr>
          <w:rFonts w:ascii="Times New Roman" w:hAnsi="Times New Roman" w:cs="Times New Roman"/>
          <w:bCs/>
        </w:rPr>
        <w:t xml:space="preserve"> </w:t>
      </w:r>
      <w:r w:rsidRPr="00451BDA">
        <w:rPr>
          <w:rFonts w:ascii="Times New Roman" w:hAnsi="Times New Roman" w:cs="Times New Roman"/>
          <w:bCs/>
        </w:rPr>
        <w:t xml:space="preserve">(2008), “Higher education in turmoil: the changing world of internationalization”. Sage </w:t>
      </w:r>
    </w:p>
    <w:p w14:paraId="642A0479" w14:textId="7AEA7FF1" w:rsidR="002C3154" w:rsidRPr="00451BDA" w:rsidRDefault="002C3154" w:rsidP="00655B93">
      <w:pPr>
        <w:shd w:val="clear" w:color="auto" w:fill="FFFFFF" w:themeFill="background1"/>
        <w:spacing w:after="0" w:line="240" w:lineRule="auto"/>
        <w:ind w:firstLine="720"/>
        <w:contextualSpacing/>
        <w:rPr>
          <w:rFonts w:ascii="Times New Roman" w:hAnsi="Times New Roman" w:cs="Times New Roman"/>
          <w:bCs/>
        </w:rPr>
      </w:pPr>
      <w:r w:rsidRPr="00451BDA">
        <w:rPr>
          <w:rFonts w:ascii="Times New Roman" w:hAnsi="Times New Roman" w:cs="Times New Roman"/>
          <w:bCs/>
        </w:rPr>
        <w:t>Publishers.</w:t>
      </w:r>
      <w:r w:rsidR="00655B93" w:rsidRPr="00451BDA">
        <w:rPr>
          <w:rFonts w:ascii="Times New Roman" w:hAnsi="Times New Roman" w:cs="Times New Roman"/>
          <w:bCs/>
        </w:rPr>
        <w:t xml:space="preserve"> Rotterdam.</w:t>
      </w:r>
    </w:p>
    <w:p w14:paraId="3AFA8992" w14:textId="77777777" w:rsidR="002C3154" w:rsidRPr="00451BDA" w:rsidRDefault="002C3154" w:rsidP="002C3154">
      <w:pPr>
        <w:shd w:val="clear" w:color="auto" w:fill="FFFFFF" w:themeFill="background1"/>
        <w:spacing w:after="0" w:line="240" w:lineRule="auto"/>
        <w:contextualSpacing/>
        <w:rPr>
          <w:rFonts w:ascii="Times New Roman" w:hAnsi="Times New Roman" w:cs="Times New Roman"/>
          <w:bCs/>
          <w:i/>
          <w:iCs/>
          <w:shd w:val="clear" w:color="auto" w:fill="FFFFFF"/>
        </w:rPr>
      </w:pPr>
      <w:r w:rsidRPr="00451BDA">
        <w:rPr>
          <w:rFonts w:ascii="Times New Roman" w:hAnsi="Times New Roman" w:cs="Times New Roman"/>
          <w:bCs/>
          <w:shd w:val="clear" w:color="auto" w:fill="FFFFFF"/>
        </w:rPr>
        <w:lastRenderedPageBreak/>
        <w:t>Larsen, M. A. (2016), </w:t>
      </w:r>
      <w:r w:rsidRPr="00451BDA">
        <w:rPr>
          <w:rFonts w:ascii="Times New Roman" w:hAnsi="Times New Roman" w:cs="Times New Roman"/>
          <w:bCs/>
          <w:i/>
          <w:iCs/>
          <w:shd w:val="clear" w:color="auto" w:fill="FFFFFF"/>
        </w:rPr>
        <w:t xml:space="preserve">Internationalization of HE: An analysis through special, network and </w:t>
      </w:r>
    </w:p>
    <w:p w14:paraId="387C8A4B" w14:textId="77777777" w:rsidR="002C3154" w:rsidRPr="00451BDA" w:rsidRDefault="002C3154" w:rsidP="002C3154">
      <w:pPr>
        <w:shd w:val="clear" w:color="auto" w:fill="FFFFFF" w:themeFill="background1"/>
        <w:spacing w:after="0" w:line="240" w:lineRule="auto"/>
        <w:ind w:firstLine="720"/>
        <w:contextualSpacing/>
        <w:rPr>
          <w:rFonts w:ascii="Times New Roman" w:hAnsi="Times New Roman" w:cs="Times New Roman"/>
          <w:bCs/>
          <w:shd w:val="clear" w:color="auto" w:fill="FFFFFF"/>
        </w:rPr>
      </w:pPr>
      <w:r w:rsidRPr="00451BDA">
        <w:rPr>
          <w:rFonts w:ascii="Times New Roman" w:hAnsi="Times New Roman" w:cs="Times New Roman"/>
          <w:bCs/>
          <w:i/>
          <w:iCs/>
          <w:shd w:val="clear" w:color="auto" w:fill="FFFFFF"/>
        </w:rPr>
        <w:t xml:space="preserve">mobilities theories. </w:t>
      </w:r>
      <w:r w:rsidRPr="00451BDA">
        <w:rPr>
          <w:rFonts w:ascii="Times New Roman" w:hAnsi="Times New Roman" w:cs="Times New Roman"/>
          <w:bCs/>
          <w:iCs/>
          <w:shd w:val="clear" w:color="auto" w:fill="FFFFFF"/>
        </w:rPr>
        <w:t>New York: Palgrave.</w:t>
      </w:r>
    </w:p>
    <w:p w14:paraId="504AC5AF" w14:textId="2544BBE3" w:rsidR="003B31C4" w:rsidRPr="00451BDA" w:rsidRDefault="003B31C4" w:rsidP="002C3154">
      <w:pPr>
        <w:shd w:val="clear" w:color="auto" w:fill="FFFFFF" w:themeFill="background1"/>
        <w:spacing w:after="0" w:line="240" w:lineRule="auto"/>
        <w:contextualSpacing/>
        <w:rPr>
          <w:rFonts w:ascii="Times New Roman" w:eastAsia="Times New Roman" w:hAnsi="Times New Roman" w:cs="Times New Roman"/>
          <w:bCs/>
        </w:rPr>
      </w:pPr>
      <w:r w:rsidRPr="00451BDA">
        <w:rPr>
          <w:rFonts w:ascii="Times New Roman" w:hAnsi="Times New Roman" w:cs="Times New Roman"/>
        </w:rPr>
        <w:t xml:space="preserve">Leask, B. (2009), “Using formal and informal curricula to improve interactions between home and international students,” </w:t>
      </w:r>
      <w:r w:rsidRPr="00451BDA">
        <w:rPr>
          <w:rFonts w:ascii="Times New Roman" w:hAnsi="Times New Roman" w:cs="Times New Roman"/>
          <w:i/>
          <w:iCs/>
        </w:rPr>
        <w:t>Journal of Studies in International Education,</w:t>
      </w:r>
      <w:r w:rsidRPr="00451BDA">
        <w:rPr>
          <w:rFonts w:ascii="Times New Roman" w:hAnsi="Times New Roman" w:cs="Times New Roman"/>
        </w:rPr>
        <w:t xml:space="preserve"> Vol. 13. No. 2, pp. 205–221</w:t>
      </w:r>
    </w:p>
    <w:p w14:paraId="1CD23A70" w14:textId="7A55FFFF" w:rsidR="002C3154" w:rsidRPr="00451BDA" w:rsidRDefault="002C3154" w:rsidP="002C3154">
      <w:pPr>
        <w:shd w:val="clear" w:color="auto" w:fill="FFFFFF" w:themeFill="background1"/>
        <w:spacing w:after="0" w:line="240" w:lineRule="auto"/>
        <w:contextualSpacing/>
        <w:rPr>
          <w:rFonts w:ascii="Times New Roman" w:eastAsia="Times New Roman" w:hAnsi="Times New Roman" w:cs="Times New Roman"/>
          <w:bCs/>
        </w:rPr>
      </w:pPr>
      <w:r w:rsidRPr="00451BDA">
        <w:rPr>
          <w:rFonts w:ascii="Times New Roman" w:eastAsia="Times New Roman" w:hAnsi="Times New Roman" w:cs="Times New Roman"/>
          <w:bCs/>
        </w:rPr>
        <w:t>Leask, B. (2015), “</w:t>
      </w:r>
      <w:r w:rsidRPr="00451BDA">
        <w:rPr>
          <w:rFonts w:ascii="Times New Roman" w:eastAsia="Times New Roman" w:hAnsi="Times New Roman" w:cs="Times New Roman"/>
          <w:bCs/>
          <w:i/>
        </w:rPr>
        <w:t>Internationalizing the curriculum”</w:t>
      </w:r>
      <w:r w:rsidRPr="00451BDA">
        <w:rPr>
          <w:rFonts w:ascii="Times New Roman" w:eastAsia="Times New Roman" w:hAnsi="Times New Roman" w:cs="Times New Roman"/>
          <w:bCs/>
        </w:rPr>
        <w:t xml:space="preserve">. Abingdon: Routledge </w:t>
      </w:r>
    </w:p>
    <w:p w14:paraId="48189056" w14:textId="77777777" w:rsidR="002C3154" w:rsidRPr="00451BDA" w:rsidRDefault="002C3154" w:rsidP="002C3154">
      <w:pPr>
        <w:shd w:val="clear" w:color="auto" w:fill="FFFFFF" w:themeFill="background1"/>
        <w:spacing w:after="0" w:line="240" w:lineRule="auto"/>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Leask, B. and Carroll, J. (2011), “Moving beyond ‘wishing and hoping’: internationalization and </w:t>
      </w:r>
    </w:p>
    <w:p w14:paraId="71660F2D" w14:textId="1338B892" w:rsidR="002C3154" w:rsidRPr="00451BDA" w:rsidRDefault="002C3154" w:rsidP="002C3154">
      <w:pPr>
        <w:shd w:val="clear" w:color="auto" w:fill="FFFFFF" w:themeFill="background1"/>
        <w:spacing w:after="0" w:line="240" w:lineRule="auto"/>
        <w:ind w:left="720"/>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student experiences of inclusion and engagement”. </w:t>
      </w:r>
      <w:r w:rsidRPr="00451BDA">
        <w:rPr>
          <w:rFonts w:ascii="Times New Roman" w:eastAsia="Times New Roman" w:hAnsi="Times New Roman" w:cs="Times New Roman"/>
          <w:bCs/>
          <w:i/>
        </w:rPr>
        <w:t xml:space="preserve">HE Research &amp; Development, </w:t>
      </w:r>
      <w:r w:rsidRPr="00451BDA">
        <w:rPr>
          <w:rFonts w:ascii="Times New Roman" w:eastAsia="Times New Roman" w:hAnsi="Times New Roman" w:cs="Times New Roman"/>
          <w:bCs/>
        </w:rPr>
        <w:t>Vol.</w:t>
      </w:r>
      <w:r w:rsidR="00F253B4" w:rsidRPr="00451BDA">
        <w:rPr>
          <w:rFonts w:ascii="Times New Roman" w:eastAsia="Times New Roman" w:hAnsi="Times New Roman" w:cs="Times New Roman"/>
          <w:bCs/>
        </w:rPr>
        <w:t xml:space="preserve"> </w:t>
      </w:r>
      <w:r w:rsidRPr="00451BDA">
        <w:rPr>
          <w:rFonts w:ascii="Times New Roman" w:eastAsia="Times New Roman" w:hAnsi="Times New Roman" w:cs="Times New Roman"/>
          <w:bCs/>
        </w:rPr>
        <w:t>30. No.5. pp.647-659.</w:t>
      </w:r>
    </w:p>
    <w:p w14:paraId="73612CAD" w14:textId="77777777" w:rsidR="002C3154" w:rsidRPr="00451BDA" w:rsidRDefault="002C3154" w:rsidP="002C3154">
      <w:pPr>
        <w:pStyle w:val="Heading1"/>
        <w:shd w:val="clear" w:color="auto" w:fill="FFFFFF" w:themeFill="background1"/>
        <w:spacing w:before="0" w:beforeAutospacing="0" w:after="0" w:afterAutospacing="0"/>
        <w:contextualSpacing/>
        <w:rPr>
          <w:b w:val="0"/>
          <w:sz w:val="22"/>
          <w:szCs w:val="22"/>
        </w:rPr>
      </w:pPr>
      <w:r w:rsidRPr="00451BDA">
        <w:rPr>
          <w:b w:val="0"/>
          <w:sz w:val="22"/>
          <w:szCs w:val="22"/>
        </w:rPr>
        <w:t xml:space="preserve">Ledger, S and </w:t>
      </w:r>
      <w:proofErr w:type="spellStart"/>
      <w:r w:rsidRPr="00451BDA">
        <w:rPr>
          <w:b w:val="0"/>
          <w:sz w:val="22"/>
          <w:szCs w:val="22"/>
        </w:rPr>
        <w:t>Kawalilak</w:t>
      </w:r>
      <w:proofErr w:type="spellEnd"/>
      <w:r w:rsidRPr="00451BDA">
        <w:rPr>
          <w:b w:val="0"/>
          <w:sz w:val="22"/>
          <w:szCs w:val="22"/>
        </w:rPr>
        <w:t xml:space="preserve"> C (2020), “Conscientious internationalization in HE: contextual </w:t>
      </w:r>
    </w:p>
    <w:p w14:paraId="71FBE873" w14:textId="77777777" w:rsidR="002C3154" w:rsidRPr="00451BDA" w:rsidRDefault="002C3154" w:rsidP="002C3154">
      <w:pPr>
        <w:pStyle w:val="Heading1"/>
        <w:shd w:val="clear" w:color="auto" w:fill="FFFFFF" w:themeFill="background1"/>
        <w:spacing w:before="0" w:beforeAutospacing="0" w:after="0" w:afterAutospacing="0"/>
        <w:ind w:left="720"/>
        <w:contextualSpacing/>
        <w:rPr>
          <w:b w:val="0"/>
          <w:sz w:val="22"/>
          <w:szCs w:val="22"/>
        </w:rPr>
      </w:pPr>
      <w:r w:rsidRPr="00451BDA">
        <w:rPr>
          <w:b w:val="0"/>
          <w:sz w:val="22"/>
          <w:szCs w:val="22"/>
        </w:rPr>
        <w:t xml:space="preserve">complexities and comparative tensions”, </w:t>
      </w:r>
      <w:r w:rsidRPr="00451BDA">
        <w:rPr>
          <w:b w:val="0"/>
          <w:i/>
          <w:sz w:val="22"/>
          <w:szCs w:val="22"/>
        </w:rPr>
        <w:t xml:space="preserve">Asia Pacific Education Review, </w:t>
      </w:r>
      <w:r w:rsidRPr="00451BDA">
        <w:rPr>
          <w:b w:val="0"/>
          <w:iCs/>
          <w:sz w:val="22"/>
          <w:szCs w:val="22"/>
        </w:rPr>
        <w:t>Vol</w:t>
      </w:r>
      <w:r w:rsidRPr="00451BDA">
        <w:rPr>
          <w:b w:val="0"/>
          <w:i/>
          <w:sz w:val="22"/>
          <w:szCs w:val="22"/>
        </w:rPr>
        <w:t>.</w:t>
      </w:r>
      <w:r w:rsidRPr="00451BDA">
        <w:rPr>
          <w:b w:val="0"/>
          <w:iCs/>
          <w:sz w:val="22"/>
          <w:szCs w:val="22"/>
        </w:rPr>
        <w:t>21</w:t>
      </w:r>
      <w:r w:rsidRPr="00451BDA">
        <w:rPr>
          <w:b w:val="0"/>
          <w:sz w:val="22"/>
          <w:szCs w:val="22"/>
        </w:rPr>
        <w:t>, pp.653-665.</w:t>
      </w:r>
    </w:p>
    <w:p w14:paraId="68116A80" w14:textId="2295F2B2" w:rsidR="002C3154" w:rsidRPr="00451BDA" w:rsidRDefault="002C3154" w:rsidP="002C3154">
      <w:pPr>
        <w:shd w:val="clear" w:color="auto" w:fill="FFFFFF" w:themeFill="background1"/>
        <w:spacing w:after="0" w:line="240" w:lineRule="auto"/>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Luo, J. and </w:t>
      </w:r>
      <w:proofErr w:type="spellStart"/>
      <w:r w:rsidRPr="00451BDA">
        <w:rPr>
          <w:rFonts w:ascii="Times New Roman" w:eastAsia="Times New Roman" w:hAnsi="Times New Roman" w:cs="Times New Roman"/>
          <w:bCs/>
        </w:rPr>
        <w:t>Jamienson</w:t>
      </w:r>
      <w:proofErr w:type="spellEnd"/>
      <w:r w:rsidRPr="00451BDA">
        <w:rPr>
          <w:rFonts w:ascii="Times New Roman" w:eastAsia="Times New Roman" w:hAnsi="Times New Roman" w:cs="Times New Roman"/>
          <w:bCs/>
        </w:rPr>
        <w:t>-Drake, D. (201</w:t>
      </w:r>
      <w:r w:rsidR="00655B93" w:rsidRPr="00451BDA">
        <w:rPr>
          <w:rFonts w:ascii="Times New Roman" w:eastAsia="Times New Roman" w:hAnsi="Times New Roman" w:cs="Times New Roman"/>
          <w:bCs/>
        </w:rPr>
        <w:t>3</w:t>
      </w:r>
      <w:r w:rsidRPr="00451BDA">
        <w:rPr>
          <w:rFonts w:ascii="Times New Roman" w:eastAsia="Times New Roman" w:hAnsi="Times New Roman" w:cs="Times New Roman"/>
          <w:bCs/>
        </w:rPr>
        <w:t xml:space="preserve">), “Examining the educational benefits of interacting with </w:t>
      </w:r>
    </w:p>
    <w:p w14:paraId="7F2FB1E6" w14:textId="2E33C5D1" w:rsidR="002C3154" w:rsidRPr="00451BDA" w:rsidRDefault="002C3154" w:rsidP="002C3154">
      <w:pPr>
        <w:shd w:val="clear" w:color="auto" w:fill="FFFFFF" w:themeFill="background1"/>
        <w:spacing w:after="0" w:line="240" w:lineRule="auto"/>
        <w:ind w:firstLine="720"/>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international students”. </w:t>
      </w:r>
      <w:r w:rsidRPr="00451BDA">
        <w:rPr>
          <w:rFonts w:ascii="Times New Roman" w:eastAsia="Times New Roman" w:hAnsi="Times New Roman" w:cs="Times New Roman"/>
          <w:bCs/>
          <w:i/>
        </w:rPr>
        <w:t>Journal of International Student</w:t>
      </w:r>
      <w:r w:rsidRPr="00451BDA">
        <w:rPr>
          <w:rFonts w:ascii="Times New Roman" w:eastAsia="Times New Roman" w:hAnsi="Times New Roman" w:cs="Times New Roman"/>
          <w:bCs/>
        </w:rPr>
        <w:t>. Vol.3. No.2</w:t>
      </w:r>
      <w:r w:rsidR="00F253B4" w:rsidRPr="00451BDA">
        <w:rPr>
          <w:rFonts w:ascii="Times New Roman" w:eastAsia="Times New Roman" w:hAnsi="Times New Roman" w:cs="Times New Roman"/>
          <w:bCs/>
        </w:rPr>
        <w:t xml:space="preserve">, </w:t>
      </w:r>
      <w:r w:rsidRPr="00451BDA">
        <w:rPr>
          <w:rFonts w:ascii="Times New Roman" w:eastAsia="Times New Roman" w:hAnsi="Times New Roman" w:cs="Times New Roman"/>
          <w:bCs/>
        </w:rPr>
        <w:t>pp</w:t>
      </w:r>
      <w:r w:rsidR="00F253B4" w:rsidRPr="00451BDA">
        <w:rPr>
          <w:rFonts w:ascii="Times New Roman" w:eastAsia="Times New Roman" w:hAnsi="Times New Roman" w:cs="Times New Roman"/>
          <w:bCs/>
        </w:rPr>
        <w:t>.</w:t>
      </w:r>
      <w:r w:rsidRPr="00451BDA">
        <w:rPr>
          <w:rFonts w:ascii="Times New Roman" w:eastAsia="Times New Roman" w:hAnsi="Times New Roman" w:cs="Times New Roman"/>
          <w:bCs/>
        </w:rPr>
        <w:t xml:space="preserve"> 85-101.</w:t>
      </w:r>
    </w:p>
    <w:p w14:paraId="63C8B8FE" w14:textId="77777777" w:rsidR="002C3154" w:rsidRPr="00451BDA" w:rsidRDefault="002C3154" w:rsidP="002C3154">
      <w:pPr>
        <w:shd w:val="clear" w:color="auto" w:fill="FFFFFF" w:themeFill="background1"/>
        <w:spacing w:after="0" w:line="240" w:lineRule="auto"/>
        <w:contextualSpacing/>
        <w:rPr>
          <w:rFonts w:ascii="Times New Roman" w:eastAsia="Times New Roman" w:hAnsi="Times New Roman" w:cs="Times New Roman"/>
          <w:bCs/>
          <w:i/>
        </w:rPr>
      </w:pPr>
      <w:r w:rsidRPr="00451BDA">
        <w:rPr>
          <w:rFonts w:ascii="Times New Roman" w:eastAsia="Times New Roman" w:hAnsi="Times New Roman" w:cs="Times New Roman"/>
          <w:bCs/>
        </w:rPr>
        <w:t xml:space="preserve">Magne, P. (2014), “Internationalization of curriculum development: why and how”, </w:t>
      </w:r>
      <w:r w:rsidRPr="00451BDA">
        <w:rPr>
          <w:rFonts w:ascii="Times New Roman" w:eastAsia="Times New Roman" w:hAnsi="Times New Roman" w:cs="Times New Roman"/>
          <w:bCs/>
          <w:i/>
        </w:rPr>
        <w:t xml:space="preserve">Journal of </w:t>
      </w:r>
    </w:p>
    <w:p w14:paraId="266DCC9B" w14:textId="77777777" w:rsidR="002C3154" w:rsidRPr="00451BDA" w:rsidRDefault="002C3154" w:rsidP="002C3154">
      <w:pPr>
        <w:shd w:val="clear" w:color="auto" w:fill="FFFFFF" w:themeFill="background1"/>
        <w:spacing w:after="0" w:line="240" w:lineRule="auto"/>
        <w:ind w:firstLine="720"/>
        <w:contextualSpacing/>
        <w:rPr>
          <w:rFonts w:ascii="Times New Roman" w:eastAsia="Times New Roman" w:hAnsi="Times New Roman" w:cs="Times New Roman"/>
          <w:bCs/>
        </w:rPr>
      </w:pPr>
      <w:r w:rsidRPr="00451BDA">
        <w:rPr>
          <w:rFonts w:ascii="Times New Roman" w:eastAsia="Times New Roman" w:hAnsi="Times New Roman" w:cs="Times New Roman"/>
          <w:bCs/>
          <w:i/>
        </w:rPr>
        <w:t xml:space="preserve">Pedagogic Development. </w:t>
      </w:r>
      <w:r w:rsidRPr="00451BDA">
        <w:rPr>
          <w:rFonts w:ascii="Times New Roman" w:eastAsia="Times New Roman" w:hAnsi="Times New Roman" w:cs="Times New Roman"/>
          <w:bCs/>
          <w:iCs/>
        </w:rPr>
        <w:t>Vol.4</w:t>
      </w:r>
      <w:r w:rsidRPr="00451BDA">
        <w:rPr>
          <w:rFonts w:ascii="Times New Roman" w:eastAsia="Times New Roman" w:hAnsi="Times New Roman" w:cs="Times New Roman"/>
          <w:bCs/>
          <w:i/>
        </w:rPr>
        <w:t>. No.</w:t>
      </w:r>
      <w:r w:rsidRPr="00451BDA">
        <w:rPr>
          <w:rFonts w:ascii="Times New Roman" w:eastAsia="Times New Roman" w:hAnsi="Times New Roman" w:cs="Times New Roman"/>
          <w:bCs/>
        </w:rPr>
        <w:t>3, pp. 74-81.</w:t>
      </w:r>
    </w:p>
    <w:p w14:paraId="5D4F121A" w14:textId="77777777" w:rsidR="002C3154" w:rsidRPr="00451BDA" w:rsidRDefault="002C3154" w:rsidP="002C3154">
      <w:pPr>
        <w:shd w:val="clear" w:color="auto" w:fill="FFFFFF" w:themeFill="background1"/>
        <w:spacing w:after="0" w:line="240" w:lineRule="auto"/>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Meng, Q. Zhu, C. and Cao, C. (2017), “An exploratory study of Chinese university </w:t>
      </w:r>
    </w:p>
    <w:p w14:paraId="3D764756" w14:textId="7CB07E81" w:rsidR="002C3154" w:rsidRPr="00451BDA" w:rsidRDefault="002C3154" w:rsidP="002C3154">
      <w:pPr>
        <w:shd w:val="clear" w:color="auto" w:fill="FFFFFF" w:themeFill="background1"/>
        <w:spacing w:after="0" w:line="240" w:lineRule="auto"/>
        <w:ind w:left="720"/>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undergraduates’ global competence: Effects of internationalization at home and motivation”, </w:t>
      </w:r>
      <w:r w:rsidRPr="00451BDA">
        <w:rPr>
          <w:rFonts w:ascii="Times New Roman" w:eastAsia="Times New Roman" w:hAnsi="Times New Roman" w:cs="Times New Roman"/>
          <w:bCs/>
          <w:i/>
        </w:rPr>
        <w:t xml:space="preserve">Higher Education Quarterly, </w:t>
      </w:r>
      <w:r w:rsidR="00F253B4" w:rsidRPr="00451BDA">
        <w:rPr>
          <w:rFonts w:ascii="Times New Roman" w:eastAsia="Times New Roman" w:hAnsi="Times New Roman" w:cs="Times New Roman"/>
          <w:bCs/>
          <w:i/>
        </w:rPr>
        <w:t xml:space="preserve">Vol. </w:t>
      </w:r>
      <w:r w:rsidRPr="00451BDA">
        <w:rPr>
          <w:rFonts w:ascii="Times New Roman" w:eastAsia="Times New Roman" w:hAnsi="Times New Roman" w:cs="Times New Roman"/>
          <w:bCs/>
        </w:rPr>
        <w:t>71</w:t>
      </w:r>
      <w:r w:rsidR="00F253B4" w:rsidRPr="00451BDA">
        <w:rPr>
          <w:rFonts w:ascii="Times New Roman" w:eastAsia="Times New Roman" w:hAnsi="Times New Roman" w:cs="Times New Roman"/>
          <w:bCs/>
        </w:rPr>
        <w:t xml:space="preserve"> No. </w:t>
      </w:r>
      <w:r w:rsidRPr="00451BDA">
        <w:rPr>
          <w:rFonts w:ascii="Times New Roman" w:eastAsia="Times New Roman" w:hAnsi="Times New Roman" w:cs="Times New Roman"/>
          <w:bCs/>
        </w:rPr>
        <w:t>2</w:t>
      </w:r>
      <w:r w:rsidR="00F253B4" w:rsidRPr="00451BDA">
        <w:rPr>
          <w:rFonts w:ascii="Times New Roman" w:eastAsia="Times New Roman" w:hAnsi="Times New Roman" w:cs="Times New Roman"/>
          <w:bCs/>
        </w:rPr>
        <w:t>,</w:t>
      </w:r>
      <w:r w:rsidRPr="00451BDA">
        <w:rPr>
          <w:rFonts w:ascii="Times New Roman" w:eastAsia="Times New Roman" w:hAnsi="Times New Roman" w:cs="Times New Roman"/>
          <w:bCs/>
        </w:rPr>
        <w:t xml:space="preserve"> </w:t>
      </w:r>
      <w:r w:rsidR="00F253B4" w:rsidRPr="00451BDA">
        <w:rPr>
          <w:rFonts w:ascii="Times New Roman" w:eastAsia="Times New Roman" w:hAnsi="Times New Roman" w:cs="Times New Roman"/>
          <w:bCs/>
        </w:rPr>
        <w:t xml:space="preserve">pp. </w:t>
      </w:r>
      <w:r w:rsidRPr="00451BDA">
        <w:rPr>
          <w:rFonts w:ascii="Times New Roman" w:eastAsia="Times New Roman" w:hAnsi="Times New Roman" w:cs="Times New Roman"/>
          <w:bCs/>
        </w:rPr>
        <w:t>159-181.</w:t>
      </w:r>
    </w:p>
    <w:p w14:paraId="7D9B8A8D" w14:textId="77777777" w:rsidR="002C3154" w:rsidRPr="00451BDA" w:rsidRDefault="002C3154" w:rsidP="002C3154">
      <w:pPr>
        <w:shd w:val="clear" w:color="auto" w:fill="FFFFFF" w:themeFill="background1"/>
        <w:spacing w:after="0" w:line="240" w:lineRule="auto"/>
        <w:contextualSpacing/>
        <w:rPr>
          <w:rFonts w:ascii="Times New Roman" w:hAnsi="Times New Roman" w:cs="Times New Roman"/>
          <w:bCs/>
        </w:rPr>
      </w:pPr>
      <w:r w:rsidRPr="00451BDA">
        <w:rPr>
          <w:rFonts w:ascii="Times New Roman" w:hAnsi="Times New Roman" w:cs="Times New Roman"/>
          <w:bCs/>
        </w:rPr>
        <w:t xml:space="preserve">Mitchel, D.E. and Nielsen, S.Y. (2012), “Internationalization and globalization in higher </w:t>
      </w:r>
    </w:p>
    <w:p w14:paraId="531F3B08" w14:textId="77777777" w:rsidR="002C3154" w:rsidRPr="00451BDA" w:rsidRDefault="002C3154" w:rsidP="002C3154">
      <w:pPr>
        <w:shd w:val="clear" w:color="auto" w:fill="FFFFFF" w:themeFill="background1"/>
        <w:spacing w:after="0" w:line="240" w:lineRule="auto"/>
        <w:ind w:firstLine="720"/>
        <w:contextualSpacing/>
        <w:rPr>
          <w:rFonts w:ascii="Times New Roman" w:hAnsi="Times New Roman" w:cs="Times New Roman"/>
          <w:bCs/>
        </w:rPr>
      </w:pPr>
      <w:r w:rsidRPr="00451BDA">
        <w:rPr>
          <w:rFonts w:ascii="Times New Roman" w:hAnsi="Times New Roman" w:cs="Times New Roman"/>
          <w:bCs/>
        </w:rPr>
        <w:t xml:space="preserve">education”. Available at: </w:t>
      </w:r>
      <w:hyperlink r:id="rId21" w:history="1">
        <w:r w:rsidRPr="00451BDA">
          <w:rPr>
            <w:rStyle w:val="Hyperlink"/>
            <w:rFonts w:ascii="Times New Roman" w:hAnsi="Times New Roman" w:cs="Times New Roman"/>
            <w:bCs/>
            <w:color w:val="auto"/>
            <w:u w:val="none"/>
          </w:rPr>
          <w:t>https://www.intechopen.com/chapters/38270</w:t>
        </w:r>
      </w:hyperlink>
      <w:r w:rsidRPr="00451BDA">
        <w:rPr>
          <w:rFonts w:ascii="Times New Roman" w:hAnsi="Times New Roman" w:cs="Times New Roman"/>
          <w:bCs/>
        </w:rPr>
        <w:t xml:space="preserve"> (accessed </w:t>
      </w:r>
    </w:p>
    <w:p w14:paraId="70288CD4" w14:textId="1AA58B02" w:rsidR="002C3154" w:rsidRPr="00451BDA" w:rsidRDefault="002C3154" w:rsidP="002C3154">
      <w:pPr>
        <w:shd w:val="clear" w:color="auto" w:fill="FFFFFF" w:themeFill="background1"/>
        <w:spacing w:after="0" w:line="240" w:lineRule="auto"/>
        <w:contextualSpacing/>
        <w:rPr>
          <w:rFonts w:ascii="Times New Roman" w:hAnsi="Times New Roman" w:cs="Times New Roman"/>
          <w:bCs/>
        </w:rPr>
      </w:pPr>
      <w:proofErr w:type="spellStart"/>
      <w:r w:rsidRPr="00451BDA">
        <w:rPr>
          <w:rFonts w:ascii="Times New Roman" w:hAnsi="Times New Roman" w:cs="Times New Roman"/>
          <w:bCs/>
        </w:rPr>
        <w:t>Mittelmeier</w:t>
      </w:r>
      <w:proofErr w:type="spellEnd"/>
      <w:r w:rsidRPr="00451BDA">
        <w:rPr>
          <w:rFonts w:ascii="Times New Roman" w:hAnsi="Times New Roman" w:cs="Times New Roman"/>
          <w:bCs/>
        </w:rPr>
        <w:t>, J., and Yang, Y. (2022),</w:t>
      </w:r>
      <w:r w:rsidR="0037012B">
        <w:rPr>
          <w:rFonts w:ascii="Times New Roman" w:hAnsi="Times New Roman" w:cs="Times New Roman"/>
          <w:bCs/>
        </w:rPr>
        <w:t xml:space="preserve"> </w:t>
      </w:r>
      <w:r w:rsidRPr="00451BDA">
        <w:rPr>
          <w:rFonts w:ascii="Times New Roman" w:hAnsi="Times New Roman" w:cs="Times New Roman"/>
          <w:bCs/>
        </w:rPr>
        <w:t xml:space="preserve">“The role of internationalization in 40 years of higher </w:t>
      </w:r>
    </w:p>
    <w:p w14:paraId="5EAF8292" w14:textId="308AE00B" w:rsidR="002C3154" w:rsidRPr="00451BDA" w:rsidRDefault="002C3154" w:rsidP="002C3154">
      <w:pPr>
        <w:shd w:val="clear" w:color="auto" w:fill="FFFFFF" w:themeFill="background1"/>
        <w:spacing w:after="0" w:line="240" w:lineRule="auto"/>
        <w:ind w:left="720"/>
        <w:contextualSpacing/>
        <w:rPr>
          <w:rFonts w:ascii="Times New Roman" w:hAnsi="Times New Roman" w:cs="Times New Roman"/>
          <w:bCs/>
        </w:rPr>
      </w:pPr>
      <w:r w:rsidRPr="00451BDA">
        <w:rPr>
          <w:rFonts w:ascii="Times New Roman" w:hAnsi="Times New Roman" w:cs="Times New Roman"/>
          <w:bCs/>
        </w:rPr>
        <w:t>education research: major themes from higher education research &amp; development”, Higher Education Research and Development, Vol.41</w:t>
      </w:r>
      <w:r w:rsidR="00F253B4" w:rsidRPr="00451BDA">
        <w:rPr>
          <w:rFonts w:ascii="Times New Roman" w:hAnsi="Times New Roman" w:cs="Times New Roman"/>
          <w:bCs/>
        </w:rPr>
        <w:t xml:space="preserve">. </w:t>
      </w:r>
      <w:r w:rsidRPr="00451BDA">
        <w:rPr>
          <w:rFonts w:ascii="Times New Roman" w:hAnsi="Times New Roman" w:cs="Times New Roman"/>
          <w:bCs/>
        </w:rPr>
        <w:t>No.1, pp.75-91.</w:t>
      </w:r>
    </w:p>
    <w:p w14:paraId="0E310810" w14:textId="77777777" w:rsidR="002C3154" w:rsidRPr="00451BDA" w:rsidRDefault="002C3154" w:rsidP="002C3154">
      <w:pPr>
        <w:shd w:val="clear" w:color="auto" w:fill="FFFFFF" w:themeFill="background1"/>
        <w:spacing w:after="0" w:line="240" w:lineRule="auto"/>
        <w:contextualSpacing/>
        <w:rPr>
          <w:rFonts w:ascii="Times New Roman" w:hAnsi="Times New Roman" w:cs="Times New Roman"/>
          <w:bCs/>
        </w:rPr>
      </w:pPr>
      <w:r w:rsidRPr="00451BDA">
        <w:rPr>
          <w:rFonts w:ascii="Times New Roman" w:hAnsi="Times New Roman" w:cs="Times New Roman"/>
          <w:bCs/>
        </w:rPr>
        <w:t xml:space="preserve">Morais, D.B. and Ogden, A.C. (2010), “Initial development and validation of the Global </w:t>
      </w:r>
    </w:p>
    <w:p w14:paraId="0A0F0C4E" w14:textId="36C99F90" w:rsidR="002C3154" w:rsidRPr="00451BDA" w:rsidRDefault="002C3154" w:rsidP="002C3154">
      <w:pPr>
        <w:shd w:val="clear" w:color="auto" w:fill="FFFFFF" w:themeFill="background1"/>
        <w:spacing w:after="0" w:line="240" w:lineRule="auto"/>
        <w:ind w:left="720"/>
        <w:contextualSpacing/>
        <w:rPr>
          <w:rFonts w:ascii="Times New Roman" w:hAnsi="Times New Roman" w:cs="Times New Roman"/>
          <w:bCs/>
        </w:rPr>
      </w:pPr>
      <w:r w:rsidRPr="00451BDA">
        <w:rPr>
          <w:rFonts w:ascii="Times New Roman" w:hAnsi="Times New Roman" w:cs="Times New Roman"/>
          <w:bCs/>
        </w:rPr>
        <w:t xml:space="preserve">Citizenship Scale”, </w:t>
      </w:r>
      <w:r w:rsidRPr="00451BDA">
        <w:rPr>
          <w:rFonts w:ascii="Times New Roman" w:hAnsi="Times New Roman" w:cs="Times New Roman"/>
          <w:bCs/>
          <w:i/>
        </w:rPr>
        <w:t xml:space="preserve">Journal of Studies in International </w:t>
      </w:r>
      <w:r w:rsidR="00F253B4" w:rsidRPr="00451BDA">
        <w:rPr>
          <w:rFonts w:ascii="Times New Roman" w:hAnsi="Times New Roman" w:cs="Times New Roman"/>
          <w:bCs/>
          <w:i/>
        </w:rPr>
        <w:t>Education</w:t>
      </w:r>
      <w:r w:rsidR="00F253B4" w:rsidRPr="00451BDA">
        <w:rPr>
          <w:rFonts w:ascii="Times New Roman" w:hAnsi="Times New Roman" w:cs="Times New Roman"/>
          <w:bCs/>
        </w:rPr>
        <w:t>.</w:t>
      </w:r>
      <w:r w:rsidRPr="00451BDA">
        <w:rPr>
          <w:rFonts w:ascii="Times New Roman" w:hAnsi="Times New Roman" w:cs="Times New Roman"/>
          <w:bCs/>
        </w:rPr>
        <w:t xml:space="preserve"> Vol. 5.</w:t>
      </w:r>
      <w:r w:rsidR="00F253B4" w:rsidRPr="00451BDA">
        <w:rPr>
          <w:rFonts w:ascii="Times New Roman" w:hAnsi="Times New Roman" w:cs="Times New Roman"/>
          <w:bCs/>
        </w:rPr>
        <w:t xml:space="preserve"> </w:t>
      </w:r>
      <w:r w:rsidRPr="00451BDA">
        <w:rPr>
          <w:rFonts w:ascii="Times New Roman" w:hAnsi="Times New Roman" w:cs="Times New Roman"/>
          <w:bCs/>
        </w:rPr>
        <w:t xml:space="preserve">No.15, pp. 445-466. </w:t>
      </w:r>
    </w:p>
    <w:p w14:paraId="7E57D28A" w14:textId="77777777" w:rsidR="002C3154" w:rsidRPr="00451BDA" w:rsidRDefault="002C3154" w:rsidP="002C3154">
      <w:pPr>
        <w:shd w:val="clear" w:color="auto" w:fill="FFFFFF" w:themeFill="background1"/>
        <w:spacing w:after="0" w:line="240" w:lineRule="auto"/>
        <w:contextualSpacing/>
        <w:rPr>
          <w:rFonts w:ascii="Times New Roman" w:hAnsi="Times New Roman" w:cs="Times New Roman"/>
          <w:bCs/>
        </w:rPr>
      </w:pPr>
      <w:proofErr w:type="spellStart"/>
      <w:r w:rsidRPr="00451BDA">
        <w:rPr>
          <w:rFonts w:ascii="Times New Roman" w:hAnsi="Times New Roman" w:cs="Times New Roman"/>
          <w:bCs/>
        </w:rPr>
        <w:t>Mughul</w:t>
      </w:r>
      <w:proofErr w:type="spellEnd"/>
      <w:r w:rsidRPr="00451BDA">
        <w:rPr>
          <w:rFonts w:ascii="Times New Roman" w:hAnsi="Times New Roman" w:cs="Times New Roman"/>
          <w:bCs/>
        </w:rPr>
        <w:t xml:space="preserve">, A. and </w:t>
      </w:r>
      <w:proofErr w:type="spellStart"/>
      <w:r w:rsidRPr="00451BDA">
        <w:rPr>
          <w:rFonts w:ascii="Times New Roman" w:hAnsi="Times New Roman" w:cs="Times New Roman"/>
          <w:bCs/>
        </w:rPr>
        <w:t>Pekkola</w:t>
      </w:r>
      <w:proofErr w:type="spellEnd"/>
      <w:r w:rsidRPr="00451BDA">
        <w:rPr>
          <w:rFonts w:ascii="Times New Roman" w:hAnsi="Times New Roman" w:cs="Times New Roman"/>
          <w:bCs/>
        </w:rPr>
        <w:t xml:space="preserve">, E. (2009), “Internationalization in higher education policies”, </w:t>
      </w:r>
    </w:p>
    <w:p w14:paraId="0A34FFE8" w14:textId="77777777" w:rsidR="002C3154" w:rsidRPr="00451BDA" w:rsidRDefault="002C3154" w:rsidP="002C3154">
      <w:pPr>
        <w:shd w:val="clear" w:color="auto" w:fill="FFFFFF" w:themeFill="background1"/>
        <w:spacing w:after="0" w:line="240" w:lineRule="auto"/>
        <w:ind w:firstLine="720"/>
        <w:contextualSpacing/>
        <w:rPr>
          <w:rFonts w:ascii="Times New Roman" w:hAnsi="Times New Roman" w:cs="Times New Roman"/>
          <w:bCs/>
        </w:rPr>
      </w:pPr>
      <w:r w:rsidRPr="00451BDA">
        <w:rPr>
          <w:rFonts w:ascii="Times New Roman" w:hAnsi="Times New Roman" w:cs="Times New Roman"/>
          <w:bCs/>
          <w:i/>
          <w:iCs/>
        </w:rPr>
        <w:t>Proceedings of ICER</w:t>
      </w:r>
      <w:r w:rsidRPr="00451BDA">
        <w:rPr>
          <w:rFonts w:ascii="Times New Roman" w:hAnsi="Times New Roman" w:cs="Times New Roman"/>
          <w:bCs/>
        </w:rPr>
        <w:t xml:space="preserve">, 16-18 Nov, </w:t>
      </w:r>
      <w:proofErr w:type="spellStart"/>
      <w:r w:rsidRPr="00451BDA">
        <w:rPr>
          <w:rFonts w:ascii="Times New Roman" w:hAnsi="Times New Roman" w:cs="Times New Roman"/>
          <w:bCs/>
        </w:rPr>
        <w:t>Mardid</w:t>
      </w:r>
      <w:proofErr w:type="spellEnd"/>
      <w:r w:rsidRPr="00451BDA">
        <w:rPr>
          <w:rFonts w:ascii="Times New Roman" w:hAnsi="Times New Roman" w:cs="Times New Roman"/>
          <w:bCs/>
        </w:rPr>
        <w:t>, Spain.</w:t>
      </w:r>
    </w:p>
    <w:p w14:paraId="2E4A1FDB" w14:textId="77777777" w:rsidR="002C3154" w:rsidRPr="00451BDA" w:rsidRDefault="002C3154" w:rsidP="002C3154">
      <w:pPr>
        <w:shd w:val="clear" w:color="auto" w:fill="FFFFFF" w:themeFill="background1"/>
        <w:spacing w:after="0" w:line="240" w:lineRule="auto"/>
        <w:contextualSpacing/>
        <w:rPr>
          <w:rFonts w:ascii="Times New Roman" w:hAnsi="Times New Roman" w:cs="Times New Roman"/>
          <w:bCs/>
        </w:rPr>
      </w:pPr>
      <w:r w:rsidRPr="00451BDA">
        <w:rPr>
          <w:rFonts w:ascii="Times New Roman" w:hAnsi="Times New Roman" w:cs="Times New Roman"/>
          <w:bCs/>
        </w:rPr>
        <w:t xml:space="preserve">Neary, S. </w:t>
      </w:r>
      <w:proofErr w:type="spellStart"/>
      <w:r w:rsidRPr="00451BDA">
        <w:rPr>
          <w:rFonts w:ascii="Times New Roman" w:hAnsi="Times New Roman" w:cs="Times New Roman"/>
          <w:bCs/>
        </w:rPr>
        <w:t>Thambar</w:t>
      </w:r>
      <w:proofErr w:type="spellEnd"/>
      <w:r w:rsidRPr="00451BDA">
        <w:rPr>
          <w:rFonts w:ascii="Times New Roman" w:hAnsi="Times New Roman" w:cs="Times New Roman"/>
          <w:bCs/>
        </w:rPr>
        <w:t xml:space="preserve">, N. and Bell, S. (2014), “The global graduate: Developing the global </w:t>
      </w:r>
      <w:proofErr w:type="gramStart"/>
      <w:r w:rsidRPr="00451BDA">
        <w:rPr>
          <w:rFonts w:ascii="Times New Roman" w:hAnsi="Times New Roman" w:cs="Times New Roman"/>
          <w:bCs/>
        </w:rPr>
        <w:t>careers</w:t>
      </w:r>
      <w:proofErr w:type="gramEnd"/>
      <w:r w:rsidRPr="00451BDA">
        <w:rPr>
          <w:rFonts w:ascii="Times New Roman" w:hAnsi="Times New Roman" w:cs="Times New Roman"/>
          <w:bCs/>
        </w:rPr>
        <w:t xml:space="preserve"> </w:t>
      </w:r>
    </w:p>
    <w:p w14:paraId="6CB4CD5A" w14:textId="77777777" w:rsidR="002C3154" w:rsidRPr="00451BDA" w:rsidRDefault="002C3154" w:rsidP="002C3154">
      <w:pPr>
        <w:shd w:val="clear" w:color="auto" w:fill="FFFFFF" w:themeFill="background1"/>
        <w:spacing w:after="0" w:line="240" w:lineRule="auto"/>
        <w:ind w:left="720"/>
        <w:contextualSpacing/>
        <w:rPr>
          <w:rFonts w:ascii="Times New Roman" w:hAnsi="Times New Roman" w:cs="Times New Roman"/>
          <w:bCs/>
        </w:rPr>
      </w:pPr>
      <w:r w:rsidRPr="00451BDA">
        <w:rPr>
          <w:rFonts w:ascii="Times New Roman" w:hAnsi="Times New Roman" w:cs="Times New Roman"/>
          <w:bCs/>
        </w:rPr>
        <w:t xml:space="preserve">Service”, </w:t>
      </w:r>
      <w:r w:rsidRPr="00451BDA">
        <w:rPr>
          <w:rFonts w:ascii="Times New Roman" w:hAnsi="Times New Roman" w:cs="Times New Roman"/>
          <w:bCs/>
          <w:i/>
          <w:iCs/>
        </w:rPr>
        <w:t xml:space="preserve">Journal of the National Institute for Careers Education and Counselling, Vol. </w:t>
      </w:r>
      <w:r w:rsidRPr="00451BDA">
        <w:rPr>
          <w:rFonts w:ascii="Times New Roman" w:hAnsi="Times New Roman" w:cs="Times New Roman"/>
          <w:bCs/>
        </w:rPr>
        <w:t>32. pp.57-63.</w:t>
      </w:r>
    </w:p>
    <w:p w14:paraId="6F36E9C2" w14:textId="77777777" w:rsidR="002C3154" w:rsidRPr="00451BDA" w:rsidRDefault="002C3154" w:rsidP="002C3154">
      <w:pPr>
        <w:shd w:val="clear" w:color="auto" w:fill="FFFFFF" w:themeFill="background1"/>
        <w:spacing w:after="0" w:line="240" w:lineRule="auto"/>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Niehaus, E.K. and Williams, L. (2016), “Faculty transformation in curriculum transformation: </w:t>
      </w:r>
    </w:p>
    <w:p w14:paraId="28B29F41" w14:textId="77777777" w:rsidR="002C3154" w:rsidRPr="00451BDA" w:rsidRDefault="002C3154" w:rsidP="002C3154">
      <w:pPr>
        <w:shd w:val="clear" w:color="auto" w:fill="FFFFFF" w:themeFill="background1"/>
        <w:spacing w:after="0" w:line="240" w:lineRule="auto"/>
        <w:ind w:left="720"/>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the role of faculty development in campus internationalization”. </w:t>
      </w:r>
      <w:r w:rsidRPr="00451BDA">
        <w:rPr>
          <w:rFonts w:ascii="Times New Roman" w:eastAsia="Times New Roman" w:hAnsi="Times New Roman" w:cs="Times New Roman"/>
          <w:bCs/>
          <w:i/>
        </w:rPr>
        <w:t xml:space="preserve">Faculty Publications in Educational Administration, </w:t>
      </w:r>
      <w:r w:rsidRPr="00451BDA">
        <w:rPr>
          <w:rFonts w:ascii="Times New Roman" w:eastAsia="Times New Roman" w:hAnsi="Times New Roman" w:cs="Times New Roman"/>
          <w:bCs/>
          <w:iCs/>
        </w:rPr>
        <w:t>Vol.</w:t>
      </w:r>
      <w:r w:rsidRPr="00451BDA">
        <w:rPr>
          <w:rFonts w:ascii="Times New Roman" w:eastAsia="Times New Roman" w:hAnsi="Times New Roman" w:cs="Times New Roman"/>
          <w:bCs/>
        </w:rPr>
        <w:t xml:space="preserve"> 41. pp.59–74. </w:t>
      </w:r>
    </w:p>
    <w:p w14:paraId="67944A1E" w14:textId="77777777" w:rsidR="002C3154" w:rsidRPr="00451BDA" w:rsidRDefault="002C3154" w:rsidP="002C3154">
      <w:pPr>
        <w:shd w:val="clear" w:color="auto" w:fill="FFFFFF" w:themeFill="background1"/>
        <w:spacing w:after="0" w:line="240" w:lineRule="auto"/>
        <w:contextualSpacing/>
        <w:rPr>
          <w:rFonts w:ascii="Times New Roman" w:eastAsia="Times New Roman" w:hAnsi="Times New Roman" w:cs="Times New Roman"/>
          <w:bCs/>
          <w:shd w:val="clear" w:color="auto" w:fill="FFFFFF"/>
        </w:rPr>
      </w:pPr>
      <w:r w:rsidRPr="00451BDA">
        <w:rPr>
          <w:rFonts w:ascii="Times New Roman" w:eastAsia="Times New Roman" w:hAnsi="Times New Roman" w:cs="Times New Roman"/>
          <w:bCs/>
          <w:shd w:val="clear" w:color="auto" w:fill="FFFFFF"/>
        </w:rPr>
        <w:t xml:space="preserve">Peak, M. (2022), “UK goes top of the world for overseas students”. British Council, available </w:t>
      </w:r>
      <w:proofErr w:type="gramStart"/>
      <w:r w:rsidRPr="00451BDA">
        <w:rPr>
          <w:rFonts w:ascii="Times New Roman" w:eastAsia="Times New Roman" w:hAnsi="Times New Roman" w:cs="Times New Roman"/>
          <w:bCs/>
          <w:shd w:val="clear" w:color="auto" w:fill="FFFFFF"/>
        </w:rPr>
        <w:t>at :</w:t>
      </w:r>
      <w:proofErr w:type="gramEnd"/>
      <w:r w:rsidRPr="00451BDA">
        <w:rPr>
          <w:rFonts w:ascii="Times New Roman" w:eastAsia="Times New Roman" w:hAnsi="Times New Roman" w:cs="Times New Roman"/>
          <w:bCs/>
          <w:shd w:val="clear" w:color="auto" w:fill="FFFFFF"/>
        </w:rPr>
        <w:t xml:space="preserve"> </w:t>
      </w:r>
    </w:p>
    <w:p w14:paraId="3EEC4202" w14:textId="77777777" w:rsidR="002C3154" w:rsidRPr="00451BDA" w:rsidRDefault="00000000" w:rsidP="002C3154">
      <w:pPr>
        <w:shd w:val="clear" w:color="auto" w:fill="FFFFFF" w:themeFill="background1"/>
        <w:spacing w:after="0" w:line="240" w:lineRule="auto"/>
        <w:ind w:left="720"/>
        <w:contextualSpacing/>
        <w:rPr>
          <w:rFonts w:ascii="Times New Roman" w:eastAsia="Times New Roman" w:hAnsi="Times New Roman" w:cs="Times New Roman"/>
          <w:bCs/>
        </w:rPr>
      </w:pPr>
      <w:hyperlink r:id="rId22" w:history="1">
        <w:r w:rsidR="002C3154" w:rsidRPr="00451BDA">
          <w:rPr>
            <w:rStyle w:val="Hyperlink"/>
            <w:rFonts w:ascii="Times New Roman" w:eastAsia="Times New Roman" w:hAnsi="Times New Roman" w:cs="Times New Roman"/>
            <w:bCs/>
            <w:shd w:val="clear" w:color="auto" w:fill="FFFFFF"/>
          </w:rPr>
          <w:t>https://www.britishcouncil.org/research-policy-insight/insight-articles/uk-top-overseas-students</w:t>
        </w:r>
      </w:hyperlink>
      <w:r w:rsidR="002C3154" w:rsidRPr="00451BDA">
        <w:rPr>
          <w:rFonts w:ascii="Times New Roman" w:eastAsia="Times New Roman" w:hAnsi="Times New Roman" w:cs="Times New Roman"/>
          <w:bCs/>
        </w:rPr>
        <w:t xml:space="preserve"> </w:t>
      </w:r>
    </w:p>
    <w:p w14:paraId="08AD09CB" w14:textId="77777777" w:rsidR="002C3154" w:rsidRPr="00451BDA" w:rsidRDefault="002C3154" w:rsidP="002C3154">
      <w:pPr>
        <w:shd w:val="clear" w:color="auto" w:fill="FFFFFF" w:themeFill="background1"/>
        <w:spacing w:after="0" w:line="240" w:lineRule="auto"/>
        <w:contextualSpacing/>
        <w:rPr>
          <w:rFonts w:ascii="Times New Roman" w:eastAsia="Times New Roman" w:hAnsi="Times New Roman" w:cs="Times New Roman"/>
          <w:bCs/>
          <w:i/>
        </w:rPr>
      </w:pPr>
      <w:r w:rsidRPr="00451BDA">
        <w:rPr>
          <w:rFonts w:ascii="Times New Roman" w:eastAsia="Times New Roman" w:hAnsi="Times New Roman" w:cs="Times New Roman"/>
          <w:bCs/>
        </w:rPr>
        <w:t xml:space="preserve">Pinto, S. (2018), “Intercultural competence in higher education: academics’ perspectives”, </w:t>
      </w:r>
      <w:r w:rsidRPr="00451BDA">
        <w:rPr>
          <w:rFonts w:ascii="Times New Roman" w:eastAsia="Times New Roman" w:hAnsi="Times New Roman" w:cs="Times New Roman"/>
          <w:bCs/>
          <w:i/>
        </w:rPr>
        <w:t xml:space="preserve">On </w:t>
      </w:r>
    </w:p>
    <w:p w14:paraId="715D53A9" w14:textId="77777777" w:rsidR="002C3154" w:rsidRPr="00451BDA" w:rsidRDefault="002C3154" w:rsidP="002C3154">
      <w:pPr>
        <w:shd w:val="clear" w:color="auto" w:fill="FFFFFF" w:themeFill="background1"/>
        <w:spacing w:after="0" w:line="240" w:lineRule="auto"/>
        <w:ind w:left="720" w:firstLine="720"/>
        <w:contextualSpacing/>
        <w:rPr>
          <w:rFonts w:ascii="Times New Roman" w:hAnsi="Times New Roman" w:cs="Times New Roman"/>
          <w:bCs/>
        </w:rPr>
      </w:pPr>
      <w:r w:rsidRPr="00451BDA">
        <w:rPr>
          <w:rFonts w:ascii="Times New Roman" w:eastAsia="Times New Roman" w:hAnsi="Times New Roman" w:cs="Times New Roman"/>
          <w:bCs/>
          <w:i/>
        </w:rPr>
        <w:t>the Horizon</w:t>
      </w:r>
      <w:r w:rsidRPr="00451BDA">
        <w:rPr>
          <w:rFonts w:ascii="Times New Roman" w:eastAsia="Times New Roman" w:hAnsi="Times New Roman" w:cs="Times New Roman"/>
          <w:bCs/>
        </w:rPr>
        <w:t xml:space="preserve">, </w:t>
      </w:r>
      <w:r w:rsidRPr="00451BDA">
        <w:rPr>
          <w:rFonts w:ascii="Times New Roman" w:hAnsi="Times New Roman" w:cs="Times New Roman"/>
          <w:shd w:val="clear" w:color="auto" w:fill="FFFFFF"/>
        </w:rPr>
        <w:t>Vol. 26. No. 2, pp. 137-147.</w:t>
      </w:r>
    </w:p>
    <w:p w14:paraId="245F6CF6" w14:textId="77777777" w:rsidR="002C3154" w:rsidRPr="00451BDA" w:rsidRDefault="002C3154" w:rsidP="002C3154">
      <w:pPr>
        <w:shd w:val="clear" w:color="auto" w:fill="FFFFFF" w:themeFill="background1"/>
        <w:spacing w:after="0" w:line="240" w:lineRule="auto"/>
        <w:contextualSpacing/>
        <w:rPr>
          <w:rFonts w:ascii="Times New Roman" w:hAnsi="Times New Roman" w:cs="Times New Roman"/>
          <w:bCs/>
          <w:i/>
        </w:rPr>
      </w:pPr>
      <w:r w:rsidRPr="00451BDA">
        <w:rPr>
          <w:rFonts w:ascii="Times New Roman" w:eastAsia="Times New Roman" w:hAnsi="Times New Roman" w:cs="Times New Roman"/>
          <w:bCs/>
        </w:rPr>
        <w:t>Qiang, Z. (2003</w:t>
      </w:r>
      <w:proofErr w:type="gramStart"/>
      <w:r w:rsidRPr="00451BDA">
        <w:rPr>
          <w:rFonts w:ascii="Times New Roman" w:eastAsia="Times New Roman" w:hAnsi="Times New Roman" w:cs="Times New Roman"/>
          <w:bCs/>
        </w:rPr>
        <w:t>),“</w:t>
      </w:r>
      <w:proofErr w:type="gramEnd"/>
      <w:r w:rsidRPr="00451BDA">
        <w:rPr>
          <w:rFonts w:ascii="Times New Roman" w:hAnsi="Times New Roman" w:cs="Times New Roman"/>
          <w:bCs/>
        </w:rPr>
        <w:t xml:space="preserve">Internationalization of HE: towards a conceptual framework, </w:t>
      </w:r>
      <w:r w:rsidRPr="00451BDA">
        <w:rPr>
          <w:rFonts w:ascii="Times New Roman" w:hAnsi="Times New Roman" w:cs="Times New Roman"/>
          <w:bCs/>
          <w:i/>
        </w:rPr>
        <w:t xml:space="preserve">Policy Features </w:t>
      </w:r>
    </w:p>
    <w:p w14:paraId="7BE3E8DD" w14:textId="77777777" w:rsidR="002C3154" w:rsidRPr="00451BDA" w:rsidRDefault="002C3154" w:rsidP="002C3154">
      <w:pPr>
        <w:shd w:val="clear" w:color="auto" w:fill="FFFFFF" w:themeFill="background1"/>
        <w:spacing w:after="0" w:line="240" w:lineRule="auto"/>
        <w:ind w:firstLine="720"/>
        <w:contextualSpacing/>
        <w:rPr>
          <w:rFonts w:ascii="Times New Roman" w:hAnsi="Times New Roman" w:cs="Times New Roman"/>
          <w:bCs/>
        </w:rPr>
      </w:pPr>
      <w:r w:rsidRPr="00451BDA">
        <w:rPr>
          <w:rFonts w:ascii="Times New Roman" w:hAnsi="Times New Roman" w:cs="Times New Roman"/>
          <w:bCs/>
          <w:i/>
        </w:rPr>
        <w:t>in Education, Vol.1</w:t>
      </w:r>
      <w:r w:rsidRPr="00451BDA">
        <w:rPr>
          <w:rFonts w:ascii="Times New Roman" w:hAnsi="Times New Roman" w:cs="Times New Roman"/>
          <w:bCs/>
        </w:rPr>
        <w:t>. No. 2.pp. 248-270.</w:t>
      </w:r>
    </w:p>
    <w:p w14:paraId="71695BC5" w14:textId="77777777" w:rsidR="002C3154" w:rsidRPr="00451BDA" w:rsidRDefault="002C3154" w:rsidP="002C3154">
      <w:pPr>
        <w:shd w:val="clear" w:color="auto" w:fill="FFFFFF" w:themeFill="background1"/>
        <w:spacing w:after="0" w:line="240" w:lineRule="auto"/>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Roberts, T. G. Thoron, A.C. Barrick, R.K. and Samy, M.M. (2008), “Lessons learned from </w:t>
      </w:r>
    </w:p>
    <w:p w14:paraId="71F28D93" w14:textId="77777777" w:rsidR="002C3154" w:rsidRPr="00451BDA" w:rsidRDefault="002C3154" w:rsidP="002C3154">
      <w:pPr>
        <w:shd w:val="clear" w:color="auto" w:fill="FFFFFF" w:themeFill="background1"/>
        <w:spacing w:after="0" w:line="240" w:lineRule="auto"/>
        <w:ind w:left="720"/>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conducting workshops with university agricultural faculty and secondary school agricultural teachers in Egypt”. </w:t>
      </w:r>
      <w:r w:rsidRPr="00451BDA">
        <w:rPr>
          <w:rFonts w:ascii="Times New Roman" w:eastAsia="Times New Roman" w:hAnsi="Times New Roman" w:cs="Times New Roman"/>
          <w:bCs/>
          <w:i/>
        </w:rPr>
        <w:t xml:space="preserve">Journal of International Agricultural and Extension </w:t>
      </w:r>
      <w:proofErr w:type="gramStart"/>
      <w:r w:rsidRPr="00451BDA">
        <w:rPr>
          <w:rFonts w:ascii="Times New Roman" w:eastAsia="Times New Roman" w:hAnsi="Times New Roman" w:cs="Times New Roman"/>
          <w:bCs/>
          <w:i/>
        </w:rPr>
        <w:t>Education,Vol.</w:t>
      </w:r>
      <w:proofErr w:type="gramEnd"/>
      <w:r w:rsidRPr="00451BDA">
        <w:rPr>
          <w:rFonts w:ascii="Times New Roman" w:eastAsia="Times New Roman" w:hAnsi="Times New Roman" w:cs="Times New Roman"/>
          <w:bCs/>
        </w:rPr>
        <w:t>15.No.1.pp.85-87.</w:t>
      </w:r>
    </w:p>
    <w:p w14:paraId="012E27BC" w14:textId="4D61C21E" w:rsidR="002C3154" w:rsidRPr="00451BDA" w:rsidRDefault="002C3154" w:rsidP="002C3154">
      <w:pPr>
        <w:shd w:val="clear" w:color="auto" w:fill="FFFFFF" w:themeFill="background1"/>
        <w:spacing w:after="0" w:line="240" w:lineRule="auto"/>
        <w:contextualSpacing/>
        <w:rPr>
          <w:rFonts w:ascii="Times New Roman" w:hAnsi="Times New Roman" w:cs="Times New Roman"/>
        </w:rPr>
      </w:pPr>
      <w:r w:rsidRPr="00451BDA">
        <w:rPr>
          <w:rFonts w:ascii="Times New Roman" w:eastAsia="Times New Roman" w:hAnsi="Times New Roman" w:cs="Times New Roman"/>
          <w:bCs/>
        </w:rPr>
        <w:t>Robson, S</w:t>
      </w:r>
      <w:r w:rsidR="00451BDA" w:rsidRPr="00451BDA">
        <w:rPr>
          <w:rFonts w:ascii="Times New Roman" w:eastAsia="Times New Roman" w:hAnsi="Times New Roman" w:cs="Times New Roman"/>
          <w:bCs/>
        </w:rPr>
        <w:t>.</w:t>
      </w:r>
      <w:r w:rsidRPr="00451BDA">
        <w:rPr>
          <w:rFonts w:ascii="Times New Roman" w:eastAsia="Times New Roman" w:hAnsi="Times New Roman" w:cs="Times New Roman"/>
          <w:bCs/>
        </w:rPr>
        <w:t xml:space="preserve"> and </w:t>
      </w:r>
      <w:proofErr w:type="spellStart"/>
      <w:r w:rsidRPr="00451BDA">
        <w:rPr>
          <w:rFonts w:ascii="Times New Roman" w:eastAsia="Times New Roman" w:hAnsi="Times New Roman" w:cs="Times New Roman"/>
          <w:bCs/>
        </w:rPr>
        <w:t>Wijlborg</w:t>
      </w:r>
      <w:proofErr w:type="spellEnd"/>
      <w:r w:rsidRPr="00451BDA">
        <w:rPr>
          <w:rFonts w:ascii="Times New Roman" w:eastAsia="Times New Roman" w:hAnsi="Times New Roman" w:cs="Times New Roman"/>
          <w:bCs/>
        </w:rPr>
        <w:t xml:space="preserve">, M (2019), </w:t>
      </w:r>
      <w:proofErr w:type="spellStart"/>
      <w:r w:rsidRPr="00451BDA">
        <w:rPr>
          <w:rFonts w:ascii="Times New Roman" w:hAnsi="Times New Roman" w:cs="Times New Roman"/>
        </w:rPr>
        <w:t>Internationalisation</w:t>
      </w:r>
      <w:proofErr w:type="spellEnd"/>
      <w:r w:rsidRPr="00451BDA">
        <w:rPr>
          <w:rFonts w:ascii="Times New Roman" w:hAnsi="Times New Roman" w:cs="Times New Roman"/>
        </w:rPr>
        <w:t xml:space="preserve"> of higher education: Impacts, challenges and </w:t>
      </w:r>
    </w:p>
    <w:p w14:paraId="62B6F6FD" w14:textId="77777777" w:rsidR="002C3154" w:rsidRPr="00451BDA" w:rsidRDefault="002C3154" w:rsidP="002C3154">
      <w:pPr>
        <w:shd w:val="clear" w:color="auto" w:fill="FFFFFF" w:themeFill="background1"/>
        <w:spacing w:after="0" w:line="240" w:lineRule="auto"/>
        <w:ind w:firstLine="720"/>
        <w:contextualSpacing/>
        <w:rPr>
          <w:rFonts w:ascii="Times New Roman" w:hAnsi="Times New Roman" w:cs="Times New Roman"/>
        </w:rPr>
      </w:pPr>
      <w:r w:rsidRPr="00451BDA">
        <w:rPr>
          <w:rFonts w:ascii="Times New Roman" w:hAnsi="Times New Roman" w:cs="Times New Roman"/>
        </w:rPr>
        <w:t>future possibilities”, European Educational Research Journal, Vol. 18, No. 2, pp. 127-134.</w:t>
      </w:r>
    </w:p>
    <w:p w14:paraId="202E41BF" w14:textId="77777777" w:rsidR="002C3154" w:rsidRPr="00451BDA" w:rsidRDefault="002C3154" w:rsidP="002C3154">
      <w:pPr>
        <w:shd w:val="clear" w:color="auto" w:fill="FFFFFF" w:themeFill="background1"/>
        <w:spacing w:after="0" w:line="240" w:lineRule="auto"/>
        <w:contextualSpacing/>
        <w:rPr>
          <w:rFonts w:ascii="Times New Roman" w:hAnsi="Times New Roman" w:cs="Times New Roman"/>
          <w:bCs/>
        </w:rPr>
      </w:pPr>
      <w:r w:rsidRPr="00451BDA">
        <w:rPr>
          <w:rFonts w:ascii="Times New Roman" w:eastAsia="Times New Roman" w:hAnsi="Times New Roman" w:cs="Times New Roman"/>
          <w:bCs/>
        </w:rPr>
        <w:t xml:space="preserve">Rubab I, </w:t>
      </w:r>
      <w:r w:rsidRPr="00451BDA">
        <w:rPr>
          <w:rFonts w:ascii="Times New Roman" w:hAnsi="Times New Roman" w:cs="Times New Roman"/>
          <w:bCs/>
        </w:rPr>
        <w:t xml:space="preserve">Anusheh BA, Ahmed U and Aaisha, A. (2020), Global citizenship education: values to </w:t>
      </w:r>
    </w:p>
    <w:p w14:paraId="299D08AA" w14:textId="77777777" w:rsidR="002C3154" w:rsidRPr="00451BDA" w:rsidRDefault="002C3154" w:rsidP="002C3154">
      <w:pPr>
        <w:shd w:val="clear" w:color="auto" w:fill="FFFFFF" w:themeFill="background1"/>
        <w:spacing w:after="0" w:line="240" w:lineRule="auto"/>
        <w:ind w:firstLine="720"/>
        <w:contextualSpacing/>
        <w:rPr>
          <w:rFonts w:ascii="Times New Roman" w:hAnsi="Times New Roman" w:cs="Times New Roman"/>
          <w:bCs/>
        </w:rPr>
      </w:pPr>
      <w:r w:rsidRPr="00451BDA">
        <w:rPr>
          <w:rFonts w:ascii="Times New Roman" w:hAnsi="Times New Roman" w:cs="Times New Roman"/>
          <w:bCs/>
        </w:rPr>
        <w:t xml:space="preserve">be taught in the light of the rising identity crisis, </w:t>
      </w:r>
      <w:r w:rsidRPr="00451BDA">
        <w:rPr>
          <w:rFonts w:ascii="Times New Roman" w:hAnsi="Times New Roman" w:cs="Times New Roman"/>
          <w:bCs/>
          <w:i/>
        </w:rPr>
        <w:t>Pakistan Vision, Vol.</w:t>
      </w:r>
      <w:proofErr w:type="gramStart"/>
      <w:r w:rsidRPr="00451BDA">
        <w:rPr>
          <w:rFonts w:ascii="Times New Roman" w:hAnsi="Times New Roman" w:cs="Times New Roman"/>
          <w:bCs/>
        </w:rPr>
        <w:t>21.(</w:t>
      </w:r>
      <w:proofErr w:type="gramEnd"/>
      <w:r w:rsidRPr="00451BDA">
        <w:rPr>
          <w:rFonts w:ascii="Times New Roman" w:hAnsi="Times New Roman" w:cs="Times New Roman"/>
          <w:bCs/>
        </w:rPr>
        <w:t xml:space="preserve">No.1, pp. </w:t>
      </w:r>
    </w:p>
    <w:p w14:paraId="08623827" w14:textId="77777777" w:rsidR="002C3154" w:rsidRPr="00451BDA" w:rsidRDefault="002C3154" w:rsidP="002C3154">
      <w:pPr>
        <w:shd w:val="clear" w:color="auto" w:fill="FFFFFF" w:themeFill="background1"/>
        <w:spacing w:after="0" w:line="240" w:lineRule="auto"/>
        <w:ind w:left="720"/>
        <w:contextualSpacing/>
        <w:rPr>
          <w:rFonts w:ascii="Times New Roman" w:hAnsi="Times New Roman" w:cs="Times New Roman"/>
          <w:bCs/>
        </w:rPr>
      </w:pPr>
      <w:r w:rsidRPr="00451BDA">
        <w:rPr>
          <w:rFonts w:ascii="Times New Roman" w:hAnsi="Times New Roman" w:cs="Times New Roman"/>
          <w:bCs/>
        </w:rPr>
        <w:t>386-395.</w:t>
      </w:r>
    </w:p>
    <w:p w14:paraId="3B10F434" w14:textId="77777777" w:rsidR="002C3154" w:rsidRPr="00451BDA" w:rsidRDefault="002C3154" w:rsidP="002C3154">
      <w:pPr>
        <w:shd w:val="clear" w:color="auto" w:fill="FFFFFF" w:themeFill="background1"/>
        <w:spacing w:after="0" w:line="240" w:lineRule="auto"/>
        <w:contextualSpacing/>
        <w:rPr>
          <w:rFonts w:ascii="Times New Roman" w:hAnsi="Times New Roman" w:cs="Times New Roman"/>
          <w:bCs/>
          <w:i/>
        </w:rPr>
      </w:pPr>
      <w:r w:rsidRPr="00451BDA">
        <w:rPr>
          <w:rFonts w:ascii="Times New Roman" w:hAnsi="Times New Roman" w:cs="Times New Roman"/>
          <w:bCs/>
        </w:rPr>
        <w:t xml:space="preserve">Robson, S. (2015), “Internationalization of curriculum: challenges and opportunities”. </w:t>
      </w:r>
      <w:r w:rsidRPr="00451BDA">
        <w:rPr>
          <w:rFonts w:ascii="Times New Roman" w:hAnsi="Times New Roman" w:cs="Times New Roman"/>
          <w:bCs/>
          <w:i/>
        </w:rPr>
        <w:t xml:space="preserve">Journal of </w:t>
      </w:r>
    </w:p>
    <w:p w14:paraId="14754609" w14:textId="77777777" w:rsidR="002C3154" w:rsidRPr="00451BDA" w:rsidRDefault="002C3154" w:rsidP="002C3154">
      <w:pPr>
        <w:shd w:val="clear" w:color="auto" w:fill="FFFFFF" w:themeFill="background1"/>
        <w:spacing w:after="0" w:line="240" w:lineRule="auto"/>
        <w:ind w:left="720"/>
        <w:contextualSpacing/>
        <w:rPr>
          <w:rFonts w:ascii="Times New Roman" w:hAnsi="Times New Roman" w:cs="Times New Roman"/>
          <w:bCs/>
        </w:rPr>
      </w:pPr>
      <w:r w:rsidRPr="00451BDA">
        <w:rPr>
          <w:rFonts w:ascii="Times New Roman" w:hAnsi="Times New Roman" w:cs="Times New Roman"/>
          <w:bCs/>
          <w:i/>
        </w:rPr>
        <w:t xml:space="preserve">Perspectives in Applied Academic Practice, </w:t>
      </w:r>
      <w:r w:rsidRPr="00451BDA">
        <w:rPr>
          <w:rFonts w:ascii="Times New Roman" w:hAnsi="Times New Roman" w:cs="Times New Roman"/>
          <w:bCs/>
          <w:iCs/>
        </w:rPr>
        <w:t>Vol</w:t>
      </w:r>
      <w:r w:rsidRPr="00451BDA">
        <w:rPr>
          <w:rFonts w:ascii="Times New Roman" w:hAnsi="Times New Roman" w:cs="Times New Roman"/>
          <w:bCs/>
          <w:i/>
        </w:rPr>
        <w:t xml:space="preserve">. </w:t>
      </w:r>
      <w:r w:rsidRPr="00451BDA">
        <w:rPr>
          <w:rFonts w:ascii="Times New Roman" w:hAnsi="Times New Roman" w:cs="Times New Roman"/>
          <w:bCs/>
        </w:rPr>
        <w:t xml:space="preserve">3, No.3. pp.50-52. </w:t>
      </w:r>
    </w:p>
    <w:p w14:paraId="720C8442" w14:textId="77777777" w:rsidR="002C3154" w:rsidRPr="00451BDA" w:rsidRDefault="002C3154" w:rsidP="002C3154">
      <w:pPr>
        <w:shd w:val="clear" w:color="auto" w:fill="FFFFFF" w:themeFill="background1"/>
        <w:spacing w:after="0" w:line="240" w:lineRule="auto"/>
        <w:contextualSpacing/>
        <w:rPr>
          <w:rFonts w:ascii="Times New Roman" w:hAnsi="Times New Roman" w:cs="Times New Roman"/>
          <w:bCs/>
        </w:rPr>
      </w:pPr>
      <w:r w:rsidRPr="00451BDA">
        <w:rPr>
          <w:rFonts w:ascii="Times New Roman" w:hAnsi="Times New Roman" w:cs="Times New Roman"/>
          <w:bCs/>
        </w:rPr>
        <w:t xml:space="preserve">Sá, M.J. and Serpa, S. (2020), “Cultural dimension in internationalization of the curriculum in </w:t>
      </w:r>
    </w:p>
    <w:p w14:paraId="653AD2A2" w14:textId="77777777" w:rsidR="002C3154" w:rsidRPr="00451BDA" w:rsidRDefault="002C3154" w:rsidP="002C3154">
      <w:pPr>
        <w:shd w:val="clear" w:color="auto" w:fill="FFFFFF" w:themeFill="background1"/>
        <w:spacing w:after="0" w:line="240" w:lineRule="auto"/>
        <w:ind w:firstLine="720"/>
        <w:contextualSpacing/>
        <w:rPr>
          <w:rFonts w:ascii="Times New Roman" w:hAnsi="Times New Roman" w:cs="Times New Roman"/>
          <w:bCs/>
        </w:rPr>
      </w:pPr>
      <w:r w:rsidRPr="00451BDA">
        <w:rPr>
          <w:rFonts w:ascii="Times New Roman" w:hAnsi="Times New Roman" w:cs="Times New Roman"/>
          <w:bCs/>
        </w:rPr>
        <w:t xml:space="preserve">higher education”. </w:t>
      </w:r>
      <w:r w:rsidRPr="00451BDA">
        <w:rPr>
          <w:rFonts w:ascii="Times New Roman" w:hAnsi="Times New Roman" w:cs="Times New Roman"/>
          <w:bCs/>
          <w:i/>
          <w:iCs/>
        </w:rPr>
        <w:t>Education Sciences</w:t>
      </w:r>
      <w:r w:rsidRPr="00451BDA">
        <w:rPr>
          <w:rFonts w:ascii="Times New Roman" w:hAnsi="Times New Roman" w:cs="Times New Roman"/>
          <w:bCs/>
        </w:rPr>
        <w:t>, Vol.10. No.</w:t>
      </w:r>
      <w:proofErr w:type="gramStart"/>
      <w:r w:rsidRPr="00451BDA">
        <w:rPr>
          <w:rFonts w:ascii="Times New Roman" w:hAnsi="Times New Roman" w:cs="Times New Roman"/>
          <w:bCs/>
        </w:rPr>
        <w:t>12.pp.</w:t>
      </w:r>
      <w:proofErr w:type="gramEnd"/>
      <w:r w:rsidRPr="00451BDA">
        <w:rPr>
          <w:rFonts w:ascii="Times New Roman" w:hAnsi="Times New Roman" w:cs="Times New Roman"/>
          <w:bCs/>
        </w:rPr>
        <w:t xml:space="preserve"> 375. </w:t>
      </w:r>
    </w:p>
    <w:p w14:paraId="1CAF7808" w14:textId="77777777" w:rsidR="002C3154" w:rsidRPr="00451BDA" w:rsidRDefault="002C3154" w:rsidP="002C3154">
      <w:pPr>
        <w:shd w:val="clear" w:color="auto" w:fill="FFFFFF" w:themeFill="background1"/>
        <w:spacing w:after="0" w:line="240" w:lineRule="auto"/>
        <w:contextualSpacing/>
        <w:rPr>
          <w:rFonts w:ascii="Times New Roman" w:eastAsia="Times New Roman" w:hAnsi="Times New Roman" w:cs="Times New Roman"/>
          <w:bCs/>
        </w:rPr>
      </w:pPr>
      <w:r w:rsidRPr="00451BDA">
        <w:rPr>
          <w:rFonts w:ascii="Times New Roman" w:eastAsia="Times New Roman" w:hAnsi="Times New Roman" w:cs="Times New Roman"/>
          <w:bCs/>
        </w:rPr>
        <w:lastRenderedPageBreak/>
        <w:t>Saeed, M. (2007), “Education system of Pakistan and the UK: Comparison in contexts to inter-</w:t>
      </w:r>
    </w:p>
    <w:p w14:paraId="129C82F5" w14:textId="77777777" w:rsidR="002C3154" w:rsidRPr="00451BDA" w:rsidRDefault="002C3154" w:rsidP="002C3154">
      <w:pPr>
        <w:shd w:val="clear" w:color="auto" w:fill="FFFFFF" w:themeFill="background1"/>
        <w:spacing w:after="0" w:line="240" w:lineRule="auto"/>
        <w:ind w:firstLine="720"/>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provincial and inter-countries reflections”, Bulletin of Education and Research, Vol. 29 </w:t>
      </w:r>
    </w:p>
    <w:p w14:paraId="19589F63" w14:textId="77777777" w:rsidR="002C3154" w:rsidRPr="00451BDA" w:rsidRDefault="002C3154" w:rsidP="002C3154">
      <w:pPr>
        <w:shd w:val="clear" w:color="auto" w:fill="FFFFFF" w:themeFill="background1"/>
        <w:spacing w:after="0" w:line="240" w:lineRule="auto"/>
        <w:ind w:left="720"/>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No. 2, pp. 43-57. </w:t>
      </w:r>
    </w:p>
    <w:p w14:paraId="77E75D26" w14:textId="5A28FE16" w:rsidR="002C3154" w:rsidRPr="00451BDA" w:rsidRDefault="002C3154" w:rsidP="002C3154">
      <w:pPr>
        <w:shd w:val="clear" w:color="auto" w:fill="FFFFFF" w:themeFill="background1"/>
        <w:spacing w:after="0" w:line="240" w:lineRule="auto"/>
        <w:contextualSpacing/>
        <w:rPr>
          <w:rFonts w:ascii="Times New Roman" w:eastAsia="Times New Roman" w:hAnsi="Times New Roman" w:cs="Times New Roman"/>
          <w:bCs/>
        </w:rPr>
      </w:pPr>
      <w:r w:rsidRPr="00451BDA">
        <w:rPr>
          <w:rFonts w:ascii="Times New Roman" w:eastAsia="Times New Roman" w:hAnsi="Times New Roman" w:cs="Times New Roman"/>
          <w:bCs/>
        </w:rPr>
        <w:t>Saunders,</w:t>
      </w:r>
      <w:r w:rsidR="00655B93" w:rsidRPr="00451BDA">
        <w:rPr>
          <w:rFonts w:ascii="Times New Roman" w:eastAsia="Times New Roman" w:hAnsi="Times New Roman" w:cs="Times New Roman"/>
          <w:bCs/>
        </w:rPr>
        <w:t xml:space="preserve"> </w:t>
      </w:r>
      <w:r w:rsidRPr="00451BDA">
        <w:rPr>
          <w:rFonts w:ascii="Times New Roman" w:eastAsia="Times New Roman" w:hAnsi="Times New Roman" w:cs="Times New Roman"/>
          <w:bCs/>
        </w:rPr>
        <w:t xml:space="preserve">V. and </w:t>
      </w:r>
      <w:proofErr w:type="spellStart"/>
      <w:r w:rsidRPr="00451BDA">
        <w:rPr>
          <w:rFonts w:ascii="Times New Roman" w:eastAsia="Times New Roman" w:hAnsi="Times New Roman" w:cs="Times New Roman"/>
          <w:bCs/>
        </w:rPr>
        <w:t>Zuzel</w:t>
      </w:r>
      <w:proofErr w:type="spellEnd"/>
      <w:r w:rsidRPr="00451BDA">
        <w:rPr>
          <w:rFonts w:ascii="Times New Roman" w:eastAsia="Times New Roman" w:hAnsi="Times New Roman" w:cs="Times New Roman"/>
          <w:bCs/>
        </w:rPr>
        <w:t xml:space="preserve">, K. (2015), “Evaluating employability skills: employer and </w:t>
      </w:r>
      <w:proofErr w:type="gramStart"/>
      <w:r w:rsidRPr="00451BDA">
        <w:rPr>
          <w:rFonts w:ascii="Times New Roman" w:eastAsia="Times New Roman" w:hAnsi="Times New Roman" w:cs="Times New Roman"/>
          <w:bCs/>
        </w:rPr>
        <w:t>student</w:t>
      </w:r>
      <w:proofErr w:type="gramEnd"/>
      <w:r w:rsidRPr="00451BDA">
        <w:rPr>
          <w:rFonts w:ascii="Times New Roman" w:eastAsia="Times New Roman" w:hAnsi="Times New Roman" w:cs="Times New Roman"/>
          <w:bCs/>
        </w:rPr>
        <w:t xml:space="preserve"> </w:t>
      </w:r>
    </w:p>
    <w:p w14:paraId="01ED5FE3" w14:textId="77777777" w:rsidR="002C3154" w:rsidRPr="00451BDA" w:rsidRDefault="002C3154" w:rsidP="002C3154">
      <w:pPr>
        <w:shd w:val="clear" w:color="auto" w:fill="FFFFFF" w:themeFill="background1"/>
        <w:spacing w:after="0" w:line="240" w:lineRule="auto"/>
        <w:ind w:firstLine="720"/>
        <w:contextualSpacing/>
        <w:rPr>
          <w:rStyle w:val="Hyperlink"/>
          <w:rFonts w:ascii="Times New Roman" w:hAnsi="Times New Roman" w:cs="Times New Roman"/>
          <w:bCs/>
          <w:color w:val="auto"/>
          <w:u w:val="none"/>
        </w:rPr>
      </w:pPr>
      <w:r w:rsidRPr="00451BDA">
        <w:rPr>
          <w:rFonts w:ascii="Times New Roman" w:eastAsia="Times New Roman" w:hAnsi="Times New Roman" w:cs="Times New Roman"/>
          <w:bCs/>
        </w:rPr>
        <w:t xml:space="preserve">Perceptions”. </w:t>
      </w:r>
      <w:r w:rsidRPr="00451BDA">
        <w:rPr>
          <w:rFonts w:ascii="Times New Roman" w:eastAsia="Times New Roman" w:hAnsi="Times New Roman" w:cs="Times New Roman"/>
          <w:bCs/>
          <w:i/>
        </w:rPr>
        <w:t>Bioscience Education.</w:t>
      </w:r>
      <w:r w:rsidRPr="00451BDA">
        <w:rPr>
          <w:rFonts w:ascii="Times New Roman" w:eastAsia="Times New Roman" w:hAnsi="Times New Roman" w:cs="Times New Roman"/>
          <w:bCs/>
          <w:iCs/>
        </w:rPr>
        <w:t xml:space="preserve"> Vol.15. </w:t>
      </w:r>
      <w:r w:rsidRPr="00451BDA">
        <w:rPr>
          <w:rFonts w:ascii="Times New Roman" w:eastAsia="Times New Roman" w:hAnsi="Times New Roman" w:cs="Times New Roman"/>
          <w:bCs/>
        </w:rPr>
        <w:t>No.</w:t>
      </w:r>
      <w:proofErr w:type="gramStart"/>
      <w:r w:rsidRPr="00451BDA">
        <w:rPr>
          <w:rFonts w:ascii="Times New Roman" w:eastAsia="Times New Roman" w:hAnsi="Times New Roman" w:cs="Times New Roman"/>
          <w:bCs/>
        </w:rPr>
        <w:t>1.pp.</w:t>
      </w:r>
      <w:proofErr w:type="gramEnd"/>
      <w:r w:rsidRPr="00451BDA">
        <w:rPr>
          <w:rFonts w:ascii="Times New Roman" w:eastAsia="Times New Roman" w:hAnsi="Times New Roman" w:cs="Times New Roman"/>
          <w:bCs/>
        </w:rPr>
        <w:t xml:space="preserve">1-15. </w:t>
      </w:r>
    </w:p>
    <w:p w14:paraId="0A843C4B" w14:textId="77777777" w:rsidR="002C3154" w:rsidRPr="00451BDA" w:rsidRDefault="002C3154" w:rsidP="002C3154">
      <w:pPr>
        <w:shd w:val="clear" w:color="auto" w:fill="FFFFFF" w:themeFill="background1"/>
        <w:spacing w:after="0" w:line="240" w:lineRule="auto"/>
        <w:contextualSpacing/>
        <w:rPr>
          <w:rFonts w:ascii="Times New Roman" w:eastAsia="Times New Roman" w:hAnsi="Times New Roman" w:cs="Times New Roman"/>
          <w:bCs/>
        </w:rPr>
      </w:pPr>
      <w:proofErr w:type="spellStart"/>
      <w:r w:rsidRPr="00451BDA">
        <w:rPr>
          <w:rFonts w:ascii="Times New Roman" w:eastAsia="Times New Roman" w:hAnsi="Times New Roman" w:cs="Times New Roman"/>
          <w:bCs/>
        </w:rPr>
        <w:t>Shallwani</w:t>
      </w:r>
      <w:proofErr w:type="spellEnd"/>
      <w:r w:rsidRPr="00451BDA">
        <w:rPr>
          <w:rFonts w:ascii="Times New Roman" w:eastAsia="Times New Roman" w:hAnsi="Times New Roman" w:cs="Times New Roman"/>
          <w:bCs/>
        </w:rPr>
        <w:t xml:space="preserve">, S. (2014, March 27),” Education in Pakistan: A historical socio-cultural </w:t>
      </w:r>
    </w:p>
    <w:p w14:paraId="0E09BEE7" w14:textId="77777777" w:rsidR="002C3154" w:rsidRPr="00451BDA" w:rsidRDefault="002C3154" w:rsidP="002C3154">
      <w:pPr>
        <w:shd w:val="clear" w:color="auto" w:fill="FFFFFF" w:themeFill="background1"/>
        <w:spacing w:after="0" w:line="240" w:lineRule="auto"/>
        <w:ind w:left="720"/>
        <w:contextualSpacing/>
        <w:rPr>
          <w:rFonts w:ascii="Times New Roman" w:eastAsia="Times New Roman" w:hAnsi="Times New Roman" w:cs="Times New Roman"/>
          <w:bCs/>
        </w:rPr>
      </w:pPr>
      <w:proofErr w:type="spellStart"/>
      <w:proofErr w:type="gramStart"/>
      <w:r w:rsidRPr="00451BDA">
        <w:rPr>
          <w:rFonts w:ascii="Times New Roman" w:eastAsia="Times New Roman" w:hAnsi="Times New Roman" w:cs="Times New Roman"/>
          <w:bCs/>
        </w:rPr>
        <w:t>perspective.Part</w:t>
      </w:r>
      <w:proofErr w:type="spellEnd"/>
      <w:proofErr w:type="gramEnd"/>
      <w:r w:rsidRPr="00451BDA">
        <w:rPr>
          <w:rFonts w:ascii="Times New Roman" w:eastAsia="Times New Roman" w:hAnsi="Times New Roman" w:cs="Times New Roman"/>
          <w:bCs/>
        </w:rPr>
        <w:t xml:space="preserve"> 4 British influences”, </w:t>
      </w:r>
      <w:hyperlink r:id="rId23" w:history="1">
        <w:r w:rsidRPr="00451BDA">
          <w:rPr>
            <w:rStyle w:val="Hyperlink"/>
            <w:rFonts w:ascii="Times New Roman" w:eastAsia="Times New Roman" w:hAnsi="Times New Roman" w:cs="Times New Roman"/>
            <w:bCs/>
          </w:rPr>
          <w:t>https://sadafshallwani.net/2014/03/27/education-in-</w:t>
        </w:r>
      </w:hyperlink>
      <w:r w:rsidRPr="00451BDA">
        <w:rPr>
          <w:rFonts w:ascii="Times New Roman" w:eastAsia="Times New Roman" w:hAnsi="Times New Roman" w:cs="Times New Roman"/>
          <w:bCs/>
        </w:rPr>
        <w:t>pakistan-part4/ (accessed 19 April, 2023).</w:t>
      </w:r>
    </w:p>
    <w:p w14:paraId="26ED4A20" w14:textId="77777777" w:rsidR="002C3154" w:rsidRPr="00451BDA" w:rsidRDefault="002C3154" w:rsidP="002C3154">
      <w:pPr>
        <w:shd w:val="clear" w:color="auto" w:fill="FFFFFF" w:themeFill="background1"/>
        <w:spacing w:after="0" w:line="240" w:lineRule="auto"/>
        <w:contextualSpacing/>
        <w:rPr>
          <w:rFonts w:ascii="Times New Roman" w:eastAsia="Times New Roman" w:hAnsi="Times New Roman" w:cs="Times New Roman"/>
          <w:bCs/>
          <w:i/>
        </w:rPr>
      </w:pPr>
      <w:r w:rsidRPr="00451BDA">
        <w:rPr>
          <w:rFonts w:ascii="Times New Roman" w:eastAsia="Times New Roman" w:hAnsi="Times New Roman" w:cs="Times New Roman"/>
          <w:bCs/>
        </w:rPr>
        <w:t>Sheryl, L.B. Jun, Q. and Jinyan, H. (2003</w:t>
      </w:r>
      <w:proofErr w:type="gramStart"/>
      <w:r w:rsidRPr="00451BDA">
        <w:rPr>
          <w:rFonts w:ascii="Times New Roman" w:eastAsia="Times New Roman" w:hAnsi="Times New Roman" w:cs="Times New Roman"/>
          <w:bCs/>
        </w:rPr>
        <w:t>),“</w:t>
      </w:r>
      <w:proofErr w:type="gramEnd"/>
      <w:r w:rsidRPr="00451BDA">
        <w:rPr>
          <w:rFonts w:ascii="Times New Roman" w:eastAsia="Times New Roman" w:hAnsi="Times New Roman" w:cs="Times New Roman"/>
          <w:bCs/>
          <w:i/>
        </w:rPr>
        <w:t xml:space="preserve">The role of faculty in internationalizing the </w:t>
      </w:r>
    </w:p>
    <w:p w14:paraId="78416A47" w14:textId="77777777" w:rsidR="002C3154" w:rsidRPr="00451BDA" w:rsidRDefault="002C3154" w:rsidP="002C3154">
      <w:pPr>
        <w:shd w:val="clear" w:color="auto" w:fill="FFFFFF" w:themeFill="background1"/>
        <w:spacing w:after="0" w:line="240" w:lineRule="auto"/>
        <w:ind w:left="720"/>
        <w:contextualSpacing/>
        <w:rPr>
          <w:rFonts w:ascii="Times New Roman" w:eastAsia="Times New Roman" w:hAnsi="Times New Roman" w:cs="Times New Roman"/>
          <w:bCs/>
          <w:u w:val="single"/>
        </w:rPr>
      </w:pPr>
      <w:r w:rsidRPr="00451BDA">
        <w:rPr>
          <w:rFonts w:ascii="Times New Roman" w:eastAsia="Times New Roman" w:hAnsi="Times New Roman" w:cs="Times New Roman"/>
          <w:bCs/>
          <w:i/>
        </w:rPr>
        <w:t>undergraduate curriculum and classroom”, CBIE research millennium series</w:t>
      </w:r>
      <w:r w:rsidRPr="00451BDA">
        <w:rPr>
          <w:rFonts w:ascii="Times New Roman" w:eastAsia="Times New Roman" w:hAnsi="Times New Roman" w:cs="Times New Roman"/>
          <w:bCs/>
        </w:rPr>
        <w:t xml:space="preserve">. No. 8. Canadian Bureau for International Education (CBIE). Available at: </w:t>
      </w:r>
      <w:hyperlink r:id="rId24" w:history="1">
        <w:r w:rsidRPr="00451BDA">
          <w:rPr>
            <w:rStyle w:val="Hyperlink"/>
            <w:rFonts w:ascii="Times New Roman" w:eastAsia="Times New Roman" w:hAnsi="Times New Roman" w:cs="Times New Roman"/>
            <w:bCs/>
          </w:rPr>
          <w:t>https://files.eric.ed.gov/fulltext/ED549872.pdf (</w:t>
        </w:r>
        <w:proofErr w:type="spellStart"/>
        <w:r w:rsidRPr="00451BDA">
          <w:rPr>
            <w:rStyle w:val="Hyperlink"/>
            <w:rFonts w:ascii="Times New Roman" w:eastAsia="Times New Roman" w:hAnsi="Times New Roman" w:cs="Times New Roman"/>
            <w:bCs/>
          </w:rPr>
          <w:t>acessed</w:t>
        </w:r>
        <w:proofErr w:type="spellEnd"/>
      </w:hyperlink>
      <w:r w:rsidRPr="00451BDA">
        <w:rPr>
          <w:rFonts w:ascii="Times New Roman" w:eastAsia="Times New Roman" w:hAnsi="Times New Roman" w:cs="Times New Roman"/>
          <w:bCs/>
          <w:u w:val="single"/>
        </w:rPr>
        <w:t xml:space="preserve"> 23 March 2022)</w:t>
      </w:r>
    </w:p>
    <w:p w14:paraId="00971447" w14:textId="77777777" w:rsidR="002C3154" w:rsidRPr="00451BDA" w:rsidRDefault="002C3154" w:rsidP="002C3154">
      <w:pPr>
        <w:shd w:val="clear" w:color="auto" w:fill="FFFFFF" w:themeFill="background1"/>
        <w:spacing w:after="0" w:line="240" w:lineRule="auto"/>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Stromquist, N.P. (2007), “Internationalization as a response to globalization: Radical shifts in </w:t>
      </w:r>
    </w:p>
    <w:p w14:paraId="3EF1A802" w14:textId="77777777" w:rsidR="002C3154" w:rsidRPr="00451BDA" w:rsidRDefault="002C3154" w:rsidP="002C3154">
      <w:pPr>
        <w:shd w:val="clear" w:color="auto" w:fill="FFFFFF" w:themeFill="background1"/>
        <w:spacing w:after="0" w:line="240" w:lineRule="auto"/>
        <w:ind w:firstLine="720"/>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university environments”, </w:t>
      </w:r>
      <w:r w:rsidRPr="00451BDA">
        <w:rPr>
          <w:rFonts w:ascii="Times New Roman" w:eastAsia="Times New Roman" w:hAnsi="Times New Roman" w:cs="Times New Roman"/>
          <w:bCs/>
          <w:i/>
        </w:rPr>
        <w:t>Higher Education.Vol.</w:t>
      </w:r>
      <w:proofErr w:type="gramStart"/>
      <w:r w:rsidRPr="00451BDA">
        <w:rPr>
          <w:rFonts w:ascii="Times New Roman" w:eastAsia="Times New Roman" w:hAnsi="Times New Roman" w:cs="Times New Roman"/>
          <w:bCs/>
        </w:rPr>
        <w:t>43</w:t>
      </w:r>
      <w:r w:rsidRPr="00451BDA">
        <w:rPr>
          <w:rFonts w:ascii="Times New Roman" w:eastAsia="Times New Roman" w:hAnsi="Times New Roman" w:cs="Times New Roman"/>
          <w:bCs/>
          <w:i/>
        </w:rPr>
        <w:t>.pp.</w:t>
      </w:r>
      <w:proofErr w:type="gramEnd"/>
      <w:r w:rsidRPr="00451BDA">
        <w:rPr>
          <w:rFonts w:ascii="Times New Roman" w:eastAsia="Times New Roman" w:hAnsi="Times New Roman" w:cs="Times New Roman"/>
          <w:bCs/>
        </w:rPr>
        <w:t>81-105.</w:t>
      </w:r>
    </w:p>
    <w:p w14:paraId="57C721C1" w14:textId="77777777" w:rsidR="002C3154" w:rsidRPr="00451BDA" w:rsidRDefault="002C3154" w:rsidP="002C3154">
      <w:pPr>
        <w:shd w:val="clear" w:color="auto" w:fill="FFFFFF" w:themeFill="background1"/>
        <w:spacing w:after="0" w:line="240" w:lineRule="auto"/>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Sue, R. (2017), “Internationalization at home: internationalizing the university experience of </w:t>
      </w:r>
    </w:p>
    <w:p w14:paraId="0D66C3EE" w14:textId="77777777" w:rsidR="002C3154" w:rsidRPr="00451BDA" w:rsidRDefault="002C3154" w:rsidP="002C3154">
      <w:pPr>
        <w:shd w:val="clear" w:color="auto" w:fill="FFFFFF" w:themeFill="background1"/>
        <w:spacing w:after="0" w:line="240" w:lineRule="auto"/>
        <w:ind w:firstLine="720"/>
        <w:contextualSpacing/>
        <w:rPr>
          <w:rFonts w:ascii="Times New Roman" w:eastAsia="Times New Roman" w:hAnsi="Times New Roman" w:cs="Times New Roman"/>
          <w:bCs/>
        </w:rPr>
      </w:pPr>
      <w:r w:rsidRPr="00451BDA">
        <w:rPr>
          <w:rFonts w:ascii="Times New Roman" w:eastAsia="Times New Roman" w:hAnsi="Times New Roman" w:cs="Times New Roman"/>
          <w:bCs/>
        </w:rPr>
        <w:t>staff and students”.</w:t>
      </w:r>
      <w:r w:rsidRPr="00451BDA">
        <w:rPr>
          <w:rFonts w:ascii="Times New Roman" w:eastAsia="Times New Roman" w:hAnsi="Times New Roman" w:cs="Times New Roman"/>
          <w:bCs/>
          <w:i/>
        </w:rPr>
        <w:t xml:space="preserve"> Education. </w:t>
      </w:r>
      <w:r w:rsidRPr="00451BDA">
        <w:rPr>
          <w:rFonts w:ascii="Times New Roman" w:eastAsia="Times New Roman" w:hAnsi="Times New Roman" w:cs="Times New Roman"/>
          <w:bCs/>
          <w:iCs/>
        </w:rPr>
        <w:t>Vol.40.</w:t>
      </w:r>
      <w:r w:rsidRPr="00451BDA">
        <w:rPr>
          <w:rFonts w:ascii="Times New Roman" w:eastAsia="Times New Roman" w:hAnsi="Times New Roman" w:cs="Times New Roman"/>
          <w:bCs/>
        </w:rPr>
        <w:t xml:space="preserve"> No.3. pp.368-374.</w:t>
      </w:r>
    </w:p>
    <w:p w14:paraId="3A773AA2" w14:textId="71A87E7C" w:rsidR="002C3154" w:rsidRPr="00451BDA" w:rsidRDefault="002C3154" w:rsidP="002C3154">
      <w:pPr>
        <w:shd w:val="clear" w:color="auto" w:fill="FFFFFF" w:themeFill="background1"/>
        <w:spacing w:after="0" w:line="240" w:lineRule="auto"/>
        <w:contextualSpacing/>
        <w:rPr>
          <w:rFonts w:ascii="Times New Roman" w:hAnsi="Times New Roman" w:cs="Times New Roman"/>
          <w:bCs/>
        </w:rPr>
      </w:pPr>
      <w:r w:rsidRPr="00451BDA">
        <w:rPr>
          <w:rFonts w:ascii="Times New Roman" w:hAnsi="Times New Roman" w:cs="Times New Roman"/>
          <w:bCs/>
        </w:rPr>
        <w:t>Tight, M (2022). “</w:t>
      </w:r>
      <w:proofErr w:type="spellStart"/>
      <w:r w:rsidRPr="00451BDA">
        <w:rPr>
          <w:rFonts w:ascii="Times New Roman" w:hAnsi="Times New Roman" w:cs="Times New Roman"/>
          <w:bCs/>
        </w:rPr>
        <w:t>Internationalisation</w:t>
      </w:r>
      <w:proofErr w:type="spellEnd"/>
      <w:r w:rsidRPr="00451BDA">
        <w:rPr>
          <w:rFonts w:ascii="Times New Roman" w:hAnsi="Times New Roman" w:cs="Times New Roman"/>
          <w:bCs/>
        </w:rPr>
        <w:t xml:space="preserve"> of higher education beyond the West:</w:t>
      </w:r>
      <w:r w:rsidR="00655B93" w:rsidRPr="00451BDA">
        <w:rPr>
          <w:rFonts w:ascii="Times New Roman" w:hAnsi="Times New Roman" w:cs="Times New Roman"/>
          <w:bCs/>
        </w:rPr>
        <w:t xml:space="preserve"> </w:t>
      </w:r>
      <w:r w:rsidRPr="00451BDA">
        <w:rPr>
          <w:rFonts w:ascii="Times New Roman" w:hAnsi="Times New Roman" w:cs="Times New Roman"/>
          <w:bCs/>
        </w:rPr>
        <w:t xml:space="preserve">challenges and </w:t>
      </w:r>
    </w:p>
    <w:p w14:paraId="0B112309" w14:textId="77777777" w:rsidR="002C3154" w:rsidRPr="00451BDA" w:rsidRDefault="002C3154" w:rsidP="002C3154">
      <w:pPr>
        <w:shd w:val="clear" w:color="auto" w:fill="FFFFFF" w:themeFill="background1"/>
        <w:spacing w:after="0" w:line="240" w:lineRule="auto"/>
        <w:ind w:left="720"/>
        <w:contextualSpacing/>
        <w:rPr>
          <w:rFonts w:ascii="Times New Roman" w:hAnsi="Times New Roman" w:cs="Times New Roman"/>
          <w:bCs/>
        </w:rPr>
      </w:pPr>
      <w:r w:rsidRPr="00451BDA">
        <w:rPr>
          <w:rFonts w:ascii="Times New Roman" w:hAnsi="Times New Roman" w:cs="Times New Roman"/>
          <w:bCs/>
        </w:rPr>
        <w:t>opportunities-the research evidence,” Educational Research and Evaluation, Vol. 27. No. 3-4, pp. 239-259.</w:t>
      </w:r>
    </w:p>
    <w:p w14:paraId="785493B2" w14:textId="77777777" w:rsidR="002C3154" w:rsidRPr="00451BDA" w:rsidRDefault="002C3154" w:rsidP="002C3154">
      <w:pPr>
        <w:shd w:val="clear" w:color="auto" w:fill="FFFFFF" w:themeFill="background1"/>
        <w:spacing w:after="0" w:line="240" w:lineRule="auto"/>
        <w:contextualSpacing/>
        <w:rPr>
          <w:rFonts w:ascii="Times New Roman" w:hAnsi="Times New Roman" w:cs="Times New Roman"/>
          <w:bCs/>
        </w:rPr>
      </w:pPr>
      <w:r w:rsidRPr="00451BDA">
        <w:rPr>
          <w:rFonts w:ascii="Times New Roman" w:hAnsi="Times New Roman" w:cs="Times New Roman"/>
          <w:bCs/>
        </w:rPr>
        <w:t xml:space="preserve">Trahar, S. and Hyland, F. (2011), “Experiences and perceptions of internationalization in higher </w:t>
      </w:r>
    </w:p>
    <w:p w14:paraId="5FB306AD" w14:textId="77777777" w:rsidR="002C3154" w:rsidRPr="00451BDA" w:rsidRDefault="002C3154" w:rsidP="002C3154">
      <w:pPr>
        <w:shd w:val="clear" w:color="auto" w:fill="FFFFFF" w:themeFill="background1"/>
        <w:spacing w:after="0" w:line="240" w:lineRule="auto"/>
        <w:ind w:left="720"/>
        <w:contextualSpacing/>
        <w:rPr>
          <w:rFonts w:ascii="Times New Roman" w:hAnsi="Times New Roman" w:cs="Times New Roman"/>
          <w:bCs/>
        </w:rPr>
      </w:pPr>
      <w:r w:rsidRPr="00451BDA">
        <w:rPr>
          <w:rFonts w:ascii="Times New Roman" w:hAnsi="Times New Roman" w:cs="Times New Roman"/>
          <w:bCs/>
        </w:rPr>
        <w:t xml:space="preserve">education in the UK”. </w:t>
      </w:r>
      <w:r w:rsidRPr="00451BDA">
        <w:rPr>
          <w:rFonts w:ascii="Times New Roman" w:hAnsi="Times New Roman" w:cs="Times New Roman"/>
          <w:bCs/>
          <w:i/>
        </w:rPr>
        <w:t xml:space="preserve">Higher Education Research &amp; Development, </w:t>
      </w:r>
      <w:r w:rsidRPr="00451BDA">
        <w:rPr>
          <w:rFonts w:ascii="Times New Roman" w:hAnsi="Times New Roman" w:cs="Times New Roman"/>
          <w:bCs/>
          <w:iCs/>
        </w:rPr>
        <w:t>Vol.</w:t>
      </w:r>
      <w:r w:rsidRPr="00451BDA">
        <w:rPr>
          <w:rFonts w:ascii="Times New Roman" w:hAnsi="Times New Roman" w:cs="Times New Roman"/>
          <w:bCs/>
        </w:rPr>
        <w:t>30. No.</w:t>
      </w:r>
      <w:r w:rsidRPr="00451BDA" w:rsidDel="00A361F0">
        <w:rPr>
          <w:rFonts w:ascii="Times New Roman" w:hAnsi="Times New Roman" w:cs="Times New Roman"/>
          <w:bCs/>
        </w:rPr>
        <w:t xml:space="preserve"> </w:t>
      </w:r>
      <w:r w:rsidRPr="00451BDA">
        <w:rPr>
          <w:rFonts w:ascii="Times New Roman" w:hAnsi="Times New Roman" w:cs="Times New Roman"/>
          <w:bCs/>
        </w:rPr>
        <w:t xml:space="preserve">5. pp 623-633. </w:t>
      </w:r>
    </w:p>
    <w:p w14:paraId="72141427" w14:textId="77777777" w:rsidR="002C3154" w:rsidRPr="00451BDA" w:rsidRDefault="002C3154" w:rsidP="002C3154">
      <w:pPr>
        <w:shd w:val="clear" w:color="auto" w:fill="FFFFFF" w:themeFill="background1"/>
        <w:spacing w:after="0" w:line="240" w:lineRule="auto"/>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Unangst L and Barone N. (2019), “Operationalizing “internationalization” in the community </w:t>
      </w:r>
    </w:p>
    <w:p w14:paraId="07561F4C" w14:textId="77777777" w:rsidR="002C3154" w:rsidRPr="00451BDA" w:rsidRDefault="002C3154" w:rsidP="002C3154">
      <w:pPr>
        <w:shd w:val="clear" w:color="auto" w:fill="FFFFFF" w:themeFill="background1"/>
        <w:spacing w:after="0" w:line="240" w:lineRule="auto"/>
        <w:ind w:left="720"/>
        <w:contextualSpacing/>
        <w:rPr>
          <w:rFonts w:ascii="Times New Roman" w:hAnsi="Times New Roman" w:cs="Times New Roman"/>
          <w:bCs/>
        </w:rPr>
      </w:pPr>
      <w:r w:rsidRPr="00451BDA">
        <w:rPr>
          <w:rFonts w:ascii="Times New Roman" w:eastAsia="Times New Roman" w:hAnsi="Times New Roman" w:cs="Times New Roman"/>
          <w:bCs/>
        </w:rPr>
        <w:t xml:space="preserve">college sector: textual analysis of institutional internationalization plans”, </w:t>
      </w:r>
      <w:r w:rsidRPr="00451BDA">
        <w:rPr>
          <w:rFonts w:ascii="Times New Roman" w:eastAsia="Times New Roman" w:hAnsi="Times New Roman" w:cs="Times New Roman"/>
          <w:bCs/>
          <w:i/>
        </w:rPr>
        <w:t xml:space="preserve">Journal of the Study of Postsecondary and Tertiary Education, </w:t>
      </w:r>
      <w:r w:rsidRPr="00451BDA">
        <w:rPr>
          <w:rFonts w:ascii="Times New Roman" w:eastAsia="Times New Roman" w:hAnsi="Times New Roman" w:cs="Times New Roman"/>
          <w:bCs/>
          <w:iCs/>
        </w:rPr>
        <w:t>Vol.</w:t>
      </w:r>
      <w:r w:rsidRPr="00451BDA">
        <w:rPr>
          <w:rFonts w:ascii="Times New Roman" w:eastAsia="Times New Roman" w:hAnsi="Times New Roman" w:cs="Times New Roman"/>
          <w:bCs/>
          <w:i/>
        </w:rPr>
        <w:t xml:space="preserve"> </w:t>
      </w:r>
      <w:r w:rsidRPr="00451BDA">
        <w:rPr>
          <w:rFonts w:ascii="Times New Roman" w:eastAsia="Times New Roman" w:hAnsi="Times New Roman" w:cs="Times New Roman"/>
          <w:bCs/>
        </w:rPr>
        <w:t>41. No. pp.77-196.</w:t>
      </w:r>
      <w:r w:rsidRPr="00451BDA">
        <w:rPr>
          <w:rFonts w:ascii="Times New Roman" w:eastAsia="Times New Roman" w:hAnsi="Times New Roman" w:cs="Times New Roman"/>
          <w:bCs/>
          <w:i/>
        </w:rPr>
        <w:t xml:space="preserve"> </w:t>
      </w:r>
    </w:p>
    <w:p w14:paraId="0DFB554B" w14:textId="77777777" w:rsidR="002C3154" w:rsidRPr="00451BDA" w:rsidRDefault="002C3154" w:rsidP="002C3154">
      <w:pPr>
        <w:shd w:val="clear" w:color="auto" w:fill="FFFFFF" w:themeFill="background1"/>
        <w:spacing w:after="0" w:line="240" w:lineRule="auto"/>
        <w:contextualSpacing/>
        <w:rPr>
          <w:rFonts w:ascii="Times New Roman" w:eastAsia="Times New Roman" w:hAnsi="Times New Roman" w:cs="Times New Roman"/>
          <w:bCs/>
        </w:rPr>
      </w:pPr>
      <w:proofErr w:type="spellStart"/>
      <w:r w:rsidRPr="00451BDA">
        <w:rPr>
          <w:rFonts w:ascii="Times New Roman" w:eastAsia="Times New Roman" w:hAnsi="Times New Roman" w:cs="Times New Roman"/>
          <w:bCs/>
        </w:rPr>
        <w:t>Universita</w:t>
      </w:r>
      <w:proofErr w:type="spellEnd"/>
      <w:r w:rsidRPr="00451BDA">
        <w:rPr>
          <w:rFonts w:ascii="Times New Roman" w:eastAsia="Times New Roman" w:hAnsi="Times New Roman" w:cs="Times New Roman"/>
          <w:bCs/>
        </w:rPr>
        <w:t xml:space="preserve"> Di Bologna. (2023), “Building internationalization in Pakistan”. Available at </w:t>
      </w:r>
    </w:p>
    <w:p w14:paraId="7E03D7F0" w14:textId="77777777" w:rsidR="002C3154" w:rsidRPr="00451BDA" w:rsidRDefault="00000000" w:rsidP="002C3154">
      <w:pPr>
        <w:shd w:val="clear" w:color="auto" w:fill="FFFFFF" w:themeFill="background1"/>
        <w:spacing w:after="0" w:line="240" w:lineRule="auto"/>
        <w:ind w:left="720"/>
        <w:contextualSpacing/>
        <w:rPr>
          <w:rFonts w:ascii="Times New Roman" w:eastAsia="Times New Roman" w:hAnsi="Times New Roman" w:cs="Times New Roman"/>
          <w:bCs/>
        </w:rPr>
      </w:pPr>
      <w:hyperlink r:id="rId25" w:history="1">
        <w:r w:rsidR="002C3154" w:rsidRPr="00451BDA">
          <w:rPr>
            <w:rStyle w:val="Hyperlink"/>
            <w:rFonts w:ascii="Times New Roman" w:eastAsia="Times New Roman" w:hAnsi="Times New Roman" w:cs="Times New Roman"/>
            <w:bCs/>
          </w:rPr>
          <w:t>https://www.unibo.it/en/international/european-projects-of-education-and-training/building-internationalisation-in-pakistan</w:t>
        </w:r>
      </w:hyperlink>
      <w:r w:rsidR="002C3154" w:rsidRPr="00451BDA">
        <w:rPr>
          <w:rFonts w:ascii="Times New Roman" w:eastAsia="Times New Roman" w:hAnsi="Times New Roman" w:cs="Times New Roman"/>
          <w:bCs/>
        </w:rPr>
        <w:t xml:space="preserve"> (accessed 27 </w:t>
      </w:r>
      <w:proofErr w:type="gramStart"/>
      <w:r w:rsidR="002C3154" w:rsidRPr="00451BDA">
        <w:rPr>
          <w:rFonts w:ascii="Times New Roman" w:eastAsia="Times New Roman" w:hAnsi="Times New Roman" w:cs="Times New Roman"/>
          <w:bCs/>
        </w:rPr>
        <w:t>Jan,</w:t>
      </w:r>
      <w:proofErr w:type="gramEnd"/>
      <w:r w:rsidR="002C3154" w:rsidRPr="00451BDA">
        <w:rPr>
          <w:rFonts w:ascii="Times New Roman" w:eastAsia="Times New Roman" w:hAnsi="Times New Roman" w:cs="Times New Roman"/>
          <w:bCs/>
        </w:rPr>
        <w:t xml:space="preserve"> 2023).</w:t>
      </w:r>
    </w:p>
    <w:p w14:paraId="74800D24" w14:textId="77777777" w:rsidR="002C3154" w:rsidRPr="00451BDA" w:rsidRDefault="002C3154" w:rsidP="002C3154">
      <w:pPr>
        <w:shd w:val="clear" w:color="auto" w:fill="FFFFFF" w:themeFill="background1"/>
        <w:spacing w:after="0" w:line="240" w:lineRule="auto"/>
        <w:contextualSpacing/>
        <w:rPr>
          <w:rFonts w:ascii="Times New Roman" w:eastAsia="Times New Roman" w:hAnsi="Times New Roman" w:cs="Times New Roman"/>
          <w:bCs/>
        </w:rPr>
      </w:pPr>
      <w:r w:rsidRPr="00451BDA">
        <w:rPr>
          <w:rFonts w:ascii="Times New Roman" w:eastAsia="Times New Roman" w:hAnsi="Times New Roman" w:cs="Times New Roman"/>
          <w:bCs/>
        </w:rPr>
        <w:t xml:space="preserve">Usher A. (2017), “Nationalism and higher education”. Available at: </w:t>
      </w:r>
    </w:p>
    <w:p w14:paraId="6F852120" w14:textId="77777777" w:rsidR="002C3154" w:rsidRPr="00451BDA" w:rsidRDefault="002C3154" w:rsidP="002C3154">
      <w:pPr>
        <w:shd w:val="clear" w:color="auto" w:fill="FFFFFF" w:themeFill="background1"/>
        <w:spacing w:after="0" w:line="240" w:lineRule="auto"/>
        <w:ind w:firstLine="720"/>
        <w:contextualSpacing/>
        <w:rPr>
          <w:rFonts w:ascii="Times New Roman" w:eastAsia="Times New Roman" w:hAnsi="Times New Roman" w:cs="Times New Roman"/>
          <w:bCs/>
        </w:rPr>
      </w:pPr>
      <w:r w:rsidRPr="00451BDA">
        <w:rPr>
          <w:rFonts w:ascii="Times New Roman" w:eastAsia="Times New Roman" w:hAnsi="Times New Roman" w:cs="Times New Roman"/>
          <w:bCs/>
        </w:rPr>
        <w:t>https://higheredstrategy.com/nationalism-higher-education/ (accessed 28 July 2022).</w:t>
      </w:r>
    </w:p>
    <w:p w14:paraId="6154BCFD" w14:textId="68095BD9" w:rsidR="002C3154" w:rsidRPr="00451BDA" w:rsidRDefault="002C3154" w:rsidP="002C3154">
      <w:pPr>
        <w:shd w:val="clear" w:color="auto" w:fill="FFFFFF" w:themeFill="background1"/>
        <w:spacing w:after="0" w:line="240" w:lineRule="auto"/>
        <w:contextualSpacing/>
        <w:rPr>
          <w:rFonts w:ascii="Times New Roman" w:hAnsi="Times New Roman" w:cs="Times New Roman"/>
        </w:rPr>
      </w:pPr>
      <w:r w:rsidRPr="00451BDA">
        <w:rPr>
          <w:rFonts w:ascii="Times New Roman" w:eastAsia="Times New Roman" w:hAnsi="Times New Roman" w:cs="Times New Roman"/>
          <w:bCs/>
        </w:rPr>
        <w:t xml:space="preserve">Verhoeven JC and De Wit K (2022) </w:t>
      </w:r>
      <w:r w:rsidRPr="00451BDA">
        <w:rPr>
          <w:rFonts w:ascii="Times New Roman" w:hAnsi="Times New Roman" w:cs="Times New Roman"/>
        </w:rPr>
        <w:t>How did Australian scholars perceive</w:t>
      </w:r>
      <w:r w:rsidR="00655B93" w:rsidRPr="00451BDA">
        <w:rPr>
          <w:rFonts w:ascii="Times New Roman" w:hAnsi="Times New Roman" w:cs="Times New Roman"/>
        </w:rPr>
        <w:t xml:space="preserve"> </w:t>
      </w:r>
      <w:r w:rsidRPr="00451BDA">
        <w:rPr>
          <w:rFonts w:ascii="Times New Roman" w:hAnsi="Times New Roman" w:cs="Times New Roman"/>
        </w:rPr>
        <w:t xml:space="preserve">the Bologna </w:t>
      </w:r>
      <w:proofErr w:type="gramStart"/>
      <w:r w:rsidRPr="00451BDA">
        <w:rPr>
          <w:rFonts w:ascii="Times New Roman" w:hAnsi="Times New Roman" w:cs="Times New Roman"/>
        </w:rPr>
        <w:t>Process?,</w:t>
      </w:r>
      <w:proofErr w:type="gramEnd"/>
      <w:r w:rsidRPr="00451BDA">
        <w:rPr>
          <w:rFonts w:ascii="Times New Roman" w:hAnsi="Times New Roman" w:cs="Times New Roman"/>
        </w:rPr>
        <w:t xml:space="preserve"> </w:t>
      </w:r>
    </w:p>
    <w:p w14:paraId="0AE31333" w14:textId="77777777" w:rsidR="002C3154" w:rsidRPr="00451BDA" w:rsidRDefault="002C3154" w:rsidP="002C3154">
      <w:pPr>
        <w:shd w:val="clear" w:color="auto" w:fill="FFFFFF" w:themeFill="background1"/>
        <w:spacing w:after="0" w:line="240" w:lineRule="auto"/>
        <w:ind w:firstLine="720"/>
        <w:contextualSpacing/>
        <w:rPr>
          <w:rFonts w:ascii="Times New Roman" w:hAnsi="Times New Roman" w:cs="Times New Roman"/>
        </w:rPr>
      </w:pPr>
      <w:r w:rsidRPr="00451BDA">
        <w:rPr>
          <w:rFonts w:ascii="Times New Roman" w:hAnsi="Times New Roman" w:cs="Times New Roman"/>
        </w:rPr>
        <w:t xml:space="preserve">Higher Education Research &amp; Development, Vol.4. No.1, pp.132-145. </w:t>
      </w:r>
    </w:p>
    <w:p w14:paraId="44644479" w14:textId="77777777" w:rsidR="002C3154" w:rsidRPr="00451BDA" w:rsidRDefault="002C3154" w:rsidP="002C3154">
      <w:pPr>
        <w:pStyle w:val="dx-doi"/>
        <w:spacing w:before="0" w:beforeAutospacing="0" w:after="0" w:afterAutospacing="0"/>
        <w:contextualSpacing/>
        <w:rPr>
          <w:bCs/>
          <w:sz w:val="22"/>
          <w:szCs w:val="22"/>
        </w:rPr>
      </w:pPr>
      <w:r w:rsidRPr="00451BDA">
        <w:rPr>
          <w:bCs/>
          <w:sz w:val="22"/>
          <w:szCs w:val="22"/>
        </w:rPr>
        <w:t xml:space="preserve">Wahlstrom, N., </w:t>
      </w:r>
      <w:proofErr w:type="spellStart"/>
      <w:r w:rsidRPr="00451BDA">
        <w:rPr>
          <w:bCs/>
          <w:sz w:val="22"/>
          <w:szCs w:val="22"/>
        </w:rPr>
        <w:t>Alvuger</w:t>
      </w:r>
      <w:proofErr w:type="spellEnd"/>
      <w:r w:rsidRPr="00451BDA">
        <w:rPr>
          <w:bCs/>
          <w:sz w:val="22"/>
          <w:szCs w:val="22"/>
        </w:rPr>
        <w:t xml:space="preserve">, D., </w:t>
      </w:r>
      <w:proofErr w:type="spellStart"/>
      <w:r w:rsidRPr="00451BDA">
        <w:rPr>
          <w:bCs/>
          <w:sz w:val="22"/>
          <w:szCs w:val="22"/>
        </w:rPr>
        <w:t>Wermke</w:t>
      </w:r>
      <w:proofErr w:type="spellEnd"/>
      <w:r w:rsidRPr="00451BDA">
        <w:rPr>
          <w:bCs/>
          <w:sz w:val="22"/>
          <w:szCs w:val="22"/>
        </w:rPr>
        <w:t xml:space="preserve">, W. (201 8). Living in an era of comparisons: comparative </w:t>
      </w:r>
    </w:p>
    <w:p w14:paraId="55A3B198" w14:textId="77777777" w:rsidR="002C3154" w:rsidRPr="00451BDA" w:rsidRDefault="002C3154" w:rsidP="002C3154">
      <w:pPr>
        <w:pStyle w:val="dx-doi"/>
        <w:spacing w:before="0" w:beforeAutospacing="0" w:after="0" w:afterAutospacing="0"/>
        <w:ind w:firstLine="720"/>
        <w:contextualSpacing/>
        <w:rPr>
          <w:bCs/>
          <w:sz w:val="22"/>
          <w:szCs w:val="22"/>
        </w:rPr>
      </w:pPr>
      <w:r w:rsidRPr="00451BDA">
        <w:rPr>
          <w:bCs/>
          <w:sz w:val="22"/>
          <w:szCs w:val="22"/>
        </w:rPr>
        <w:t xml:space="preserve">research on policy, curriculum and teaching, Journal of Curriculum Studies, </w:t>
      </w:r>
    </w:p>
    <w:p w14:paraId="03E0F3AE" w14:textId="108A7611" w:rsidR="002C3154" w:rsidRPr="00451BDA" w:rsidRDefault="002C3154" w:rsidP="002C3154">
      <w:pPr>
        <w:pStyle w:val="dx-doi"/>
        <w:spacing w:before="0" w:beforeAutospacing="0" w:after="0" w:afterAutospacing="0"/>
        <w:ind w:left="720"/>
        <w:contextualSpacing/>
        <w:rPr>
          <w:bCs/>
          <w:sz w:val="22"/>
          <w:szCs w:val="22"/>
        </w:rPr>
      </w:pPr>
      <w:r w:rsidRPr="00451BDA">
        <w:rPr>
          <w:bCs/>
          <w:sz w:val="22"/>
          <w:szCs w:val="22"/>
        </w:rPr>
        <w:t xml:space="preserve">Vol.50. No. 5, pp. 587-594. </w:t>
      </w:r>
    </w:p>
    <w:p w14:paraId="28028F74" w14:textId="77777777" w:rsidR="002C3154" w:rsidRPr="00451BDA" w:rsidRDefault="002C3154" w:rsidP="00655B93">
      <w:pPr>
        <w:shd w:val="clear" w:color="auto" w:fill="FFFFFF" w:themeFill="background1"/>
        <w:spacing w:after="0" w:line="240" w:lineRule="auto"/>
        <w:contextualSpacing/>
        <w:rPr>
          <w:rFonts w:ascii="Times New Roman" w:eastAsia="Times New Roman" w:hAnsi="Times New Roman" w:cs="Times New Roman"/>
          <w:bCs/>
        </w:rPr>
      </w:pPr>
      <w:proofErr w:type="spellStart"/>
      <w:r w:rsidRPr="00451BDA">
        <w:rPr>
          <w:rFonts w:ascii="Times New Roman" w:eastAsia="Times New Roman" w:hAnsi="Times New Roman" w:cs="Times New Roman"/>
          <w:bCs/>
        </w:rPr>
        <w:t>Whitsed</w:t>
      </w:r>
      <w:proofErr w:type="spellEnd"/>
      <w:r w:rsidRPr="00451BDA">
        <w:rPr>
          <w:rFonts w:ascii="Times New Roman" w:eastAsia="Times New Roman" w:hAnsi="Times New Roman" w:cs="Times New Roman"/>
          <w:bCs/>
        </w:rPr>
        <w:t>, S. and Green, W. (2013), “</w:t>
      </w:r>
      <w:r w:rsidRPr="00451BDA">
        <w:rPr>
          <w:rFonts w:ascii="Times New Roman" w:eastAsia="Times New Roman" w:hAnsi="Times New Roman" w:cs="Times New Roman"/>
          <w:bCs/>
          <w:i/>
        </w:rPr>
        <w:t>Internationalization begins with the curriculum”,</w:t>
      </w:r>
      <w:r w:rsidRPr="00451BDA">
        <w:rPr>
          <w:rFonts w:ascii="Times New Roman" w:eastAsia="Times New Roman" w:hAnsi="Times New Roman" w:cs="Times New Roman"/>
          <w:bCs/>
        </w:rPr>
        <w:t xml:space="preserve"> </w:t>
      </w:r>
    </w:p>
    <w:p w14:paraId="0546191B" w14:textId="77777777" w:rsidR="002C3154" w:rsidRPr="00451BDA" w:rsidRDefault="002C3154" w:rsidP="00655B93">
      <w:pPr>
        <w:shd w:val="clear" w:color="auto" w:fill="FFFFFF" w:themeFill="background1"/>
        <w:spacing w:after="0" w:line="240" w:lineRule="auto"/>
        <w:ind w:left="720"/>
        <w:contextualSpacing/>
        <w:rPr>
          <w:rStyle w:val="Hyperlink"/>
          <w:rFonts w:ascii="Times New Roman" w:eastAsia="Times New Roman" w:hAnsi="Times New Roman" w:cs="Times New Roman"/>
          <w:bCs/>
          <w:color w:val="auto"/>
          <w:u w:val="none"/>
        </w:rPr>
      </w:pPr>
      <w:r w:rsidRPr="00451BDA">
        <w:rPr>
          <w:rFonts w:ascii="Times New Roman" w:eastAsia="Times New Roman" w:hAnsi="Times New Roman" w:cs="Times New Roman"/>
          <w:bCs/>
        </w:rPr>
        <w:t xml:space="preserve">University World News. Available at: </w:t>
      </w:r>
      <w:hyperlink r:id="rId26" w:history="1">
        <w:r w:rsidRPr="00451BDA">
          <w:rPr>
            <w:rStyle w:val="Hyperlink"/>
            <w:rFonts w:ascii="Times New Roman" w:eastAsia="Times New Roman" w:hAnsi="Times New Roman" w:cs="Times New Roman"/>
            <w:bCs/>
            <w:color w:val="auto"/>
          </w:rPr>
          <w:t>https://www.universityworldnews.com/post.php?story=20130123121225469</w:t>
        </w:r>
      </w:hyperlink>
    </w:p>
    <w:p w14:paraId="06ACBFA2" w14:textId="77777777" w:rsidR="002C3154" w:rsidRPr="00451BDA" w:rsidRDefault="002C3154" w:rsidP="00655B93">
      <w:pPr>
        <w:pStyle w:val="Heading3"/>
        <w:shd w:val="clear" w:color="auto" w:fill="FFFFFF" w:themeFill="background1"/>
        <w:spacing w:before="300" w:after="825" w:line="240" w:lineRule="auto"/>
        <w:contextualSpacing/>
        <w:rPr>
          <w:rFonts w:ascii="Times New Roman" w:eastAsia="Times New Roman" w:hAnsi="Times New Roman" w:cs="Times New Roman"/>
          <w:bCs/>
          <w:color w:val="auto"/>
          <w:sz w:val="22"/>
          <w:szCs w:val="22"/>
        </w:rPr>
      </w:pPr>
      <w:r w:rsidRPr="00451BDA">
        <w:rPr>
          <w:rFonts w:ascii="Times New Roman" w:eastAsia="Times New Roman" w:hAnsi="Times New Roman" w:cs="Times New Roman"/>
          <w:bCs/>
          <w:color w:val="auto"/>
          <w:sz w:val="22"/>
          <w:szCs w:val="22"/>
        </w:rPr>
        <w:lastRenderedPageBreak/>
        <w:t xml:space="preserve">Yemini, M. and Sagie, N. (2016), “Research on internationalization in higher education – </w:t>
      </w:r>
    </w:p>
    <w:p w14:paraId="2C405623" w14:textId="77777777" w:rsidR="002C3154" w:rsidRPr="00451BDA" w:rsidRDefault="002C3154" w:rsidP="00655B93">
      <w:pPr>
        <w:pStyle w:val="Heading3"/>
        <w:shd w:val="clear" w:color="auto" w:fill="FFFFFF" w:themeFill="background1"/>
        <w:spacing w:before="300" w:after="825" w:line="240" w:lineRule="auto"/>
        <w:ind w:left="720"/>
        <w:contextualSpacing/>
        <w:rPr>
          <w:rFonts w:ascii="Times New Roman" w:eastAsia="Times New Roman" w:hAnsi="Times New Roman" w:cs="Times New Roman"/>
          <w:bCs/>
          <w:color w:val="auto"/>
          <w:sz w:val="22"/>
          <w:szCs w:val="22"/>
        </w:rPr>
      </w:pPr>
      <w:r w:rsidRPr="00451BDA">
        <w:rPr>
          <w:rFonts w:ascii="Times New Roman" w:eastAsia="Times New Roman" w:hAnsi="Times New Roman" w:cs="Times New Roman"/>
          <w:bCs/>
          <w:color w:val="auto"/>
          <w:sz w:val="22"/>
          <w:szCs w:val="22"/>
        </w:rPr>
        <w:t xml:space="preserve">exploratory analysis”. </w:t>
      </w:r>
      <w:r w:rsidRPr="00451BDA">
        <w:rPr>
          <w:rFonts w:ascii="Times New Roman" w:eastAsia="Times New Roman" w:hAnsi="Times New Roman" w:cs="Times New Roman"/>
          <w:bCs/>
          <w:i/>
          <w:color w:val="auto"/>
          <w:sz w:val="22"/>
          <w:szCs w:val="22"/>
        </w:rPr>
        <w:t>Perspectives: Policy and Practice in Higher Education, Vol. 20</w:t>
      </w:r>
      <w:r w:rsidRPr="00451BDA">
        <w:rPr>
          <w:rFonts w:ascii="Times New Roman" w:eastAsia="Times New Roman" w:hAnsi="Times New Roman" w:cs="Times New Roman"/>
          <w:bCs/>
          <w:color w:val="auto"/>
          <w:sz w:val="22"/>
          <w:szCs w:val="22"/>
        </w:rPr>
        <w:t xml:space="preserve">. No. 3. pp. 90-98. </w:t>
      </w:r>
    </w:p>
    <w:p w14:paraId="3B353D9A" w14:textId="77777777" w:rsidR="002C3154" w:rsidRPr="00451BDA" w:rsidRDefault="002C3154" w:rsidP="002C3154">
      <w:pPr>
        <w:pStyle w:val="Heading3"/>
        <w:shd w:val="clear" w:color="auto" w:fill="FFFFFF" w:themeFill="background1"/>
        <w:spacing w:before="300" w:after="825" w:line="240" w:lineRule="auto"/>
        <w:contextualSpacing/>
        <w:rPr>
          <w:rFonts w:ascii="Times New Roman" w:hAnsi="Times New Roman" w:cs="Times New Roman"/>
          <w:bCs/>
          <w:color w:val="000000" w:themeColor="text1"/>
          <w:sz w:val="22"/>
          <w:szCs w:val="22"/>
        </w:rPr>
      </w:pPr>
      <w:r w:rsidRPr="00451BDA">
        <w:rPr>
          <w:rFonts w:ascii="Times New Roman" w:hAnsi="Times New Roman" w:cs="Times New Roman"/>
          <w:bCs/>
          <w:color w:val="000000" w:themeColor="text1"/>
          <w:sz w:val="22"/>
          <w:szCs w:val="22"/>
        </w:rPr>
        <w:t xml:space="preserve">Yousafzai, A. (2022), “Number of Pakistani students in UK varsities rose by 66pc in 2020-21”. </w:t>
      </w:r>
    </w:p>
    <w:p w14:paraId="04892254" w14:textId="77777777" w:rsidR="002C3154" w:rsidRPr="00451BDA" w:rsidRDefault="002C3154" w:rsidP="002C3154">
      <w:pPr>
        <w:pStyle w:val="Heading3"/>
        <w:shd w:val="clear" w:color="auto" w:fill="FFFFFF" w:themeFill="background1"/>
        <w:spacing w:before="300" w:after="825" w:line="240" w:lineRule="auto"/>
        <w:ind w:left="720"/>
        <w:contextualSpacing/>
        <w:rPr>
          <w:rFonts w:ascii="Times New Roman" w:hAnsi="Times New Roman" w:cs="Times New Roman"/>
          <w:bCs/>
          <w:color w:val="auto"/>
          <w:sz w:val="22"/>
          <w:szCs w:val="22"/>
        </w:rPr>
      </w:pPr>
      <w:r w:rsidRPr="00451BDA">
        <w:rPr>
          <w:rFonts w:ascii="Times New Roman" w:hAnsi="Times New Roman" w:cs="Times New Roman"/>
          <w:bCs/>
          <w:color w:val="000000" w:themeColor="text1"/>
          <w:sz w:val="22"/>
          <w:szCs w:val="22"/>
        </w:rPr>
        <w:t>The News, 27 July. Available at</w:t>
      </w:r>
      <w:r w:rsidRPr="00451BDA">
        <w:rPr>
          <w:rFonts w:ascii="Times New Roman" w:hAnsi="Times New Roman" w:cs="Times New Roman"/>
          <w:bCs/>
          <w:color w:val="auto"/>
          <w:sz w:val="22"/>
          <w:szCs w:val="22"/>
        </w:rPr>
        <w:t xml:space="preserve">: </w:t>
      </w:r>
      <w:hyperlink r:id="rId27" w:anchor=":~:text=A%20total%20of%207%2C830%20Pakistani,Ireland%20and%20335%20in%20Wales" w:history="1">
        <w:r w:rsidRPr="00451BDA">
          <w:rPr>
            <w:rStyle w:val="Hyperlink"/>
            <w:rFonts w:ascii="Times New Roman" w:hAnsi="Times New Roman" w:cs="Times New Roman"/>
            <w:bCs/>
            <w:sz w:val="22"/>
            <w:szCs w:val="22"/>
          </w:rPr>
          <w:t>https://www.thenews.com.pk/print/955133-number-of-pakistani-students-in-uk-varsities-rose-by-66pc-in-2020-21#:~:text=A%20total%20of%207%2C830%20Pakistani,Ireland%20and%20335%20in%20Wales</w:t>
        </w:r>
      </w:hyperlink>
      <w:r w:rsidRPr="00451BDA">
        <w:rPr>
          <w:rFonts w:ascii="Times New Roman" w:hAnsi="Times New Roman" w:cs="Times New Roman"/>
          <w:bCs/>
          <w:color w:val="auto"/>
          <w:sz w:val="22"/>
          <w:szCs w:val="22"/>
        </w:rPr>
        <w:t xml:space="preserve"> (accessed 28 July 2022).</w:t>
      </w:r>
    </w:p>
    <w:p w14:paraId="1BF69AC7" w14:textId="77777777" w:rsidR="002C3154" w:rsidRPr="00451BDA" w:rsidRDefault="002C3154" w:rsidP="002C3154">
      <w:pPr>
        <w:pStyle w:val="Heading3"/>
        <w:shd w:val="clear" w:color="auto" w:fill="FFFFFF" w:themeFill="background1"/>
        <w:spacing w:before="300" w:after="825" w:line="240" w:lineRule="auto"/>
        <w:contextualSpacing/>
        <w:rPr>
          <w:rFonts w:ascii="Times New Roman" w:hAnsi="Times New Roman" w:cs="Times New Roman"/>
          <w:bCs/>
          <w:color w:val="auto"/>
          <w:sz w:val="22"/>
          <w:szCs w:val="22"/>
        </w:rPr>
      </w:pPr>
      <w:r w:rsidRPr="00451BDA">
        <w:rPr>
          <w:rFonts w:ascii="Times New Roman" w:hAnsi="Times New Roman" w:cs="Times New Roman"/>
          <w:bCs/>
          <w:color w:val="auto"/>
          <w:sz w:val="22"/>
          <w:szCs w:val="22"/>
        </w:rPr>
        <w:t xml:space="preserve">Zakaria, M. Janjua, S.Y. and </w:t>
      </w:r>
      <w:proofErr w:type="spellStart"/>
      <w:r w:rsidRPr="00451BDA">
        <w:rPr>
          <w:rFonts w:ascii="Times New Roman" w:hAnsi="Times New Roman" w:cs="Times New Roman"/>
          <w:bCs/>
          <w:color w:val="auto"/>
          <w:sz w:val="22"/>
          <w:szCs w:val="22"/>
        </w:rPr>
        <w:t>Fida</w:t>
      </w:r>
      <w:proofErr w:type="spellEnd"/>
      <w:r w:rsidRPr="00451BDA">
        <w:rPr>
          <w:rFonts w:ascii="Times New Roman" w:hAnsi="Times New Roman" w:cs="Times New Roman"/>
          <w:bCs/>
          <w:color w:val="auto"/>
          <w:sz w:val="22"/>
          <w:szCs w:val="22"/>
        </w:rPr>
        <w:t xml:space="preserve">, B.A. (2016), “Internationalization of higher education: trends </w:t>
      </w:r>
    </w:p>
    <w:p w14:paraId="5E9C88DA" w14:textId="77777777" w:rsidR="002C3154" w:rsidRPr="00451BDA" w:rsidRDefault="002C3154" w:rsidP="002C3154">
      <w:pPr>
        <w:pStyle w:val="Heading3"/>
        <w:shd w:val="clear" w:color="auto" w:fill="FFFFFF" w:themeFill="background1"/>
        <w:spacing w:before="300" w:after="825" w:line="240" w:lineRule="auto"/>
        <w:ind w:left="720"/>
        <w:contextualSpacing/>
        <w:rPr>
          <w:rStyle w:val="Hyperlink"/>
          <w:rFonts w:ascii="Times New Roman" w:hAnsi="Times New Roman" w:cs="Times New Roman"/>
          <w:bCs/>
          <w:color w:val="auto"/>
          <w:sz w:val="22"/>
          <w:szCs w:val="22"/>
        </w:rPr>
      </w:pPr>
      <w:r w:rsidRPr="00451BDA">
        <w:rPr>
          <w:rFonts w:ascii="Times New Roman" w:hAnsi="Times New Roman" w:cs="Times New Roman"/>
          <w:bCs/>
          <w:color w:val="auto"/>
          <w:sz w:val="22"/>
          <w:szCs w:val="22"/>
        </w:rPr>
        <w:t>and policies in Pakistan</w:t>
      </w:r>
      <w:r w:rsidRPr="00451BDA">
        <w:rPr>
          <w:rFonts w:ascii="Times New Roman" w:hAnsi="Times New Roman" w:cs="Times New Roman"/>
          <w:bCs/>
          <w:i/>
          <w:color w:val="auto"/>
          <w:sz w:val="22"/>
          <w:szCs w:val="22"/>
        </w:rPr>
        <w:t>”. Bulletin of Education and Research</w:t>
      </w:r>
      <w:r w:rsidRPr="00451BDA">
        <w:rPr>
          <w:rFonts w:ascii="Times New Roman" w:hAnsi="Times New Roman" w:cs="Times New Roman"/>
          <w:bCs/>
          <w:color w:val="auto"/>
          <w:sz w:val="22"/>
          <w:szCs w:val="22"/>
        </w:rPr>
        <w:t xml:space="preserve"> 38(1): 75-88. Available at: </w:t>
      </w:r>
      <w:hyperlink r:id="rId28" w:history="1">
        <w:r w:rsidRPr="00451BDA">
          <w:rPr>
            <w:rStyle w:val="Hyperlink"/>
            <w:rFonts w:ascii="Times New Roman" w:hAnsi="Times New Roman" w:cs="Times New Roman"/>
            <w:bCs/>
            <w:sz w:val="22"/>
            <w:szCs w:val="22"/>
          </w:rPr>
          <w:t>https://files.eric.ed.gov/fulltext/EJ1210327.pdf</w:t>
        </w:r>
      </w:hyperlink>
      <w:r w:rsidRPr="00451BDA">
        <w:rPr>
          <w:rStyle w:val="Hyperlink"/>
          <w:rFonts w:ascii="Times New Roman" w:hAnsi="Times New Roman" w:cs="Times New Roman"/>
          <w:bCs/>
          <w:color w:val="auto"/>
          <w:sz w:val="22"/>
          <w:szCs w:val="22"/>
        </w:rPr>
        <w:t xml:space="preserve"> (accessed 23 </w:t>
      </w:r>
      <w:proofErr w:type="gramStart"/>
      <w:r w:rsidRPr="00451BDA">
        <w:rPr>
          <w:rStyle w:val="Hyperlink"/>
          <w:rFonts w:ascii="Times New Roman" w:hAnsi="Times New Roman" w:cs="Times New Roman"/>
          <w:bCs/>
          <w:color w:val="auto"/>
          <w:sz w:val="22"/>
          <w:szCs w:val="22"/>
        </w:rPr>
        <w:t>March,</w:t>
      </w:r>
      <w:proofErr w:type="gramEnd"/>
      <w:r w:rsidRPr="00451BDA">
        <w:rPr>
          <w:rStyle w:val="Hyperlink"/>
          <w:rFonts w:ascii="Times New Roman" w:hAnsi="Times New Roman" w:cs="Times New Roman"/>
          <w:bCs/>
          <w:color w:val="auto"/>
          <w:sz w:val="22"/>
          <w:szCs w:val="22"/>
        </w:rPr>
        <w:t xml:space="preserve"> 2022)</w:t>
      </w:r>
    </w:p>
    <w:p w14:paraId="363AF4C1" w14:textId="77777777" w:rsidR="002C3154" w:rsidRPr="00451BDA" w:rsidRDefault="002C3154" w:rsidP="002C3154">
      <w:pPr>
        <w:pStyle w:val="Heading3"/>
        <w:shd w:val="clear" w:color="auto" w:fill="FFFFFF" w:themeFill="background1"/>
        <w:spacing w:before="300" w:after="825" w:line="240" w:lineRule="auto"/>
        <w:contextualSpacing/>
        <w:rPr>
          <w:rFonts w:ascii="Times New Roman" w:hAnsi="Times New Roman" w:cs="Times New Roman"/>
          <w:bCs/>
          <w:color w:val="auto"/>
          <w:sz w:val="22"/>
          <w:szCs w:val="22"/>
        </w:rPr>
      </w:pPr>
      <w:r w:rsidRPr="00451BDA">
        <w:rPr>
          <w:rFonts w:ascii="Times New Roman" w:hAnsi="Times New Roman" w:cs="Times New Roman"/>
          <w:bCs/>
          <w:color w:val="auto"/>
          <w:sz w:val="22"/>
          <w:szCs w:val="22"/>
        </w:rPr>
        <w:t xml:space="preserve">Zapp M. and Lerch, J.C. (2020), “Imagining the world: conceptions and determinants of </w:t>
      </w:r>
    </w:p>
    <w:p w14:paraId="0ECC56A0" w14:textId="77777777" w:rsidR="002C3154" w:rsidRPr="00451BDA" w:rsidRDefault="002C3154" w:rsidP="002C3154">
      <w:pPr>
        <w:pStyle w:val="Heading3"/>
        <w:shd w:val="clear" w:color="auto" w:fill="FFFFFF" w:themeFill="background1"/>
        <w:spacing w:before="300" w:after="825" w:line="240" w:lineRule="auto"/>
        <w:ind w:left="720"/>
        <w:contextualSpacing/>
        <w:rPr>
          <w:rFonts w:ascii="Times New Roman" w:hAnsi="Times New Roman" w:cs="Times New Roman"/>
          <w:bCs/>
          <w:sz w:val="22"/>
          <w:szCs w:val="22"/>
        </w:rPr>
      </w:pPr>
      <w:r w:rsidRPr="00451BDA">
        <w:rPr>
          <w:rFonts w:ascii="Times New Roman" w:hAnsi="Times New Roman" w:cs="Times New Roman"/>
          <w:bCs/>
          <w:color w:val="auto"/>
          <w:sz w:val="22"/>
          <w:szCs w:val="22"/>
        </w:rPr>
        <w:t xml:space="preserve">internationalization in HE curricula worldwide”, </w:t>
      </w:r>
      <w:r w:rsidRPr="00451BDA">
        <w:rPr>
          <w:rFonts w:ascii="Times New Roman" w:hAnsi="Times New Roman" w:cs="Times New Roman"/>
          <w:bCs/>
          <w:i/>
          <w:iCs/>
          <w:color w:val="auto"/>
          <w:sz w:val="22"/>
          <w:szCs w:val="22"/>
        </w:rPr>
        <w:t>Sociology of Education. Vol</w:t>
      </w:r>
      <w:r w:rsidRPr="00451BDA">
        <w:rPr>
          <w:rFonts w:ascii="Times New Roman" w:hAnsi="Times New Roman" w:cs="Times New Roman"/>
          <w:bCs/>
          <w:i/>
          <w:color w:val="auto"/>
          <w:sz w:val="22"/>
          <w:szCs w:val="22"/>
        </w:rPr>
        <w:t xml:space="preserve"> 93.</w:t>
      </w:r>
      <w:r w:rsidRPr="00451BDA">
        <w:rPr>
          <w:rFonts w:ascii="Times New Roman" w:hAnsi="Times New Roman" w:cs="Times New Roman"/>
          <w:bCs/>
          <w:color w:val="auto"/>
          <w:sz w:val="22"/>
          <w:szCs w:val="22"/>
        </w:rPr>
        <w:t xml:space="preserve"> No.4: pp. 372–92. </w:t>
      </w:r>
    </w:p>
    <w:p w14:paraId="5023E8AE" w14:textId="77777777" w:rsidR="002C3154" w:rsidRPr="00451BDA" w:rsidRDefault="002C3154" w:rsidP="002C3154">
      <w:pPr>
        <w:pStyle w:val="Heading3"/>
        <w:shd w:val="clear" w:color="auto" w:fill="FFFFFF" w:themeFill="background1"/>
        <w:spacing w:before="300" w:after="825" w:line="240" w:lineRule="auto"/>
        <w:contextualSpacing/>
        <w:rPr>
          <w:rFonts w:ascii="Times New Roman" w:eastAsia="Times New Roman" w:hAnsi="Times New Roman" w:cs="Times New Roman"/>
          <w:bCs/>
          <w:color w:val="auto"/>
          <w:sz w:val="22"/>
          <w:szCs w:val="22"/>
        </w:rPr>
      </w:pPr>
      <w:r w:rsidRPr="00451BDA">
        <w:rPr>
          <w:rFonts w:ascii="Times New Roman" w:eastAsia="Times New Roman" w:hAnsi="Times New Roman" w:cs="Times New Roman"/>
          <w:bCs/>
          <w:color w:val="auto"/>
          <w:sz w:val="22"/>
          <w:szCs w:val="22"/>
        </w:rPr>
        <w:t xml:space="preserve">Zhou, J. (2016), “A dynamic systems approach to internationalization of higher education. </w:t>
      </w:r>
    </w:p>
    <w:p w14:paraId="0CA229AA" w14:textId="77777777" w:rsidR="002C3154" w:rsidRPr="00451BDA" w:rsidRDefault="002C3154" w:rsidP="002C3154">
      <w:pPr>
        <w:pStyle w:val="Heading3"/>
        <w:shd w:val="clear" w:color="auto" w:fill="FFFFFF" w:themeFill="background1"/>
        <w:spacing w:before="300" w:after="825" w:line="240" w:lineRule="auto"/>
        <w:ind w:left="720"/>
        <w:contextualSpacing/>
        <w:rPr>
          <w:rFonts w:ascii="Times New Roman" w:eastAsia="Times New Roman" w:hAnsi="Times New Roman" w:cs="Times New Roman"/>
          <w:bCs/>
          <w:color w:val="auto"/>
          <w:sz w:val="22"/>
          <w:szCs w:val="22"/>
        </w:rPr>
      </w:pPr>
      <w:r w:rsidRPr="00451BDA">
        <w:rPr>
          <w:rFonts w:ascii="Times New Roman" w:eastAsia="Times New Roman" w:hAnsi="Times New Roman" w:cs="Times New Roman"/>
          <w:bCs/>
          <w:i/>
          <w:iCs/>
          <w:color w:val="auto"/>
          <w:sz w:val="22"/>
          <w:szCs w:val="22"/>
        </w:rPr>
        <w:t>Journal of International Education &amp; Leadership,</w:t>
      </w:r>
      <w:r w:rsidRPr="00451BDA">
        <w:rPr>
          <w:rFonts w:ascii="Times New Roman" w:eastAsia="Times New Roman" w:hAnsi="Times New Roman" w:cs="Times New Roman"/>
          <w:bCs/>
          <w:color w:val="auto"/>
          <w:sz w:val="22"/>
          <w:szCs w:val="22"/>
        </w:rPr>
        <w:t xml:space="preserve"> Vol. 6. No.1: pp. 1-14. Available at https://files.eric.ed.gov/fulltext/EJ1135214.pdf</w:t>
      </w:r>
    </w:p>
    <w:p w14:paraId="4425190D" w14:textId="77777777" w:rsidR="002C3154" w:rsidRPr="00451BDA" w:rsidRDefault="002C3154" w:rsidP="002C3154">
      <w:pPr>
        <w:pStyle w:val="Heading3"/>
        <w:shd w:val="clear" w:color="auto" w:fill="FFFFFF" w:themeFill="background1"/>
        <w:spacing w:before="300" w:after="825" w:line="240" w:lineRule="auto"/>
        <w:contextualSpacing/>
        <w:rPr>
          <w:rFonts w:ascii="Times New Roman" w:eastAsia="Times New Roman" w:hAnsi="Times New Roman" w:cs="Times New Roman"/>
          <w:bCs/>
          <w:color w:val="auto"/>
          <w:sz w:val="22"/>
          <w:szCs w:val="22"/>
        </w:rPr>
      </w:pPr>
      <w:proofErr w:type="spellStart"/>
      <w:r w:rsidRPr="00451BDA">
        <w:rPr>
          <w:rFonts w:ascii="Times New Roman" w:eastAsia="Times New Roman" w:hAnsi="Times New Roman" w:cs="Times New Roman"/>
          <w:bCs/>
          <w:color w:val="auto"/>
          <w:sz w:val="22"/>
          <w:szCs w:val="22"/>
        </w:rPr>
        <w:t>Zimitat</w:t>
      </w:r>
      <w:proofErr w:type="spellEnd"/>
      <w:r w:rsidRPr="00451BDA">
        <w:rPr>
          <w:rFonts w:ascii="Times New Roman" w:eastAsia="Times New Roman" w:hAnsi="Times New Roman" w:cs="Times New Roman"/>
          <w:bCs/>
          <w:color w:val="auto"/>
          <w:sz w:val="22"/>
          <w:szCs w:val="22"/>
        </w:rPr>
        <w:t xml:space="preserve">, C. (2005), “Student perceptions of internationalization of the undergraduate </w:t>
      </w:r>
    </w:p>
    <w:p w14:paraId="5E3EEDB3" w14:textId="77777777" w:rsidR="002C3154" w:rsidRPr="00451BDA" w:rsidRDefault="002C3154" w:rsidP="002C3154">
      <w:pPr>
        <w:pStyle w:val="Heading3"/>
        <w:shd w:val="clear" w:color="auto" w:fill="FFFFFF" w:themeFill="background1"/>
        <w:spacing w:before="300" w:after="825" w:line="240" w:lineRule="auto"/>
        <w:ind w:left="720"/>
        <w:contextualSpacing/>
        <w:rPr>
          <w:rFonts w:ascii="Times New Roman" w:eastAsia="Times New Roman" w:hAnsi="Times New Roman" w:cs="Times New Roman"/>
          <w:bCs/>
          <w:color w:val="auto"/>
          <w:sz w:val="22"/>
          <w:szCs w:val="22"/>
        </w:rPr>
      </w:pPr>
      <w:r w:rsidRPr="00451BDA">
        <w:rPr>
          <w:rFonts w:ascii="Times New Roman" w:eastAsia="Times New Roman" w:hAnsi="Times New Roman" w:cs="Times New Roman"/>
          <w:bCs/>
          <w:color w:val="auto"/>
          <w:sz w:val="22"/>
          <w:szCs w:val="22"/>
        </w:rPr>
        <w:t>Curriculum”</w:t>
      </w:r>
      <w:r w:rsidRPr="00451BDA">
        <w:rPr>
          <w:rFonts w:ascii="Times New Roman" w:eastAsia="Times New Roman" w:hAnsi="Times New Roman" w:cs="Times New Roman"/>
          <w:bCs/>
          <w:sz w:val="22"/>
          <w:szCs w:val="22"/>
        </w:rPr>
        <w:t>.</w:t>
      </w:r>
      <w:r w:rsidRPr="00451BDA">
        <w:rPr>
          <w:rFonts w:ascii="Times New Roman" w:eastAsia="Times New Roman" w:hAnsi="Times New Roman" w:cs="Times New Roman"/>
          <w:bCs/>
          <w:color w:val="auto"/>
          <w:sz w:val="22"/>
          <w:szCs w:val="22"/>
        </w:rPr>
        <w:t xml:space="preserve"> Available at: </w:t>
      </w:r>
      <w:hyperlink r:id="rId29" w:history="1">
        <w:r w:rsidRPr="00451BDA">
          <w:rPr>
            <w:rStyle w:val="Hyperlink"/>
            <w:rFonts w:ascii="Times New Roman" w:eastAsia="Times New Roman" w:hAnsi="Times New Roman" w:cs="Times New Roman"/>
            <w:bCs/>
            <w:color w:val="auto"/>
            <w:sz w:val="22"/>
            <w:szCs w:val="22"/>
          </w:rPr>
          <w:t>https://www.researchgate.net/publication/29454216_Student_perceptions_of_internationalization_of_the_undergraduate_curriculum</w:t>
        </w:r>
      </w:hyperlink>
      <w:r w:rsidRPr="00451BDA">
        <w:rPr>
          <w:rStyle w:val="Hyperlink"/>
          <w:rFonts w:ascii="Times New Roman" w:eastAsia="Times New Roman" w:hAnsi="Times New Roman" w:cs="Times New Roman"/>
          <w:bCs/>
          <w:color w:val="auto"/>
          <w:sz w:val="22"/>
          <w:szCs w:val="22"/>
        </w:rPr>
        <w:t xml:space="preserve"> (accessed 23 March 2022)</w:t>
      </w:r>
    </w:p>
    <w:p w14:paraId="713FC4E6" w14:textId="0472EBF6" w:rsidR="008B330F" w:rsidRPr="00451BDA" w:rsidRDefault="008B330F">
      <w:pPr>
        <w:shd w:val="clear" w:color="auto" w:fill="FFFFFF" w:themeFill="background1"/>
        <w:spacing w:line="240" w:lineRule="auto"/>
        <w:ind w:firstLine="720"/>
        <w:contextualSpacing/>
        <w:rPr>
          <w:rFonts w:ascii="Times New Roman" w:eastAsia="Times New Roman" w:hAnsi="Times New Roman" w:cs="Times New Roman"/>
          <w:bCs/>
        </w:rPr>
      </w:pPr>
    </w:p>
    <w:p w14:paraId="47D2FE27" w14:textId="6B1455BA" w:rsidR="008B330F" w:rsidRPr="00451BDA" w:rsidRDefault="008B330F">
      <w:pPr>
        <w:shd w:val="clear" w:color="auto" w:fill="FFFFFF" w:themeFill="background1"/>
        <w:spacing w:line="240" w:lineRule="auto"/>
        <w:ind w:firstLine="720"/>
        <w:contextualSpacing/>
        <w:rPr>
          <w:rFonts w:ascii="Times New Roman" w:eastAsia="Times New Roman" w:hAnsi="Times New Roman" w:cs="Times New Roman"/>
          <w:bCs/>
        </w:rPr>
      </w:pPr>
    </w:p>
    <w:p w14:paraId="0629B16B" w14:textId="1B3E791A" w:rsidR="00147106" w:rsidRPr="00451BDA" w:rsidRDefault="00147106">
      <w:pPr>
        <w:shd w:val="clear" w:color="auto" w:fill="FFFFFF" w:themeFill="background1"/>
        <w:spacing w:line="240" w:lineRule="auto"/>
        <w:ind w:firstLine="720"/>
        <w:contextualSpacing/>
        <w:rPr>
          <w:rFonts w:ascii="Times New Roman" w:eastAsia="Times New Roman" w:hAnsi="Times New Roman" w:cs="Times New Roman"/>
          <w:bCs/>
        </w:rPr>
      </w:pPr>
    </w:p>
    <w:p w14:paraId="3B09BABA" w14:textId="4E6F0B7C" w:rsidR="0037012B" w:rsidRDefault="0037012B" w:rsidP="0037012B">
      <w:pPr>
        <w:shd w:val="clear" w:color="auto" w:fill="FFFFFF" w:themeFill="background1"/>
        <w:spacing w:line="240" w:lineRule="auto"/>
        <w:contextualSpacing/>
        <w:rPr>
          <w:rFonts w:ascii="Times New Roman" w:eastAsia="Times New Roman" w:hAnsi="Times New Roman" w:cs="Times New Roman"/>
          <w:bCs/>
        </w:rPr>
      </w:pPr>
      <w:r>
        <w:rPr>
          <w:rFonts w:ascii="Times New Roman" w:eastAsia="Times New Roman" w:hAnsi="Times New Roman" w:cs="Times New Roman"/>
          <w:bCs/>
        </w:rPr>
        <w:t xml:space="preserve">This is authors’ copy accepted for publishing in Asian Education and Development Studies </w:t>
      </w:r>
      <w:hyperlink r:id="rId30" w:history="1">
        <w:r w:rsidRPr="00D50C36">
          <w:rPr>
            <w:rStyle w:val="Hyperlink"/>
            <w:rFonts w:ascii="Times New Roman" w:eastAsia="Times New Roman" w:hAnsi="Times New Roman" w:cs="Times New Roman"/>
            <w:bCs/>
          </w:rPr>
          <w:t>https://www.emerald.com/insight/publication/issn/2046-3162</w:t>
        </w:r>
      </w:hyperlink>
    </w:p>
    <w:p w14:paraId="7A86B36F" w14:textId="77777777" w:rsidR="0037012B" w:rsidRDefault="0037012B">
      <w:pPr>
        <w:shd w:val="clear" w:color="auto" w:fill="FFFFFF" w:themeFill="background1"/>
        <w:spacing w:line="240" w:lineRule="auto"/>
        <w:ind w:firstLine="720"/>
        <w:contextualSpacing/>
        <w:rPr>
          <w:rFonts w:ascii="Times New Roman" w:eastAsia="Times New Roman" w:hAnsi="Times New Roman" w:cs="Times New Roman"/>
          <w:bCs/>
        </w:rPr>
      </w:pPr>
    </w:p>
    <w:p w14:paraId="46B8A3D6" w14:textId="10FFA92C" w:rsidR="00147106" w:rsidRPr="00451BDA" w:rsidRDefault="0037012B">
      <w:pPr>
        <w:shd w:val="clear" w:color="auto" w:fill="FFFFFF" w:themeFill="background1"/>
        <w:spacing w:line="240" w:lineRule="auto"/>
        <w:ind w:firstLine="720"/>
        <w:contextualSpacing/>
        <w:rPr>
          <w:rFonts w:ascii="Times New Roman" w:eastAsia="Times New Roman" w:hAnsi="Times New Roman" w:cs="Times New Roman"/>
          <w:bCs/>
        </w:rPr>
      </w:pPr>
      <w:r>
        <w:rPr>
          <w:rFonts w:ascii="Times New Roman" w:eastAsia="Times New Roman" w:hAnsi="Times New Roman" w:cs="Times New Roman"/>
          <w:bCs/>
        </w:rPr>
        <w:t xml:space="preserve"> </w:t>
      </w:r>
    </w:p>
    <w:p w14:paraId="68EC4FCE" w14:textId="4BC27C15" w:rsidR="00147106" w:rsidRPr="00451BDA" w:rsidRDefault="00147106">
      <w:pPr>
        <w:shd w:val="clear" w:color="auto" w:fill="FFFFFF" w:themeFill="background1"/>
        <w:spacing w:line="240" w:lineRule="auto"/>
        <w:ind w:firstLine="720"/>
        <w:contextualSpacing/>
        <w:rPr>
          <w:rFonts w:ascii="Times New Roman" w:eastAsia="Times New Roman" w:hAnsi="Times New Roman" w:cs="Times New Roman"/>
          <w:bCs/>
        </w:rPr>
      </w:pPr>
    </w:p>
    <w:p w14:paraId="7F1F083E" w14:textId="6A68592D" w:rsidR="00147106" w:rsidRPr="00451BDA" w:rsidRDefault="00147106">
      <w:pPr>
        <w:shd w:val="clear" w:color="auto" w:fill="FFFFFF" w:themeFill="background1"/>
        <w:spacing w:line="240" w:lineRule="auto"/>
        <w:ind w:firstLine="720"/>
        <w:contextualSpacing/>
        <w:rPr>
          <w:rFonts w:ascii="Times New Roman" w:eastAsia="Times New Roman" w:hAnsi="Times New Roman" w:cs="Times New Roman"/>
          <w:bCs/>
        </w:rPr>
      </w:pPr>
    </w:p>
    <w:p w14:paraId="4031F14F" w14:textId="403F3202" w:rsidR="00CD7C16" w:rsidRPr="00451BDA" w:rsidRDefault="00CD7C16">
      <w:pPr>
        <w:shd w:val="clear" w:color="auto" w:fill="FFFFFF" w:themeFill="background1"/>
        <w:spacing w:line="240" w:lineRule="auto"/>
        <w:ind w:firstLine="720"/>
        <w:contextualSpacing/>
        <w:rPr>
          <w:rFonts w:ascii="Times New Roman" w:eastAsia="Times New Roman" w:hAnsi="Times New Roman" w:cs="Times New Roman"/>
          <w:bCs/>
        </w:rPr>
      </w:pPr>
    </w:p>
    <w:p w14:paraId="536E4ADF" w14:textId="0D98D20A" w:rsidR="00CD7C16" w:rsidRPr="00451BDA" w:rsidRDefault="00CD7C16">
      <w:pPr>
        <w:shd w:val="clear" w:color="auto" w:fill="FFFFFF" w:themeFill="background1"/>
        <w:spacing w:line="240" w:lineRule="auto"/>
        <w:ind w:firstLine="720"/>
        <w:contextualSpacing/>
        <w:rPr>
          <w:rFonts w:ascii="Times New Roman" w:eastAsia="Times New Roman" w:hAnsi="Times New Roman" w:cs="Times New Roman"/>
          <w:bCs/>
        </w:rPr>
      </w:pPr>
    </w:p>
    <w:p w14:paraId="3ABE7518" w14:textId="28C3BB49" w:rsidR="00CD7C16" w:rsidRPr="00451BDA" w:rsidRDefault="00CD7C16">
      <w:pPr>
        <w:shd w:val="clear" w:color="auto" w:fill="FFFFFF" w:themeFill="background1"/>
        <w:spacing w:line="240" w:lineRule="auto"/>
        <w:ind w:firstLine="720"/>
        <w:contextualSpacing/>
        <w:rPr>
          <w:rFonts w:ascii="Times New Roman" w:eastAsia="Times New Roman" w:hAnsi="Times New Roman" w:cs="Times New Roman"/>
          <w:bCs/>
        </w:rPr>
      </w:pPr>
    </w:p>
    <w:p w14:paraId="77F4AF9D" w14:textId="17A5F69E" w:rsidR="00CD7C16" w:rsidRPr="00451BDA" w:rsidRDefault="00CD7C16">
      <w:pPr>
        <w:shd w:val="clear" w:color="auto" w:fill="FFFFFF" w:themeFill="background1"/>
        <w:spacing w:line="240" w:lineRule="auto"/>
        <w:ind w:firstLine="720"/>
        <w:contextualSpacing/>
        <w:rPr>
          <w:rFonts w:ascii="Times New Roman" w:eastAsia="Times New Roman" w:hAnsi="Times New Roman" w:cs="Times New Roman"/>
          <w:bCs/>
        </w:rPr>
      </w:pPr>
    </w:p>
    <w:p w14:paraId="54F2CE3C" w14:textId="2F5F3300" w:rsidR="00CD7C16" w:rsidRPr="00451BDA" w:rsidRDefault="00CD7C16">
      <w:pPr>
        <w:shd w:val="clear" w:color="auto" w:fill="FFFFFF" w:themeFill="background1"/>
        <w:spacing w:line="240" w:lineRule="auto"/>
        <w:ind w:firstLine="720"/>
        <w:contextualSpacing/>
        <w:rPr>
          <w:rFonts w:ascii="Times New Roman" w:eastAsia="Times New Roman" w:hAnsi="Times New Roman" w:cs="Times New Roman"/>
          <w:bCs/>
        </w:rPr>
      </w:pPr>
    </w:p>
    <w:p w14:paraId="723456F2" w14:textId="697CC1D0" w:rsidR="00CD7C16" w:rsidRPr="00451BDA" w:rsidRDefault="00CD7C16">
      <w:pPr>
        <w:shd w:val="clear" w:color="auto" w:fill="FFFFFF" w:themeFill="background1"/>
        <w:spacing w:line="240" w:lineRule="auto"/>
        <w:ind w:firstLine="720"/>
        <w:contextualSpacing/>
        <w:rPr>
          <w:rFonts w:ascii="Times New Roman" w:eastAsia="Times New Roman" w:hAnsi="Times New Roman" w:cs="Times New Roman"/>
          <w:bCs/>
        </w:rPr>
      </w:pPr>
    </w:p>
    <w:p w14:paraId="72242CAA" w14:textId="3FD2E93A" w:rsidR="00CD7C16" w:rsidRPr="00451BDA" w:rsidRDefault="00CD7C16">
      <w:pPr>
        <w:shd w:val="clear" w:color="auto" w:fill="FFFFFF" w:themeFill="background1"/>
        <w:spacing w:line="240" w:lineRule="auto"/>
        <w:ind w:firstLine="720"/>
        <w:contextualSpacing/>
        <w:rPr>
          <w:rFonts w:ascii="Times New Roman" w:eastAsia="Times New Roman" w:hAnsi="Times New Roman" w:cs="Times New Roman"/>
          <w:bCs/>
        </w:rPr>
      </w:pPr>
    </w:p>
    <w:p w14:paraId="194A1F47" w14:textId="2540F918" w:rsidR="00CD7C16" w:rsidRPr="00451BDA" w:rsidRDefault="00CD7C16">
      <w:pPr>
        <w:shd w:val="clear" w:color="auto" w:fill="FFFFFF" w:themeFill="background1"/>
        <w:spacing w:line="240" w:lineRule="auto"/>
        <w:ind w:firstLine="720"/>
        <w:contextualSpacing/>
        <w:rPr>
          <w:rFonts w:ascii="Times New Roman" w:eastAsia="Times New Roman" w:hAnsi="Times New Roman" w:cs="Times New Roman"/>
          <w:bCs/>
        </w:rPr>
      </w:pPr>
    </w:p>
    <w:p w14:paraId="48A0D161" w14:textId="4551B4F0" w:rsidR="00CD7C16" w:rsidRPr="00451BDA" w:rsidRDefault="00CD7C16">
      <w:pPr>
        <w:shd w:val="clear" w:color="auto" w:fill="FFFFFF" w:themeFill="background1"/>
        <w:spacing w:line="240" w:lineRule="auto"/>
        <w:ind w:firstLine="720"/>
        <w:contextualSpacing/>
        <w:rPr>
          <w:rFonts w:ascii="Times New Roman" w:eastAsia="Times New Roman" w:hAnsi="Times New Roman" w:cs="Times New Roman"/>
          <w:bCs/>
        </w:rPr>
      </w:pPr>
    </w:p>
    <w:p w14:paraId="6A972F8F" w14:textId="28CB67D8" w:rsidR="00CD7C16" w:rsidRPr="00451BDA" w:rsidRDefault="00CD7C16">
      <w:pPr>
        <w:shd w:val="clear" w:color="auto" w:fill="FFFFFF" w:themeFill="background1"/>
        <w:spacing w:line="240" w:lineRule="auto"/>
        <w:ind w:firstLine="720"/>
        <w:contextualSpacing/>
        <w:rPr>
          <w:rFonts w:ascii="Times New Roman" w:eastAsia="Times New Roman" w:hAnsi="Times New Roman" w:cs="Times New Roman"/>
          <w:bCs/>
        </w:rPr>
      </w:pPr>
    </w:p>
    <w:p w14:paraId="1E5B9BAB" w14:textId="6F7F69C9" w:rsidR="00CD7C16" w:rsidRPr="00451BDA" w:rsidRDefault="00CD7C16">
      <w:pPr>
        <w:shd w:val="clear" w:color="auto" w:fill="FFFFFF" w:themeFill="background1"/>
        <w:spacing w:line="240" w:lineRule="auto"/>
        <w:ind w:firstLine="720"/>
        <w:contextualSpacing/>
        <w:rPr>
          <w:rFonts w:ascii="Times New Roman" w:eastAsia="Times New Roman" w:hAnsi="Times New Roman" w:cs="Times New Roman"/>
          <w:bCs/>
        </w:rPr>
      </w:pPr>
    </w:p>
    <w:p w14:paraId="060A3564" w14:textId="7B60A0B5" w:rsidR="00CD7C16" w:rsidRPr="00451BDA" w:rsidRDefault="00CD7C16">
      <w:pPr>
        <w:shd w:val="clear" w:color="auto" w:fill="FFFFFF" w:themeFill="background1"/>
        <w:spacing w:line="240" w:lineRule="auto"/>
        <w:ind w:firstLine="720"/>
        <w:contextualSpacing/>
        <w:rPr>
          <w:rFonts w:ascii="Times New Roman" w:eastAsia="Times New Roman" w:hAnsi="Times New Roman" w:cs="Times New Roman"/>
          <w:bCs/>
        </w:rPr>
      </w:pPr>
    </w:p>
    <w:p w14:paraId="4502389D" w14:textId="21D362ED" w:rsidR="00CD7C16" w:rsidRPr="00451BDA" w:rsidRDefault="00CD7C16">
      <w:pPr>
        <w:shd w:val="clear" w:color="auto" w:fill="FFFFFF" w:themeFill="background1"/>
        <w:spacing w:line="240" w:lineRule="auto"/>
        <w:ind w:firstLine="720"/>
        <w:contextualSpacing/>
        <w:rPr>
          <w:rFonts w:ascii="Times New Roman" w:eastAsia="Times New Roman" w:hAnsi="Times New Roman" w:cs="Times New Roman"/>
          <w:bCs/>
        </w:rPr>
      </w:pPr>
    </w:p>
    <w:p w14:paraId="1B6D5811" w14:textId="77777777" w:rsidR="00346EF2" w:rsidRPr="00451BDA" w:rsidRDefault="00346EF2">
      <w:pPr>
        <w:shd w:val="clear" w:color="auto" w:fill="FFFFFF" w:themeFill="background1"/>
        <w:spacing w:line="240" w:lineRule="auto"/>
        <w:ind w:firstLine="720"/>
        <w:contextualSpacing/>
        <w:rPr>
          <w:rFonts w:ascii="Times New Roman" w:eastAsia="Times New Roman" w:hAnsi="Times New Roman" w:cs="Times New Roman"/>
          <w:bCs/>
        </w:rPr>
      </w:pPr>
    </w:p>
    <w:p w14:paraId="782CB90D" w14:textId="77777777" w:rsidR="00346EF2" w:rsidRPr="00451BDA" w:rsidRDefault="00346EF2">
      <w:pPr>
        <w:shd w:val="clear" w:color="auto" w:fill="FFFFFF" w:themeFill="background1"/>
        <w:spacing w:line="240" w:lineRule="auto"/>
        <w:ind w:firstLine="720"/>
        <w:contextualSpacing/>
        <w:rPr>
          <w:rFonts w:ascii="Times New Roman" w:eastAsia="Times New Roman" w:hAnsi="Times New Roman" w:cs="Times New Roman"/>
          <w:bCs/>
        </w:rPr>
      </w:pPr>
    </w:p>
    <w:p w14:paraId="5F0D16D0" w14:textId="3A6570E9" w:rsidR="008F2197" w:rsidRPr="00451BDA" w:rsidRDefault="008F2197" w:rsidP="006A3D2C">
      <w:pPr>
        <w:shd w:val="clear" w:color="auto" w:fill="FFFFFF" w:themeFill="background1"/>
        <w:spacing w:after="0" w:line="240" w:lineRule="auto"/>
        <w:contextualSpacing/>
        <w:rPr>
          <w:rFonts w:ascii="Times New Roman" w:eastAsia="Times New Roman" w:hAnsi="Times New Roman" w:cs="Times New Roman"/>
          <w:bCs/>
        </w:rPr>
      </w:pPr>
    </w:p>
    <w:sectPr w:rsidR="008F2197" w:rsidRPr="00451BDA">
      <w:headerReference w:type="default" r:id="rId3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0D81A" w14:textId="77777777" w:rsidR="0057637C" w:rsidRDefault="0057637C">
      <w:pPr>
        <w:spacing w:after="0" w:line="240" w:lineRule="auto"/>
      </w:pPr>
      <w:r>
        <w:separator/>
      </w:r>
    </w:p>
  </w:endnote>
  <w:endnote w:type="continuationSeparator" w:id="0">
    <w:p w14:paraId="6E7D5ED0" w14:textId="77777777" w:rsidR="0057637C" w:rsidRDefault="00576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EE752" w14:textId="77777777" w:rsidR="0057637C" w:rsidRDefault="0057637C">
      <w:pPr>
        <w:spacing w:after="0" w:line="240" w:lineRule="auto"/>
      </w:pPr>
      <w:r>
        <w:separator/>
      </w:r>
    </w:p>
  </w:footnote>
  <w:footnote w:type="continuationSeparator" w:id="0">
    <w:p w14:paraId="5E1800EB" w14:textId="77777777" w:rsidR="0057637C" w:rsidRDefault="00576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49F8" w14:textId="623143DC" w:rsidR="000154E7" w:rsidRPr="000154E7" w:rsidRDefault="00DB0919" w:rsidP="000154E7">
    <w:pPr>
      <w:pStyle w:val="Header"/>
      <w:jc w:val="right"/>
      <w:rPr>
        <w:rFonts w:ascii="Times New Roman" w:hAnsi="Times New Roman" w:cs="Times New Roman"/>
        <w:bCs/>
      </w:rPr>
    </w:pPr>
    <w:r>
      <w:rPr>
        <w:rFonts w:ascii="Times New Roman" w:hAnsi="Times New Roman" w:cs="Times New Roman"/>
        <w:bCs/>
      </w:rPr>
      <w:t>FMs’ Perceptions of IoC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93F8C"/>
    <w:multiLevelType w:val="multilevel"/>
    <w:tmpl w:val="59FA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3D33F6"/>
    <w:multiLevelType w:val="hybridMultilevel"/>
    <w:tmpl w:val="2C36784E"/>
    <w:lvl w:ilvl="0" w:tplc="C42C63BE">
      <w:start w:val="1"/>
      <w:numFmt w:val="decimal"/>
      <w:lvlText w:val="%1."/>
      <w:lvlJc w:val="left"/>
      <w:pPr>
        <w:ind w:left="720" w:hanging="360"/>
      </w:pPr>
      <w:rPr>
        <w:rFonts w:hint="default"/>
      </w:rPr>
    </w:lvl>
    <w:lvl w:ilvl="1" w:tplc="1076E728" w:tentative="1">
      <w:start w:val="1"/>
      <w:numFmt w:val="lowerLetter"/>
      <w:lvlText w:val="%2."/>
      <w:lvlJc w:val="left"/>
      <w:pPr>
        <w:ind w:left="1440" w:hanging="360"/>
      </w:pPr>
    </w:lvl>
    <w:lvl w:ilvl="2" w:tplc="8FC05BEC" w:tentative="1">
      <w:start w:val="1"/>
      <w:numFmt w:val="lowerRoman"/>
      <w:lvlText w:val="%3."/>
      <w:lvlJc w:val="right"/>
      <w:pPr>
        <w:ind w:left="2160" w:hanging="180"/>
      </w:pPr>
    </w:lvl>
    <w:lvl w:ilvl="3" w:tplc="D4C07C14" w:tentative="1">
      <w:start w:val="1"/>
      <w:numFmt w:val="decimal"/>
      <w:lvlText w:val="%4."/>
      <w:lvlJc w:val="left"/>
      <w:pPr>
        <w:ind w:left="2880" w:hanging="360"/>
      </w:pPr>
    </w:lvl>
    <w:lvl w:ilvl="4" w:tplc="7F72A184" w:tentative="1">
      <w:start w:val="1"/>
      <w:numFmt w:val="lowerLetter"/>
      <w:lvlText w:val="%5."/>
      <w:lvlJc w:val="left"/>
      <w:pPr>
        <w:ind w:left="3600" w:hanging="360"/>
      </w:pPr>
    </w:lvl>
    <w:lvl w:ilvl="5" w:tplc="BADC16B8" w:tentative="1">
      <w:start w:val="1"/>
      <w:numFmt w:val="lowerRoman"/>
      <w:lvlText w:val="%6."/>
      <w:lvlJc w:val="right"/>
      <w:pPr>
        <w:ind w:left="4320" w:hanging="180"/>
      </w:pPr>
    </w:lvl>
    <w:lvl w:ilvl="6" w:tplc="E08C10D6" w:tentative="1">
      <w:start w:val="1"/>
      <w:numFmt w:val="decimal"/>
      <w:lvlText w:val="%7."/>
      <w:lvlJc w:val="left"/>
      <w:pPr>
        <w:ind w:left="5040" w:hanging="360"/>
      </w:pPr>
    </w:lvl>
    <w:lvl w:ilvl="7" w:tplc="2CE8339A" w:tentative="1">
      <w:start w:val="1"/>
      <w:numFmt w:val="lowerLetter"/>
      <w:lvlText w:val="%8."/>
      <w:lvlJc w:val="left"/>
      <w:pPr>
        <w:ind w:left="5760" w:hanging="360"/>
      </w:pPr>
    </w:lvl>
    <w:lvl w:ilvl="8" w:tplc="E0908980" w:tentative="1">
      <w:start w:val="1"/>
      <w:numFmt w:val="lowerRoman"/>
      <w:lvlText w:val="%9."/>
      <w:lvlJc w:val="right"/>
      <w:pPr>
        <w:ind w:left="6480" w:hanging="180"/>
      </w:pPr>
    </w:lvl>
  </w:abstractNum>
  <w:abstractNum w:abstractNumId="2" w15:restartNumberingAfterBreak="0">
    <w:nsid w:val="486B6C8C"/>
    <w:multiLevelType w:val="hybridMultilevel"/>
    <w:tmpl w:val="1CEAB64C"/>
    <w:lvl w:ilvl="0" w:tplc="8486A66A">
      <w:start w:val="1"/>
      <w:numFmt w:val="bullet"/>
      <w:lvlText w:val=""/>
      <w:lvlJc w:val="left"/>
      <w:pPr>
        <w:ind w:left="1440" w:hanging="360"/>
      </w:pPr>
      <w:rPr>
        <w:rFonts w:ascii="Symbol" w:hAnsi="Symbol" w:hint="default"/>
      </w:rPr>
    </w:lvl>
    <w:lvl w:ilvl="1" w:tplc="BBA6484C" w:tentative="1">
      <w:start w:val="1"/>
      <w:numFmt w:val="bullet"/>
      <w:lvlText w:val="o"/>
      <w:lvlJc w:val="left"/>
      <w:pPr>
        <w:ind w:left="2160" w:hanging="360"/>
      </w:pPr>
      <w:rPr>
        <w:rFonts w:ascii="Courier New" w:hAnsi="Courier New" w:cs="Courier New" w:hint="default"/>
      </w:rPr>
    </w:lvl>
    <w:lvl w:ilvl="2" w:tplc="FD16E266" w:tentative="1">
      <w:start w:val="1"/>
      <w:numFmt w:val="bullet"/>
      <w:lvlText w:val=""/>
      <w:lvlJc w:val="left"/>
      <w:pPr>
        <w:ind w:left="2880" w:hanging="360"/>
      </w:pPr>
      <w:rPr>
        <w:rFonts w:ascii="Wingdings" w:hAnsi="Wingdings" w:hint="default"/>
      </w:rPr>
    </w:lvl>
    <w:lvl w:ilvl="3" w:tplc="F83E22AE" w:tentative="1">
      <w:start w:val="1"/>
      <w:numFmt w:val="bullet"/>
      <w:lvlText w:val=""/>
      <w:lvlJc w:val="left"/>
      <w:pPr>
        <w:ind w:left="3600" w:hanging="360"/>
      </w:pPr>
      <w:rPr>
        <w:rFonts w:ascii="Symbol" w:hAnsi="Symbol" w:hint="default"/>
      </w:rPr>
    </w:lvl>
    <w:lvl w:ilvl="4" w:tplc="E9C6D10A" w:tentative="1">
      <w:start w:val="1"/>
      <w:numFmt w:val="bullet"/>
      <w:lvlText w:val="o"/>
      <w:lvlJc w:val="left"/>
      <w:pPr>
        <w:ind w:left="4320" w:hanging="360"/>
      </w:pPr>
      <w:rPr>
        <w:rFonts w:ascii="Courier New" w:hAnsi="Courier New" w:cs="Courier New" w:hint="default"/>
      </w:rPr>
    </w:lvl>
    <w:lvl w:ilvl="5" w:tplc="24DC6520" w:tentative="1">
      <w:start w:val="1"/>
      <w:numFmt w:val="bullet"/>
      <w:lvlText w:val=""/>
      <w:lvlJc w:val="left"/>
      <w:pPr>
        <w:ind w:left="5040" w:hanging="360"/>
      </w:pPr>
      <w:rPr>
        <w:rFonts w:ascii="Wingdings" w:hAnsi="Wingdings" w:hint="default"/>
      </w:rPr>
    </w:lvl>
    <w:lvl w:ilvl="6" w:tplc="E438CC9C" w:tentative="1">
      <w:start w:val="1"/>
      <w:numFmt w:val="bullet"/>
      <w:lvlText w:val=""/>
      <w:lvlJc w:val="left"/>
      <w:pPr>
        <w:ind w:left="5760" w:hanging="360"/>
      </w:pPr>
      <w:rPr>
        <w:rFonts w:ascii="Symbol" w:hAnsi="Symbol" w:hint="default"/>
      </w:rPr>
    </w:lvl>
    <w:lvl w:ilvl="7" w:tplc="046AC496" w:tentative="1">
      <w:start w:val="1"/>
      <w:numFmt w:val="bullet"/>
      <w:lvlText w:val="o"/>
      <w:lvlJc w:val="left"/>
      <w:pPr>
        <w:ind w:left="6480" w:hanging="360"/>
      </w:pPr>
      <w:rPr>
        <w:rFonts w:ascii="Courier New" w:hAnsi="Courier New" w:cs="Courier New" w:hint="default"/>
      </w:rPr>
    </w:lvl>
    <w:lvl w:ilvl="8" w:tplc="40D81A16" w:tentative="1">
      <w:start w:val="1"/>
      <w:numFmt w:val="bullet"/>
      <w:lvlText w:val=""/>
      <w:lvlJc w:val="left"/>
      <w:pPr>
        <w:ind w:left="7200" w:hanging="360"/>
      </w:pPr>
      <w:rPr>
        <w:rFonts w:ascii="Wingdings" w:hAnsi="Wingdings" w:hint="default"/>
      </w:rPr>
    </w:lvl>
  </w:abstractNum>
  <w:abstractNum w:abstractNumId="3" w15:restartNumberingAfterBreak="0">
    <w:nsid w:val="66854D89"/>
    <w:multiLevelType w:val="multilevel"/>
    <w:tmpl w:val="6E1C85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8C4C75"/>
    <w:multiLevelType w:val="multilevel"/>
    <w:tmpl w:val="B79C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087126"/>
    <w:multiLevelType w:val="hybridMultilevel"/>
    <w:tmpl w:val="1DD0F98E"/>
    <w:lvl w:ilvl="0" w:tplc="764EF202">
      <w:start w:val="1"/>
      <w:numFmt w:val="bullet"/>
      <w:lvlText w:val=""/>
      <w:lvlJc w:val="left"/>
      <w:pPr>
        <w:ind w:left="720" w:hanging="360"/>
      </w:pPr>
      <w:rPr>
        <w:rFonts w:ascii="Symbol" w:hAnsi="Symbol" w:hint="default"/>
      </w:rPr>
    </w:lvl>
    <w:lvl w:ilvl="1" w:tplc="E7E037E4" w:tentative="1">
      <w:start w:val="1"/>
      <w:numFmt w:val="bullet"/>
      <w:lvlText w:val="o"/>
      <w:lvlJc w:val="left"/>
      <w:pPr>
        <w:ind w:left="1440" w:hanging="360"/>
      </w:pPr>
      <w:rPr>
        <w:rFonts w:ascii="Courier New" w:hAnsi="Courier New" w:cs="Courier New" w:hint="default"/>
      </w:rPr>
    </w:lvl>
    <w:lvl w:ilvl="2" w:tplc="A3B4D3EC" w:tentative="1">
      <w:start w:val="1"/>
      <w:numFmt w:val="bullet"/>
      <w:lvlText w:val=""/>
      <w:lvlJc w:val="left"/>
      <w:pPr>
        <w:ind w:left="2160" w:hanging="360"/>
      </w:pPr>
      <w:rPr>
        <w:rFonts w:ascii="Wingdings" w:hAnsi="Wingdings" w:hint="default"/>
      </w:rPr>
    </w:lvl>
    <w:lvl w:ilvl="3" w:tplc="9586B33A" w:tentative="1">
      <w:start w:val="1"/>
      <w:numFmt w:val="bullet"/>
      <w:lvlText w:val=""/>
      <w:lvlJc w:val="left"/>
      <w:pPr>
        <w:ind w:left="2880" w:hanging="360"/>
      </w:pPr>
      <w:rPr>
        <w:rFonts w:ascii="Symbol" w:hAnsi="Symbol" w:hint="default"/>
      </w:rPr>
    </w:lvl>
    <w:lvl w:ilvl="4" w:tplc="468CC70C" w:tentative="1">
      <w:start w:val="1"/>
      <w:numFmt w:val="bullet"/>
      <w:lvlText w:val="o"/>
      <w:lvlJc w:val="left"/>
      <w:pPr>
        <w:ind w:left="3600" w:hanging="360"/>
      </w:pPr>
      <w:rPr>
        <w:rFonts w:ascii="Courier New" w:hAnsi="Courier New" w:cs="Courier New" w:hint="default"/>
      </w:rPr>
    </w:lvl>
    <w:lvl w:ilvl="5" w:tplc="C0B09476" w:tentative="1">
      <w:start w:val="1"/>
      <w:numFmt w:val="bullet"/>
      <w:lvlText w:val=""/>
      <w:lvlJc w:val="left"/>
      <w:pPr>
        <w:ind w:left="4320" w:hanging="360"/>
      </w:pPr>
      <w:rPr>
        <w:rFonts w:ascii="Wingdings" w:hAnsi="Wingdings" w:hint="default"/>
      </w:rPr>
    </w:lvl>
    <w:lvl w:ilvl="6" w:tplc="1C52F406" w:tentative="1">
      <w:start w:val="1"/>
      <w:numFmt w:val="bullet"/>
      <w:lvlText w:val=""/>
      <w:lvlJc w:val="left"/>
      <w:pPr>
        <w:ind w:left="5040" w:hanging="360"/>
      </w:pPr>
      <w:rPr>
        <w:rFonts w:ascii="Symbol" w:hAnsi="Symbol" w:hint="default"/>
      </w:rPr>
    </w:lvl>
    <w:lvl w:ilvl="7" w:tplc="2D2AFADC" w:tentative="1">
      <w:start w:val="1"/>
      <w:numFmt w:val="bullet"/>
      <w:lvlText w:val="o"/>
      <w:lvlJc w:val="left"/>
      <w:pPr>
        <w:ind w:left="5760" w:hanging="360"/>
      </w:pPr>
      <w:rPr>
        <w:rFonts w:ascii="Courier New" w:hAnsi="Courier New" w:cs="Courier New" w:hint="default"/>
      </w:rPr>
    </w:lvl>
    <w:lvl w:ilvl="8" w:tplc="5AF4997C" w:tentative="1">
      <w:start w:val="1"/>
      <w:numFmt w:val="bullet"/>
      <w:lvlText w:val=""/>
      <w:lvlJc w:val="left"/>
      <w:pPr>
        <w:ind w:left="6480" w:hanging="360"/>
      </w:pPr>
      <w:rPr>
        <w:rFonts w:ascii="Wingdings" w:hAnsi="Wingdings" w:hint="default"/>
      </w:rPr>
    </w:lvl>
  </w:abstractNum>
  <w:num w:numId="1" w16cid:durableId="1020201518">
    <w:abstractNumId w:val="3"/>
  </w:num>
  <w:num w:numId="2" w16cid:durableId="122118297">
    <w:abstractNumId w:val="2"/>
  </w:num>
  <w:num w:numId="3" w16cid:durableId="1174105058">
    <w:abstractNumId w:val="0"/>
  </w:num>
  <w:num w:numId="4" w16cid:durableId="1011685363">
    <w:abstractNumId w:val="4"/>
  </w:num>
  <w:num w:numId="5" w16cid:durableId="1580021116">
    <w:abstractNumId w:val="5"/>
  </w:num>
  <w:num w:numId="6" w16cid:durableId="1636905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0F5"/>
    <w:rsid w:val="00000942"/>
    <w:rsid w:val="0000178B"/>
    <w:rsid w:val="00004D4B"/>
    <w:rsid w:val="000103FF"/>
    <w:rsid w:val="00010BFE"/>
    <w:rsid w:val="000127F9"/>
    <w:rsid w:val="00013D61"/>
    <w:rsid w:val="0001408A"/>
    <w:rsid w:val="000152A2"/>
    <w:rsid w:val="00015478"/>
    <w:rsid w:val="000154E7"/>
    <w:rsid w:val="00015858"/>
    <w:rsid w:val="000169AB"/>
    <w:rsid w:val="00017518"/>
    <w:rsid w:val="000201A8"/>
    <w:rsid w:val="000203A6"/>
    <w:rsid w:val="00020865"/>
    <w:rsid w:val="00025CB6"/>
    <w:rsid w:val="00032EE4"/>
    <w:rsid w:val="00033273"/>
    <w:rsid w:val="00035264"/>
    <w:rsid w:val="00036CA2"/>
    <w:rsid w:val="0004132B"/>
    <w:rsid w:val="00041B2F"/>
    <w:rsid w:val="00044BE5"/>
    <w:rsid w:val="00045ACE"/>
    <w:rsid w:val="00047D9C"/>
    <w:rsid w:val="00050C89"/>
    <w:rsid w:val="00064EE2"/>
    <w:rsid w:val="0006537B"/>
    <w:rsid w:val="00066D07"/>
    <w:rsid w:val="00066E1B"/>
    <w:rsid w:val="00067DEB"/>
    <w:rsid w:val="00067EAB"/>
    <w:rsid w:val="00071606"/>
    <w:rsid w:val="00074216"/>
    <w:rsid w:val="000755B3"/>
    <w:rsid w:val="0008004C"/>
    <w:rsid w:val="000834A2"/>
    <w:rsid w:val="00084E9F"/>
    <w:rsid w:val="00085C50"/>
    <w:rsid w:val="00085F08"/>
    <w:rsid w:val="00091A4B"/>
    <w:rsid w:val="00091D93"/>
    <w:rsid w:val="00097FA3"/>
    <w:rsid w:val="000A32EB"/>
    <w:rsid w:val="000A4A13"/>
    <w:rsid w:val="000A4C18"/>
    <w:rsid w:val="000A555A"/>
    <w:rsid w:val="000A6AB9"/>
    <w:rsid w:val="000B1FA5"/>
    <w:rsid w:val="000B5E05"/>
    <w:rsid w:val="000B744B"/>
    <w:rsid w:val="000C41F2"/>
    <w:rsid w:val="000C5243"/>
    <w:rsid w:val="000D1007"/>
    <w:rsid w:val="000D1133"/>
    <w:rsid w:val="000D145A"/>
    <w:rsid w:val="000D18F4"/>
    <w:rsid w:val="000D610B"/>
    <w:rsid w:val="000D7CD5"/>
    <w:rsid w:val="000E0534"/>
    <w:rsid w:val="000F1F2D"/>
    <w:rsid w:val="000F5CE4"/>
    <w:rsid w:val="000F6B7C"/>
    <w:rsid w:val="00101DC7"/>
    <w:rsid w:val="00102F46"/>
    <w:rsid w:val="00104594"/>
    <w:rsid w:val="00104623"/>
    <w:rsid w:val="00104E49"/>
    <w:rsid w:val="001057AE"/>
    <w:rsid w:val="00106E61"/>
    <w:rsid w:val="00106FC1"/>
    <w:rsid w:val="001074A0"/>
    <w:rsid w:val="00111026"/>
    <w:rsid w:val="00111399"/>
    <w:rsid w:val="00114022"/>
    <w:rsid w:val="001232F6"/>
    <w:rsid w:val="00125C9B"/>
    <w:rsid w:val="00125E1C"/>
    <w:rsid w:val="0012613E"/>
    <w:rsid w:val="0012679D"/>
    <w:rsid w:val="00131DA6"/>
    <w:rsid w:val="00134611"/>
    <w:rsid w:val="00140CE3"/>
    <w:rsid w:val="0014388F"/>
    <w:rsid w:val="00146528"/>
    <w:rsid w:val="00147106"/>
    <w:rsid w:val="0015691C"/>
    <w:rsid w:val="00161DBD"/>
    <w:rsid w:val="00163C13"/>
    <w:rsid w:val="00165602"/>
    <w:rsid w:val="00166845"/>
    <w:rsid w:val="001750BB"/>
    <w:rsid w:val="001813E4"/>
    <w:rsid w:val="001826F1"/>
    <w:rsid w:val="001854AD"/>
    <w:rsid w:val="00192774"/>
    <w:rsid w:val="001929B2"/>
    <w:rsid w:val="00194380"/>
    <w:rsid w:val="00194B36"/>
    <w:rsid w:val="0019733D"/>
    <w:rsid w:val="001A1DC7"/>
    <w:rsid w:val="001A2455"/>
    <w:rsid w:val="001A39A9"/>
    <w:rsid w:val="001B0191"/>
    <w:rsid w:val="001B1A64"/>
    <w:rsid w:val="001B23B6"/>
    <w:rsid w:val="001C3355"/>
    <w:rsid w:val="001C3817"/>
    <w:rsid w:val="001C797D"/>
    <w:rsid w:val="001D055E"/>
    <w:rsid w:val="001D524D"/>
    <w:rsid w:val="001E1485"/>
    <w:rsid w:val="001E1F96"/>
    <w:rsid w:val="001E2A3D"/>
    <w:rsid w:val="001E49A5"/>
    <w:rsid w:val="001E550C"/>
    <w:rsid w:val="001E7898"/>
    <w:rsid w:val="001F3B97"/>
    <w:rsid w:val="001F469F"/>
    <w:rsid w:val="001F51C1"/>
    <w:rsid w:val="001F6D86"/>
    <w:rsid w:val="002022B4"/>
    <w:rsid w:val="00205531"/>
    <w:rsid w:val="00205579"/>
    <w:rsid w:val="002102B1"/>
    <w:rsid w:val="00222E9E"/>
    <w:rsid w:val="00223788"/>
    <w:rsid w:val="0022553F"/>
    <w:rsid w:val="0022622A"/>
    <w:rsid w:val="0022641C"/>
    <w:rsid w:val="00226B27"/>
    <w:rsid w:val="00227F0A"/>
    <w:rsid w:val="0023193F"/>
    <w:rsid w:val="00232A3C"/>
    <w:rsid w:val="002330A2"/>
    <w:rsid w:val="00233879"/>
    <w:rsid w:val="00235AAD"/>
    <w:rsid w:val="00236B1D"/>
    <w:rsid w:val="00237223"/>
    <w:rsid w:val="00237FAA"/>
    <w:rsid w:val="00241466"/>
    <w:rsid w:val="00241809"/>
    <w:rsid w:val="002420D8"/>
    <w:rsid w:val="002507FA"/>
    <w:rsid w:val="00255472"/>
    <w:rsid w:val="00256BB7"/>
    <w:rsid w:val="00257D38"/>
    <w:rsid w:val="002651C5"/>
    <w:rsid w:val="00265ED0"/>
    <w:rsid w:val="002704EC"/>
    <w:rsid w:val="002729C8"/>
    <w:rsid w:val="002743BD"/>
    <w:rsid w:val="00280014"/>
    <w:rsid w:val="00280932"/>
    <w:rsid w:val="00281013"/>
    <w:rsid w:val="0028506A"/>
    <w:rsid w:val="00286D89"/>
    <w:rsid w:val="0029149C"/>
    <w:rsid w:val="00295A16"/>
    <w:rsid w:val="00295EAC"/>
    <w:rsid w:val="00296BB5"/>
    <w:rsid w:val="002975F7"/>
    <w:rsid w:val="002A0E94"/>
    <w:rsid w:val="002A1A2D"/>
    <w:rsid w:val="002A4210"/>
    <w:rsid w:val="002A4E6F"/>
    <w:rsid w:val="002A6087"/>
    <w:rsid w:val="002A62E4"/>
    <w:rsid w:val="002B0443"/>
    <w:rsid w:val="002B0CCB"/>
    <w:rsid w:val="002B22A3"/>
    <w:rsid w:val="002B433C"/>
    <w:rsid w:val="002B4493"/>
    <w:rsid w:val="002B5BBE"/>
    <w:rsid w:val="002C027A"/>
    <w:rsid w:val="002C03CD"/>
    <w:rsid w:val="002C3154"/>
    <w:rsid w:val="002C3638"/>
    <w:rsid w:val="002C5681"/>
    <w:rsid w:val="002C5E76"/>
    <w:rsid w:val="002C61BF"/>
    <w:rsid w:val="002C66E2"/>
    <w:rsid w:val="002D406A"/>
    <w:rsid w:val="002D4D53"/>
    <w:rsid w:val="002E151A"/>
    <w:rsid w:val="002E5F47"/>
    <w:rsid w:val="002F23DC"/>
    <w:rsid w:val="002F38D4"/>
    <w:rsid w:val="002F46BD"/>
    <w:rsid w:val="002F49F6"/>
    <w:rsid w:val="002F5030"/>
    <w:rsid w:val="002F7FCB"/>
    <w:rsid w:val="0030036B"/>
    <w:rsid w:val="003040D8"/>
    <w:rsid w:val="00304BDA"/>
    <w:rsid w:val="00304FBA"/>
    <w:rsid w:val="003058D3"/>
    <w:rsid w:val="00305984"/>
    <w:rsid w:val="00305FF9"/>
    <w:rsid w:val="003067D4"/>
    <w:rsid w:val="00316AB2"/>
    <w:rsid w:val="003211FD"/>
    <w:rsid w:val="0032234E"/>
    <w:rsid w:val="003224F7"/>
    <w:rsid w:val="003237CD"/>
    <w:rsid w:val="00324266"/>
    <w:rsid w:val="00330C7A"/>
    <w:rsid w:val="0033599F"/>
    <w:rsid w:val="00342DB3"/>
    <w:rsid w:val="00343245"/>
    <w:rsid w:val="00344C15"/>
    <w:rsid w:val="00346EF2"/>
    <w:rsid w:val="00352CFA"/>
    <w:rsid w:val="00355965"/>
    <w:rsid w:val="00355C1B"/>
    <w:rsid w:val="00355EFA"/>
    <w:rsid w:val="003560D5"/>
    <w:rsid w:val="00362DE6"/>
    <w:rsid w:val="0036430F"/>
    <w:rsid w:val="00365DE0"/>
    <w:rsid w:val="00366D13"/>
    <w:rsid w:val="0037012B"/>
    <w:rsid w:val="00372286"/>
    <w:rsid w:val="0038022F"/>
    <w:rsid w:val="003825BA"/>
    <w:rsid w:val="00387FC5"/>
    <w:rsid w:val="003A0C4A"/>
    <w:rsid w:val="003A2D6C"/>
    <w:rsid w:val="003B1491"/>
    <w:rsid w:val="003B31C4"/>
    <w:rsid w:val="003B3AA5"/>
    <w:rsid w:val="003B45EA"/>
    <w:rsid w:val="003B4D04"/>
    <w:rsid w:val="003B53E7"/>
    <w:rsid w:val="003B6B8B"/>
    <w:rsid w:val="003C288B"/>
    <w:rsid w:val="003C3AFA"/>
    <w:rsid w:val="003D3A14"/>
    <w:rsid w:val="003D554C"/>
    <w:rsid w:val="003E1E41"/>
    <w:rsid w:val="003E220E"/>
    <w:rsid w:val="003E66C8"/>
    <w:rsid w:val="003F4508"/>
    <w:rsid w:val="003F4944"/>
    <w:rsid w:val="003F5D71"/>
    <w:rsid w:val="00402F1C"/>
    <w:rsid w:val="00403D98"/>
    <w:rsid w:val="004042B2"/>
    <w:rsid w:val="00406526"/>
    <w:rsid w:val="0040789C"/>
    <w:rsid w:val="0041004F"/>
    <w:rsid w:val="00410C1F"/>
    <w:rsid w:val="00411013"/>
    <w:rsid w:val="004169A1"/>
    <w:rsid w:val="00416AB8"/>
    <w:rsid w:val="004173EF"/>
    <w:rsid w:val="004267C2"/>
    <w:rsid w:val="004337EF"/>
    <w:rsid w:val="004342E1"/>
    <w:rsid w:val="00434993"/>
    <w:rsid w:val="00434DC9"/>
    <w:rsid w:val="004353A9"/>
    <w:rsid w:val="00435A60"/>
    <w:rsid w:val="00442D99"/>
    <w:rsid w:val="00451430"/>
    <w:rsid w:val="00451BDA"/>
    <w:rsid w:val="004522CC"/>
    <w:rsid w:val="004547C0"/>
    <w:rsid w:val="00454BEF"/>
    <w:rsid w:val="004578AD"/>
    <w:rsid w:val="0046375F"/>
    <w:rsid w:val="00464811"/>
    <w:rsid w:val="00470C54"/>
    <w:rsid w:val="004808F0"/>
    <w:rsid w:val="00486B29"/>
    <w:rsid w:val="0049088B"/>
    <w:rsid w:val="00490ECF"/>
    <w:rsid w:val="00492388"/>
    <w:rsid w:val="004A5117"/>
    <w:rsid w:val="004A579D"/>
    <w:rsid w:val="004B24A3"/>
    <w:rsid w:val="004B2F5E"/>
    <w:rsid w:val="004B4620"/>
    <w:rsid w:val="004C05A2"/>
    <w:rsid w:val="004C1D85"/>
    <w:rsid w:val="004C3764"/>
    <w:rsid w:val="004C4015"/>
    <w:rsid w:val="004C67C9"/>
    <w:rsid w:val="004D3FB9"/>
    <w:rsid w:val="004E063C"/>
    <w:rsid w:val="004E0AE6"/>
    <w:rsid w:val="004E1914"/>
    <w:rsid w:val="004E2D6C"/>
    <w:rsid w:val="004E5010"/>
    <w:rsid w:val="004E6C60"/>
    <w:rsid w:val="004F0158"/>
    <w:rsid w:val="004F2C67"/>
    <w:rsid w:val="004F52DB"/>
    <w:rsid w:val="004F57BF"/>
    <w:rsid w:val="004F76AF"/>
    <w:rsid w:val="0050132A"/>
    <w:rsid w:val="0050265F"/>
    <w:rsid w:val="00505F5D"/>
    <w:rsid w:val="005117C9"/>
    <w:rsid w:val="00512B91"/>
    <w:rsid w:val="005145E5"/>
    <w:rsid w:val="00514DC7"/>
    <w:rsid w:val="0051722D"/>
    <w:rsid w:val="0052240B"/>
    <w:rsid w:val="005229B7"/>
    <w:rsid w:val="00523849"/>
    <w:rsid w:val="00524414"/>
    <w:rsid w:val="00524724"/>
    <w:rsid w:val="00527A60"/>
    <w:rsid w:val="0053121F"/>
    <w:rsid w:val="00532634"/>
    <w:rsid w:val="00540EC3"/>
    <w:rsid w:val="0054134B"/>
    <w:rsid w:val="00541AF6"/>
    <w:rsid w:val="0054461C"/>
    <w:rsid w:val="0054524E"/>
    <w:rsid w:val="0054683D"/>
    <w:rsid w:val="00553FA2"/>
    <w:rsid w:val="005544D3"/>
    <w:rsid w:val="005550E5"/>
    <w:rsid w:val="005562FB"/>
    <w:rsid w:val="00561107"/>
    <w:rsid w:val="005618E8"/>
    <w:rsid w:val="00561B22"/>
    <w:rsid w:val="00565E5D"/>
    <w:rsid w:val="0057637C"/>
    <w:rsid w:val="00580B3F"/>
    <w:rsid w:val="00581034"/>
    <w:rsid w:val="00582B91"/>
    <w:rsid w:val="00584B5A"/>
    <w:rsid w:val="00593A2A"/>
    <w:rsid w:val="00594C3F"/>
    <w:rsid w:val="00595180"/>
    <w:rsid w:val="005965C9"/>
    <w:rsid w:val="00597DE8"/>
    <w:rsid w:val="005A18E8"/>
    <w:rsid w:val="005A291C"/>
    <w:rsid w:val="005A3B80"/>
    <w:rsid w:val="005A3D0B"/>
    <w:rsid w:val="005A45DC"/>
    <w:rsid w:val="005A5EAB"/>
    <w:rsid w:val="005A6AE2"/>
    <w:rsid w:val="005A73A8"/>
    <w:rsid w:val="005C3D26"/>
    <w:rsid w:val="005C438F"/>
    <w:rsid w:val="005C72DB"/>
    <w:rsid w:val="005D4239"/>
    <w:rsid w:val="005D439C"/>
    <w:rsid w:val="005D4B95"/>
    <w:rsid w:val="005D669C"/>
    <w:rsid w:val="005D72E9"/>
    <w:rsid w:val="005E317F"/>
    <w:rsid w:val="005E428D"/>
    <w:rsid w:val="005E4830"/>
    <w:rsid w:val="005E590F"/>
    <w:rsid w:val="005F10F8"/>
    <w:rsid w:val="005F2D86"/>
    <w:rsid w:val="005F3088"/>
    <w:rsid w:val="005F7585"/>
    <w:rsid w:val="005F7B32"/>
    <w:rsid w:val="006031BE"/>
    <w:rsid w:val="0060404A"/>
    <w:rsid w:val="006108CA"/>
    <w:rsid w:val="00614DC2"/>
    <w:rsid w:val="00617383"/>
    <w:rsid w:val="0062483E"/>
    <w:rsid w:val="0062581E"/>
    <w:rsid w:val="00644269"/>
    <w:rsid w:val="006444FA"/>
    <w:rsid w:val="00650E80"/>
    <w:rsid w:val="0065481D"/>
    <w:rsid w:val="00655B93"/>
    <w:rsid w:val="00657638"/>
    <w:rsid w:val="006602E9"/>
    <w:rsid w:val="006604E6"/>
    <w:rsid w:val="00660B87"/>
    <w:rsid w:val="0066393E"/>
    <w:rsid w:val="0066512F"/>
    <w:rsid w:val="006651CD"/>
    <w:rsid w:val="006701F1"/>
    <w:rsid w:val="006717F0"/>
    <w:rsid w:val="006836E6"/>
    <w:rsid w:val="0068427B"/>
    <w:rsid w:val="00685815"/>
    <w:rsid w:val="00685F83"/>
    <w:rsid w:val="00695940"/>
    <w:rsid w:val="00695DA6"/>
    <w:rsid w:val="00697B4D"/>
    <w:rsid w:val="00697C02"/>
    <w:rsid w:val="006A3D2C"/>
    <w:rsid w:val="006A630E"/>
    <w:rsid w:val="006B0151"/>
    <w:rsid w:val="006B103A"/>
    <w:rsid w:val="006B6922"/>
    <w:rsid w:val="006C0B2B"/>
    <w:rsid w:val="006C2D77"/>
    <w:rsid w:val="006C4052"/>
    <w:rsid w:val="006C61D6"/>
    <w:rsid w:val="006C69E2"/>
    <w:rsid w:val="006C73AA"/>
    <w:rsid w:val="006D0D1F"/>
    <w:rsid w:val="006D18C3"/>
    <w:rsid w:val="006D552D"/>
    <w:rsid w:val="006D55B7"/>
    <w:rsid w:val="006E79B5"/>
    <w:rsid w:val="006F05AF"/>
    <w:rsid w:val="006F67AB"/>
    <w:rsid w:val="006F7178"/>
    <w:rsid w:val="0070226C"/>
    <w:rsid w:val="007039DF"/>
    <w:rsid w:val="00704F27"/>
    <w:rsid w:val="00713E96"/>
    <w:rsid w:val="0071551B"/>
    <w:rsid w:val="00715D1D"/>
    <w:rsid w:val="00721E30"/>
    <w:rsid w:val="0072273D"/>
    <w:rsid w:val="007312C6"/>
    <w:rsid w:val="00735DDC"/>
    <w:rsid w:val="00736554"/>
    <w:rsid w:val="007402DC"/>
    <w:rsid w:val="00740F3E"/>
    <w:rsid w:val="00743F6A"/>
    <w:rsid w:val="00744744"/>
    <w:rsid w:val="007478A3"/>
    <w:rsid w:val="007509BD"/>
    <w:rsid w:val="00754D5B"/>
    <w:rsid w:val="00755B6A"/>
    <w:rsid w:val="007641E0"/>
    <w:rsid w:val="00772115"/>
    <w:rsid w:val="00773777"/>
    <w:rsid w:val="007741F5"/>
    <w:rsid w:val="00781F07"/>
    <w:rsid w:val="00785C1A"/>
    <w:rsid w:val="00785C2B"/>
    <w:rsid w:val="00791161"/>
    <w:rsid w:val="00791E8C"/>
    <w:rsid w:val="00792688"/>
    <w:rsid w:val="007939CA"/>
    <w:rsid w:val="007959CE"/>
    <w:rsid w:val="00795E0D"/>
    <w:rsid w:val="007A032D"/>
    <w:rsid w:val="007A0506"/>
    <w:rsid w:val="007A17BA"/>
    <w:rsid w:val="007A3595"/>
    <w:rsid w:val="007A44D5"/>
    <w:rsid w:val="007A4DF8"/>
    <w:rsid w:val="007B1AA8"/>
    <w:rsid w:val="007B32BB"/>
    <w:rsid w:val="007B408A"/>
    <w:rsid w:val="007B6E20"/>
    <w:rsid w:val="007C597B"/>
    <w:rsid w:val="007C5D9D"/>
    <w:rsid w:val="007D02DD"/>
    <w:rsid w:val="007D3D5F"/>
    <w:rsid w:val="007D42AE"/>
    <w:rsid w:val="007D6315"/>
    <w:rsid w:val="007D7971"/>
    <w:rsid w:val="007E227C"/>
    <w:rsid w:val="007E4EC5"/>
    <w:rsid w:val="007E5052"/>
    <w:rsid w:val="007E53D7"/>
    <w:rsid w:val="007E7CE2"/>
    <w:rsid w:val="007F24EB"/>
    <w:rsid w:val="007F3651"/>
    <w:rsid w:val="007F3924"/>
    <w:rsid w:val="007F6FAF"/>
    <w:rsid w:val="0080160E"/>
    <w:rsid w:val="008020A0"/>
    <w:rsid w:val="00804D2F"/>
    <w:rsid w:val="00811EFD"/>
    <w:rsid w:val="008130B5"/>
    <w:rsid w:val="00815D90"/>
    <w:rsid w:val="00815E28"/>
    <w:rsid w:val="00816118"/>
    <w:rsid w:val="008175A1"/>
    <w:rsid w:val="008177D0"/>
    <w:rsid w:val="00820543"/>
    <w:rsid w:val="0082147A"/>
    <w:rsid w:val="0082262D"/>
    <w:rsid w:val="00823C6B"/>
    <w:rsid w:val="00824CD1"/>
    <w:rsid w:val="00826CFC"/>
    <w:rsid w:val="00831FAA"/>
    <w:rsid w:val="00835279"/>
    <w:rsid w:val="00835392"/>
    <w:rsid w:val="008439CB"/>
    <w:rsid w:val="00843D4D"/>
    <w:rsid w:val="0084754B"/>
    <w:rsid w:val="0085140B"/>
    <w:rsid w:val="00852639"/>
    <w:rsid w:val="00852889"/>
    <w:rsid w:val="008532C5"/>
    <w:rsid w:val="00861D23"/>
    <w:rsid w:val="00864024"/>
    <w:rsid w:val="008743C3"/>
    <w:rsid w:val="008828B9"/>
    <w:rsid w:val="00882B8C"/>
    <w:rsid w:val="008859DC"/>
    <w:rsid w:val="008873F0"/>
    <w:rsid w:val="00891FDF"/>
    <w:rsid w:val="00892E83"/>
    <w:rsid w:val="0089505D"/>
    <w:rsid w:val="00896192"/>
    <w:rsid w:val="008972EC"/>
    <w:rsid w:val="00897624"/>
    <w:rsid w:val="00897FCC"/>
    <w:rsid w:val="008A2836"/>
    <w:rsid w:val="008A3F26"/>
    <w:rsid w:val="008A59FC"/>
    <w:rsid w:val="008B330F"/>
    <w:rsid w:val="008B60FE"/>
    <w:rsid w:val="008B61AF"/>
    <w:rsid w:val="008B6E3B"/>
    <w:rsid w:val="008B70ED"/>
    <w:rsid w:val="008C2930"/>
    <w:rsid w:val="008C631E"/>
    <w:rsid w:val="008C698F"/>
    <w:rsid w:val="008C6B57"/>
    <w:rsid w:val="008C6F44"/>
    <w:rsid w:val="008C7C53"/>
    <w:rsid w:val="008D21E1"/>
    <w:rsid w:val="008D6B83"/>
    <w:rsid w:val="008E0509"/>
    <w:rsid w:val="008E426C"/>
    <w:rsid w:val="008E7954"/>
    <w:rsid w:val="008F0008"/>
    <w:rsid w:val="008F1B85"/>
    <w:rsid w:val="008F2197"/>
    <w:rsid w:val="008F2B91"/>
    <w:rsid w:val="008F6C8C"/>
    <w:rsid w:val="00900509"/>
    <w:rsid w:val="009018FC"/>
    <w:rsid w:val="00902693"/>
    <w:rsid w:val="009048C2"/>
    <w:rsid w:val="009112A1"/>
    <w:rsid w:val="0091151E"/>
    <w:rsid w:val="00914B8D"/>
    <w:rsid w:val="00916696"/>
    <w:rsid w:val="00916B9A"/>
    <w:rsid w:val="00920989"/>
    <w:rsid w:val="0092135F"/>
    <w:rsid w:val="009257E3"/>
    <w:rsid w:val="00932332"/>
    <w:rsid w:val="00935BB4"/>
    <w:rsid w:val="00936092"/>
    <w:rsid w:val="009377A0"/>
    <w:rsid w:val="009405FA"/>
    <w:rsid w:val="00944861"/>
    <w:rsid w:val="00946EB0"/>
    <w:rsid w:val="00950068"/>
    <w:rsid w:val="009508D6"/>
    <w:rsid w:val="009528DF"/>
    <w:rsid w:val="009619CF"/>
    <w:rsid w:val="009621A5"/>
    <w:rsid w:val="009624A8"/>
    <w:rsid w:val="00962623"/>
    <w:rsid w:val="00966B68"/>
    <w:rsid w:val="009749F5"/>
    <w:rsid w:val="00975D51"/>
    <w:rsid w:val="009760F5"/>
    <w:rsid w:val="00986617"/>
    <w:rsid w:val="00991FA8"/>
    <w:rsid w:val="00994439"/>
    <w:rsid w:val="00995F39"/>
    <w:rsid w:val="009A01B2"/>
    <w:rsid w:val="009A0C83"/>
    <w:rsid w:val="009A1367"/>
    <w:rsid w:val="009A203D"/>
    <w:rsid w:val="009A32B8"/>
    <w:rsid w:val="009A39A3"/>
    <w:rsid w:val="009A3ED2"/>
    <w:rsid w:val="009A667A"/>
    <w:rsid w:val="009A6D22"/>
    <w:rsid w:val="009A6FCC"/>
    <w:rsid w:val="009A7311"/>
    <w:rsid w:val="009A7827"/>
    <w:rsid w:val="009A789E"/>
    <w:rsid w:val="009B0353"/>
    <w:rsid w:val="009B0B01"/>
    <w:rsid w:val="009B3982"/>
    <w:rsid w:val="009B4EFE"/>
    <w:rsid w:val="009C18A6"/>
    <w:rsid w:val="009C1ABE"/>
    <w:rsid w:val="009C58E1"/>
    <w:rsid w:val="009D005F"/>
    <w:rsid w:val="009D2CDA"/>
    <w:rsid w:val="009D31C2"/>
    <w:rsid w:val="009D573D"/>
    <w:rsid w:val="009E1E1F"/>
    <w:rsid w:val="009E2D7A"/>
    <w:rsid w:val="009E7812"/>
    <w:rsid w:val="009F097E"/>
    <w:rsid w:val="009F33AF"/>
    <w:rsid w:val="009F5EA6"/>
    <w:rsid w:val="00A00E94"/>
    <w:rsid w:val="00A01364"/>
    <w:rsid w:val="00A0186D"/>
    <w:rsid w:val="00A026DA"/>
    <w:rsid w:val="00A04395"/>
    <w:rsid w:val="00A075C7"/>
    <w:rsid w:val="00A14CF3"/>
    <w:rsid w:val="00A16D5A"/>
    <w:rsid w:val="00A201DA"/>
    <w:rsid w:val="00A2335E"/>
    <w:rsid w:val="00A237BA"/>
    <w:rsid w:val="00A24A3D"/>
    <w:rsid w:val="00A24CD2"/>
    <w:rsid w:val="00A3063C"/>
    <w:rsid w:val="00A31211"/>
    <w:rsid w:val="00A32B0C"/>
    <w:rsid w:val="00A3419E"/>
    <w:rsid w:val="00A361F0"/>
    <w:rsid w:val="00A4270E"/>
    <w:rsid w:val="00A4476A"/>
    <w:rsid w:val="00A47B1F"/>
    <w:rsid w:val="00A47B55"/>
    <w:rsid w:val="00A47C6A"/>
    <w:rsid w:val="00A514AF"/>
    <w:rsid w:val="00A6173D"/>
    <w:rsid w:val="00A61F5E"/>
    <w:rsid w:val="00A65755"/>
    <w:rsid w:val="00A668B8"/>
    <w:rsid w:val="00A6712B"/>
    <w:rsid w:val="00A709DD"/>
    <w:rsid w:val="00A7701C"/>
    <w:rsid w:val="00A81089"/>
    <w:rsid w:val="00A86C24"/>
    <w:rsid w:val="00A86C41"/>
    <w:rsid w:val="00A8781F"/>
    <w:rsid w:val="00AA1D5F"/>
    <w:rsid w:val="00AA3F6E"/>
    <w:rsid w:val="00AA45BE"/>
    <w:rsid w:val="00AA6FB1"/>
    <w:rsid w:val="00AA7156"/>
    <w:rsid w:val="00AB1BDC"/>
    <w:rsid w:val="00AB229D"/>
    <w:rsid w:val="00AB4CB6"/>
    <w:rsid w:val="00AB608B"/>
    <w:rsid w:val="00AC1179"/>
    <w:rsid w:val="00AC3B6C"/>
    <w:rsid w:val="00AC4183"/>
    <w:rsid w:val="00AD087C"/>
    <w:rsid w:val="00AD0FF3"/>
    <w:rsid w:val="00AE224C"/>
    <w:rsid w:val="00AE33FC"/>
    <w:rsid w:val="00AE5C59"/>
    <w:rsid w:val="00AE7F85"/>
    <w:rsid w:val="00AF23C4"/>
    <w:rsid w:val="00AF269D"/>
    <w:rsid w:val="00AF2D35"/>
    <w:rsid w:val="00AF6664"/>
    <w:rsid w:val="00B0122C"/>
    <w:rsid w:val="00B01926"/>
    <w:rsid w:val="00B029BB"/>
    <w:rsid w:val="00B02D1D"/>
    <w:rsid w:val="00B057FC"/>
    <w:rsid w:val="00B06C26"/>
    <w:rsid w:val="00B153DA"/>
    <w:rsid w:val="00B15784"/>
    <w:rsid w:val="00B1614C"/>
    <w:rsid w:val="00B21591"/>
    <w:rsid w:val="00B263EF"/>
    <w:rsid w:val="00B27845"/>
    <w:rsid w:val="00B32662"/>
    <w:rsid w:val="00B34087"/>
    <w:rsid w:val="00B34F40"/>
    <w:rsid w:val="00B36A8C"/>
    <w:rsid w:val="00B40698"/>
    <w:rsid w:val="00B44403"/>
    <w:rsid w:val="00B456F4"/>
    <w:rsid w:val="00B51699"/>
    <w:rsid w:val="00B53D2D"/>
    <w:rsid w:val="00B57254"/>
    <w:rsid w:val="00B61A1A"/>
    <w:rsid w:val="00B638E7"/>
    <w:rsid w:val="00B649D7"/>
    <w:rsid w:val="00B64FAD"/>
    <w:rsid w:val="00B75673"/>
    <w:rsid w:val="00B760F2"/>
    <w:rsid w:val="00B8058D"/>
    <w:rsid w:val="00B81C53"/>
    <w:rsid w:val="00B82AE6"/>
    <w:rsid w:val="00B83AD8"/>
    <w:rsid w:val="00B8440B"/>
    <w:rsid w:val="00B85CA4"/>
    <w:rsid w:val="00B92F14"/>
    <w:rsid w:val="00B94811"/>
    <w:rsid w:val="00BA0BBA"/>
    <w:rsid w:val="00BA1BFB"/>
    <w:rsid w:val="00BA4217"/>
    <w:rsid w:val="00BA7FE1"/>
    <w:rsid w:val="00BB0D99"/>
    <w:rsid w:val="00BB14CA"/>
    <w:rsid w:val="00BB14D5"/>
    <w:rsid w:val="00BC5367"/>
    <w:rsid w:val="00BD05F7"/>
    <w:rsid w:val="00BD0A90"/>
    <w:rsid w:val="00BD0B70"/>
    <w:rsid w:val="00BD2B7C"/>
    <w:rsid w:val="00BD6083"/>
    <w:rsid w:val="00BE03F4"/>
    <w:rsid w:val="00BE3885"/>
    <w:rsid w:val="00BE4097"/>
    <w:rsid w:val="00BE6AA8"/>
    <w:rsid w:val="00BF2299"/>
    <w:rsid w:val="00BF44D2"/>
    <w:rsid w:val="00BF4A1A"/>
    <w:rsid w:val="00BF4E28"/>
    <w:rsid w:val="00C04A8A"/>
    <w:rsid w:val="00C053C9"/>
    <w:rsid w:val="00C060A2"/>
    <w:rsid w:val="00C12D57"/>
    <w:rsid w:val="00C13C25"/>
    <w:rsid w:val="00C1449B"/>
    <w:rsid w:val="00C147F1"/>
    <w:rsid w:val="00C15D6C"/>
    <w:rsid w:val="00C21B78"/>
    <w:rsid w:val="00C23162"/>
    <w:rsid w:val="00C30731"/>
    <w:rsid w:val="00C31C3F"/>
    <w:rsid w:val="00C31E82"/>
    <w:rsid w:val="00C40559"/>
    <w:rsid w:val="00C423BB"/>
    <w:rsid w:val="00C42E15"/>
    <w:rsid w:val="00C439C7"/>
    <w:rsid w:val="00C44BCE"/>
    <w:rsid w:val="00C46311"/>
    <w:rsid w:val="00C46A61"/>
    <w:rsid w:val="00C5130E"/>
    <w:rsid w:val="00C515CB"/>
    <w:rsid w:val="00C51677"/>
    <w:rsid w:val="00C52B00"/>
    <w:rsid w:val="00C57492"/>
    <w:rsid w:val="00C608F7"/>
    <w:rsid w:val="00C61B46"/>
    <w:rsid w:val="00C63C7A"/>
    <w:rsid w:val="00C64CF3"/>
    <w:rsid w:val="00C67B7B"/>
    <w:rsid w:val="00C70EC8"/>
    <w:rsid w:val="00C76FF1"/>
    <w:rsid w:val="00C832D8"/>
    <w:rsid w:val="00C86183"/>
    <w:rsid w:val="00C913A4"/>
    <w:rsid w:val="00C970BB"/>
    <w:rsid w:val="00CA2CDA"/>
    <w:rsid w:val="00CA41E9"/>
    <w:rsid w:val="00CA62BE"/>
    <w:rsid w:val="00CA688D"/>
    <w:rsid w:val="00CB0E8F"/>
    <w:rsid w:val="00CB3D17"/>
    <w:rsid w:val="00CB7595"/>
    <w:rsid w:val="00CC1F1E"/>
    <w:rsid w:val="00CD1017"/>
    <w:rsid w:val="00CD7C16"/>
    <w:rsid w:val="00CE0C4D"/>
    <w:rsid w:val="00CE1315"/>
    <w:rsid w:val="00CE1B2E"/>
    <w:rsid w:val="00CE27AA"/>
    <w:rsid w:val="00CE30A9"/>
    <w:rsid w:val="00CE6058"/>
    <w:rsid w:val="00CE699D"/>
    <w:rsid w:val="00CE790C"/>
    <w:rsid w:val="00CE7D3E"/>
    <w:rsid w:val="00CF218C"/>
    <w:rsid w:val="00CF4A3B"/>
    <w:rsid w:val="00D01F8A"/>
    <w:rsid w:val="00D054D3"/>
    <w:rsid w:val="00D07B93"/>
    <w:rsid w:val="00D202F9"/>
    <w:rsid w:val="00D21901"/>
    <w:rsid w:val="00D22B06"/>
    <w:rsid w:val="00D31919"/>
    <w:rsid w:val="00D324FD"/>
    <w:rsid w:val="00D35D7B"/>
    <w:rsid w:val="00D413A8"/>
    <w:rsid w:val="00D42B4E"/>
    <w:rsid w:val="00D46B90"/>
    <w:rsid w:val="00D478D1"/>
    <w:rsid w:val="00D47FF0"/>
    <w:rsid w:val="00D53C4C"/>
    <w:rsid w:val="00D54E07"/>
    <w:rsid w:val="00D55A27"/>
    <w:rsid w:val="00D60527"/>
    <w:rsid w:val="00D60790"/>
    <w:rsid w:val="00D61B59"/>
    <w:rsid w:val="00D66694"/>
    <w:rsid w:val="00D66778"/>
    <w:rsid w:val="00D672FF"/>
    <w:rsid w:val="00D67D5B"/>
    <w:rsid w:val="00D71CEE"/>
    <w:rsid w:val="00D732C4"/>
    <w:rsid w:val="00D75CB7"/>
    <w:rsid w:val="00D80EA1"/>
    <w:rsid w:val="00D81B47"/>
    <w:rsid w:val="00D82DAF"/>
    <w:rsid w:val="00D85FFF"/>
    <w:rsid w:val="00D870D9"/>
    <w:rsid w:val="00D91901"/>
    <w:rsid w:val="00D93B8C"/>
    <w:rsid w:val="00D93D33"/>
    <w:rsid w:val="00D972DE"/>
    <w:rsid w:val="00DA1AD7"/>
    <w:rsid w:val="00DA1BD6"/>
    <w:rsid w:val="00DA223B"/>
    <w:rsid w:val="00DA2AA5"/>
    <w:rsid w:val="00DA3230"/>
    <w:rsid w:val="00DA44A5"/>
    <w:rsid w:val="00DA513D"/>
    <w:rsid w:val="00DA5232"/>
    <w:rsid w:val="00DA5E6B"/>
    <w:rsid w:val="00DA6173"/>
    <w:rsid w:val="00DB0919"/>
    <w:rsid w:val="00DB2011"/>
    <w:rsid w:val="00DD24E0"/>
    <w:rsid w:val="00DE2806"/>
    <w:rsid w:val="00DE2DEC"/>
    <w:rsid w:val="00DE7F8B"/>
    <w:rsid w:val="00DF1FBD"/>
    <w:rsid w:val="00DF3C50"/>
    <w:rsid w:val="00DF5419"/>
    <w:rsid w:val="00E0139C"/>
    <w:rsid w:val="00E017D2"/>
    <w:rsid w:val="00E071E9"/>
    <w:rsid w:val="00E100A9"/>
    <w:rsid w:val="00E11A6D"/>
    <w:rsid w:val="00E1322C"/>
    <w:rsid w:val="00E138F3"/>
    <w:rsid w:val="00E17324"/>
    <w:rsid w:val="00E22717"/>
    <w:rsid w:val="00E24690"/>
    <w:rsid w:val="00E25AF2"/>
    <w:rsid w:val="00E260D5"/>
    <w:rsid w:val="00E2720C"/>
    <w:rsid w:val="00E276C2"/>
    <w:rsid w:val="00E31B76"/>
    <w:rsid w:val="00E372FF"/>
    <w:rsid w:val="00E3741D"/>
    <w:rsid w:val="00E37F91"/>
    <w:rsid w:val="00E42F56"/>
    <w:rsid w:val="00E4568D"/>
    <w:rsid w:val="00E45E45"/>
    <w:rsid w:val="00E51AC2"/>
    <w:rsid w:val="00E56289"/>
    <w:rsid w:val="00E602CD"/>
    <w:rsid w:val="00E673A2"/>
    <w:rsid w:val="00E674AF"/>
    <w:rsid w:val="00E74F22"/>
    <w:rsid w:val="00E750B2"/>
    <w:rsid w:val="00E75B55"/>
    <w:rsid w:val="00E77144"/>
    <w:rsid w:val="00E878C9"/>
    <w:rsid w:val="00E900B6"/>
    <w:rsid w:val="00E91C3B"/>
    <w:rsid w:val="00E9584D"/>
    <w:rsid w:val="00EA087D"/>
    <w:rsid w:val="00EA211F"/>
    <w:rsid w:val="00EA3070"/>
    <w:rsid w:val="00EA4341"/>
    <w:rsid w:val="00EA5C1D"/>
    <w:rsid w:val="00EB5961"/>
    <w:rsid w:val="00EB65B7"/>
    <w:rsid w:val="00EC2B45"/>
    <w:rsid w:val="00EC527D"/>
    <w:rsid w:val="00ED6216"/>
    <w:rsid w:val="00ED6709"/>
    <w:rsid w:val="00EE2786"/>
    <w:rsid w:val="00EF249A"/>
    <w:rsid w:val="00EF5119"/>
    <w:rsid w:val="00EF67AB"/>
    <w:rsid w:val="00EF7F00"/>
    <w:rsid w:val="00F00D12"/>
    <w:rsid w:val="00F03CA8"/>
    <w:rsid w:val="00F04667"/>
    <w:rsid w:val="00F056AD"/>
    <w:rsid w:val="00F06D1F"/>
    <w:rsid w:val="00F10672"/>
    <w:rsid w:val="00F172DF"/>
    <w:rsid w:val="00F17536"/>
    <w:rsid w:val="00F220B5"/>
    <w:rsid w:val="00F253B4"/>
    <w:rsid w:val="00F25E1B"/>
    <w:rsid w:val="00F2680A"/>
    <w:rsid w:val="00F306B1"/>
    <w:rsid w:val="00F30811"/>
    <w:rsid w:val="00F31459"/>
    <w:rsid w:val="00F32384"/>
    <w:rsid w:val="00F33A29"/>
    <w:rsid w:val="00F361D5"/>
    <w:rsid w:val="00F409FE"/>
    <w:rsid w:val="00F440B3"/>
    <w:rsid w:val="00F530CA"/>
    <w:rsid w:val="00F53879"/>
    <w:rsid w:val="00F5454F"/>
    <w:rsid w:val="00F559D7"/>
    <w:rsid w:val="00F55E8E"/>
    <w:rsid w:val="00F60C1D"/>
    <w:rsid w:val="00F63955"/>
    <w:rsid w:val="00F67172"/>
    <w:rsid w:val="00F70224"/>
    <w:rsid w:val="00F71E26"/>
    <w:rsid w:val="00F748C8"/>
    <w:rsid w:val="00F8322D"/>
    <w:rsid w:val="00F83FD6"/>
    <w:rsid w:val="00F8459D"/>
    <w:rsid w:val="00F92FB5"/>
    <w:rsid w:val="00F95AB9"/>
    <w:rsid w:val="00F9789B"/>
    <w:rsid w:val="00FA2712"/>
    <w:rsid w:val="00FA2A0A"/>
    <w:rsid w:val="00FA6258"/>
    <w:rsid w:val="00FA7B96"/>
    <w:rsid w:val="00FB1A67"/>
    <w:rsid w:val="00FB4827"/>
    <w:rsid w:val="00FC0A2A"/>
    <w:rsid w:val="00FC0B20"/>
    <w:rsid w:val="00FC1538"/>
    <w:rsid w:val="00FC1A68"/>
    <w:rsid w:val="00FC2984"/>
    <w:rsid w:val="00FC4E60"/>
    <w:rsid w:val="00FC6C66"/>
    <w:rsid w:val="00FC7290"/>
    <w:rsid w:val="00FC7EF5"/>
    <w:rsid w:val="00FD09AC"/>
    <w:rsid w:val="00FD0A73"/>
    <w:rsid w:val="00FD316A"/>
    <w:rsid w:val="00FD50C0"/>
    <w:rsid w:val="00FE19C2"/>
    <w:rsid w:val="00FE4533"/>
    <w:rsid w:val="00FE5132"/>
    <w:rsid w:val="00FE6F07"/>
    <w:rsid w:val="00FF12C9"/>
    <w:rsid w:val="00FF156E"/>
    <w:rsid w:val="00FF15FD"/>
    <w:rsid w:val="00FF6703"/>
    <w:rsid w:val="00FF6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B1A63"/>
  <w15:chartTrackingRefBased/>
  <w15:docId w15:val="{BFC25E07-B76F-4449-B722-BD0688EC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F51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64E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526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0E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F511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52639"/>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852639"/>
    <w:rPr>
      <w:color w:val="0563C1" w:themeColor="hyperlink"/>
      <w:u w:val="single"/>
    </w:rPr>
  </w:style>
  <w:style w:type="character" w:styleId="CommentReference">
    <w:name w:val="annotation reference"/>
    <w:basedOn w:val="DefaultParagraphFont"/>
    <w:uiPriority w:val="99"/>
    <w:semiHidden/>
    <w:unhideWhenUsed/>
    <w:rsid w:val="008B70ED"/>
    <w:rPr>
      <w:sz w:val="16"/>
      <w:szCs w:val="16"/>
    </w:rPr>
  </w:style>
  <w:style w:type="paragraph" w:styleId="CommentText">
    <w:name w:val="annotation text"/>
    <w:basedOn w:val="Normal"/>
    <w:link w:val="CommentTextChar"/>
    <w:uiPriority w:val="99"/>
    <w:unhideWhenUsed/>
    <w:rsid w:val="008B70ED"/>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8B70ED"/>
    <w:rPr>
      <w:rFonts w:eastAsiaTheme="minorEastAsia"/>
      <w:sz w:val="20"/>
      <w:szCs w:val="20"/>
    </w:rPr>
  </w:style>
  <w:style w:type="paragraph" w:styleId="BalloonText">
    <w:name w:val="Balloon Text"/>
    <w:basedOn w:val="Normal"/>
    <w:link w:val="BalloonTextChar"/>
    <w:uiPriority w:val="99"/>
    <w:semiHidden/>
    <w:unhideWhenUsed/>
    <w:rsid w:val="008B70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0E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C7290"/>
    <w:rPr>
      <w:rFonts w:eastAsiaTheme="minorHAnsi"/>
      <w:b/>
      <w:bCs/>
    </w:rPr>
  </w:style>
  <w:style w:type="character" w:customStyle="1" w:styleId="CommentSubjectChar">
    <w:name w:val="Comment Subject Char"/>
    <w:basedOn w:val="CommentTextChar"/>
    <w:link w:val="CommentSubject"/>
    <w:uiPriority w:val="99"/>
    <w:semiHidden/>
    <w:rsid w:val="00FC7290"/>
    <w:rPr>
      <w:rFonts w:eastAsiaTheme="minorEastAsia"/>
      <w:b/>
      <w:bCs/>
      <w:sz w:val="20"/>
      <w:szCs w:val="20"/>
    </w:rPr>
  </w:style>
  <w:style w:type="character" w:styleId="Emphasis">
    <w:name w:val="Emphasis"/>
    <w:basedOn w:val="DefaultParagraphFont"/>
    <w:uiPriority w:val="20"/>
    <w:qFormat/>
    <w:rsid w:val="00085F08"/>
    <w:rPr>
      <w:i/>
      <w:iCs/>
    </w:rPr>
  </w:style>
  <w:style w:type="paragraph" w:styleId="Header">
    <w:name w:val="header"/>
    <w:basedOn w:val="Normal"/>
    <w:link w:val="HeaderChar"/>
    <w:uiPriority w:val="99"/>
    <w:unhideWhenUsed/>
    <w:rsid w:val="006D5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5B7"/>
  </w:style>
  <w:style w:type="paragraph" w:styleId="Footer">
    <w:name w:val="footer"/>
    <w:basedOn w:val="Normal"/>
    <w:link w:val="FooterChar"/>
    <w:uiPriority w:val="99"/>
    <w:unhideWhenUsed/>
    <w:rsid w:val="006D5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5B7"/>
  </w:style>
  <w:style w:type="character" w:customStyle="1" w:styleId="Heading2Char">
    <w:name w:val="Heading 2 Char"/>
    <w:basedOn w:val="DefaultParagraphFont"/>
    <w:link w:val="Heading2"/>
    <w:uiPriority w:val="9"/>
    <w:rsid w:val="00064EE2"/>
    <w:rPr>
      <w:rFonts w:asciiTheme="majorHAnsi" w:eastAsiaTheme="majorEastAsia" w:hAnsiTheme="majorHAnsi" w:cstheme="majorBidi"/>
      <w:color w:val="2E74B5" w:themeColor="accent1" w:themeShade="BF"/>
      <w:sz w:val="26"/>
      <w:szCs w:val="26"/>
    </w:rPr>
  </w:style>
  <w:style w:type="character" w:customStyle="1" w:styleId="title-text">
    <w:name w:val="title-text"/>
    <w:basedOn w:val="DefaultParagraphFont"/>
    <w:rsid w:val="00064EE2"/>
  </w:style>
  <w:style w:type="character" w:styleId="FollowedHyperlink">
    <w:name w:val="FollowedHyperlink"/>
    <w:basedOn w:val="DefaultParagraphFont"/>
    <w:uiPriority w:val="99"/>
    <w:semiHidden/>
    <w:unhideWhenUsed/>
    <w:rsid w:val="007939CA"/>
    <w:rPr>
      <w:color w:val="954F72" w:themeColor="followedHyperlink"/>
      <w:u w:val="single"/>
    </w:rPr>
  </w:style>
  <w:style w:type="character" w:customStyle="1" w:styleId="authors">
    <w:name w:val="authors"/>
    <w:basedOn w:val="DefaultParagraphFont"/>
    <w:rsid w:val="006836E6"/>
  </w:style>
  <w:style w:type="character" w:customStyle="1" w:styleId="Date1">
    <w:name w:val="Date1"/>
    <w:basedOn w:val="DefaultParagraphFont"/>
    <w:rsid w:val="006836E6"/>
  </w:style>
  <w:style w:type="character" w:customStyle="1" w:styleId="arttitle">
    <w:name w:val="art_title"/>
    <w:basedOn w:val="DefaultParagraphFont"/>
    <w:rsid w:val="006836E6"/>
  </w:style>
  <w:style w:type="character" w:customStyle="1" w:styleId="serialtitle">
    <w:name w:val="serial_title"/>
    <w:basedOn w:val="DefaultParagraphFont"/>
    <w:rsid w:val="006836E6"/>
  </w:style>
  <w:style w:type="character" w:customStyle="1" w:styleId="volumeissue">
    <w:name w:val="volume_issue"/>
    <w:basedOn w:val="DefaultParagraphFont"/>
    <w:rsid w:val="006836E6"/>
  </w:style>
  <w:style w:type="character" w:customStyle="1" w:styleId="pagerange">
    <w:name w:val="page_range"/>
    <w:basedOn w:val="DefaultParagraphFont"/>
    <w:rsid w:val="006836E6"/>
  </w:style>
  <w:style w:type="character" w:customStyle="1" w:styleId="doilink">
    <w:name w:val="doi_link"/>
    <w:basedOn w:val="DefaultParagraphFont"/>
    <w:rsid w:val="006836E6"/>
  </w:style>
  <w:style w:type="paragraph" w:styleId="Revision">
    <w:name w:val="Revision"/>
    <w:hidden/>
    <w:uiPriority w:val="99"/>
    <w:semiHidden/>
    <w:rsid w:val="009018FC"/>
    <w:pPr>
      <w:spacing w:after="0" w:line="240" w:lineRule="auto"/>
    </w:pPr>
  </w:style>
  <w:style w:type="character" w:customStyle="1" w:styleId="UnresolvedMention1">
    <w:name w:val="Unresolved Mention1"/>
    <w:basedOn w:val="DefaultParagraphFont"/>
    <w:uiPriority w:val="99"/>
    <w:semiHidden/>
    <w:unhideWhenUsed/>
    <w:rsid w:val="0050132A"/>
    <w:rPr>
      <w:color w:val="605E5C"/>
      <w:shd w:val="clear" w:color="auto" w:fill="E1DFDD"/>
    </w:rPr>
  </w:style>
  <w:style w:type="character" w:customStyle="1" w:styleId="UnresolvedMention2">
    <w:name w:val="Unresolved Mention2"/>
    <w:basedOn w:val="DefaultParagraphFont"/>
    <w:uiPriority w:val="99"/>
    <w:semiHidden/>
    <w:unhideWhenUsed/>
    <w:rsid w:val="00104623"/>
    <w:rPr>
      <w:color w:val="605E5C"/>
      <w:shd w:val="clear" w:color="auto" w:fill="E1DFDD"/>
    </w:rPr>
  </w:style>
  <w:style w:type="paragraph" w:customStyle="1" w:styleId="dx-doi">
    <w:name w:val="dx-doi"/>
    <w:basedOn w:val="Normal"/>
    <w:rsid w:val="00555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flight-heading">
    <w:name w:val="preflight-heading"/>
    <w:pPr>
      <w:spacing w:before="60" w:after="60"/>
    </w:pPr>
    <w:rPr>
      <w:b/>
      <w:color w:val="000000"/>
      <w:sz w:val="20"/>
    </w:rPr>
  </w:style>
  <w:style w:type="paragraph" w:customStyle="1" w:styleId="preflight-description">
    <w:name w:val="preflight-description"/>
    <w:pPr>
      <w:spacing w:before="60" w:after="60"/>
    </w:pPr>
    <w:rPr>
      <w:color w:val="000000"/>
      <w:sz w:val="20"/>
    </w:rPr>
  </w:style>
  <w:style w:type="paragraph" w:customStyle="1" w:styleId="preflight-link">
    <w:name w:val="preflight-link"/>
    <w:pPr>
      <w:spacing w:before="60" w:after="60"/>
    </w:pPr>
    <w:rPr>
      <w:color w:val="0000FF"/>
      <w:sz w:val="20"/>
      <w:u w:val="single"/>
    </w:rPr>
  </w:style>
  <w:style w:type="paragraph" w:customStyle="1" w:styleId="preflight-example">
    <w:name w:val="preflight-example"/>
    <w:pPr>
      <w:spacing w:before="180" w:after="60"/>
    </w:pPr>
    <w:rPr>
      <w:i/>
      <w:color w:val="000000"/>
      <w:sz w:val="20"/>
    </w:rPr>
  </w:style>
  <w:style w:type="paragraph" w:styleId="BodyText">
    <w:name w:val="Body Text"/>
    <w:basedOn w:val="Normal"/>
    <w:link w:val="BodyTextChar"/>
    <w:uiPriority w:val="1"/>
    <w:qFormat/>
    <w:rsid w:val="00DB0919"/>
    <w:pPr>
      <w:widowControl w:val="0"/>
      <w:autoSpaceDE w:val="0"/>
      <w:autoSpaceDN w:val="0"/>
      <w:spacing w:after="0" w:line="240" w:lineRule="auto"/>
      <w:ind w:left="10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DB0919"/>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DB0919"/>
    <w:pPr>
      <w:widowControl w:val="0"/>
      <w:autoSpaceDE w:val="0"/>
      <w:autoSpaceDN w:val="0"/>
      <w:spacing w:after="0" w:line="210" w:lineRule="exact"/>
      <w:ind w:left="261"/>
    </w:pPr>
    <w:rPr>
      <w:rFonts w:ascii="Times New Roman" w:eastAsia="Times New Roman" w:hAnsi="Times New Roman" w:cs="Times New Roman"/>
    </w:rPr>
  </w:style>
  <w:style w:type="character" w:styleId="UnresolvedMention">
    <w:name w:val="Unresolved Mention"/>
    <w:basedOn w:val="DefaultParagraphFont"/>
    <w:uiPriority w:val="99"/>
    <w:unhideWhenUsed/>
    <w:rsid w:val="002C3154"/>
    <w:rPr>
      <w:color w:val="605E5C"/>
      <w:shd w:val="clear" w:color="auto" w:fill="E1DFDD"/>
    </w:rPr>
  </w:style>
  <w:style w:type="paragraph" w:styleId="EndnoteText">
    <w:name w:val="endnote text"/>
    <w:basedOn w:val="Normal"/>
    <w:link w:val="EndnoteTextChar"/>
    <w:uiPriority w:val="99"/>
    <w:semiHidden/>
    <w:unhideWhenUsed/>
    <w:rsid w:val="0037012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012B"/>
    <w:rPr>
      <w:sz w:val="20"/>
      <w:szCs w:val="20"/>
    </w:rPr>
  </w:style>
  <w:style w:type="character" w:styleId="EndnoteReference">
    <w:name w:val="endnote reference"/>
    <w:basedOn w:val="DefaultParagraphFont"/>
    <w:uiPriority w:val="99"/>
    <w:semiHidden/>
    <w:unhideWhenUsed/>
    <w:rsid w:val="003701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ookes.ac.uk/services/cci/definitions.html" TargetMode="External"/><Relationship Id="rId18" Type="http://schemas.openxmlformats.org/officeDocument/2006/relationships/hyperlink" Target="https://www.acenet.edu/Research-" TargetMode="External"/><Relationship Id="rId26" Type="http://schemas.openxmlformats.org/officeDocument/2006/relationships/hyperlink" Target="https://www.universityworldnews.com/post.php?story=20130123121225469" TargetMode="External"/><Relationship Id="rId3" Type="http://schemas.openxmlformats.org/officeDocument/2006/relationships/styles" Target="styles.xml"/><Relationship Id="rId21" Type="http://schemas.openxmlformats.org/officeDocument/2006/relationships/hyperlink" Target="https://www.intechopen.com/chapters/38270" TargetMode="External"/><Relationship Id="rId7" Type="http://schemas.openxmlformats.org/officeDocument/2006/relationships/endnotes" Target="endnotes.xml"/><Relationship Id="rId12" Type="http://schemas.openxmlformats.org/officeDocument/2006/relationships/hyperlink" Target="https://internationaleducation.gov.au/research/research-papers/Documents/ValueInternationalEd.pdf" TargetMode="External"/><Relationship Id="rId17" Type="http://schemas.openxmlformats.org/officeDocument/2006/relationships/hyperlink" Target="https://www.srhe.ac.uk/conference2014/abstracts/0188.pdf" TargetMode="External"/><Relationship Id="rId25" Type="http://schemas.openxmlformats.org/officeDocument/2006/relationships/hyperlink" Target="https://www.unibo.it/en/international/european-projects-of-education-and-training/building-internationalisation-in-pakista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international-education-strategy-global-potential-global-growth/international-education-strategy-global-potential-global-growth" TargetMode="External"/><Relationship Id="rId20" Type="http://schemas.openxmlformats.org/officeDocument/2006/relationships/hyperlink" Target="https://www.intechopen.com/online-first/85758" TargetMode="External"/><Relationship Id="rId29" Type="http://schemas.openxmlformats.org/officeDocument/2006/relationships/hyperlink" Target="https://www.researchgate.net/publication/29454216_Student_perceptions_of_internationalization_of_the_undergraduate_curriculu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snu.nl/files/documents/Internationalisation%20Agenda%20for%20Higher%20Education.pdf" TargetMode="External"/><Relationship Id="rId24" Type="http://schemas.openxmlformats.org/officeDocument/2006/relationships/hyperlink" Target="https://files.eric.ed.gov/fulltext/ED549872.pdf%20(acessed"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iteseerx.ist.psu.edu/viewdoc/download?doi=10.1.1.905.8413&amp;rep=rep1&amp;type=pdf" TargetMode="External"/><Relationship Id="rId23" Type="http://schemas.openxmlformats.org/officeDocument/2006/relationships/hyperlink" Target="https://sadafshallwani.net/2014/03/27/education-in-" TargetMode="External"/><Relationship Id="rId28" Type="http://schemas.openxmlformats.org/officeDocument/2006/relationships/hyperlink" Target="https://files.eric.ed.gov/fulltext/EJ1210327.pdf" TargetMode="External"/><Relationship Id="rId10" Type="http://schemas.openxmlformats.org/officeDocument/2006/relationships/hyperlink" Target="https://www.acenet.edu/Research-Insights/Pages/Internationalization/CIGE-Model-for-Comprehensive-Internationalization.aspx" TargetMode="External"/><Relationship Id="rId19" Type="http://schemas.openxmlformats.org/officeDocument/2006/relationships/hyperlink" Target="https://federation.edu.au/__data/assets/pdf_file/0013/221251/6-Internationalization-Harman.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prints.usm.my/41227/1/ART_108.pdf" TargetMode="External"/><Relationship Id="rId14" Type="http://schemas.openxmlformats.org/officeDocument/2006/relationships/hyperlink" Target="https://www.topuniversities.com/qs-world-university-rankings/methodology" TargetMode="External"/><Relationship Id="rId22" Type="http://schemas.openxmlformats.org/officeDocument/2006/relationships/hyperlink" Target="https://www.britishcouncil.org/research-policy-insight/insight-articles/uk-top-overseas-students" TargetMode="External"/><Relationship Id="rId27" Type="http://schemas.openxmlformats.org/officeDocument/2006/relationships/hyperlink" Target="https://www.thenews.com.pk/print/955133-number-of-pakistani-students-in-uk-varsities-rose-by-66pc-in-2020-21" TargetMode="External"/><Relationship Id="rId30" Type="http://schemas.openxmlformats.org/officeDocument/2006/relationships/hyperlink" Target="https://www.emerald.com/insight/publication/issn/2046-3162"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2C802-3D90-49D2-B4A7-CA8E4629F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8207</Words>
  <Characters>46785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Dr Gulnaz Zahid</cp:lastModifiedBy>
  <cp:revision>2</cp:revision>
  <dcterms:created xsi:type="dcterms:W3CDTF">2023-08-04T16:54:00Z</dcterms:created>
  <dcterms:modified xsi:type="dcterms:W3CDTF">2023-08-04T16:54:00Z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light-id">
    <vt:lpwstr>44c22e48-b1c7-4a0e-89e6-f5908b33965b_Final paper for education journal (Revision due 30 june 2023)_for editing.docx</vt:lpwstr>
  </property>
</Properties>
</file>