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6ADE" w14:textId="77777777" w:rsidR="00A019F4" w:rsidRDefault="0088140E" w:rsidP="0088140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8140E">
        <w:rPr>
          <w:rFonts w:ascii="Arial" w:hAnsi="Arial" w:cs="Arial"/>
          <w:b/>
          <w:bCs/>
          <w:sz w:val="24"/>
          <w:szCs w:val="24"/>
          <w:u w:val="single"/>
        </w:rPr>
        <w:t>Editorial</w:t>
      </w:r>
    </w:p>
    <w:p w14:paraId="26B23E24" w14:textId="77777777" w:rsidR="006E08D5" w:rsidRDefault="006E08D5" w:rsidP="00F254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B438690" w14:textId="2D5B6804" w:rsidR="0088140E" w:rsidRDefault="00412227" w:rsidP="00F254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8140E">
        <w:rPr>
          <w:rFonts w:ascii="Arial" w:hAnsi="Arial" w:cs="Arial"/>
          <w:sz w:val="24"/>
          <w:szCs w:val="24"/>
        </w:rPr>
        <w:t xml:space="preserve">s 2021 draws to a close and </w:t>
      </w:r>
      <w:r w:rsidR="00250FAB">
        <w:rPr>
          <w:rFonts w:ascii="Arial" w:hAnsi="Arial" w:cs="Arial"/>
          <w:sz w:val="24"/>
          <w:szCs w:val="24"/>
        </w:rPr>
        <w:t xml:space="preserve">2022 </w:t>
      </w:r>
      <w:r w:rsidR="0088140E">
        <w:rPr>
          <w:rFonts w:ascii="Arial" w:hAnsi="Arial" w:cs="Arial"/>
          <w:sz w:val="24"/>
          <w:szCs w:val="24"/>
        </w:rPr>
        <w:t xml:space="preserve">fast approaches, it </w:t>
      </w:r>
      <w:r w:rsidR="00C80DEE">
        <w:rPr>
          <w:rFonts w:ascii="Arial" w:hAnsi="Arial" w:cs="Arial"/>
          <w:sz w:val="24"/>
          <w:szCs w:val="24"/>
        </w:rPr>
        <w:t>allows</w:t>
      </w:r>
      <w:r w:rsidR="0088140E">
        <w:rPr>
          <w:rFonts w:ascii="Arial" w:hAnsi="Arial" w:cs="Arial"/>
          <w:sz w:val="24"/>
          <w:szCs w:val="24"/>
        </w:rPr>
        <w:t xml:space="preserve"> time to reflect </w:t>
      </w:r>
      <w:r w:rsidR="00325FDC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our lifestyle and liver health</w:t>
      </w:r>
      <w:r w:rsidR="00325FDC">
        <w:rPr>
          <w:rFonts w:ascii="Arial" w:hAnsi="Arial" w:cs="Arial"/>
          <w:sz w:val="24"/>
          <w:szCs w:val="24"/>
        </w:rPr>
        <w:t xml:space="preserve"> </w:t>
      </w:r>
      <w:r w:rsidR="00EE2185">
        <w:rPr>
          <w:rFonts w:ascii="Arial" w:hAnsi="Arial" w:cs="Arial"/>
          <w:sz w:val="24"/>
          <w:szCs w:val="24"/>
        </w:rPr>
        <w:t xml:space="preserve">over </w:t>
      </w:r>
      <w:r w:rsidR="0088140E">
        <w:rPr>
          <w:rFonts w:ascii="Arial" w:hAnsi="Arial" w:cs="Arial"/>
          <w:sz w:val="24"/>
          <w:szCs w:val="24"/>
        </w:rPr>
        <w:t>the</w:t>
      </w:r>
      <w:r w:rsidR="003118CC">
        <w:rPr>
          <w:rFonts w:ascii="Arial" w:hAnsi="Arial" w:cs="Arial"/>
          <w:sz w:val="24"/>
          <w:szCs w:val="24"/>
        </w:rPr>
        <w:t xml:space="preserve"> last</w:t>
      </w:r>
      <w:r w:rsidR="0088140E">
        <w:rPr>
          <w:rFonts w:ascii="Arial" w:hAnsi="Arial" w:cs="Arial"/>
          <w:sz w:val="24"/>
          <w:szCs w:val="24"/>
        </w:rPr>
        <w:t xml:space="preserve"> year</w:t>
      </w:r>
      <w:r w:rsidR="00EE2185">
        <w:rPr>
          <w:rFonts w:ascii="Arial" w:hAnsi="Arial" w:cs="Arial"/>
          <w:sz w:val="24"/>
          <w:szCs w:val="24"/>
        </w:rPr>
        <w:t xml:space="preserve"> and</w:t>
      </w:r>
      <w:r w:rsidR="0088140E">
        <w:rPr>
          <w:rFonts w:ascii="Arial" w:hAnsi="Arial" w:cs="Arial"/>
          <w:sz w:val="24"/>
          <w:szCs w:val="24"/>
        </w:rPr>
        <w:t xml:space="preserve"> contemplate the year to come.</w:t>
      </w:r>
      <w:r w:rsidR="00F25405">
        <w:rPr>
          <w:rFonts w:ascii="Arial" w:hAnsi="Arial" w:cs="Arial"/>
          <w:sz w:val="24"/>
          <w:szCs w:val="24"/>
        </w:rPr>
        <w:t xml:space="preserve"> What would you do differently?</w:t>
      </w:r>
    </w:p>
    <w:p w14:paraId="35DE2708" w14:textId="6616F42D" w:rsidR="00CC621D" w:rsidRDefault="009E7B7A" w:rsidP="00F254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has been highlighted </w:t>
      </w:r>
      <w:r w:rsidR="007E02F4">
        <w:rPr>
          <w:rFonts w:ascii="Arial" w:hAnsi="Arial" w:cs="Arial"/>
          <w:sz w:val="24"/>
          <w:szCs w:val="24"/>
        </w:rPr>
        <w:t>in recent years</w:t>
      </w:r>
      <w:r>
        <w:rPr>
          <w:rFonts w:ascii="Arial" w:hAnsi="Arial" w:cs="Arial"/>
          <w:sz w:val="24"/>
          <w:szCs w:val="24"/>
        </w:rPr>
        <w:t xml:space="preserve"> is the value of drinking caffeinated c</w:t>
      </w:r>
      <w:r w:rsidR="00491EED">
        <w:rPr>
          <w:rFonts w:ascii="Arial" w:hAnsi="Arial" w:cs="Arial"/>
          <w:sz w:val="24"/>
          <w:szCs w:val="24"/>
        </w:rPr>
        <w:t>offee</w:t>
      </w:r>
      <w:r>
        <w:rPr>
          <w:rFonts w:ascii="Arial" w:hAnsi="Arial" w:cs="Arial"/>
          <w:sz w:val="24"/>
          <w:szCs w:val="24"/>
        </w:rPr>
        <w:t>.</w:t>
      </w:r>
      <w:r w:rsidR="006841A1">
        <w:rPr>
          <w:rFonts w:ascii="Arial" w:hAnsi="Arial" w:cs="Arial"/>
          <w:sz w:val="24"/>
          <w:szCs w:val="24"/>
        </w:rPr>
        <w:t xml:space="preserve"> </w:t>
      </w:r>
      <w:r w:rsidR="000B10AE">
        <w:rPr>
          <w:rFonts w:ascii="Arial" w:hAnsi="Arial" w:cs="Arial"/>
          <w:sz w:val="24"/>
          <w:szCs w:val="24"/>
        </w:rPr>
        <w:t xml:space="preserve">In people with liver </w:t>
      </w:r>
      <w:r w:rsidR="00DD257B">
        <w:rPr>
          <w:rFonts w:ascii="Arial" w:hAnsi="Arial" w:cs="Arial"/>
          <w:sz w:val="24"/>
          <w:szCs w:val="24"/>
        </w:rPr>
        <w:t>disease,</w:t>
      </w:r>
      <w:r w:rsidR="000B10AE">
        <w:rPr>
          <w:rFonts w:ascii="Arial" w:hAnsi="Arial" w:cs="Arial"/>
          <w:sz w:val="24"/>
          <w:szCs w:val="24"/>
        </w:rPr>
        <w:t xml:space="preserve"> </w:t>
      </w:r>
      <w:r w:rsidR="00DD257B">
        <w:rPr>
          <w:rFonts w:ascii="Arial" w:hAnsi="Arial" w:cs="Arial"/>
          <w:sz w:val="24"/>
          <w:szCs w:val="24"/>
        </w:rPr>
        <w:t xml:space="preserve">caffeine consumption </w:t>
      </w:r>
      <w:r w:rsidR="000B10AE">
        <w:rPr>
          <w:rFonts w:ascii="Arial" w:hAnsi="Arial" w:cs="Arial"/>
          <w:sz w:val="24"/>
          <w:szCs w:val="24"/>
        </w:rPr>
        <w:t xml:space="preserve">has been </w:t>
      </w:r>
      <w:r w:rsidR="008364AD" w:rsidRPr="008364AD">
        <w:rPr>
          <w:rFonts w:ascii="Arial" w:hAnsi="Arial" w:cs="Arial"/>
          <w:sz w:val="24"/>
          <w:szCs w:val="24"/>
        </w:rPr>
        <w:t xml:space="preserve">associated with </w:t>
      </w:r>
      <w:r w:rsidR="00FD1850">
        <w:rPr>
          <w:rFonts w:ascii="Arial" w:hAnsi="Arial" w:cs="Arial"/>
          <w:sz w:val="24"/>
          <w:szCs w:val="24"/>
        </w:rPr>
        <w:t>improvement in liver function tests</w:t>
      </w:r>
      <w:r w:rsidR="00116F34">
        <w:rPr>
          <w:rFonts w:ascii="Arial" w:hAnsi="Arial" w:cs="Arial"/>
          <w:sz w:val="24"/>
          <w:szCs w:val="24"/>
        </w:rPr>
        <w:t>, decreased</w:t>
      </w:r>
      <w:r w:rsidR="00D70210">
        <w:rPr>
          <w:rFonts w:ascii="Arial" w:hAnsi="Arial" w:cs="Arial"/>
          <w:sz w:val="24"/>
          <w:szCs w:val="24"/>
        </w:rPr>
        <w:t xml:space="preserve"> r</w:t>
      </w:r>
      <w:r w:rsidR="008364AD" w:rsidRPr="008364AD">
        <w:rPr>
          <w:rFonts w:ascii="Arial" w:hAnsi="Arial" w:cs="Arial"/>
          <w:sz w:val="24"/>
          <w:szCs w:val="24"/>
        </w:rPr>
        <w:t xml:space="preserve">isk of liver fibrosis progression, </w:t>
      </w:r>
      <w:r w:rsidR="00106C46">
        <w:rPr>
          <w:rFonts w:ascii="Arial" w:hAnsi="Arial" w:cs="Arial"/>
          <w:sz w:val="24"/>
          <w:szCs w:val="24"/>
        </w:rPr>
        <w:t>cirrhosis</w:t>
      </w:r>
      <w:r w:rsidR="00223DAC">
        <w:rPr>
          <w:rFonts w:ascii="Arial" w:hAnsi="Arial" w:cs="Arial"/>
          <w:sz w:val="24"/>
          <w:szCs w:val="24"/>
        </w:rPr>
        <w:t xml:space="preserve">, </w:t>
      </w:r>
      <w:r w:rsidR="008364AD" w:rsidRPr="008364AD">
        <w:rPr>
          <w:rFonts w:ascii="Arial" w:hAnsi="Arial" w:cs="Arial"/>
          <w:sz w:val="24"/>
          <w:szCs w:val="24"/>
        </w:rPr>
        <w:t>hepatocellular carcinoma</w:t>
      </w:r>
      <w:r w:rsidR="00326BB1">
        <w:rPr>
          <w:rFonts w:ascii="Arial" w:hAnsi="Arial" w:cs="Arial"/>
          <w:sz w:val="24"/>
          <w:szCs w:val="24"/>
        </w:rPr>
        <w:t>,</w:t>
      </w:r>
      <w:r w:rsidR="00223DAC">
        <w:rPr>
          <w:rFonts w:ascii="Arial" w:hAnsi="Arial" w:cs="Arial"/>
          <w:sz w:val="24"/>
          <w:szCs w:val="24"/>
        </w:rPr>
        <w:t xml:space="preserve"> and mortalit</w:t>
      </w:r>
      <w:r w:rsidR="00602328">
        <w:rPr>
          <w:rFonts w:ascii="Arial" w:hAnsi="Arial" w:cs="Arial"/>
          <w:sz w:val="24"/>
          <w:szCs w:val="24"/>
        </w:rPr>
        <w:t>y</w:t>
      </w:r>
      <w:r w:rsidR="00803CF6">
        <w:rPr>
          <w:rFonts w:ascii="Arial" w:hAnsi="Arial" w:cs="Arial"/>
          <w:sz w:val="24"/>
          <w:szCs w:val="24"/>
        </w:rPr>
        <w:t xml:space="preserve"> (</w:t>
      </w:r>
      <w:r w:rsidR="00803CF6" w:rsidRPr="00803CF6">
        <w:rPr>
          <w:rFonts w:ascii="Arial" w:hAnsi="Arial" w:cs="Arial"/>
          <w:sz w:val="24"/>
          <w:szCs w:val="24"/>
        </w:rPr>
        <w:t>Ebadi, Bhanji,</w:t>
      </w:r>
      <w:r w:rsidR="00803CF6">
        <w:rPr>
          <w:rFonts w:ascii="Arial" w:hAnsi="Arial" w:cs="Arial"/>
          <w:sz w:val="24"/>
          <w:szCs w:val="24"/>
        </w:rPr>
        <w:t xml:space="preserve"> </w:t>
      </w:r>
      <w:r w:rsidR="00803CF6" w:rsidRPr="00803CF6">
        <w:rPr>
          <w:rFonts w:ascii="Arial" w:hAnsi="Arial" w:cs="Arial"/>
          <w:sz w:val="24"/>
          <w:szCs w:val="24"/>
        </w:rPr>
        <w:t>Montano-Loza</w:t>
      </w:r>
      <w:r w:rsidR="00EC17C8">
        <w:rPr>
          <w:rFonts w:ascii="Arial" w:hAnsi="Arial" w:cs="Arial"/>
          <w:sz w:val="24"/>
          <w:szCs w:val="24"/>
        </w:rPr>
        <w:t>, 2021</w:t>
      </w:r>
      <w:r w:rsidR="00B72E3A">
        <w:rPr>
          <w:rFonts w:ascii="Arial" w:hAnsi="Arial" w:cs="Arial"/>
          <w:sz w:val="24"/>
          <w:szCs w:val="24"/>
        </w:rPr>
        <w:t>;</w:t>
      </w:r>
      <w:r w:rsidR="00B72E3A" w:rsidRPr="00B72E3A">
        <w:rPr>
          <w:rFonts w:ascii="Arial" w:hAnsi="Arial" w:cs="Arial"/>
          <w:sz w:val="24"/>
          <w:szCs w:val="24"/>
        </w:rPr>
        <w:t xml:space="preserve"> </w:t>
      </w:r>
      <w:r w:rsidR="00B72E3A" w:rsidRPr="00B72E3A">
        <w:rPr>
          <w:rFonts w:ascii="Arial" w:hAnsi="Arial" w:cs="Arial"/>
          <w:sz w:val="24"/>
          <w:szCs w:val="24"/>
        </w:rPr>
        <w:t>Wadhawan &amp; Anand</w:t>
      </w:r>
      <w:r w:rsidR="00B72E3A">
        <w:rPr>
          <w:rFonts w:ascii="Arial" w:hAnsi="Arial" w:cs="Arial"/>
          <w:sz w:val="24"/>
          <w:szCs w:val="24"/>
        </w:rPr>
        <w:t xml:space="preserve">, </w:t>
      </w:r>
      <w:r w:rsidR="00B72E3A" w:rsidRPr="00B72E3A">
        <w:rPr>
          <w:rFonts w:ascii="Arial" w:hAnsi="Arial" w:cs="Arial"/>
          <w:sz w:val="24"/>
          <w:szCs w:val="24"/>
        </w:rPr>
        <w:t>2016).</w:t>
      </w:r>
      <w:r w:rsidR="00B72E3A">
        <w:rPr>
          <w:rFonts w:ascii="Arial" w:hAnsi="Arial" w:cs="Arial"/>
          <w:sz w:val="24"/>
          <w:szCs w:val="24"/>
        </w:rPr>
        <w:t xml:space="preserve"> </w:t>
      </w:r>
      <w:r w:rsidR="00665264">
        <w:rPr>
          <w:rFonts w:ascii="Arial" w:hAnsi="Arial" w:cs="Arial"/>
          <w:sz w:val="24"/>
          <w:szCs w:val="24"/>
        </w:rPr>
        <w:t>However</w:t>
      </w:r>
      <w:r w:rsidR="00B729DC">
        <w:rPr>
          <w:rFonts w:ascii="Arial" w:hAnsi="Arial" w:cs="Arial"/>
          <w:sz w:val="24"/>
          <w:szCs w:val="24"/>
        </w:rPr>
        <w:t>,</w:t>
      </w:r>
      <w:r w:rsidR="00665264">
        <w:rPr>
          <w:rFonts w:ascii="Arial" w:hAnsi="Arial" w:cs="Arial"/>
          <w:sz w:val="24"/>
          <w:szCs w:val="24"/>
        </w:rPr>
        <w:t xml:space="preserve"> you need to drink what is termed </w:t>
      </w:r>
      <w:r w:rsidR="00B729DC">
        <w:rPr>
          <w:rFonts w:ascii="Arial" w:hAnsi="Arial" w:cs="Arial"/>
          <w:sz w:val="24"/>
          <w:szCs w:val="24"/>
        </w:rPr>
        <w:t>‘</w:t>
      </w:r>
      <w:r w:rsidR="00665264" w:rsidRPr="00B729DC">
        <w:rPr>
          <w:rFonts w:ascii="Arial" w:hAnsi="Arial" w:cs="Arial"/>
          <w:i/>
          <w:iCs/>
          <w:sz w:val="24"/>
          <w:szCs w:val="24"/>
        </w:rPr>
        <w:t>moderate amounts</w:t>
      </w:r>
      <w:r w:rsidR="00B729DC" w:rsidRPr="00B729DC">
        <w:rPr>
          <w:rFonts w:ascii="Arial" w:hAnsi="Arial" w:cs="Arial"/>
          <w:i/>
          <w:iCs/>
          <w:sz w:val="24"/>
          <w:szCs w:val="24"/>
        </w:rPr>
        <w:t>’</w:t>
      </w:r>
      <w:r w:rsidR="00665264">
        <w:rPr>
          <w:rFonts w:ascii="Arial" w:hAnsi="Arial" w:cs="Arial"/>
          <w:sz w:val="24"/>
          <w:szCs w:val="24"/>
        </w:rPr>
        <w:t xml:space="preserve"> amounting to around 4 </w:t>
      </w:r>
      <w:r w:rsidR="00B729DC">
        <w:rPr>
          <w:rFonts w:ascii="Arial" w:hAnsi="Arial" w:cs="Arial"/>
          <w:sz w:val="24"/>
          <w:szCs w:val="24"/>
        </w:rPr>
        <w:t>cups a day.</w:t>
      </w:r>
      <w:r w:rsidR="00384883">
        <w:rPr>
          <w:rFonts w:ascii="Arial" w:hAnsi="Arial" w:cs="Arial"/>
          <w:sz w:val="24"/>
          <w:szCs w:val="24"/>
        </w:rPr>
        <w:t xml:space="preserve"> </w:t>
      </w:r>
      <w:r w:rsidR="00DB5D87">
        <w:rPr>
          <w:rFonts w:ascii="Arial" w:hAnsi="Arial" w:cs="Arial"/>
          <w:sz w:val="24"/>
          <w:szCs w:val="24"/>
        </w:rPr>
        <w:t>Of cours</w:t>
      </w:r>
      <w:r w:rsidR="00BC2CB0">
        <w:rPr>
          <w:rFonts w:ascii="Arial" w:hAnsi="Arial" w:cs="Arial"/>
          <w:sz w:val="24"/>
          <w:szCs w:val="24"/>
        </w:rPr>
        <w:t>e, some people are very sensitive to caffeine</w:t>
      </w:r>
      <w:r w:rsidR="00384883">
        <w:rPr>
          <w:rFonts w:ascii="Arial" w:hAnsi="Arial" w:cs="Arial"/>
          <w:sz w:val="24"/>
          <w:szCs w:val="24"/>
        </w:rPr>
        <w:t>,</w:t>
      </w:r>
      <w:r w:rsidR="00BC2CB0">
        <w:rPr>
          <w:rFonts w:ascii="Arial" w:hAnsi="Arial" w:cs="Arial"/>
          <w:sz w:val="24"/>
          <w:szCs w:val="24"/>
        </w:rPr>
        <w:t xml:space="preserve"> </w:t>
      </w:r>
      <w:r w:rsidR="00145233">
        <w:rPr>
          <w:rFonts w:ascii="Arial" w:hAnsi="Arial" w:cs="Arial"/>
          <w:sz w:val="24"/>
          <w:szCs w:val="24"/>
        </w:rPr>
        <w:t>developing tremors and palpitations</w:t>
      </w:r>
      <w:r w:rsidR="00384883">
        <w:rPr>
          <w:rFonts w:ascii="Arial" w:hAnsi="Arial" w:cs="Arial"/>
          <w:sz w:val="24"/>
          <w:szCs w:val="24"/>
        </w:rPr>
        <w:t xml:space="preserve"> </w:t>
      </w:r>
      <w:r w:rsidR="00015431">
        <w:rPr>
          <w:rFonts w:ascii="Arial" w:hAnsi="Arial" w:cs="Arial"/>
          <w:sz w:val="24"/>
          <w:szCs w:val="24"/>
        </w:rPr>
        <w:t xml:space="preserve">shortly </w:t>
      </w:r>
      <w:r w:rsidR="00384883">
        <w:rPr>
          <w:rFonts w:ascii="Arial" w:hAnsi="Arial" w:cs="Arial"/>
          <w:sz w:val="24"/>
          <w:szCs w:val="24"/>
        </w:rPr>
        <w:t>after consumption</w:t>
      </w:r>
      <w:r w:rsidR="00665264">
        <w:rPr>
          <w:rFonts w:ascii="Arial" w:hAnsi="Arial" w:cs="Arial"/>
          <w:sz w:val="24"/>
          <w:szCs w:val="24"/>
        </w:rPr>
        <w:t>. Therefore</w:t>
      </w:r>
      <w:r w:rsidR="00384883">
        <w:rPr>
          <w:rFonts w:ascii="Arial" w:hAnsi="Arial" w:cs="Arial"/>
          <w:sz w:val="24"/>
          <w:szCs w:val="24"/>
        </w:rPr>
        <w:t xml:space="preserve">, there is a risk versus benefit </w:t>
      </w:r>
      <w:r w:rsidR="00CC621D">
        <w:rPr>
          <w:rFonts w:ascii="Arial" w:hAnsi="Arial" w:cs="Arial"/>
          <w:sz w:val="24"/>
          <w:szCs w:val="24"/>
        </w:rPr>
        <w:t>ratio to consider</w:t>
      </w:r>
      <w:r w:rsidR="00E873C9">
        <w:rPr>
          <w:rFonts w:ascii="Arial" w:hAnsi="Arial" w:cs="Arial"/>
          <w:sz w:val="24"/>
          <w:szCs w:val="24"/>
        </w:rPr>
        <w:t>,</w:t>
      </w:r>
      <w:r w:rsidR="00CC621D">
        <w:rPr>
          <w:rFonts w:ascii="Arial" w:hAnsi="Arial" w:cs="Arial"/>
          <w:sz w:val="24"/>
          <w:szCs w:val="24"/>
        </w:rPr>
        <w:t xml:space="preserve"> so only increase consumption if suitable to you.</w:t>
      </w:r>
    </w:p>
    <w:p w14:paraId="63A7BD35" w14:textId="4C66A772" w:rsidR="00491EED" w:rsidRDefault="00047C86" w:rsidP="00F254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Caffeinated tea does not </w:t>
      </w:r>
      <w:r w:rsidR="00385794">
        <w:rPr>
          <w:rFonts w:ascii="Arial" w:hAnsi="Arial" w:cs="Arial"/>
          <w:sz w:val="24"/>
          <w:szCs w:val="24"/>
        </w:rPr>
        <w:t xml:space="preserve">appear </w:t>
      </w:r>
      <w:r>
        <w:rPr>
          <w:rFonts w:ascii="Arial" w:hAnsi="Arial" w:cs="Arial"/>
          <w:sz w:val="24"/>
          <w:szCs w:val="24"/>
        </w:rPr>
        <w:t>to have the same benefits</w:t>
      </w:r>
      <w:r w:rsidR="00385794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the liver as coffee</w:t>
      </w:r>
      <w:r w:rsidR="00E873C9">
        <w:rPr>
          <w:rFonts w:ascii="Arial" w:hAnsi="Arial" w:cs="Arial"/>
          <w:sz w:val="24"/>
          <w:szCs w:val="24"/>
        </w:rPr>
        <w:t>. That said</w:t>
      </w:r>
      <w:r w:rsidR="00385794">
        <w:rPr>
          <w:rFonts w:ascii="Arial" w:hAnsi="Arial" w:cs="Arial"/>
          <w:sz w:val="24"/>
          <w:szCs w:val="24"/>
        </w:rPr>
        <w:t>,</w:t>
      </w:r>
      <w:r w:rsidR="00E873C9">
        <w:rPr>
          <w:rFonts w:ascii="Arial" w:hAnsi="Arial" w:cs="Arial"/>
          <w:sz w:val="24"/>
          <w:szCs w:val="24"/>
        </w:rPr>
        <w:t xml:space="preserve"> there are many other health benefits</w:t>
      </w:r>
      <w:r w:rsidR="00EC14DE">
        <w:rPr>
          <w:rFonts w:ascii="Arial" w:hAnsi="Arial" w:cs="Arial"/>
          <w:sz w:val="24"/>
          <w:szCs w:val="24"/>
        </w:rPr>
        <w:t xml:space="preserve"> associated with the </w:t>
      </w:r>
      <w:r w:rsidR="0066540D">
        <w:rPr>
          <w:rFonts w:ascii="Arial" w:hAnsi="Arial" w:cs="Arial"/>
          <w:sz w:val="24"/>
          <w:szCs w:val="24"/>
        </w:rPr>
        <w:t>antioxidants</w:t>
      </w:r>
      <w:r w:rsidR="00EC14DE">
        <w:rPr>
          <w:rFonts w:ascii="Arial" w:hAnsi="Arial" w:cs="Arial"/>
          <w:sz w:val="24"/>
          <w:szCs w:val="24"/>
        </w:rPr>
        <w:t xml:space="preserve"> contained within</w:t>
      </w:r>
      <w:r w:rsidR="005D34E1">
        <w:rPr>
          <w:rFonts w:ascii="Arial" w:hAnsi="Arial" w:cs="Arial"/>
          <w:sz w:val="24"/>
          <w:szCs w:val="24"/>
        </w:rPr>
        <w:t>; boosting immunity and linked to</w:t>
      </w:r>
      <w:r w:rsidR="00E873C9">
        <w:rPr>
          <w:rFonts w:ascii="Arial" w:hAnsi="Arial" w:cs="Arial"/>
          <w:sz w:val="24"/>
          <w:szCs w:val="24"/>
        </w:rPr>
        <w:t xml:space="preserve"> </w:t>
      </w:r>
      <w:r w:rsidR="003F03E4">
        <w:rPr>
          <w:rFonts w:ascii="Arial" w:hAnsi="Arial" w:cs="Arial"/>
          <w:sz w:val="24"/>
          <w:szCs w:val="24"/>
        </w:rPr>
        <w:t>protecting against neurodegenerative diseases such as Parkinson</w:t>
      </w:r>
      <w:r w:rsidR="0007694A">
        <w:rPr>
          <w:rFonts w:ascii="Arial" w:hAnsi="Arial" w:cs="Arial"/>
          <w:sz w:val="24"/>
          <w:szCs w:val="24"/>
        </w:rPr>
        <w:t>’s</w:t>
      </w:r>
      <w:r w:rsidR="003A3CA6">
        <w:rPr>
          <w:rFonts w:ascii="Arial" w:hAnsi="Arial" w:cs="Arial"/>
          <w:sz w:val="24"/>
          <w:szCs w:val="24"/>
        </w:rPr>
        <w:t xml:space="preserve"> (</w:t>
      </w:r>
      <w:r w:rsidR="003A3CA6" w:rsidRPr="003A3CA6">
        <w:rPr>
          <w:rFonts w:ascii="Arial" w:hAnsi="Arial" w:cs="Arial"/>
          <w:sz w:val="24"/>
          <w:szCs w:val="24"/>
        </w:rPr>
        <w:t>Caruana</w:t>
      </w:r>
      <w:r w:rsidR="003A3CA6">
        <w:rPr>
          <w:rFonts w:ascii="Arial" w:hAnsi="Arial" w:cs="Arial"/>
          <w:sz w:val="24"/>
          <w:szCs w:val="24"/>
        </w:rPr>
        <w:t xml:space="preserve"> </w:t>
      </w:r>
      <w:r w:rsidR="003A3CA6" w:rsidRPr="003A3CA6">
        <w:rPr>
          <w:rFonts w:ascii="Arial" w:hAnsi="Arial" w:cs="Arial"/>
          <w:sz w:val="24"/>
          <w:szCs w:val="24"/>
        </w:rPr>
        <w:t>&amp; Vassallo</w:t>
      </w:r>
      <w:r w:rsidR="003A3CA6">
        <w:rPr>
          <w:rFonts w:ascii="Arial" w:hAnsi="Arial" w:cs="Arial"/>
          <w:sz w:val="24"/>
          <w:szCs w:val="24"/>
        </w:rPr>
        <w:t xml:space="preserve">, </w:t>
      </w:r>
      <w:r w:rsidR="003A3CA6" w:rsidRPr="003A3CA6">
        <w:rPr>
          <w:rFonts w:ascii="Arial" w:hAnsi="Arial" w:cs="Arial"/>
          <w:sz w:val="24"/>
          <w:szCs w:val="24"/>
        </w:rPr>
        <w:t>2015)</w:t>
      </w:r>
      <w:r w:rsidR="003F03E4">
        <w:rPr>
          <w:rFonts w:ascii="Arial" w:hAnsi="Arial" w:cs="Arial"/>
          <w:sz w:val="24"/>
          <w:szCs w:val="24"/>
        </w:rPr>
        <w:t>.</w:t>
      </w:r>
      <w:r w:rsidR="00E00D1B">
        <w:rPr>
          <w:rFonts w:ascii="Arial" w:hAnsi="Arial" w:cs="Arial"/>
          <w:sz w:val="24"/>
          <w:szCs w:val="24"/>
        </w:rPr>
        <w:t xml:space="preserve"> So maybe a </w:t>
      </w:r>
      <w:r w:rsidR="00D43BC5">
        <w:rPr>
          <w:rFonts w:ascii="Arial" w:hAnsi="Arial" w:cs="Arial"/>
          <w:sz w:val="24"/>
          <w:szCs w:val="24"/>
        </w:rPr>
        <w:t>N</w:t>
      </w:r>
      <w:r w:rsidR="00E00D1B">
        <w:rPr>
          <w:rFonts w:ascii="Arial" w:hAnsi="Arial" w:cs="Arial"/>
          <w:sz w:val="24"/>
          <w:szCs w:val="24"/>
        </w:rPr>
        <w:t>ew Year</w:t>
      </w:r>
      <w:r w:rsidR="00D43BC5">
        <w:rPr>
          <w:rFonts w:ascii="Arial" w:hAnsi="Arial" w:cs="Arial"/>
          <w:sz w:val="24"/>
          <w:szCs w:val="24"/>
        </w:rPr>
        <w:t>’</w:t>
      </w:r>
      <w:r w:rsidR="00E00D1B">
        <w:rPr>
          <w:rFonts w:ascii="Arial" w:hAnsi="Arial" w:cs="Arial"/>
          <w:sz w:val="24"/>
          <w:szCs w:val="24"/>
        </w:rPr>
        <w:t xml:space="preserve">s resolution </w:t>
      </w:r>
      <w:r w:rsidR="00080FE7">
        <w:rPr>
          <w:rFonts w:ascii="Arial" w:hAnsi="Arial" w:cs="Arial"/>
          <w:sz w:val="24"/>
          <w:szCs w:val="24"/>
        </w:rPr>
        <w:t xml:space="preserve">should be </w:t>
      </w:r>
      <w:r w:rsidR="009D46FD">
        <w:rPr>
          <w:rFonts w:ascii="Arial" w:hAnsi="Arial" w:cs="Arial"/>
          <w:sz w:val="24"/>
          <w:szCs w:val="24"/>
        </w:rPr>
        <w:t xml:space="preserve">to </w:t>
      </w:r>
      <w:r w:rsidR="00080FE7">
        <w:rPr>
          <w:rFonts w:ascii="Arial" w:hAnsi="Arial" w:cs="Arial"/>
          <w:sz w:val="24"/>
          <w:szCs w:val="24"/>
        </w:rPr>
        <w:t>increas</w:t>
      </w:r>
      <w:r w:rsidR="009D46FD">
        <w:rPr>
          <w:rFonts w:ascii="Arial" w:hAnsi="Arial" w:cs="Arial"/>
          <w:sz w:val="24"/>
          <w:szCs w:val="24"/>
        </w:rPr>
        <w:t>e your</w:t>
      </w:r>
      <w:r w:rsidR="00080FE7">
        <w:rPr>
          <w:rFonts w:ascii="Arial" w:hAnsi="Arial" w:cs="Arial"/>
          <w:sz w:val="24"/>
          <w:szCs w:val="24"/>
        </w:rPr>
        <w:t xml:space="preserve"> </w:t>
      </w:r>
      <w:r w:rsidR="00E00D1B">
        <w:rPr>
          <w:rFonts w:ascii="Arial" w:hAnsi="Arial" w:cs="Arial"/>
          <w:sz w:val="24"/>
          <w:szCs w:val="24"/>
        </w:rPr>
        <w:t>coffee and tea consumption</w:t>
      </w:r>
      <w:r w:rsidR="00D94573">
        <w:rPr>
          <w:rFonts w:ascii="Arial" w:hAnsi="Arial" w:cs="Arial"/>
          <w:sz w:val="24"/>
          <w:szCs w:val="24"/>
        </w:rPr>
        <w:t>,</w:t>
      </w:r>
      <w:r w:rsidR="00080FE7">
        <w:rPr>
          <w:rFonts w:ascii="Arial" w:hAnsi="Arial" w:cs="Arial"/>
          <w:sz w:val="24"/>
          <w:szCs w:val="24"/>
        </w:rPr>
        <w:t xml:space="preserve"> rather than decreasing it</w:t>
      </w:r>
      <w:r w:rsidR="00670045">
        <w:rPr>
          <w:rFonts w:ascii="Arial" w:hAnsi="Arial" w:cs="Arial"/>
          <w:sz w:val="24"/>
          <w:szCs w:val="24"/>
        </w:rPr>
        <w:t>.</w:t>
      </w:r>
      <w:r w:rsidR="00491EED">
        <w:rPr>
          <w:rFonts w:ascii="Arial" w:hAnsi="Arial" w:cs="Arial"/>
          <w:sz w:val="24"/>
          <w:szCs w:val="24"/>
        </w:rPr>
        <w:t xml:space="preserve"> </w:t>
      </w:r>
    </w:p>
    <w:p w14:paraId="77CC8F96" w14:textId="3A534EB2" w:rsidR="005E2240" w:rsidRDefault="00513C58" w:rsidP="00F254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the forthcoming festive period i</w:t>
      </w:r>
      <w:r w:rsidR="00E970B2">
        <w:rPr>
          <w:rFonts w:ascii="Arial" w:hAnsi="Arial" w:cs="Arial"/>
          <w:sz w:val="24"/>
          <w:szCs w:val="24"/>
        </w:rPr>
        <w:t xml:space="preserve">t is reasonable to </w:t>
      </w:r>
      <w:r w:rsidR="00D83459">
        <w:rPr>
          <w:rFonts w:ascii="Arial" w:hAnsi="Arial" w:cs="Arial"/>
          <w:sz w:val="24"/>
          <w:szCs w:val="24"/>
        </w:rPr>
        <w:t>assume</w:t>
      </w:r>
      <w:r w:rsidR="00826881">
        <w:rPr>
          <w:rFonts w:ascii="Arial" w:hAnsi="Arial" w:cs="Arial"/>
          <w:sz w:val="24"/>
          <w:szCs w:val="24"/>
        </w:rPr>
        <w:t xml:space="preserve"> </w:t>
      </w:r>
      <w:r w:rsidR="00E970B2">
        <w:rPr>
          <w:rFonts w:ascii="Arial" w:hAnsi="Arial" w:cs="Arial"/>
          <w:sz w:val="24"/>
          <w:szCs w:val="24"/>
        </w:rPr>
        <w:t xml:space="preserve">that most people will </w:t>
      </w:r>
      <w:r w:rsidR="0022674B">
        <w:rPr>
          <w:rFonts w:ascii="Arial" w:hAnsi="Arial" w:cs="Arial"/>
          <w:sz w:val="24"/>
          <w:szCs w:val="24"/>
        </w:rPr>
        <w:t xml:space="preserve">indulge in </w:t>
      </w:r>
      <w:r w:rsidR="008E10B0">
        <w:rPr>
          <w:rFonts w:ascii="Arial" w:hAnsi="Arial" w:cs="Arial"/>
          <w:sz w:val="24"/>
          <w:szCs w:val="24"/>
        </w:rPr>
        <w:t>ea</w:t>
      </w:r>
      <w:r w:rsidR="00146162">
        <w:rPr>
          <w:rFonts w:ascii="Arial" w:hAnsi="Arial" w:cs="Arial"/>
          <w:sz w:val="24"/>
          <w:szCs w:val="24"/>
        </w:rPr>
        <w:t xml:space="preserve">ting more </w:t>
      </w:r>
      <w:r w:rsidR="0022674B">
        <w:rPr>
          <w:rFonts w:ascii="Arial" w:hAnsi="Arial" w:cs="Arial"/>
          <w:sz w:val="24"/>
          <w:szCs w:val="24"/>
        </w:rPr>
        <w:t xml:space="preserve">food, sweets, </w:t>
      </w:r>
      <w:r w:rsidR="005E6AAD">
        <w:rPr>
          <w:rFonts w:ascii="Arial" w:hAnsi="Arial" w:cs="Arial"/>
          <w:sz w:val="24"/>
          <w:szCs w:val="24"/>
        </w:rPr>
        <w:t>desserts</w:t>
      </w:r>
      <w:r w:rsidR="00326BB1">
        <w:rPr>
          <w:rFonts w:ascii="Arial" w:hAnsi="Arial" w:cs="Arial"/>
          <w:sz w:val="24"/>
          <w:szCs w:val="24"/>
        </w:rPr>
        <w:t>,</w:t>
      </w:r>
      <w:r w:rsidR="0022674B">
        <w:rPr>
          <w:rFonts w:ascii="Arial" w:hAnsi="Arial" w:cs="Arial"/>
          <w:sz w:val="24"/>
          <w:szCs w:val="24"/>
        </w:rPr>
        <w:t xml:space="preserve"> and drink</w:t>
      </w:r>
      <w:r w:rsidR="00A0158A">
        <w:rPr>
          <w:rFonts w:ascii="Arial" w:hAnsi="Arial" w:cs="Arial"/>
          <w:sz w:val="24"/>
          <w:szCs w:val="24"/>
        </w:rPr>
        <w:t xml:space="preserve"> </w:t>
      </w:r>
      <w:r w:rsidR="0022674B">
        <w:rPr>
          <w:rFonts w:ascii="Arial" w:hAnsi="Arial" w:cs="Arial"/>
          <w:sz w:val="24"/>
          <w:szCs w:val="24"/>
        </w:rPr>
        <w:t xml:space="preserve">than </w:t>
      </w:r>
      <w:r w:rsidR="00826881">
        <w:rPr>
          <w:rFonts w:ascii="Arial" w:hAnsi="Arial" w:cs="Arial"/>
          <w:sz w:val="24"/>
          <w:szCs w:val="24"/>
        </w:rPr>
        <w:t>usual. This can</w:t>
      </w:r>
      <w:r w:rsidR="00BE6331">
        <w:rPr>
          <w:rFonts w:ascii="Arial" w:hAnsi="Arial" w:cs="Arial"/>
          <w:sz w:val="24"/>
          <w:szCs w:val="24"/>
        </w:rPr>
        <w:t xml:space="preserve"> lead to some weight gain over </w:t>
      </w:r>
      <w:r w:rsidR="00BD2AED">
        <w:rPr>
          <w:rFonts w:ascii="Arial" w:hAnsi="Arial" w:cs="Arial"/>
          <w:sz w:val="24"/>
          <w:szCs w:val="24"/>
        </w:rPr>
        <w:t>t</w:t>
      </w:r>
      <w:r w:rsidR="00BE6331">
        <w:rPr>
          <w:rFonts w:ascii="Arial" w:hAnsi="Arial" w:cs="Arial"/>
          <w:sz w:val="24"/>
          <w:szCs w:val="24"/>
        </w:rPr>
        <w:t xml:space="preserve">he festive </w:t>
      </w:r>
      <w:r w:rsidR="001536E1">
        <w:rPr>
          <w:rFonts w:ascii="Arial" w:hAnsi="Arial" w:cs="Arial"/>
          <w:sz w:val="24"/>
          <w:szCs w:val="24"/>
        </w:rPr>
        <w:t>period</w:t>
      </w:r>
      <w:r w:rsidR="00BD2AED">
        <w:rPr>
          <w:rFonts w:ascii="Arial" w:hAnsi="Arial" w:cs="Arial"/>
          <w:sz w:val="24"/>
          <w:szCs w:val="24"/>
        </w:rPr>
        <w:t>. Whilst for many this is not an issue</w:t>
      </w:r>
      <w:r w:rsidR="00182F0C">
        <w:rPr>
          <w:rFonts w:ascii="Arial" w:hAnsi="Arial" w:cs="Arial"/>
          <w:sz w:val="24"/>
          <w:szCs w:val="24"/>
        </w:rPr>
        <w:t>,</w:t>
      </w:r>
      <w:r w:rsidR="004A548C">
        <w:rPr>
          <w:rFonts w:ascii="Arial" w:hAnsi="Arial" w:cs="Arial"/>
          <w:sz w:val="24"/>
          <w:szCs w:val="24"/>
        </w:rPr>
        <w:t xml:space="preserve"> </w:t>
      </w:r>
      <w:r w:rsidR="00BD2AED">
        <w:rPr>
          <w:rFonts w:ascii="Arial" w:hAnsi="Arial" w:cs="Arial"/>
          <w:sz w:val="24"/>
          <w:szCs w:val="24"/>
        </w:rPr>
        <w:t xml:space="preserve">for others </w:t>
      </w:r>
      <w:r w:rsidR="000520AE">
        <w:rPr>
          <w:rFonts w:ascii="Arial" w:hAnsi="Arial" w:cs="Arial"/>
          <w:sz w:val="24"/>
          <w:szCs w:val="24"/>
        </w:rPr>
        <w:t>this can be.</w:t>
      </w:r>
      <w:r w:rsidR="00A0158A" w:rsidRPr="00A0158A">
        <w:rPr>
          <w:rFonts w:ascii="Arial" w:hAnsi="Arial" w:cs="Arial"/>
          <w:sz w:val="24"/>
          <w:szCs w:val="24"/>
        </w:rPr>
        <w:t xml:space="preserve"> Over 25% of the adult population in the world suffers from </w:t>
      </w:r>
      <w:r w:rsidR="002E0B3A">
        <w:rPr>
          <w:rFonts w:ascii="Arial" w:hAnsi="Arial" w:cs="Arial"/>
          <w:sz w:val="24"/>
          <w:szCs w:val="24"/>
        </w:rPr>
        <w:t>n</w:t>
      </w:r>
      <w:r w:rsidR="000520AE">
        <w:rPr>
          <w:rFonts w:ascii="Arial" w:hAnsi="Arial" w:cs="Arial"/>
          <w:sz w:val="24"/>
          <w:szCs w:val="24"/>
        </w:rPr>
        <w:t>on</w:t>
      </w:r>
      <w:r w:rsidR="00C27228">
        <w:rPr>
          <w:rFonts w:ascii="Arial" w:hAnsi="Arial" w:cs="Arial"/>
          <w:sz w:val="24"/>
          <w:szCs w:val="24"/>
        </w:rPr>
        <w:t>-a</w:t>
      </w:r>
      <w:r w:rsidR="0044216C">
        <w:rPr>
          <w:rFonts w:ascii="Arial" w:hAnsi="Arial" w:cs="Arial"/>
          <w:sz w:val="24"/>
          <w:szCs w:val="24"/>
        </w:rPr>
        <w:t xml:space="preserve">lcoholic </w:t>
      </w:r>
      <w:r w:rsidR="00C27228">
        <w:rPr>
          <w:rFonts w:ascii="Arial" w:hAnsi="Arial" w:cs="Arial"/>
          <w:sz w:val="24"/>
          <w:szCs w:val="24"/>
        </w:rPr>
        <w:t>f</w:t>
      </w:r>
      <w:r w:rsidR="0044216C">
        <w:rPr>
          <w:rFonts w:ascii="Arial" w:hAnsi="Arial" w:cs="Arial"/>
          <w:sz w:val="24"/>
          <w:szCs w:val="24"/>
        </w:rPr>
        <w:t xml:space="preserve">atty </w:t>
      </w:r>
      <w:r w:rsidR="00C27228">
        <w:rPr>
          <w:rFonts w:ascii="Arial" w:hAnsi="Arial" w:cs="Arial"/>
          <w:sz w:val="24"/>
          <w:szCs w:val="24"/>
        </w:rPr>
        <w:t>liver d</w:t>
      </w:r>
      <w:r w:rsidR="0044216C">
        <w:rPr>
          <w:rFonts w:ascii="Arial" w:hAnsi="Arial" w:cs="Arial"/>
          <w:sz w:val="24"/>
          <w:szCs w:val="24"/>
        </w:rPr>
        <w:t>isease</w:t>
      </w:r>
      <w:r w:rsidR="00007AE9">
        <w:rPr>
          <w:rFonts w:ascii="Arial" w:hAnsi="Arial" w:cs="Arial"/>
          <w:sz w:val="24"/>
          <w:szCs w:val="24"/>
        </w:rPr>
        <w:t xml:space="preserve"> (NAFLD)</w:t>
      </w:r>
      <w:r w:rsidR="00A0158A" w:rsidRPr="00A0158A">
        <w:rPr>
          <w:rFonts w:ascii="Arial" w:hAnsi="Arial" w:cs="Arial"/>
          <w:sz w:val="24"/>
          <w:szCs w:val="24"/>
        </w:rPr>
        <w:t>,</w:t>
      </w:r>
      <w:r w:rsidR="0044216C">
        <w:rPr>
          <w:rFonts w:ascii="Arial" w:hAnsi="Arial" w:cs="Arial"/>
          <w:sz w:val="24"/>
          <w:szCs w:val="24"/>
        </w:rPr>
        <w:t xml:space="preserve"> which is often</w:t>
      </w:r>
      <w:r w:rsidR="00A0158A" w:rsidRPr="00A0158A">
        <w:rPr>
          <w:rFonts w:ascii="Arial" w:hAnsi="Arial" w:cs="Arial"/>
          <w:sz w:val="24"/>
          <w:szCs w:val="24"/>
        </w:rPr>
        <w:t xml:space="preserve"> underdiagnosed due to its non-specific symptoms</w:t>
      </w:r>
      <w:r w:rsidR="00007AE9">
        <w:rPr>
          <w:rFonts w:ascii="Arial" w:hAnsi="Arial" w:cs="Arial"/>
          <w:sz w:val="24"/>
          <w:szCs w:val="24"/>
        </w:rPr>
        <w:t xml:space="preserve"> </w:t>
      </w:r>
      <w:r w:rsidR="008501EF">
        <w:rPr>
          <w:rFonts w:ascii="Arial" w:hAnsi="Arial" w:cs="Arial"/>
          <w:sz w:val="24"/>
          <w:szCs w:val="24"/>
        </w:rPr>
        <w:t>(De Chiara et al., 2019)</w:t>
      </w:r>
      <w:r w:rsidR="00007AE9">
        <w:rPr>
          <w:rFonts w:ascii="Arial" w:hAnsi="Arial" w:cs="Arial"/>
          <w:sz w:val="24"/>
          <w:szCs w:val="24"/>
        </w:rPr>
        <w:t>.</w:t>
      </w:r>
      <w:r w:rsidR="00C22200">
        <w:rPr>
          <w:rFonts w:ascii="Arial" w:hAnsi="Arial" w:cs="Arial"/>
          <w:sz w:val="24"/>
          <w:szCs w:val="24"/>
        </w:rPr>
        <w:t xml:space="preserve"> Bearing in mind most people are unaware they have this condition </w:t>
      </w:r>
      <w:r w:rsidR="00950BBA">
        <w:rPr>
          <w:rFonts w:ascii="Arial" w:hAnsi="Arial" w:cs="Arial"/>
          <w:sz w:val="24"/>
          <w:szCs w:val="24"/>
        </w:rPr>
        <w:t xml:space="preserve">they will also be unaware </w:t>
      </w:r>
      <w:r w:rsidR="001B53DF">
        <w:rPr>
          <w:rFonts w:ascii="Arial" w:hAnsi="Arial" w:cs="Arial"/>
          <w:sz w:val="24"/>
          <w:szCs w:val="24"/>
        </w:rPr>
        <w:t xml:space="preserve">if their NAFLD </w:t>
      </w:r>
      <w:r w:rsidR="00797B05">
        <w:rPr>
          <w:rFonts w:ascii="Arial" w:hAnsi="Arial" w:cs="Arial"/>
          <w:sz w:val="24"/>
          <w:szCs w:val="24"/>
        </w:rPr>
        <w:t>has developed into a more</w:t>
      </w:r>
      <w:r w:rsidR="00C22200" w:rsidRPr="00C22200">
        <w:rPr>
          <w:rFonts w:ascii="Arial" w:hAnsi="Arial" w:cs="Arial"/>
          <w:sz w:val="24"/>
          <w:szCs w:val="24"/>
        </w:rPr>
        <w:t xml:space="preserve"> aggressive form</w:t>
      </w:r>
      <w:r w:rsidR="00797B05">
        <w:rPr>
          <w:rFonts w:ascii="Arial" w:hAnsi="Arial" w:cs="Arial"/>
          <w:sz w:val="24"/>
          <w:szCs w:val="24"/>
        </w:rPr>
        <w:t>, known as non-alcoholic steatohepatitis</w:t>
      </w:r>
      <w:r w:rsidR="003C78FF">
        <w:rPr>
          <w:rFonts w:ascii="Arial" w:hAnsi="Arial" w:cs="Arial"/>
          <w:sz w:val="24"/>
          <w:szCs w:val="24"/>
        </w:rPr>
        <w:t xml:space="preserve"> (NASH)</w:t>
      </w:r>
      <w:r w:rsidR="00961458">
        <w:rPr>
          <w:rFonts w:ascii="Arial" w:hAnsi="Arial" w:cs="Arial"/>
          <w:sz w:val="24"/>
          <w:szCs w:val="24"/>
        </w:rPr>
        <w:t>. O</w:t>
      </w:r>
      <w:r w:rsidR="00FD5B0E">
        <w:rPr>
          <w:rFonts w:ascii="Arial" w:hAnsi="Arial" w:cs="Arial"/>
          <w:sz w:val="24"/>
          <w:szCs w:val="24"/>
        </w:rPr>
        <w:t>ver time this will lead</w:t>
      </w:r>
      <w:r w:rsidR="003A1884">
        <w:rPr>
          <w:rFonts w:ascii="Arial" w:hAnsi="Arial" w:cs="Arial"/>
          <w:sz w:val="24"/>
          <w:szCs w:val="24"/>
        </w:rPr>
        <w:t xml:space="preserve"> to cirrhosis</w:t>
      </w:r>
      <w:r w:rsidR="007F3A71">
        <w:rPr>
          <w:rFonts w:ascii="Arial" w:hAnsi="Arial" w:cs="Arial"/>
          <w:sz w:val="24"/>
          <w:szCs w:val="24"/>
        </w:rPr>
        <w:t xml:space="preserve"> and increased </w:t>
      </w:r>
      <w:r w:rsidR="006B2789">
        <w:rPr>
          <w:rFonts w:ascii="Arial" w:hAnsi="Arial" w:cs="Arial"/>
          <w:sz w:val="24"/>
          <w:szCs w:val="24"/>
        </w:rPr>
        <w:t>morbidity associated with the complications o</w:t>
      </w:r>
      <w:r w:rsidR="00362E3A">
        <w:rPr>
          <w:rFonts w:ascii="Arial" w:hAnsi="Arial" w:cs="Arial"/>
          <w:sz w:val="24"/>
          <w:szCs w:val="24"/>
        </w:rPr>
        <w:t>f</w:t>
      </w:r>
      <w:r w:rsidR="006B2789">
        <w:rPr>
          <w:rFonts w:ascii="Arial" w:hAnsi="Arial" w:cs="Arial"/>
          <w:sz w:val="24"/>
          <w:szCs w:val="24"/>
        </w:rPr>
        <w:t xml:space="preserve"> portal hypertension </w:t>
      </w:r>
      <w:r w:rsidR="007F3A71">
        <w:rPr>
          <w:rFonts w:ascii="Arial" w:hAnsi="Arial" w:cs="Arial"/>
          <w:sz w:val="24"/>
          <w:szCs w:val="24"/>
        </w:rPr>
        <w:t xml:space="preserve">leading to </w:t>
      </w:r>
      <w:r w:rsidR="003A1884">
        <w:rPr>
          <w:rFonts w:ascii="Arial" w:hAnsi="Arial" w:cs="Arial"/>
          <w:sz w:val="24"/>
          <w:szCs w:val="24"/>
        </w:rPr>
        <w:t>liver related mortality</w:t>
      </w:r>
      <w:r w:rsidR="00F41A72">
        <w:rPr>
          <w:rFonts w:ascii="Arial" w:hAnsi="Arial" w:cs="Arial"/>
          <w:sz w:val="24"/>
          <w:szCs w:val="24"/>
        </w:rPr>
        <w:t>.</w:t>
      </w:r>
      <w:r w:rsidR="002405C4">
        <w:rPr>
          <w:rFonts w:ascii="Arial" w:hAnsi="Arial" w:cs="Arial"/>
          <w:sz w:val="24"/>
          <w:szCs w:val="24"/>
        </w:rPr>
        <w:t xml:space="preserve"> </w:t>
      </w:r>
      <w:r w:rsidR="005F761B">
        <w:rPr>
          <w:rFonts w:ascii="Arial" w:hAnsi="Arial" w:cs="Arial"/>
          <w:sz w:val="24"/>
          <w:szCs w:val="24"/>
        </w:rPr>
        <w:t>Globally</w:t>
      </w:r>
      <w:r w:rsidR="00B74820">
        <w:rPr>
          <w:rFonts w:ascii="Arial" w:hAnsi="Arial" w:cs="Arial"/>
          <w:sz w:val="24"/>
          <w:szCs w:val="24"/>
        </w:rPr>
        <w:t>,</w:t>
      </w:r>
      <w:r w:rsidR="005F761B">
        <w:rPr>
          <w:rFonts w:ascii="Arial" w:hAnsi="Arial" w:cs="Arial"/>
          <w:sz w:val="24"/>
          <w:szCs w:val="24"/>
        </w:rPr>
        <w:t xml:space="preserve"> this is of huge </w:t>
      </w:r>
      <w:r w:rsidR="00B74820">
        <w:rPr>
          <w:rFonts w:ascii="Arial" w:hAnsi="Arial" w:cs="Arial"/>
          <w:sz w:val="24"/>
          <w:szCs w:val="24"/>
        </w:rPr>
        <w:t>concern</w:t>
      </w:r>
      <w:r w:rsidR="00F718B9">
        <w:rPr>
          <w:rFonts w:ascii="Arial" w:hAnsi="Arial" w:cs="Arial"/>
          <w:sz w:val="24"/>
          <w:szCs w:val="24"/>
        </w:rPr>
        <w:t xml:space="preserve"> as </w:t>
      </w:r>
      <w:r w:rsidR="002229CD">
        <w:rPr>
          <w:rFonts w:ascii="Arial" w:hAnsi="Arial" w:cs="Arial"/>
          <w:sz w:val="24"/>
          <w:szCs w:val="24"/>
        </w:rPr>
        <w:t>theor</w:t>
      </w:r>
      <w:r w:rsidR="00234054">
        <w:rPr>
          <w:rFonts w:ascii="Arial" w:hAnsi="Arial" w:cs="Arial"/>
          <w:sz w:val="24"/>
          <w:szCs w:val="24"/>
        </w:rPr>
        <w:t>etical modelling</w:t>
      </w:r>
      <w:r w:rsidR="00F718B9">
        <w:rPr>
          <w:rFonts w:ascii="Arial" w:hAnsi="Arial" w:cs="Arial"/>
          <w:sz w:val="24"/>
          <w:szCs w:val="24"/>
        </w:rPr>
        <w:t xml:space="preserve"> project that</w:t>
      </w:r>
      <w:r w:rsidR="00234054">
        <w:rPr>
          <w:rFonts w:ascii="Arial" w:hAnsi="Arial" w:cs="Arial"/>
          <w:sz w:val="24"/>
          <w:szCs w:val="24"/>
        </w:rPr>
        <w:t xml:space="preserve"> the</w:t>
      </w:r>
      <w:r w:rsidR="00C22200" w:rsidRPr="00C22200">
        <w:rPr>
          <w:rFonts w:ascii="Arial" w:hAnsi="Arial" w:cs="Arial"/>
          <w:sz w:val="24"/>
          <w:szCs w:val="24"/>
        </w:rPr>
        <w:t xml:space="preserve"> number of NASH cases </w:t>
      </w:r>
      <w:r w:rsidR="008D74DC">
        <w:rPr>
          <w:rFonts w:ascii="Arial" w:hAnsi="Arial" w:cs="Arial"/>
          <w:sz w:val="24"/>
          <w:szCs w:val="24"/>
        </w:rPr>
        <w:t xml:space="preserve">will </w:t>
      </w:r>
      <w:r w:rsidR="00C22200" w:rsidRPr="00C22200">
        <w:rPr>
          <w:rFonts w:ascii="Arial" w:hAnsi="Arial" w:cs="Arial"/>
          <w:sz w:val="24"/>
          <w:szCs w:val="24"/>
        </w:rPr>
        <w:t>increase from 16.52 million cases in 2015</w:t>
      </w:r>
      <w:r w:rsidR="008D74DC">
        <w:rPr>
          <w:rFonts w:ascii="Arial" w:hAnsi="Arial" w:cs="Arial"/>
          <w:sz w:val="24"/>
          <w:szCs w:val="24"/>
        </w:rPr>
        <w:t>,</w:t>
      </w:r>
      <w:r w:rsidR="00C22200" w:rsidRPr="00C22200">
        <w:rPr>
          <w:rFonts w:ascii="Arial" w:hAnsi="Arial" w:cs="Arial"/>
          <w:sz w:val="24"/>
          <w:szCs w:val="24"/>
        </w:rPr>
        <w:t xml:space="preserve"> to 27.00 million in 2030</w:t>
      </w:r>
      <w:r w:rsidR="00234054">
        <w:rPr>
          <w:rFonts w:ascii="Arial" w:hAnsi="Arial" w:cs="Arial"/>
          <w:sz w:val="24"/>
          <w:szCs w:val="24"/>
        </w:rPr>
        <w:t xml:space="preserve">, posing a </w:t>
      </w:r>
      <w:r w:rsidR="0038676A">
        <w:rPr>
          <w:rFonts w:ascii="Arial" w:hAnsi="Arial" w:cs="Arial"/>
          <w:sz w:val="24"/>
          <w:szCs w:val="24"/>
        </w:rPr>
        <w:t xml:space="preserve">future </w:t>
      </w:r>
      <w:r w:rsidR="00234054">
        <w:rPr>
          <w:rFonts w:ascii="Arial" w:hAnsi="Arial" w:cs="Arial"/>
          <w:sz w:val="24"/>
          <w:szCs w:val="24"/>
        </w:rPr>
        <w:t xml:space="preserve">huge </w:t>
      </w:r>
      <w:r w:rsidR="00BD5EFE">
        <w:rPr>
          <w:rFonts w:ascii="Arial" w:hAnsi="Arial" w:cs="Arial"/>
          <w:sz w:val="24"/>
          <w:szCs w:val="24"/>
        </w:rPr>
        <w:t>health problem (Estes et al.</w:t>
      </w:r>
      <w:r w:rsidR="00967738">
        <w:rPr>
          <w:rFonts w:ascii="Arial" w:hAnsi="Arial" w:cs="Arial"/>
          <w:sz w:val="24"/>
          <w:szCs w:val="24"/>
        </w:rPr>
        <w:t>, 2018)</w:t>
      </w:r>
      <w:r w:rsidR="006E08D5">
        <w:rPr>
          <w:rFonts w:ascii="Arial" w:hAnsi="Arial" w:cs="Arial"/>
          <w:sz w:val="24"/>
          <w:szCs w:val="24"/>
        </w:rPr>
        <w:t>.</w:t>
      </w:r>
    </w:p>
    <w:p w14:paraId="3E6AB163" w14:textId="6770C4E0" w:rsidR="00B13B08" w:rsidRDefault="00224C4C" w:rsidP="00F254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January</w:t>
      </w:r>
      <w:r w:rsidR="00427D35">
        <w:rPr>
          <w:rFonts w:ascii="Arial" w:hAnsi="Arial" w:cs="Arial"/>
          <w:sz w:val="24"/>
          <w:szCs w:val="24"/>
        </w:rPr>
        <w:t xml:space="preserve"> is always a good time to reflect on what we can do better, the </w:t>
      </w:r>
      <w:r w:rsidR="009135F3">
        <w:rPr>
          <w:rFonts w:ascii="Arial" w:hAnsi="Arial" w:cs="Arial"/>
          <w:sz w:val="24"/>
          <w:szCs w:val="24"/>
        </w:rPr>
        <w:t>so-called</w:t>
      </w:r>
      <w:r w:rsidR="00427D35">
        <w:rPr>
          <w:rFonts w:ascii="Arial" w:hAnsi="Arial" w:cs="Arial"/>
          <w:sz w:val="24"/>
          <w:szCs w:val="24"/>
        </w:rPr>
        <w:t xml:space="preserve"> New </w:t>
      </w:r>
      <w:r w:rsidR="00DD007D">
        <w:rPr>
          <w:rFonts w:ascii="Arial" w:hAnsi="Arial" w:cs="Arial"/>
          <w:sz w:val="24"/>
          <w:szCs w:val="24"/>
        </w:rPr>
        <w:t>Y</w:t>
      </w:r>
      <w:r w:rsidR="00427D35">
        <w:rPr>
          <w:rFonts w:ascii="Arial" w:hAnsi="Arial" w:cs="Arial"/>
          <w:sz w:val="24"/>
          <w:szCs w:val="24"/>
        </w:rPr>
        <w:t>ear</w:t>
      </w:r>
      <w:r w:rsidR="00DD007D">
        <w:rPr>
          <w:rFonts w:ascii="Arial" w:hAnsi="Arial" w:cs="Arial"/>
          <w:sz w:val="24"/>
          <w:szCs w:val="24"/>
        </w:rPr>
        <w:t>’</w:t>
      </w:r>
      <w:r w:rsidR="00427D35">
        <w:rPr>
          <w:rFonts w:ascii="Arial" w:hAnsi="Arial" w:cs="Arial"/>
          <w:sz w:val="24"/>
          <w:szCs w:val="24"/>
        </w:rPr>
        <w:t xml:space="preserve">s </w:t>
      </w:r>
      <w:r w:rsidR="00DD007D">
        <w:rPr>
          <w:rFonts w:ascii="Arial" w:hAnsi="Arial" w:cs="Arial"/>
          <w:sz w:val="24"/>
          <w:szCs w:val="24"/>
        </w:rPr>
        <w:t>r</w:t>
      </w:r>
      <w:r w:rsidR="00427D35">
        <w:rPr>
          <w:rFonts w:ascii="Arial" w:hAnsi="Arial" w:cs="Arial"/>
          <w:sz w:val="24"/>
          <w:szCs w:val="24"/>
        </w:rPr>
        <w:t>esoluti</w:t>
      </w:r>
      <w:r w:rsidR="00DD007D">
        <w:rPr>
          <w:rFonts w:ascii="Arial" w:hAnsi="Arial" w:cs="Arial"/>
          <w:sz w:val="24"/>
          <w:szCs w:val="24"/>
        </w:rPr>
        <w:t>o</w:t>
      </w:r>
      <w:r w:rsidR="00427D35">
        <w:rPr>
          <w:rFonts w:ascii="Arial" w:hAnsi="Arial" w:cs="Arial"/>
          <w:sz w:val="24"/>
          <w:szCs w:val="24"/>
        </w:rPr>
        <w:t>ns</w:t>
      </w:r>
      <w:r w:rsidR="00DD007D">
        <w:rPr>
          <w:rFonts w:ascii="Arial" w:hAnsi="Arial" w:cs="Arial"/>
          <w:sz w:val="24"/>
          <w:szCs w:val="24"/>
        </w:rPr>
        <w:t xml:space="preserve">. </w:t>
      </w:r>
      <w:r w:rsidR="00D945AF">
        <w:rPr>
          <w:rFonts w:ascii="Arial" w:hAnsi="Arial" w:cs="Arial"/>
          <w:sz w:val="24"/>
          <w:szCs w:val="24"/>
        </w:rPr>
        <w:t xml:space="preserve">We often think about losing weight </w:t>
      </w:r>
      <w:r w:rsidR="0038676A">
        <w:rPr>
          <w:rFonts w:ascii="Arial" w:hAnsi="Arial" w:cs="Arial"/>
          <w:sz w:val="24"/>
          <w:szCs w:val="24"/>
        </w:rPr>
        <w:t>and in light of the evidence</w:t>
      </w:r>
      <w:r w:rsidR="00E31F30">
        <w:rPr>
          <w:rFonts w:ascii="Arial" w:hAnsi="Arial" w:cs="Arial"/>
          <w:sz w:val="24"/>
          <w:szCs w:val="24"/>
        </w:rPr>
        <w:t xml:space="preserve"> above</w:t>
      </w:r>
      <w:r w:rsidR="007255E4">
        <w:rPr>
          <w:rFonts w:ascii="Arial" w:hAnsi="Arial" w:cs="Arial"/>
          <w:sz w:val="24"/>
          <w:szCs w:val="24"/>
        </w:rPr>
        <w:t>,</w:t>
      </w:r>
      <w:r w:rsidR="0038676A">
        <w:rPr>
          <w:rFonts w:ascii="Arial" w:hAnsi="Arial" w:cs="Arial"/>
          <w:sz w:val="24"/>
          <w:szCs w:val="24"/>
        </w:rPr>
        <w:t xml:space="preserve"> is </w:t>
      </w:r>
      <w:r w:rsidR="00360E9E">
        <w:rPr>
          <w:rFonts w:ascii="Arial" w:hAnsi="Arial" w:cs="Arial"/>
          <w:sz w:val="24"/>
          <w:szCs w:val="24"/>
        </w:rPr>
        <w:t>a positive consideration. Alc</w:t>
      </w:r>
      <w:r w:rsidR="004A720A">
        <w:rPr>
          <w:rFonts w:ascii="Arial" w:hAnsi="Arial" w:cs="Arial"/>
          <w:sz w:val="24"/>
          <w:szCs w:val="24"/>
        </w:rPr>
        <w:t xml:space="preserve">ohol is also something we consider </w:t>
      </w:r>
      <w:r w:rsidR="00D945AF">
        <w:rPr>
          <w:rFonts w:ascii="Arial" w:hAnsi="Arial" w:cs="Arial"/>
          <w:sz w:val="24"/>
          <w:szCs w:val="24"/>
        </w:rPr>
        <w:t xml:space="preserve">cutting down </w:t>
      </w:r>
      <w:r w:rsidR="007C025B">
        <w:rPr>
          <w:rFonts w:ascii="Arial" w:hAnsi="Arial" w:cs="Arial"/>
          <w:sz w:val="24"/>
          <w:szCs w:val="24"/>
        </w:rPr>
        <w:t xml:space="preserve">on </w:t>
      </w:r>
      <w:r w:rsidR="00D945AF">
        <w:rPr>
          <w:rFonts w:ascii="Arial" w:hAnsi="Arial" w:cs="Arial"/>
          <w:sz w:val="24"/>
          <w:szCs w:val="24"/>
        </w:rPr>
        <w:t xml:space="preserve">or </w:t>
      </w:r>
      <w:r w:rsidR="007C025B">
        <w:rPr>
          <w:rFonts w:ascii="Arial" w:hAnsi="Arial" w:cs="Arial"/>
          <w:sz w:val="24"/>
          <w:szCs w:val="24"/>
        </w:rPr>
        <w:t xml:space="preserve">even </w:t>
      </w:r>
      <w:r w:rsidR="00D945AF">
        <w:rPr>
          <w:rFonts w:ascii="Arial" w:hAnsi="Arial" w:cs="Arial"/>
          <w:sz w:val="24"/>
          <w:szCs w:val="24"/>
        </w:rPr>
        <w:t xml:space="preserve">stopping </w:t>
      </w:r>
      <w:r w:rsidR="00FC6B5D">
        <w:rPr>
          <w:rFonts w:ascii="Arial" w:hAnsi="Arial" w:cs="Arial"/>
          <w:sz w:val="24"/>
          <w:szCs w:val="24"/>
        </w:rPr>
        <w:t xml:space="preserve">as in </w:t>
      </w:r>
      <w:r w:rsidR="00FC6B5D" w:rsidRPr="00BC10D9">
        <w:rPr>
          <w:rFonts w:ascii="Arial" w:hAnsi="Arial" w:cs="Arial"/>
          <w:i/>
          <w:iCs/>
          <w:sz w:val="24"/>
          <w:szCs w:val="24"/>
        </w:rPr>
        <w:t>Dry</w:t>
      </w:r>
      <w:r w:rsidR="00427D35" w:rsidRPr="00BC10D9">
        <w:rPr>
          <w:rFonts w:ascii="Arial" w:hAnsi="Arial" w:cs="Arial"/>
          <w:i/>
          <w:iCs/>
          <w:sz w:val="24"/>
          <w:szCs w:val="24"/>
        </w:rPr>
        <w:t xml:space="preserve"> </w:t>
      </w:r>
      <w:r w:rsidR="00ED068C" w:rsidRPr="00BC10D9">
        <w:rPr>
          <w:rFonts w:ascii="Arial" w:hAnsi="Arial" w:cs="Arial"/>
          <w:i/>
          <w:iCs/>
          <w:sz w:val="24"/>
          <w:szCs w:val="24"/>
        </w:rPr>
        <w:t>January</w:t>
      </w:r>
      <w:r>
        <w:rPr>
          <w:rFonts w:ascii="Arial" w:hAnsi="Arial" w:cs="Arial"/>
          <w:sz w:val="24"/>
          <w:szCs w:val="24"/>
        </w:rPr>
        <w:t>.</w:t>
      </w:r>
      <w:r w:rsidR="00B13B08">
        <w:rPr>
          <w:rFonts w:ascii="Arial" w:hAnsi="Arial" w:cs="Arial"/>
          <w:sz w:val="24"/>
          <w:szCs w:val="24"/>
        </w:rPr>
        <w:t xml:space="preserve"> However, are we setting ourselves to fail</w:t>
      </w:r>
      <w:r w:rsidR="00B511EE">
        <w:rPr>
          <w:rFonts w:ascii="Arial" w:hAnsi="Arial" w:cs="Arial"/>
          <w:sz w:val="24"/>
          <w:szCs w:val="24"/>
        </w:rPr>
        <w:t xml:space="preserve"> by commencing diets and cutting down alcohol </w:t>
      </w:r>
      <w:r w:rsidR="003D6BD3">
        <w:rPr>
          <w:rFonts w:ascii="Arial" w:hAnsi="Arial" w:cs="Arial"/>
          <w:sz w:val="24"/>
          <w:szCs w:val="24"/>
        </w:rPr>
        <w:t>in the New Year? Many of us will have been gifted presents containing wonderful food, chocolates</w:t>
      </w:r>
      <w:r w:rsidR="00073E53">
        <w:rPr>
          <w:rFonts w:ascii="Arial" w:hAnsi="Arial" w:cs="Arial"/>
          <w:sz w:val="24"/>
          <w:szCs w:val="24"/>
        </w:rPr>
        <w:t>,</w:t>
      </w:r>
      <w:r w:rsidR="003D6BD3">
        <w:rPr>
          <w:rFonts w:ascii="Arial" w:hAnsi="Arial" w:cs="Arial"/>
          <w:sz w:val="24"/>
          <w:szCs w:val="24"/>
        </w:rPr>
        <w:t xml:space="preserve"> or alcohol</w:t>
      </w:r>
      <w:r w:rsidR="007C025B">
        <w:rPr>
          <w:rFonts w:ascii="Arial" w:hAnsi="Arial" w:cs="Arial"/>
          <w:sz w:val="24"/>
          <w:szCs w:val="24"/>
        </w:rPr>
        <w:t>,</w:t>
      </w:r>
      <w:r w:rsidR="00E35D2B">
        <w:rPr>
          <w:rFonts w:ascii="Arial" w:hAnsi="Arial" w:cs="Arial"/>
          <w:sz w:val="24"/>
          <w:szCs w:val="24"/>
        </w:rPr>
        <w:t xml:space="preserve"> so to try and give these up in </w:t>
      </w:r>
      <w:r w:rsidR="00073E53">
        <w:rPr>
          <w:rFonts w:ascii="Arial" w:hAnsi="Arial" w:cs="Arial"/>
          <w:sz w:val="24"/>
          <w:szCs w:val="24"/>
        </w:rPr>
        <w:t xml:space="preserve">January may lead us to temptation. Anecdotally, I have heard </w:t>
      </w:r>
      <w:r w:rsidR="007C025B">
        <w:rPr>
          <w:rFonts w:ascii="Arial" w:hAnsi="Arial" w:cs="Arial"/>
          <w:sz w:val="24"/>
          <w:szCs w:val="24"/>
        </w:rPr>
        <w:t xml:space="preserve">many </w:t>
      </w:r>
      <w:r w:rsidR="00A46F00">
        <w:rPr>
          <w:rFonts w:ascii="Arial" w:hAnsi="Arial" w:cs="Arial"/>
          <w:sz w:val="24"/>
          <w:szCs w:val="24"/>
        </w:rPr>
        <w:t>people say</w:t>
      </w:r>
      <w:r w:rsidR="00824C3F">
        <w:rPr>
          <w:rFonts w:ascii="Arial" w:hAnsi="Arial" w:cs="Arial"/>
          <w:sz w:val="24"/>
          <w:szCs w:val="24"/>
        </w:rPr>
        <w:t>,</w:t>
      </w:r>
      <w:r w:rsidR="00A46F00">
        <w:rPr>
          <w:rFonts w:ascii="Arial" w:hAnsi="Arial" w:cs="Arial"/>
          <w:sz w:val="24"/>
          <w:szCs w:val="24"/>
        </w:rPr>
        <w:t xml:space="preserve"> </w:t>
      </w:r>
      <w:r w:rsidR="007E6FEE">
        <w:rPr>
          <w:rFonts w:ascii="Arial" w:hAnsi="Arial" w:cs="Arial"/>
          <w:sz w:val="24"/>
          <w:szCs w:val="24"/>
        </w:rPr>
        <w:t xml:space="preserve">January is an awful month to consider </w:t>
      </w:r>
      <w:r w:rsidR="00960CF1">
        <w:rPr>
          <w:rFonts w:ascii="Arial" w:hAnsi="Arial" w:cs="Arial"/>
          <w:sz w:val="24"/>
          <w:szCs w:val="24"/>
        </w:rPr>
        <w:t>lifestyle changes</w:t>
      </w:r>
      <w:r w:rsidR="00A46F00">
        <w:rPr>
          <w:rFonts w:ascii="Arial" w:hAnsi="Arial" w:cs="Arial"/>
          <w:sz w:val="24"/>
          <w:szCs w:val="24"/>
        </w:rPr>
        <w:t xml:space="preserve">. Maybe it would be kinder to set our minds to a </w:t>
      </w:r>
      <w:r w:rsidR="00BF4E97">
        <w:rPr>
          <w:rFonts w:ascii="Arial" w:hAnsi="Arial" w:cs="Arial"/>
          <w:sz w:val="24"/>
          <w:szCs w:val="24"/>
        </w:rPr>
        <w:t>F</w:t>
      </w:r>
      <w:r w:rsidR="00A46F00">
        <w:rPr>
          <w:rFonts w:ascii="Arial" w:hAnsi="Arial" w:cs="Arial"/>
          <w:sz w:val="24"/>
          <w:szCs w:val="24"/>
        </w:rPr>
        <w:t>abulous February</w:t>
      </w:r>
      <w:r w:rsidR="00AF18FD">
        <w:rPr>
          <w:rFonts w:ascii="Arial" w:hAnsi="Arial" w:cs="Arial"/>
          <w:sz w:val="24"/>
          <w:szCs w:val="24"/>
        </w:rPr>
        <w:t xml:space="preserve"> instead</w:t>
      </w:r>
      <w:r w:rsidR="009B3A78">
        <w:rPr>
          <w:rFonts w:ascii="Arial" w:hAnsi="Arial" w:cs="Arial"/>
          <w:sz w:val="24"/>
          <w:szCs w:val="24"/>
        </w:rPr>
        <w:t>?</w:t>
      </w:r>
      <w:r w:rsidR="00A46F00">
        <w:rPr>
          <w:rFonts w:ascii="Arial" w:hAnsi="Arial" w:cs="Arial"/>
          <w:sz w:val="24"/>
          <w:szCs w:val="24"/>
        </w:rPr>
        <w:t xml:space="preserve"> Rather than </w:t>
      </w:r>
      <w:r w:rsidR="008260BC">
        <w:rPr>
          <w:rFonts w:ascii="Arial" w:hAnsi="Arial" w:cs="Arial"/>
          <w:sz w:val="24"/>
          <w:szCs w:val="24"/>
        </w:rPr>
        <w:t>bing</w:t>
      </w:r>
      <w:r w:rsidR="00960CF1">
        <w:rPr>
          <w:rFonts w:ascii="Arial" w:hAnsi="Arial" w:cs="Arial"/>
          <w:sz w:val="24"/>
          <w:szCs w:val="24"/>
        </w:rPr>
        <w:t>e</w:t>
      </w:r>
      <w:r w:rsidR="008260BC">
        <w:rPr>
          <w:rFonts w:ascii="Arial" w:hAnsi="Arial" w:cs="Arial"/>
          <w:sz w:val="24"/>
          <w:szCs w:val="24"/>
        </w:rPr>
        <w:t xml:space="preserve">ing </w:t>
      </w:r>
      <w:r w:rsidR="001027FE">
        <w:rPr>
          <w:rFonts w:ascii="Arial" w:hAnsi="Arial" w:cs="Arial"/>
          <w:sz w:val="24"/>
          <w:szCs w:val="24"/>
        </w:rPr>
        <w:t>on the left</w:t>
      </w:r>
      <w:r w:rsidR="00AF18FD">
        <w:rPr>
          <w:rFonts w:ascii="Arial" w:hAnsi="Arial" w:cs="Arial"/>
          <w:sz w:val="24"/>
          <w:szCs w:val="24"/>
        </w:rPr>
        <w:t>-</w:t>
      </w:r>
      <w:r w:rsidR="001027FE">
        <w:rPr>
          <w:rFonts w:ascii="Arial" w:hAnsi="Arial" w:cs="Arial"/>
          <w:sz w:val="24"/>
          <w:szCs w:val="24"/>
        </w:rPr>
        <w:t>over food and drink from Christmas and New Year</w:t>
      </w:r>
      <w:r w:rsidR="00CF3BA3">
        <w:rPr>
          <w:rFonts w:ascii="Arial" w:hAnsi="Arial" w:cs="Arial"/>
          <w:sz w:val="24"/>
          <w:szCs w:val="24"/>
        </w:rPr>
        <w:t xml:space="preserve"> in readiness for </w:t>
      </w:r>
      <w:r w:rsidR="00B03D10">
        <w:rPr>
          <w:rFonts w:ascii="Arial" w:hAnsi="Arial" w:cs="Arial"/>
          <w:sz w:val="24"/>
          <w:szCs w:val="24"/>
        </w:rPr>
        <w:t xml:space="preserve">the beginning </w:t>
      </w:r>
      <w:r w:rsidR="00CF3BA3">
        <w:rPr>
          <w:rFonts w:ascii="Arial" w:hAnsi="Arial" w:cs="Arial"/>
          <w:sz w:val="24"/>
          <w:szCs w:val="24"/>
        </w:rPr>
        <w:t>of January</w:t>
      </w:r>
      <w:r w:rsidR="004D6C5E">
        <w:rPr>
          <w:rFonts w:ascii="Arial" w:hAnsi="Arial" w:cs="Arial"/>
          <w:sz w:val="24"/>
          <w:szCs w:val="24"/>
        </w:rPr>
        <w:t xml:space="preserve">, we should </w:t>
      </w:r>
      <w:r w:rsidR="006E2CCF">
        <w:rPr>
          <w:rFonts w:ascii="Arial" w:hAnsi="Arial" w:cs="Arial"/>
          <w:sz w:val="24"/>
          <w:szCs w:val="24"/>
        </w:rPr>
        <w:t>enjoy the gifts of food and d</w:t>
      </w:r>
      <w:r w:rsidR="0091722C">
        <w:rPr>
          <w:rFonts w:ascii="Arial" w:hAnsi="Arial" w:cs="Arial"/>
          <w:sz w:val="24"/>
          <w:szCs w:val="24"/>
        </w:rPr>
        <w:t>rink</w:t>
      </w:r>
      <w:r w:rsidR="00EA4371">
        <w:rPr>
          <w:rFonts w:ascii="Arial" w:hAnsi="Arial" w:cs="Arial"/>
          <w:sz w:val="24"/>
          <w:szCs w:val="24"/>
        </w:rPr>
        <w:t xml:space="preserve"> </w:t>
      </w:r>
      <w:r w:rsidR="004D6C5E">
        <w:rPr>
          <w:rFonts w:ascii="Arial" w:hAnsi="Arial" w:cs="Arial"/>
          <w:sz w:val="24"/>
          <w:szCs w:val="24"/>
        </w:rPr>
        <w:t xml:space="preserve">over the month of </w:t>
      </w:r>
      <w:r w:rsidR="006E2CCF">
        <w:rPr>
          <w:rFonts w:ascii="Arial" w:hAnsi="Arial" w:cs="Arial"/>
          <w:sz w:val="24"/>
          <w:szCs w:val="24"/>
        </w:rPr>
        <w:t>January</w:t>
      </w:r>
      <w:r w:rsidR="00CC0105">
        <w:rPr>
          <w:rFonts w:ascii="Arial" w:hAnsi="Arial" w:cs="Arial"/>
          <w:sz w:val="24"/>
          <w:szCs w:val="24"/>
        </w:rPr>
        <w:t xml:space="preserve"> </w:t>
      </w:r>
      <w:r w:rsidR="004D6C5E">
        <w:rPr>
          <w:rFonts w:ascii="Arial" w:hAnsi="Arial" w:cs="Arial"/>
          <w:sz w:val="24"/>
          <w:szCs w:val="24"/>
        </w:rPr>
        <w:t xml:space="preserve">and contemplate how </w:t>
      </w:r>
      <w:r w:rsidR="00EA4371">
        <w:rPr>
          <w:rFonts w:ascii="Arial" w:hAnsi="Arial" w:cs="Arial"/>
          <w:sz w:val="24"/>
          <w:szCs w:val="24"/>
        </w:rPr>
        <w:t>to</w:t>
      </w:r>
      <w:r w:rsidR="004D6C5E">
        <w:rPr>
          <w:rFonts w:ascii="Arial" w:hAnsi="Arial" w:cs="Arial"/>
          <w:sz w:val="24"/>
          <w:szCs w:val="24"/>
        </w:rPr>
        <w:t xml:space="preserve"> </w:t>
      </w:r>
      <w:r w:rsidR="00FB4AD9">
        <w:rPr>
          <w:rFonts w:ascii="Arial" w:hAnsi="Arial" w:cs="Arial"/>
          <w:sz w:val="24"/>
          <w:szCs w:val="24"/>
        </w:rPr>
        <w:t>improve lifestyle in February</w:t>
      </w:r>
      <w:r w:rsidR="00BD7513">
        <w:rPr>
          <w:rFonts w:ascii="Arial" w:hAnsi="Arial" w:cs="Arial"/>
          <w:sz w:val="24"/>
          <w:szCs w:val="24"/>
        </w:rPr>
        <w:t xml:space="preserve">. January can be used </w:t>
      </w:r>
      <w:r w:rsidR="00824C3F">
        <w:rPr>
          <w:rFonts w:ascii="Arial" w:hAnsi="Arial" w:cs="Arial"/>
          <w:sz w:val="24"/>
          <w:szCs w:val="24"/>
        </w:rPr>
        <w:t xml:space="preserve">as a </w:t>
      </w:r>
      <w:r w:rsidR="00194642">
        <w:rPr>
          <w:rFonts w:ascii="Arial" w:hAnsi="Arial" w:cs="Arial"/>
          <w:sz w:val="24"/>
          <w:szCs w:val="24"/>
        </w:rPr>
        <w:t>springboard</w:t>
      </w:r>
      <w:r w:rsidR="00824C3F">
        <w:rPr>
          <w:rFonts w:ascii="Arial" w:hAnsi="Arial" w:cs="Arial"/>
          <w:sz w:val="24"/>
          <w:szCs w:val="24"/>
        </w:rPr>
        <w:t xml:space="preserve"> </w:t>
      </w:r>
      <w:r w:rsidR="00BD7513">
        <w:rPr>
          <w:rFonts w:ascii="Arial" w:hAnsi="Arial" w:cs="Arial"/>
          <w:sz w:val="24"/>
          <w:szCs w:val="24"/>
        </w:rPr>
        <w:t xml:space="preserve">to make small changes </w:t>
      </w:r>
      <w:r w:rsidR="00EB3DEC">
        <w:rPr>
          <w:rFonts w:ascii="Arial" w:hAnsi="Arial" w:cs="Arial"/>
          <w:sz w:val="24"/>
          <w:szCs w:val="24"/>
        </w:rPr>
        <w:t xml:space="preserve">e.g., </w:t>
      </w:r>
      <w:r w:rsidR="00CD1949">
        <w:rPr>
          <w:rFonts w:ascii="Arial" w:hAnsi="Arial" w:cs="Arial"/>
          <w:sz w:val="24"/>
          <w:szCs w:val="24"/>
        </w:rPr>
        <w:t>increasing caffeine</w:t>
      </w:r>
      <w:r w:rsidR="00EB3DEC">
        <w:rPr>
          <w:rFonts w:ascii="Arial" w:hAnsi="Arial" w:cs="Arial"/>
          <w:sz w:val="24"/>
          <w:szCs w:val="24"/>
        </w:rPr>
        <w:t xml:space="preserve"> (if suitable)</w:t>
      </w:r>
      <w:r w:rsidR="00CD1949">
        <w:rPr>
          <w:rFonts w:ascii="Arial" w:hAnsi="Arial" w:cs="Arial"/>
          <w:sz w:val="24"/>
          <w:szCs w:val="24"/>
        </w:rPr>
        <w:t xml:space="preserve"> or reducing sugar </w:t>
      </w:r>
      <w:r w:rsidR="00247F6A">
        <w:rPr>
          <w:rFonts w:ascii="Arial" w:hAnsi="Arial" w:cs="Arial"/>
          <w:sz w:val="24"/>
          <w:szCs w:val="24"/>
        </w:rPr>
        <w:t xml:space="preserve">and alcohol </w:t>
      </w:r>
      <w:r w:rsidR="00CD1949">
        <w:rPr>
          <w:rFonts w:ascii="Arial" w:hAnsi="Arial" w:cs="Arial"/>
          <w:sz w:val="24"/>
          <w:szCs w:val="24"/>
        </w:rPr>
        <w:t>intake</w:t>
      </w:r>
      <w:r w:rsidR="009472AD">
        <w:rPr>
          <w:rFonts w:ascii="Arial" w:hAnsi="Arial" w:cs="Arial"/>
          <w:sz w:val="24"/>
          <w:szCs w:val="24"/>
        </w:rPr>
        <w:t>,</w:t>
      </w:r>
      <w:r w:rsidR="00CD1949">
        <w:rPr>
          <w:rFonts w:ascii="Arial" w:hAnsi="Arial" w:cs="Arial"/>
          <w:sz w:val="24"/>
          <w:szCs w:val="24"/>
        </w:rPr>
        <w:t xml:space="preserve"> </w:t>
      </w:r>
      <w:r w:rsidR="0087055E">
        <w:rPr>
          <w:rFonts w:ascii="Arial" w:hAnsi="Arial" w:cs="Arial"/>
          <w:sz w:val="24"/>
          <w:szCs w:val="24"/>
        </w:rPr>
        <w:t>in readiness</w:t>
      </w:r>
      <w:r w:rsidR="00BD7513">
        <w:rPr>
          <w:rFonts w:ascii="Arial" w:hAnsi="Arial" w:cs="Arial"/>
          <w:sz w:val="24"/>
          <w:szCs w:val="24"/>
        </w:rPr>
        <w:t xml:space="preserve"> </w:t>
      </w:r>
      <w:r w:rsidR="00D12B3B">
        <w:rPr>
          <w:rFonts w:ascii="Arial" w:hAnsi="Arial" w:cs="Arial"/>
          <w:sz w:val="24"/>
          <w:szCs w:val="24"/>
        </w:rPr>
        <w:t xml:space="preserve">to dive into </w:t>
      </w:r>
      <w:r w:rsidR="00247F6A">
        <w:rPr>
          <w:rFonts w:ascii="Arial" w:hAnsi="Arial" w:cs="Arial"/>
          <w:sz w:val="24"/>
          <w:szCs w:val="24"/>
        </w:rPr>
        <w:t>F</w:t>
      </w:r>
      <w:r w:rsidR="00BD7513">
        <w:rPr>
          <w:rFonts w:ascii="Arial" w:hAnsi="Arial" w:cs="Arial"/>
          <w:sz w:val="24"/>
          <w:szCs w:val="24"/>
        </w:rPr>
        <w:t xml:space="preserve">abulous </w:t>
      </w:r>
      <w:r w:rsidR="00247F6A">
        <w:rPr>
          <w:rFonts w:ascii="Arial" w:hAnsi="Arial" w:cs="Arial"/>
          <w:sz w:val="24"/>
          <w:szCs w:val="24"/>
        </w:rPr>
        <w:t>February</w:t>
      </w:r>
      <w:r w:rsidR="004817D8">
        <w:rPr>
          <w:rFonts w:ascii="Arial" w:hAnsi="Arial" w:cs="Arial"/>
          <w:sz w:val="24"/>
          <w:szCs w:val="24"/>
        </w:rPr>
        <w:t xml:space="preserve"> </w:t>
      </w:r>
      <w:r w:rsidR="00A32C46">
        <w:rPr>
          <w:rFonts w:ascii="Arial" w:hAnsi="Arial" w:cs="Arial"/>
          <w:sz w:val="24"/>
          <w:szCs w:val="24"/>
        </w:rPr>
        <w:t>and look for</w:t>
      </w:r>
      <w:r w:rsidR="004D6C5E">
        <w:rPr>
          <w:rFonts w:ascii="Arial" w:hAnsi="Arial" w:cs="Arial"/>
          <w:sz w:val="24"/>
          <w:szCs w:val="24"/>
        </w:rPr>
        <w:t xml:space="preserve">ward to a </w:t>
      </w:r>
      <w:r w:rsidR="004817D8">
        <w:rPr>
          <w:rFonts w:ascii="Arial" w:hAnsi="Arial" w:cs="Arial"/>
          <w:sz w:val="24"/>
          <w:szCs w:val="24"/>
        </w:rPr>
        <w:t>M</w:t>
      </w:r>
      <w:r w:rsidR="004D6C5E">
        <w:rPr>
          <w:rFonts w:ascii="Arial" w:hAnsi="Arial" w:cs="Arial"/>
          <w:sz w:val="24"/>
          <w:szCs w:val="24"/>
        </w:rPr>
        <w:t>arvellous March.</w:t>
      </w:r>
    </w:p>
    <w:p w14:paraId="6C3DA7E7" w14:textId="145F43A7" w:rsidR="00924435" w:rsidRDefault="00924435" w:rsidP="00F254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B32587" w14:textId="77777777" w:rsidR="00924435" w:rsidRPr="00924435" w:rsidRDefault="00924435" w:rsidP="00F2540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F95A18" w14:textId="5180D62F" w:rsidR="00924435" w:rsidRPr="00924435" w:rsidRDefault="00924435" w:rsidP="0092443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24435">
        <w:rPr>
          <w:rFonts w:ascii="Arial" w:hAnsi="Arial" w:cs="Arial"/>
          <w:b/>
          <w:bCs/>
          <w:sz w:val="24"/>
          <w:szCs w:val="24"/>
          <w:u w:val="single"/>
        </w:rPr>
        <w:t>References</w:t>
      </w:r>
    </w:p>
    <w:p w14:paraId="0DB0EDB5" w14:textId="6C21185E" w:rsidR="00924435" w:rsidRDefault="00924435" w:rsidP="00F254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89425480"/>
      <w:r w:rsidRPr="00924435">
        <w:rPr>
          <w:rFonts w:ascii="Arial" w:hAnsi="Arial" w:cs="Arial"/>
          <w:sz w:val="24"/>
          <w:szCs w:val="24"/>
        </w:rPr>
        <w:t>Caruana, M., &amp; Vassallo, N. (2015)</w:t>
      </w:r>
      <w:bookmarkEnd w:id="0"/>
      <w:r w:rsidRPr="00924435">
        <w:rPr>
          <w:rFonts w:ascii="Arial" w:hAnsi="Arial" w:cs="Arial"/>
          <w:sz w:val="24"/>
          <w:szCs w:val="24"/>
        </w:rPr>
        <w:t>. Tea Polyphenols in Parkinson's Disease. </w:t>
      </w:r>
      <w:r w:rsidRPr="00924435">
        <w:rPr>
          <w:rFonts w:ascii="Arial" w:hAnsi="Arial" w:cs="Arial"/>
          <w:i/>
          <w:iCs/>
          <w:sz w:val="24"/>
          <w:szCs w:val="24"/>
        </w:rPr>
        <w:t>Advances in experimental medicine and biology</w:t>
      </w:r>
      <w:r w:rsidRPr="00924435">
        <w:rPr>
          <w:rFonts w:ascii="Arial" w:hAnsi="Arial" w:cs="Arial"/>
          <w:sz w:val="24"/>
          <w:szCs w:val="24"/>
        </w:rPr>
        <w:t>, </w:t>
      </w:r>
      <w:r w:rsidRPr="00924435">
        <w:rPr>
          <w:rFonts w:ascii="Arial" w:hAnsi="Arial" w:cs="Arial"/>
          <w:i/>
          <w:iCs/>
          <w:sz w:val="24"/>
          <w:szCs w:val="24"/>
        </w:rPr>
        <w:t>863</w:t>
      </w:r>
      <w:r w:rsidRPr="00924435">
        <w:rPr>
          <w:rFonts w:ascii="Arial" w:hAnsi="Arial" w:cs="Arial"/>
          <w:sz w:val="24"/>
          <w:szCs w:val="24"/>
        </w:rPr>
        <w:t xml:space="preserve">, 117–137. </w:t>
      </w:r>
      <w:hyperlink r:id="rId7" w:history="1">
        <w:r w:rsidR="00DE2CE6" w:rsidRPr="00402474">
          <w:rPr>
            <w:rStyle w:val="Hyperlink"/>
            <w:rFonts w:ascii="Arial" w:hAnsi="Arial" w:cs="Arial"/>
            <w:sz w:val="24"/>
            <w:szCs w:val="24"/>
          </w:rPr>
          <w:t>https://doi.org/10.1007/978-3-319-18365-7_6</w:t>
        </w:r>
      </w:hyperlink>
    </w:p>
    <w:p w14:paraId="33D3EE76" w14:textId="2324EBD8" w:rsidR="00DE2CE6" w:rsidRDefault="00DE2CE6" w:rsidP="00F254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89425834"/>
      <w:r w:rsidRPr="00DE2CE6">
        <w:rPr>
          <w:rFonts w:ascii="Arial" w:hAnsi="Arial" w:cs="Arial"/>
          <w:sz w:val="24"/>
          <w:szCs w:val="24"/>
        </w:rPr>
        <w:t>Ebadi, M., Ip, S., Bhanji, R. A., &amp; Montano-Loza</w:t>
      </w:r>
      <w:bookmarkEnd w:id="1"/>
      <w:r w:rsidRPr="00DE2CE6">
        <w:rPr>
          <w:rFonts w:ascii="Arial" w:hAnsi="Arial" w:cs="Arial"/>
          <w:sz w:val="24"/>
          <w:szCs w:val="24"/>
        </w:rPr>
        <w:t>, A. J. (2021). Effect of Coffee Consumption on Non-Alcoholic Fatty Liver Disease Incidence, Prevalence and Risk of Significant Liver Fibrosis: Systematic Review with Meta-Analysis of Observational Studies. </w:t>
      </w:r>
      <w:r w:rsidRPr="00DE2CE6">
        <w:rPr>
          <w:rFonts w:ascii="Arial" w:hAnsi="Arial" w:cs="Arial"/>
          <w:i/>
          <w:iCs/>
          <w:sz w:val="24"/>
          <w:szCs w:val="24"/>
        </w:rPr>
        <w:t>Nutrients</w:t>
      </w:r>
      <w:r w:rsidRPr="00DE2CE6">
        <w:rPr>
          <w:rFonts w:ascii="Arial" w:hAnsi="Arial" w:cs="Arial"/>
          <w:sz w:val="24"/>
          <w:szCs w:val="24"/>
        </w:rPr>
        <w:t>, </w:t>
      </w:r>
      <w:r w:rsidRPr="00DE2CE6">
        <w:rPr>
          <w:rFonts w:ascii="Arial" w:hAnsi="Arial" w:cs="Arial"/>
          <w:i/>
          <w:iCs/>
          <w:sz w:val="24"/>
          <w:szCs w:val="24"/>
        </w:rPr>
        <w:t>13</w:t>
      </w:r>
      <w:r w:rsidRPr="00DE2CE6">
        <w:rPr>
          <w:rFonts w:ascii="Arial" w:hAnsi="Arial" w:cs="Arial"/>
          <w:sz w:val="24"/>
          <w:szCs w:val="24"/>
        </w:rPr>
        <w:t xml:space="preserve">(9), 3042. </w:t>
      </w:r>
      <w:hyperlink r:id="rId8" w:history="1">
        <w:r w:rsidRPr="00402474">
          <w:rPr>
            <w:rStyle w:val="Hyperlink"/>
            <w:rFonts w:ascii="Arial" w:hAnsi="Arial" w:cs="Arial"/>
            <w:sz w:val="24"/>
            <w:szCs w:val="24"/>
          </w:rPr>
          <w:t>https://doi.org/10.3390/nu13093042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EC9DEE2" w14:textId="7412BB86" w:rsidR="006E08D5" w:rsidRDefault="00A1370B" w:rsidP="00F254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370B">
        <w:rPr>
          <w:rFonts w:ascii="Arial" w:hAnsi="Arial" w:cs="Arial"/>
          <w:sz w:val="24"/>
          <w:szCs w:val="24"/>
        </w:rPr>
        <w:t>Estes, C.; Razavi, H.; Loomba, R.; Younossi, Z.; Sanyal, A.J. Modeling the epidemic of nonalcoholic fatty liver disease demonstrates an exponential increase in burden of disease. </w:t>
      </w:r>
      <w:r w:rsidRPr="00A1370B">
        <w:rPr>
          <w:rFonts w:ascii="Arial" w:hAnsi="Arial" w:cs="Arial"/>
          <w:i/>
          <w:iCs/>
          <w:sz w:val="24"/>
          <w:szCs w:val="24"/>
        </w:rPr>
        <w:t>Hepatology</w:t>
      </w:r>
      <w:r w:rsidRPr="00A1370B">
        <w:rPr>
          <w:rFonts w:ascii="Arial" w:hAnsi="Arial" w:cs="Arial"/>
          <w:sz w:val="24"/>
          <w:szCs w:val="24"/>
        </w:rPr>
        <w:t> </w:t>
      </w:r>
      <w:r w:rsidRPr="00A1370B">
        <w:rPr>
          <w:rFonts w:ascii="Arial" w:hAnsi="Arial" w:cs="Arial"/>
          <w:b/>
          <w:bCs/>
          <w:sz w:val="24"/>
          <w:szCs w:val="24"/>
        </w:rPr>
        <w:t>2018</w:t>
      </w:r>
      <w:r w:rsidRPr="00A1370B">
        <w:rPr>
          <w:rFonts w:ascii="Arial" w:hAnsi="Arial" w:cs="Arial"/>
          <w:sz w:val="24"/>
          <w:szCs w:val="24"/>
        </w:rPr>
        <w:t>, </w:t>
      </w:r>
      <w:r w:rsidRPr="00A1370B">
        <w:rPr>
          <w:rFonts w:ascii="Arial" w:hAnsi="Arial" w:cs="Arial"/>
          <w:i/>
          <w:iCs/>
          <w:sz w:val="24"/>
          <w:szCs w:val="24"/>
        </w:rPr>
        <w:t>67</w:t>
      </w:r>
      <w:r w:rsidRPr="00A1370B">
        <w:rPr>
          <w:rFonts w:ascii="Arial" w:hAnsi="Arial" w:cs="Arial"/>
          <w:sz w:val="24"/>
          <w:szCs w:val="24"/>
        </w:rPr>
        <w:t>, 123–133. [</w:t>
      </w:r>
      <w:hyperlink r:id="rId9" w:tgtFrame="_blank" w:history="1">
        <w:r w:rsidRPr="00A1370B">
          <w:rPr>
            <w:rStyle w:val="Hyperlink"/>
            <w:rFonts w:ascii="Arial" w:hAnsi="Arial" w:cs="Arial"/>
            <w:b/>
            <w:bCs/>
            <w:sz w:val="24"/>
            <w:szCs w:val="24"/>
          </w:rPr>
          <w:t>Google Scholar</w:t>
        </w:r>
      </w:hyperlink>
      <w:r w:rsidRPr="00A1370B">
        <w:rPr>
          <w:rFonts w:ascii="Arial" w:hAnsi="Arial" w:cs="Arial"/>
          <w:sz w:val="24"/>
          <w:szCs w:val="24"/>
        </w:rPr>
        <w:t>] [</w:t>
      </w:r>
      <w:hyperlink r:id="rId10" w:tgtFrame="_blank" w:history="1">
        <w:r w:rsidRPr="00A1370B">
          <w:rPr>
            <w:rStyle w:val="Hyperlink"/>
            <w:rFonts w:ascii="Arial" w:hAnsi="Arial" w:cs="Arial"/>
            <w:b/>
            <w:bCs/>
            <w:sz w:val="24"/>
            <w:szCs w:val="24"/>
          </w:rPr>
          <w:t>CrossRef</w:t>
        </w:r>
      </w:hyperlink>
      <w:r w:rsidRPr="00A1370B">
        <w:rPr>
          <w:rFonts w:ascii="Arial" w:hAnsi="Arial" w:cs="Arial"/>
          <w:sz w:val="24"/>
          <w:szCs w:val="24"/>
        </w:rPr>
        <w:t>] [</w:t>
      </w:r>
      <w:hyperlink r:id="rId11" w:tgtFrame="_blank" w:history="1">
        <w:r w:rsidRPr="00A1370B">
          <w:rPr>
            <w:rStyle w:val="Hyperlink"/>
            <w:rFonts w:ascii="Arial" w:hAnsi="Arial" w:cs="Arial"/>
            <w:b/>
            <w:bCs/>
            <w:sz w:val="24"/>
            <w:szCs w:val="24"/>
          </w:rPr>
          <w:t>PubMed</w:t>
        </w:r>
      </w:hyperlink>
      <w:r w:rsidRPr="00A1370B">
        <w:rPr>
          <w:rFonts w:ascii="Arial" w:hAnsi="Arial" w:cs="Arial"/>
          <w:sz w:val="24"/>
          <w:szCs w:val="24"/>
        </w:rPr>
        <w:t>]</w:t>
      </w:r>
    </w:p>
    <w:p w14:paraId="5617AB6A" w14:textId="77777777" w:rsidR="004D6D83" w:rsidRDefault="00FE25E3" w:rsidP="005A35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5E3">
        <w:rPr>
          <w:rFonts w:ascii="Arial" w:hAnsi="Arial" w:cs="Arial"/>
          <w:sz w:val="24"/>
          <w:szCs w:val="24"/>
        </w:rPr>
        <w:t>De Chiara F, Ureta Checcllo C, Ramón Azcón J.</w:t>
      </w:r>
      <w:r>
        <w:rPr>
          <w:rFonts w:ascii="Arial" w:hAnsi="Arial" w:cs="Arial"/>
          <w:sz w:val="24"/>
          <w:szCs w:val="24"/>
        </w:rPr>
        <w:t xml:space="preserve"> (2019)</w:t>
      </w:r>
      <w:r w:rsidRPr="00FE25E3">
        <w:rPr>
          <w:rFonts w:ascii="Arial" w:hAnsi="Arial" w:cs="Arial"/>
          <w:sz w:val="24"/>
          <w:szCs w:val="24"/>
        </w:rPr>
        <w:t xml:space="preserve"> High Protein Diet and Metabolic Plasticity in Non-Alcoholic Fatty Liver Disease: Myths and Truths. </w:t>
      </w:r>
      <w:r w:rsidRPr="00FE25E3">
        <w:rPr>
          <w:rFonts w:ascii="Arial" w:hAnsi="Arial" w:cs="Arial"/>
          <w:i/>
          <w:iCs/>
          <w:sz w:val="24"/>
          <w:szCs w:val="24"/>
        </w:rPr>
        <w:t>Nutrients</w:t>
      </w:r>
      <w:r w:rsidRPr="00FE25E3">
        <w:rPr>
          <w:rFonts w:ascii="Arial" w:hAnsi="Arial" w:cs="Arial"/>
          <w:sz w:val="24"/>
          <w:szCs w:val="24"/>
        </w:rPr>
        <w:t xml:space="preserve">. 11(12):2985. </w:t>
      </w:r>
      <w:hyperlink r:id="rId12" w:history="1">
        <w:r w:rsidR="005A35C8" w:rsidRPr="00402474">
          <w:rPr>
            <w:rStyle w:val="Hyperlink"/>
            <w:rFonts w:ascii="Arial" w:hAnsi="Arial" w:cs="Arial"/>
            <w:sz w:val="24"/>
            <w:szCs w:val="24"/>
          </w:rPr>
          <w:t>https://doi.org/10.3390/nu11122985</w:t>
        </w:r>
      </w:hyperlink>
    </w:p>
    <w:p w14:paraId="2F2FC19A" w14:textId="3CB305B6" w:rsidR="004D6D83" w:rsidRPr="004D6D83" w:rsidRDefault="004D6D83" w:rsidP="009677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6D83">
        <w:rPr>
          <w:rFonts w:ascii="Arial" w:hAnsi="Arial" w:cs="Arial"/>
          <w:sz w:val="24"/>
          <w:szCs w:val="24"/>
        </w:rPr>
        <w:lastRenderedPageBreak/>
        <w:t>Estes, C.; Razavi, H.; Loomba, R.; Younossi, Z.; Sanyal, A.J.</w:t>
      </w:r>
      <w:r w:rsidR="00967738">
        <w:rPr>
          <w:rFonts w:ascii="Arial" w:hAnsi="Arial" w:cs="Arial"/>
          <w:sz w:val="24"/>
          <w:szCs w:val="24"/>
        </w:rPr>
        <w:t xml:space="preserve"> (2018)</w:t>
      </w:r>
      <w:r w:rsidRPr="004D6D83">
        <w:rPr>
          <w:rFonts w:ascii="Arial" w:hAnsi="Arial" w:cs="Arial"/>
          <w:sz w:val="24"/>
          <w:szCs w:val="24"/>
        </w:rPr>
        <w:t xml:space="preserve"> Modeling the epidemic of non</w:t>
      </w:r>
      <w:r w:rsidR="00967738">
        <w:rPr>
          <w:rFonts w:ascii="Arial" w:hAnsi="Arial" w:cs="Arial"/>
          <w:sz w:val="24"/>
          <w:szCs w:val="24"/>
        </w:rPr>
        <w:t>-</w:t>
      </w:r>
      <w:r w:rsidRPr="004D6D83">
        <w:rPr>
          <w:rFonts w:ascii="Arial" w:hAnsi="Arial" w:cs="Arial"/>
          <w:sz w:val="24"/>
          <w:szCs w:val="24"/>
        </w:rPr>
        <w:t>alcoholic fatty liver disease demonstrates an exponential increase in burden of disease. </w:t>
      </w:r>
      <w:r w:rsidRPr="004D6D83">
        <w:rPr>
          <w:rFonts w:ascii="Arial" w:hAnsi="Arial" w:cs="Arial"/>
          <w:i/>
          <w:iCs/>
          <w:sz w:val="24"/>
          <w:szCs w:val="24"/>
        </w:rPr>
        <w:t>Hepatology</w:t>
      </w:r>
      <w:r w:rsidRPr="004D6D83">
        <w:rPr>
          <w:rFonts w:ascii="Arial" w:hAnsi="Arial" w:cs="Arial"/>
          <w:sz w:val="24"/>
          <w:szCs w:val="24"/>
        </w:rPr>
        <w:t> </w:t>
      </w:r>
      <w:r w:rsidRPr="004D6D83">
        <w:rPr>
          <w:rFonts w:ascii="Arial" w:hAnsi="Arial" w:cs="Arial"/>
          <w:b/>
          <w:bCs/>
          <w:sz w:val="24"/>
          <w:szCs w:val="24"/>
        </w:rPr>
        <w:t>2018</w:t>
      </w:r>
      <w:r w:rsidRPr="004D6D83">
        <w:rPr>
          <w:rFonts w:ascii="Arial" w:hAnsi="Arial" w:cs="Arial"/>
          <w:sz w:val="24"/>
          <w:szCs w:val="24"/>
        </w:rPr>
        <w:t>, </w:t>
      </w:r>
      <w:r w:rsidRPr="004D6D83">
        <w:rPr>
          <w:rFonts w:ascii="Arial" w:hAnsi="Arial" w:cs="Arial"/>
          <w:i/>
          <w:iCs/>
          <w:sz w:val="24"/>
          <w:szCs w:val="24"/>
        </w:rPr>
        <w:t>67</w:t>
      </w:r>
      <w:r w:rsidRPr="004D6D83">
        <w:rPr>
          <w:rFonts w:ascii="Arial" w:hAnsi="Arial" w:cs="Arial"/>
          <w:sz w:val="24"/>
          <w:szCs w:val="24"/>
        </w:rPr>
        <w:t>, 123–133. [</w:t>
      </w:r>
      <w:hyperlink r:id="rId13" w:tgtFrame="_blank" w:history="1">
        <w:r w:rsidRPr="004D6D83">
          <w:rPr>
            <w:rStyle w:val="Hyperlink"/>
            <w:rFonts w:ascii="Arial" w:hAnsi="Arial" w:cs="Arial"/>
            <w:b/>
            <w:bCs/>
            <w:sz w:val="24"/>
            <w:szCs w:val="24"/>
          </w:rPr>
          <w:t>Google Scholar</w:t>
        </w:r>
      </w:hyperlink>
      <w:r w:rsidRPr="004D6D83">
        <w:rPr>
          <w:rFonts w:ascii="Arial" w:hAnsi="Arial" w:cs="Arial"/>
          <w:sz w:val="24"/>
          <w:szCs w:val="24"/>
        </w:rPr>
        <w:t>] [</w:t>
      </w:r>
      <w:hyperlink r:id="rId14" w:tgtFrame="_blank" w:history="1">
        <w:r w:rsidRPr="004D6D83">
          <w:rPr>
            <w:rStyle w:val="Hyperlink"/>
            <w:rFonts w:ascii="Arial" w:hAnsi="Arial" w:cs="Arial"/>
            <w:b/>
            <w:bCs/>
            <w:sz w:val="24"/>
            <w:szCs w:val="24"/>
          </w:rPr>
          <w:t>Cros</w:t>
        </w:r>
        <w:r w:rsidRPr="004D6D83">
          <w:rPr>
            <w:rStyle w:val="Hyperlink"/>
            <w:rFonts w:ascii="Arial" w:hAnsi="Arial" w:cs="Arial"/>
            <w:b/>
            <w:bCs/>
            <w:sz w:val="24"/>
            <w:szCs w:val="24"/>
          </w:rPr>
          <w:t>s</w:t>
        </w:r>
        <w:r w:rsidRPr="004D6D83">
          <w:rPr>
            <w:rStyle w:val="Hyperlink"/>
            <w:rFonts w:ascii="Arial" w:hAnsi="Arial" w:cs="Arial"/>
            <w:b/>
            <w:bCs/>
            <w:sz w:val="24"/>
            <w:szCs w:val="24"/>
          </w:rPr>
          <w:t>Ref</w:t>
        </w:r>
      </w:hyperlink>
      <w:r w:rsidRPr="004D6D83">
        <w:rPr>
          <w:rFonts w:ascii="Arial" w:hAnsi="Arial" w:cs="Arial"/>
          <w:sz w:val="24"/>
          <w:szCs w:val="24"/>
        </w:rPr>
        <w:t>] [</w:t>
      </w:r>
      <w:hyperlink r:id="rId15" w:tgtFrame="_blank" w:history="1">
        <w:r w:rsidRPr="004D6D83">
          <w:rPr>
            <w:rStyle w:val="Hyperlink"/>
            <w:rFonts w:ascii="Arial" w:hAnsi="Arial" w:cs="Arial"/>
            <w:b/>
            <w:bCs/>
            <w:sz w:val="24"/>
            <w:szCs w:val="24"/>
          </w:rPr>
          <w:t>PubMed</w:t>
        </w:r>
      </w:hyperlink>
      <w:r w:rsidRPr="004D6D83">
        <w:rPr>
          <w:rFonts w:ascii="Arial" w:hAnsi="Arial" w:cs="Arial"/>
          <w:sz w:val="24"/>
          <w:szCs w:val="24"/>
        </w:rPr>
        <w:t>]</w:t>
      </w:r>
    </w:p>
    <w:p w14:paraId="624074BB" w14:textId="1A6A486B" w:rsidR="004D6D83" w:rsidRDefault="00B72E3A" w:rsidP="005A35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2" w:name="_Hlk89426005"/>
      <w:r w:rsidRPr="00B72E3A">
        <w:rPr>
          <w:rFonts w:ascii="Arial" w:hAnsi="Arial" w:cs="Arial"/>
          <w:sz w:val="24"/>
          <w:szCs w:val="24"/>
        </w:rPr>
        <w:t xml:space="preserve">Wadhawan, M., &amp; Anand, A. C. (2016). </w:t>
      </w:r>
      <w:bookmarkEnd w:id="2"/>
      <w:r w:rsidRPr="00B72E3A">
        <w:rPr>
          <w:rFonts w:ascii="Arial" w:hAnsi="Arial" w:cs="Arial"/>
          <w:sz w:val="24"/>
          <w:szCs w:val="24"/>
        </w:rPr>
        <w:t>Coffee and Liver Disease. </w:t>
      </w:r>
      <w:r w:rsidRPr="00B72E3A">
        <w:rPr>
          <w:rFonts w:ascii="Arial" w:hAnsi="Arial" w:cs="Arial"/>
          <w:i/>
          <w:iCs/>
          <w:sz w:val="24"/>
          <w:szCs w:val="24"/>
        </w:rPr>
        <w:t>Journal of clinical and experimental hepatology</w:t>
      </w:r>
      <w:r w:rsidRPr="00B72E3A">
        <w:rPr>
          <w:rFonts w:ascii="Arial" w:hAnsi="Arial" w:cs="Arial"/>
          <w:sz w:val="24"/>
          <w:szCs w:val="24"/>
        </w:rPr>
        <w:t>, </w:t>
      </w:r>
      <w:r w:rsidRPr="00B72E3A">
        <w:rPr>
          <w:rFonts w:ascii="Arial" w:hAnsi="Arial" w:cs="Arial"/>
          <w:i/>
          <w:iCs/>
          <w:sz w:val="24"/>
          <w:szCs w:val="24"/>
        </w:rPr>
        <w:t>6</w:t>
      </w:r>
      <w:r w:rsidRPr="00B72E3A">
        <w:rPr>
          <w:rFonts w:ascii="Arial" w:hAnsi="Arial" w:cs="Arial"/>
          <w:sz w:val="24"/>
          <w:szCs w:val="24"/>
        </w:rPr>
        <w:t xml:space="preserve">(1), 40–46. </w:t>
      </w:r>
      <w:hyperlink r:id="rId16" w:history="1">
        <w:r w:rsidRPr="00402474">
          <w:rPr>
            <w:rStyle w:val="Hyperlink"/>
            <w:rFonts w:ascii="Arial" w:hAnsi="Arial" w:cs="Arial"/>
            <w:sz w:val="24"/>
            <w:szCs w:val="24"/>
          </w:rPr>
          <w:t>https://doi.org/10.1016/j.jceh.2016.02.003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15F4813" w14:textId="6517EF33" w:rsidR="005A35C8" w:rsidRPr="005A35C8" w:rsidRDefault="005A35C8" w:rsidP="005A35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35C8">
        <w:rPr>
          <w:rFonts w:ascii="Arial" w:hAnsi="Arial" w:cs="Arial"/>
          <w:sz w:val="24"/>
          <w:szCs w:val="24"/>
        </w:rPr>
        <w:t>Younossi, Z.; Anstee, Q.M.; Marietti, M.; Hardy, T.; Henry, L.; Eslam, M.; George, J.; Bugianesi, E. Global burden of NAFLD and NASH: Trends, predictions, risk factors and prevention. </w:t>
      </w:r>
      <w:r w:rsidRPr="005A35C8">
        <w:rPr>
          <w:rFonts w:ascii="Arial" w:hAnsi="Arial" w:cs="Arial"/>
          <w:i/>
          <w:iCs/>
          <w:sz w:val="24"/>
          <w:szCs w:val="24"/>
        </w:rPr>
        <w:t>Nat. Rev. Gastroenterol. Hepatol.</w:t>
      </w:r>
      <w:r w:rsidRPr="005A35C8">
        <w:rPr>
          <w:rFonts w:ascii="Arial" w:hAnsi="Arial" w:cs="Arial"/>
          <w:sz w:val="24"/>
          <w:szCs w:val="24"/>
        </w:rPr>
        <w:t> </w:t>
      </w:r>
      <w:r w:rsidRPr="005A35C8">
        <w:rPr>
          <w:rFonts w:ascii="Arial" w:hAnsi="Arial" w:cs="Arial"/>
          <w:b/>
          <w:bCs/>
          <w:sz w:val="24"/>
          <w:szCs w:val="24"/>
        </w:rPr>
        <w:t>2018</w:t>
      </w:r>
      <w:r w:rsidRPr="005A35C8">
        <w:rPr>
          <w:rFonts w:ascii="Arial" w:hAnsi="Arial" w:cs="Arial"/>
          <w:sz w:val="24"/>
          <w:szCs w:val="24"/>
        </w:rPr>
        <w:t>, </w:t>
      </w:r>
      <w:r w:rsidRPr="005A35C8">
        <w:rPr>
          <w:rFonts w:ascii="Arial" w:hAnsi="Arial" w:cs="Arial"/>
          <w:i/>
          <w:iCs/>
          <w:sz w:val="24"/>
          <w:szCs w:val="24"/>
        </w:rPr>
        <w:t>15</w:t>
      </w:r>
      <w:r w:rsidRPr="005A35C8">
        <w:rPr>
          <w:rFonts w:ascii="Arial" w:hAnsi="Arial" w:cs="Arial"/>
          <w:sz w:val="24"/>
          <w:szCs w:val="24"/>
        </w:rPr>
        <w:t>, 11–20. [</w:t>
      </w:r>
      <w:hyperlink r:id="rId17" w:tgtFrame="_blank" w:history="1">
        <w:r w:rsidRPr="005A35C8">
          <w:rPr>
            <w:rStyle w:val="Hyperlink"/>
            <w:rFonts w:ascii="Arial" w:hAnsi="Arial" w:cs="Arial"/>
            <w:b/>
            <w:bCs/>
            <w:sz w:val="24"/>
            <w:szCs w:val="24"/>
          </w:rPr>
          <w:t>Google Scholar</w:t>
        </w:r>
      </w:hyperlink>
      <w:r w:rsidRPr="005A35C8">
        <w:rPr>
          <w:rFonts w:ascii="Arial" w:hAnsi="Arial" w:cs="Arial"/>
          <w:sz w:val="24"/>
          <w:szCs w:val="24"/>
        </w:rPr>
        <w:t>] [</w:t>
      </w:r>
      <w:hyperlink r:id="rId18" w:tgtFrame="_blank" w:history="1">
        <w:r w:rsidRPr="005A35C8">
          <w:rPr>
            <w:rStyle w:val="Hyperlink"/>
            <w:rFonts w:ascii="Arial" w:hAnsi="Arial" w:cs="Arial"/>
            <w:b/>
            <w:bCs/>
            <w:sz w:val="24"/>
            <w:szCs w:val="24"/>
          </w:rPr>
          <w:t>CrossRef</w:t>
        </w:r>
      </w:hyperlink>
      <w:r w:rsidRPr="005A35C8">
        <w:rPr>
          <w:rFonts w:ascii="Arial" w:hAnsi="Arial" w:cs="Arial"/>
          <w:sz w:val="24"/>
          <w:szCs w:val="24"/>
        </w:rPr>
        <w:t>] [</w:t>
      </w:r>
      <w:hyperlink r:id="rId19" w:tgtFrame="_blank" w:history="1">
        <w:r w:rsidRPr="005A35C8">
          <w:rPr>
            <w:rStyle w:val="Hyperlink"/>
            <w:rFonts w:ascii="Arial" w:hAnsi="Arial" w:cs="Arial"/>
            <w:b/>
            <w:bCs/>
            <w:sz w:val="24"/>
            <w:szCs w:val="24"/>
          </w:rPr>
          <w:t>PubMed</w:t>
        </w:r>
      </w:hyperlink>
      <w:r w:rsidRPr="005A35C8">
        <w:rPr>
          <w:rFonts w:ascii="Arial" w:hAnsi="Arial" w:cs="Arial"/>
          <w:sz w:val="24"/>
          <w:szCs w:val="24"/>
        </w:rPr>
        <w:t>]</w:t>
      </w:r>
    </w:p>
    <w:p w14:paraId="24B7202A" w14:textId="7AD9E2A0" w:rsidR="00491EED" w:rsidRPr="0088140E" w:rsidRDefault="00491EED" w:rsidP="00F254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91EED" w:rsidRPr="0088140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8B78A" w14:textId="77777777" w:rsidR="000F0F89" w:rsidRDefault="000F0F89" w:rsidP="0088140E">
      <w:pPr>
        <w:spacing w:after="0" w:line="240" w:lineRule="auto"/>
      </w:pPr>
      <w:r>
        <w:separator/>
      </w:r>
    </w:p>
  </w:endnote>
  <w:endnote w:type="continuationSeparator" w:id="0">
    <w:p w14:paraId="72BA0082" w14:textId="77777777" w:rsidR="000F0F89" w:rsidRDefault="000F0F89" w:rsidP="0088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204A" w14:textId="77777777" w:rsidR="00926376" w:rsidRDefault="009263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CC5B" w14:textId="092063AD" w:rsidR="0088140E" w:rsidRDefault="0088140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9C9321" wp14:editId="6C1F959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df924db082818b27b937806f" descr="{&quot;HashCode&quot;:26981837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BF21CB" w14:textId="258DAC8A" w:rsidR="0088140E" w:rsidRPr="0088140E" w:rsidRDefault="0088140E" w:rsidP="0088140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8140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9C9321" id="_x0000_t202" coordsize="21600,21600" o:spt="202" path="m,l,21600r21600,l21600,xe">
              <v:stroke joinstyle="miter"/>
              <v:path gradientshapeok="t" o:connecttype="rect"/>
            </v:shapetype>
            <v:shape id="MSIPCMdf924db082818b27b937806f" o:spid="_x0000_s1026" type="#_x0000_t202" alt="{&quot;HashCode&quot;:26981837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" o:allowincell="f" filled="f" stroked="f" strokeweight=".5pt">
              <v:textbox inset="20pt,0,,0">
                <w:txbxContent>
                  <w:p w14:paraId="63BF21CB" w14:textId="258DAC8A" w:rsidR="0088140E" w:rsidRPr="0088140E" w:rsidRDefault="0088140E" w:rsidP="0088140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8140E">
                      <w:rPr>
                        <w:rFonts w:ascii="Calibri" w:hAnsi="Calibri" w:cs="Calibri"/>
                        <w:color w:val="000000"/>
                        <w:sz w:val="24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7787" w14:textId="77777777" w:rsidR="00926376" w:rsidRDefault="00926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04798" w14:textId="77777777" w:rsidR="000F0F89" w:rsidRDefault="000F0F89" w:rsidP="0088140E">
      <w:pPr>
        <w:spacing w:after="0" w:line="240" w:lineRule="auto"/>
      </w:pPr>
      <w:r>
        <w:separator/>
      </w:r>
    </w:p>
  </w:footnote>
  <w:footnote w:type="continuationSeparator" w:id="0">
    <w:p w14:paraId="0BFD46DC" w14:textId="77777777" w:rsidR="000F0F89" w:rsidRDefault="000F0F89" w:rsidP="00881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8BEA" w14:textId="77777777" w:rsidR="00926376" w:rsidRDefault="009263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E12D" w14:textId="77777777" w:rsidR="00926376" w:rsidRDefault="009263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12DB4" w14:textId="77777777" w:rsidR="00926376" w:rsidRDefault="009263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13BD"/>
    <w:multiLevelType w:val="multilevel"/>
    <w:tmpl w:val="B5E0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E73DA"/>
    <w:multiLevelType w:val="multilevel"/>
    <w:tmpl w:val="8C867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02C"/>
    <w:multiLevelType w:val="multilevel"/>
    <w:tmpl w:val="3360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16AD5"/>
    <w:multiLevelType w:val="multilevel"/>
    <w:tmpl w:val="8BB07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0E"/>
    <w:rsid w:val="00007AE9"/>
    <w:rsid w:val="00015431"/>
    <w:rsid w:val="00041457"/>
    <w:rsid w:val="00047C86"/>
    <w:rsid w:val="000520AE"/>
    <w:rsid w:val="00073E53"/>
    <w:rsid w:val="0007694A"/>
    <w:rsid w:val="00080FE7"/>
    <w:rsid w:val="000B10AE"/>
    <w:rsid w:val="000B71E2"/>
    <w:rsid w:val="000F0F89"/>
    <w:rsid w:val="001027FE"/>
    <w:rsid w:val="00106370"/>
    <w:rsid w:val="00106C46"/>
    <w:rsid w:val="00116F34"/>
    <w:rsid w:val="0014208A"/>
    <w:rsid w:val="00145233"/>
    <w:rsid w:val="00146162"/>
    <w:rsid w:val="0015369C"/>
    <w:rsid w:val="001536E1"/>
    <w:rsid w:val="00182F0C"/>
    <w:rsid w:val="00194642"/>
    <w:rsid w:val="001B53DF"/>
    <w:rsid w:val="002229CD"/>
    <w:rsid w:val="00223DAC"/>
    <w:rsid w:val="00224C4C"/>
    <w:rsid w:val="0022674B"/>
    <w:rsid w:val="00234054"/>
    <w:rsid w:val="002405C4"/>
    <w:rsid w:val="00247F6A"/>
    <w:rsid w:val="00250FAB"/>
    <w:rsid w:val="002E0B3A"/>
    <w:rsid w:val="003118CC"/>
    <w:rsid w:val="00325FDC"/>
    <w:rsid w:val="00326BB1"/>
    <w:rsid w:val="00344089"/>
    <w:rsid w:val="00360E9E"/>
    <w:rsid w:val="00362E3A"/>
    <w:rsid w:val="00384883"/>
    <w:rsid w:val="00385794"/>
    <w:rsid w:val="0038676A"/>
    <w:rsid w:val="003A1884"/>
    <w:rsid w:val="003A3CA6"/>
    <w:rsid w:val="003C78FF"/>
    <w:rsid w:val="003D6BD3"/>
    <w:rsid w:val="003F03E4"/>
    <w:rsid w:val="004108A9"/>
    <w:rsid w:val="00412227"/>
    <w:rsid w:val="00427D35"/>
    <w:rsid w:val="0044216C"/>
    <w:rsid w:val="00460AC1"/>
    <w:rsid w:val="00465A2D"/>
    <w:rsid w:val="004817D8"/>
    <w:rsid w:val="00486002"/>
    <w:rsid w:val="00491EED"/>
    <w:rsid w:val="004A548C"/>
    <w:rsid w:val="004A720A"/>
    <w:rsid w:val="004D6C5E"/>
    <w:rsid w:val="004D6D83"/>
    <w:rsid w:val="00513C58"/>
    <w:rsid w:val="00522524"/>
    <w:rsid w:val="00556A8C"/>
    <w:rsid w:val="00571A0F"/>
    <w:rsid w:val="0058283C"/>
    <w:rsid w:val="005830F4"/>
    <w:rsid w:val="005A35C8"/>
    <w:rsid w:val="005D34E1"/>
    <w:rsid w:val="005E2240"/>
    <w:rsid w:val="005E6AAD"/>
    <w:rsid w:val="005F761B"/>
    <w:rsid w:val="00602328"/>
    <w:rsid w:val="0064618E"/>
    <w:rsid w:val="00665264"/>
    <w:rsid w:val="0066540D"/>
    <w:rsid w:val="0066581E"/>
    <w:rsid w:val="00670045"/>
    <w:rsid w:val="006841A1"/>
    <w:rsid w:val="006B2789"/>
    <w:rsid w:val="006E08D5"/>
    <w:rsid w:val="006E22B4"/>
    <w:rsid w:val="006E2CCF"/>
    <w:rsid w:val="007255E4"/>
    <w:rsid w:val="00735EFE"/>
    <w:rsid w:val="00736982"/>
    <w:rsid w:val="00767E77"/>
    <w:rsid w:val="00797B05"/>
    <w:rsid w:val="007C025B"/>
    <w:rsid w:val="007E02F4"/>
    <w:rsid w:val="007E6FEE"/>
    <w:rsid w:val="007F3A71"/>
    <w:rsid w:val="00803CF6"/>
    <w:rsid w:val="00824C3F"/>
    <w:rsid w:val="008260BC"/>
    <w:rsid w:val="00826881"/>
    <w:rsid w:val="008364AD"/>
    <w:rsid w:val="008501EF"/>
    <w:rsid w:val="0087055E"/>
    <w:rsid w:val="0088140E"/>
    <w:rsid w:val="008976E6"/>
    <w:rsid w:val="008D74DC"/>
    <w:rsid w:val="008E10B0"/>
    <w:rsid w:val="009135F3"/>
    <w:rsid w:val="00914851"/>
    <w:rsid w:val="0091722C"/>
    <w:rsid w:val="00924435"/>
    <w:rsid w:val="00926376"/>
    <w:rsid w:val="009472AD"/>
    <w:rsid w:val="00950BBA"/>
    <w:rsid w:val="00960CF1"/>
    <w:rsid w:val="00961458"/>
    <w:rsid w:val="00967738"/>
    <w:rsid w:val="00992A18"/>
    <w:rsid w:val="009B3A78"/>
    <w:rsid w:val="009B6EA7"/>
    <w:rsid w:val="009D46FD"/>
    <w:rsid w:val="009E2266"/>
    <w:rsid w:val="009E7B7A"/>
    <w:rsid w:val="00A0158A"/>
    <w:rsid w:val="00A118AD"/>
    <w:rsid w:val="00A1370B"/>
    <w:rsid w:val="00A32C46"/>
    <w:rsid w:val="00A46F00"/>
    <w:rsid w:val="00A526F1"/>
    <w:rsid w:val="00A95451"/>
    <w:rsid w:val="00AA1554"/>
    <w:rsid w:val="00AE52C7"/>
    <w:rsid w:val="00AF18FD"/>
    <w:rsid w:val="00B0392F"/>
    <w:rsid w:val="00B03D10"/>
    <w:rsid w:val="00B05DEB"/>
    <w:rsid w:val="00B13B08"/>
    <w:rsid w:val="00B23A0E"/>
    <w:rsid w:val="00B32F53"/>
    <w:rsid w:val="00B511EE"/>
    <w:rsid w:val="00B71D48"/>
    <w:rsid w:val="00B729DC"/>
    <w:rsid w:val="00B72E3A"/>
    <w:rsid w:val="00B74820"/>
    <w:rsid w:val="00B76265"/>
    <w:rsid w:val="00BB153E"/>
    <w:rsid w:val="00BC10D9"/>
    <w:rsid w:val="00BC2CB0"/>
    <w:rsid w:val="00BD2AED"/>
    <w:rsid w:val="00BD5EFE"/>
    <w:rsid w:val="00BD7513"/>
    <w:rsid w:val="00BE2298"/>
    <w:rsid w:val="00BE6331"/>
    <w:rsid w:val="00BF4E97"/>
    <w:rsid w:val="00C22200"/>
    <w:rsid w:val="00C27228"/>
    <w:rsid w:val="00C80DEE"/>
    <w:rsid w:val="00CC0105"/>
    <w:rsid w:val="00CC621D"/>
    <w:rsid w:val="00CD1949"/>
    <w:rsid w:val="00CF09A0"/>
    <w:rsid w:val="00CF3BA3"/>
    <w:rsid w:val="00D12B3B"/>
    <w:rsid w:val="00D20880"/>
    <w:rsid w:val="00D3547A"/>
    <w:rsid w:val="00D43BC5"/>
    <w:rsid w:val="00D65EC3"/>
    <w:rsid w:val="00D70210"/>
    <w:rsid w:val="00D83459"/>
    <w:rsid w:val="00D93290"/>
    <w:rsid w:val="00D94573"/>
    <w:rsid w:val="00D945AF"/>
    <w:rsid w:val="00DB5D87"/>
    <w:rsid w:val="00DC0574"/>
    <w:rsid w:val="00DD007D"/>
    <w:rsid w:val="00DD257B"/>
    <w:rsid w:val="00DD2801"/>
    <w:rsid w:val="00DE2CE6"/>
    <w:rsid w:val="00E00D1B"/>
    <w:rsid w:val="00E13569"/>
    <w:rsid w:val="00E31F30"/>
    <w:rsid w:val="00E35D2B"/>
    <w:rsid w:val="00E422F2"/>
    <w:rsid w:val="00E873C9"/>
    <w:rsid w:val="00E970B2"/>
    <w:rsid w:val="00EA4371"/>
    <w:rsid w:val="00EB3DEC"/>
    <w:rsid w:val="00EC14DE"/>
    <w:rsid w:val="00EC17C8"/>
    <w:rsid w:val="00ED068C"/>
    <w:rsid w:val="00EE2185"/>
    <w:rsid w:val="00F06720"/>
    <w:rsid w:val="00F25405"/>
    <w:rsid w:val="00F41A72"/>
    <w:rsid w:val="00F718B9"/>
    <w:rsid w:val="00FB4AD9"/>
    <w:rsid w:val="00FC6B5D"/>
    <w:rsid w:val="00FD1850"/>
    <w:rsid w:val="00FD5B0E"/>
    <w:rsid w:val="00FE25E3"/>
    <w:rsid w:val="00FE73D2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55246"/>
  <w15:chartTrackingRefBased/>
  <w15:docId w15:val="{8D57E7DF-5B77-41F4-85F8-F7470B1B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40E"/>
  </w:style>
  <w:style w:type="paragraph" w:styleId="Footer">
    <w:name w:val="footer"/>
    <w:basedOn w:val="Normal"/>
    <w:link w:val="FooterChar"/>
    <w:uiPriority w:val="99"/>
    <w:unhideWhenUsed/>
    <w:rsid w:val="00881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40E"/>
  </w:style>
  <w:style w:type="character" w:styleId="Hyperlink">
    <w:name w:val="Hyperlink"/>
    <w:basedOn w:val="DefaultParagraphFont"/>
    <w:uiPriority w:val="99"/>
    <w:unhideWhenUsed/>
    <w:rsid w:val="005A35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5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0B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nu13093042" TargetMode="External"/><Relationship Id="rId13" Type="http://schemas.openxmlformats.org/officeDocument/2006/relationships/hyperlink" Target="https://scholar.google.com/scholar_lookup?title=Modeling+the+epidemic+of+nonalcoholic+fatty+liver+disease+demonstrates+an+exponential+increase+in+burden+of+disease&amp;author=Estes,+C.&amp;author=Razavi,+H.&amp;author=Loomba,+R.&amp;author=Younossi,+Z.&amp;author=Sanyal,+A.J.&amp;publication_year=2018&amp;journal=Hepatology&amp;volume=67&amp;pages=123%E2%80%93133&amp;doi=10.1002/hep.29466&amp;pmid=28802062" TargetMode="External"/><Relationship Id="rId18" Type="http://schemas.openxmlformats.org/officeDocument/2006/relationships/hyperlink" Target="https://dx.doi.org/10.1038/nrgastro.2017.10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doi.org/10.1007/978-3-319-18365-7_6" TargetMode="External"/><Relationship Id="rId12" Type="http://schemas.openxmlformats.org/officeDocument/2006/relationships/hyperlink" Target="https://doi.org/10.3390/nu11122985" TargetMode="External"/><Relationship Id="rId17" Type="http://schemas.openxmlformats.org/officeDocument/2006/relationships/hyperlink" Target="https://scholar.google.com/scholar_lookup?title=Global+burden+of+NAFLD+and+NASH:+Trends,+predictions,+risk+factors+and+prevention&amp;author=Younossi,+Z.&amp;author=Anstee,+Q.M.&amp;author=Marietti,+M.&amp;author=Hardy,+T.&amp;author=Henry,+L.&amp;author=Eslam,+M.&amp;author=George,+J.&amp;author=Bugianesi,+E.&amp;publication_year=2018&amp;journal=Nat.+Rev.+Gastroenterol.+Hepatol.&amp;volume=15&amp;pages=11%E2%80%9320&amp;doi=10.1038/nrgastro.2017.109&amp;pmid=28930295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doi.org/10.1016/j.jceh.2016.02.003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28802062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ubmed/28802062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dx.doi.org/10.1002/hep.29466" TargetMode="External"/><Relationship Id="rId19" Type="http://schemas.openxmlformats.org/officeDocument/2006/relationships/hyperlink" Target="https://www.ncbi.nlm.nih.gov/pubmed/289302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scholar_lookup?title=Modeling+the+epidemic+of+nonalcoholic+fatty+liver+disease+demonstrates+an+exponential+increase+in+burden+of+disease&amp;author=Estes,+C.&amp;author=Razavi,+H.&amp;author=Loomba,+R.&amp;author=Younossi,+Z.&amp;author=Sanyal,+A.J.&amp;publication_year=2018&amp;journal=Hepatology&amp;volume=67&amp;pages=123%E2%80%93133&amp;doi=10.1002/hep.29466&amp;pmid=28802062" TargetMode="External"/><Relationship Id="rId14" Type="http://schemas.openxmlformats.org/officeDocument/2006/relationships/hyperlink" Target="https://dx.doi.org/10.1002/hep.29466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1302</Words>
  <Characters>5794</Characters>
  <Application>Microsoft Office Word</Application>
  <DocSecurity>0</DocSecurity>
  <Lines>165</Lines>
  <Paragraphs>78</Paragraphs>
  <ScaleCrop>false</ScaleCrop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 Mortimore</dc:creator>
  <cp:keywords/>
  <dc:description/>
  <cp:lastModifiedBy>Gerri Mortimore</cp:lastModifiedBy>
  <cp:revision>2</cp:revision>
  <dcterms:created xsi:type="dcterms:W3CDTF">2021-12-03T12:16:00Z</dcterms:created>
  <dcterms:modified xsi:type="dcterms:W3CDTF">2021-12-03T12:16:00Z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782817@derby.ac.uk</vt:lpwstr>
  </property>
  <property fmtid="{D5CDD505-2E9C-101B-9397-08002B2CF9AE}" pid="5" name="MSIP_Label_b47d098f-2640-4837-b575-e0be04df0525_SetDate">
    <vt:lpwstr>2021-11-28T20:47:47.3332302Z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782817@derby.ac.uk</vt:lpwstr>
  </property>
  <property fmtid="{D5CDD505-2E9C-101B-9397-08002B2CF9AE}" pid="12" name="MSIP_Label_501a0944-9d81-4c75-b857-2ec7863455b7_SetDate">
    <vt:lpwstr>2021-11-28T20:47:47.3332302Z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</Properties>
</file>