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2B9D" w:rsidRPr="005517C4" w:rsidRDefault="00372B9D" w:rsidP="00372B9D">
      <w:pPr>
        <w:spacing w:line="360" w:lineRule="auto"/>
        <w:jc w:val="center"/>
        <w:rPr>
          <w:rFonts w:ascii="Times New Roman" w:hAnsi="Times New Roman" w:cs="Times New Roman"/>
          <w:b/>
          <w:sz w:val="24"/>
          <w:szCs w:val="24"/>
        </w:rPr>
      </w:pPr>
      <w:r w:rsidRPr="005517C4">
        <w:rPr>
          <w:rFonts w:ascii="Times New Roman" w:hAnsi="Times New Roman" w:cs="Times New Roman"/>
          <w:b/>
          <w:sz w:val="24"/>
          <w:szCs w:val="24"/>
        </w:rPr>
        <w:t>D</w:t>
      </w:r>
      <w:r>
        <w:rPr>
          <w:rFonts w:ascii="Times New Roman" w:hAnsi="Times New Roman" w:cs="Times New Roman"/>
          <w:b/>
          <w:sz w:val="24"/>
          <w:szCs w:val="24"/>
        </w:rPr>
        <w:t>oes</w:t>
      </w:r>
      <w:r w:rsidRPr="005517C4">
        <w:rPr>
          <w:rFonts w:ascii="Times New Roman" w:hAnsi="Times New Roman" w:cs="Times New Roman"/>
          <w:b/>
          <w:sz w:val="24"/>
          <w:szCs w:val="24"/>
        </w:rPr>
        <w:t xml:space="preserve"> C</w:t>
      </w:r>
      <w:r>
        <w:rPr>
          <w:rFonts w:ascii="Times New Roman" w:hAnsi="Times New Roman" w:cs="Times New Roman"/>
          <w:b/>
          <w:sz w:val="24"/>
          <w:szCs w:val="24"/>
        </w:rPr>
        <w:t>onvergence</w:t>
      </w:r>
      <w:r w:rsidRPr="005517C4">
        <w:rPr>
          <w:rFonts w:ascii="Times New Roman" w:hAnsi="Times New Roman" w:cs="Times New Roman"/>
          <w:b/>
          <w:sz w:val="24"/>
          <w:szCs w:val="24"/>
        </w:rPr>
        <w:t xml:space="preserve"> R</w:t>
      </w:r>
      <w:r>
        <w:rPr>
          <w:rFonts w:ascii="Times New Roman" w:hAnsi="Times New Roman" w:cs="Times New Roman"/>
          <w:b/>
          <w:sz w:val="24"/>
          <w:szCs w:val="24"/>
        </w:rPr>
        <w:t xml:space="preserve">eally </w:t>
      </w:r>
      <w:r w:rsidRPr="005517C4">
        <w:rPr>
          <w:rFonts w:ascii="Times New Roman" w:hAnsi="Times New Roman" w:cs="Times New Roman"/>
          <w:b/>
          <w:sz w:val="24"/>
          <w:szCs w:val="24"/>
        </w:rPr>
        <w:t>M</w:t>
      </w:r>
      <w:r>
        <w:rPr>
          <w:rFonts w:ascii="Times New Roman" w:hAnsi="Times New Roman" w:cs="Times New Roman"/>
          <w:b/>
          <w:sz w:val="24"/>
          <w:szCs w:val="24"/>
        </w:rPr>
        <w:t>atter</w:t>
      </w:r>
      <w:r w:rsidRPr="005517C4">
        <w:rPr>
          <w:rFonts w:ascii="Times New Roman" w:hAnsi="Times New Roman" w:cs="Times New Roman"/>
          <w:b/>
          <w:sz w:val="24"/>
          <w:szCs w:val="24"/>
        </w:rPr>
        <w:t xml:space="preserve"> </w:t>
      </w:r>
      <w:r>
        <w:rPr>
          <w:rFonts w:ascii="Times New Roman" w:hAnsi="Times New Roman" w:cs="Times New Roman"/>
          <w:b/>
          <w:sz w:val="24"/>
          <w:szCs w:val="24"/>
        </w:rPr>
        <w:t>for the</w:t>
      </w:r>
      <w:r w:rsidRPr="005517C4">
        <w:rPr>
          <w:rFonts w:ascii="Times New Roman" w:hAnsi="Times New Roman" w:cs="Times New Roman"/>
          <w:b/>
          <w:sz w:val="24"/>
          <w:szCs w:val="24"/>
        </w:rPr>
        <w:t xml:space="preserve"> E</w:t>
      </w:r>
      <w:r>
        <w:rPr>
          <w:rFonts w:ascii="Times New Roman" w:hAnsi="Times New Roman" w:cs="Times New Roman"/>
          <w:b/>
          <w:sz w:val="24"/>
          <w:szCs w:val="24"/>
        </w:rPr>
        <w:t>nvironment?</w:t>
      </w:r>
      <w:r w:rsidRPr="005517C4">
        <w:rPr>
          <w:rFonts w:ascii="Times New Roman" w:hAnsi="Times New Roman" w:cs="Times New Roman"/>
          <w:b/>
          <w:sz w:val="24"/>
          <w:szCs w:val="24"/>
        </w:rPr>
        <w:t xml:space="preserve"> A</w:t>
      </w:r>
      <w:r>
        <w:rPr>
          <w:rFonts w:ascii="Times New Roman" w:hAnsi="Times New Roman" w:cs="Times New Roman"/>
          <w:b/>
          <w:sz w:val="24"/>
          <w:szCs w:val="24"/>
        </w:rPr>
        <w:t>n</w:t>
      </w:r>
      <w:r w:rsidRPr="005517C4">
        <w:rPr>
          <w:rFonts w:ascii="Times New Roman" w:hAnsi="Times New Roman" w:cs="Times New Roman"/>
          <w:b/>
          <w:sz w:val="24"/>
          <w:szCs w:val="24"/>
        </w:rPr>
        <w:t xml:space="preserve"> A</w:t>
      </w:r>
      <w:r>
        <w:rPr>
          <w:rFonts w:ascii="Times New Roman" w:hAnsi="Times New Roman" w:cs="Times New Roman"/>
          <w:b/>
          <w:sz w:val="24"/>
          <w:szCs w:val="24"/>
        </w:rPr>
        <w:t>pplication</w:t>
      </w:r>
      <w:r w:rsidRPr="005517C4">
        <w:rPr>
          <w:rFonts w:ascii="Times New Roman" w:hAnsi="Times New Roman" w:cs="Times New Roman"/>
          <w:b/>
          <w:sz w:val="24"/>
          <w:szCs w:val="24"/>
        </w:rPr>
        <w:t xml:space="preserve"> B</w:t>
      </w:r>
      <w:r>
        <w:rPr>
          <w:rFonts w:ascii="Times New Roman" w:hAnsi="Times New Roman" w:cs="Times New Roman"/>
          <w:b/>
          <w:sz w:val="24"/>
          <w:szCs w:val="24"/>
        </w:rPr>
        <w:t xml:space="preserve">ased on </w:t>
      </w:r>
      <w:r w:rsidRPr="005517C4">
        <w:rPr>
          <w:rFonts w:ascii="Times New Roman" w:hAnsi="Times New Roman" w:cs="Times New Roman"/>
          <w:b/>
          <w:sz w:val="24"/>
          <w:szCs w:val="24"/>
        </w:rPr>
        <w:t>C</w:t>
      </w:r>
      <w:r>
        <w:rPr>
          <w:rFonts w:ascii="Times New Roman" w:hAnsi="Times New Roman" w:cs="Times New Roman"/>
          <w:b/>
          <w:sz w:val="24"/>
          <w:szCs w:val="24"/>
        </w:rPr>
        <w:t>lub</w:t>
      </w:r>
      <w:r w:rsidRPr="005517C4">
        <w:rPr>
          <w:rFonts w:ascii="Times New Roman" w:hAnsi="Times New Roman" w:cs="Times New Roman"/>
          <w:b/>
          <w:sz w:val="24"/>
          <w:szCs w:val="24"/>
        </w:rPr>
        <w:t xml:space="preserve"> C</w:t>
      </w:r>
      <w:r>
        <w:rPr>
          <w:rFonts w:ascii="Times New Roman" w:hAnsi="Times New Roman" w:cs="Times New Roman"/>
          <w:b/>
          <w:sz w:val="24"/>
          <w:szCs w:val="24"/>
        </w:rPr>
        <w:t>onvergence</w:t>
      </w:r>
      <w:r w:rsidRPr="005517C4">
        <w:rPr>
          <w:rFonts w:ascii="Times New Roman" w:hAnsi="Times New Roman" w:cs="Times New Roman"/>
          <w:b/>
          <w:sz w:val="24"/>
          <w:szCs w:val="24"/>
        </w:rPr>
        <w:t xml:space="preserve"> </w:t>
      </w:r>
      <w:r>
        <w:rPr>
          <w:rFonts w:ascii="Times New Roman" w:hAnsi="Times New Roman" w:cs="Times New Roman"/>
          <w:b/>
          <w:sz w:val="24"/>
          <w:szCs w:val="24"/>
        </w:rPr>
        <w:t>and on the</w:t>
      </w:r>
      <w:r w:rsidRPr="005517C4">
        <w:rPr>
          <w:rFonts w:ascii="Times New Roman" w:hAnsi="Times New Roman" w:cs="Times New Roman"/>
          <w:b/>
          <w:sz w:val="24"/>
          <w:szCs w:val="24"/>
        </w:rPr>
        <w:t xml:space="preserve"> E</w:t>
      </w:r>
      <w:r>
        <w:rPr>
          <w:rFonts w:ascii="Times New Roman" w:hAnsi="Times New Roman" w:cs="Times New Roman"/>
          <w:b/>
          <w:sz w:val="24"/>
          <w:szCs w:val="24"/>
        </w:rPr>
        <w:t>cological</w:t>
      </w:r>
      <w:r w:rsidRPr="005517C4">
        <w:rPr>
          <w:rFonts w:ascii="Times New Roman" w:hAnsi="Times New Roman" w:cs="Times New Roman"/>
          <w:b/>
          <w:sz w:val="24"/>
          <w:szCs w:val="24"/>
        </w:rPr>
        <w:t xml:space="preserve"> F</w:t>
      </w:r>
      <w:r>
        <w:rPr>
          <w:rFonts w:ascii="Times New Roman" w:hAnsi="Times New Roman" w:cs="Times New Roman"/>
          <w:b/>
          <w:sz w:val="24"/>
          <w:szCs w:val="24"/>
        </w:rPr>
        <w:t>ootprint Concept for the</w:t>
      </w:r>
      <w:r w:rsidRPr="005517C4">
        <w:rPr>
          <w:rFonts w:ascii="Times New Roman" w:hAnsi="Times New Roman" w:cs="Times New Roman"/>
          <w:b/>
          <w:sz w:val="24"/>
          <w:szCs w:val="24"/>
        </w:rPr>
        <w:t xml:space="preserve"> EU</w:t>
      </w:r>
      <w:r>
        <w:rPr>
          <w:rFonts w:ascii="Times New Roman" w:hAnsi="Times New Roman" w:cs="Times New Roman"/>
          <w:b/>
          <w:sz w:val="24"/>
          <w:szCs w:val="24"/>
        </w:rPr>
        <w:t xml:space="preserve"> Countries</w:t>
      </w:r>
    </w:p>
    <w:p w:rsidR="00E46A37" w:rsidRPr="00A15E6E" w:rsidRDefault="00E46A37" w:rsidP="00A15E6E">
      <w:pPr>
        <w:spacing w:line="240" w:lineRule="auto"/>
        <w:jc w:val="both"/>
        <w:rPr>
          <w:rFonts w:ascii="Times New Roman" w:hAnsi="Times New Roman" w:cs="Times New Roman"/>
          <w:b/>
          <w:color w:val="000000" w:themeColor="text1"/>
          <w:sz w:val="24"/>
          <w:szCs w:val="24"/>
        </w:rPr>
      </w:pPr>
      <w:r w:rsidRPr="00A15E6E">
        <w:rPr>
          <w:rFonts w:ascii="Times New Roman" w:hAnsi="Times New Roman" w:cs="Times New Roman"/>
          <w:b/>
          <w:color w:val="000000" w:themeColor="text1"/>
          <w:sz w:val="24"/>
          <w:szCs w:val="24"/>
        </w:rPr>
        <w:t>Abstract</w:t>
      </w:r>
    </w:p>
    <w:p w:rsidR="00E87898" w:rsidRPr="00A15E6E" w:rsidRDefault="00461E9B" w:rsidP="00E87898">
      <w:pPr>
        <w:shd w:val="clear" w:color="auto" w:fill="FFFFFF"/>
        <w:spacing w:line="360" w:lineRule="auto"/>
        <w:jc w:val="both"/>
        <w:rPr>
          <w:rFonts w:ascii="Times New Roman" w:eastAsia="Times New Roman" w:hAnsi="Times New Roman" w:cs="Times New Roman"/>
          <w:color w:val="000000" w:themeColor="text1"/>
          <w:sz w:val="24"/>
          <w:szCs w:val="24"/>
          <w:lang w:val="en-US"/>
        </w:rPr>
      </w:pPr>
      <w:r w:rsidRPr="00A15E6E">
        <w:rPr>
          <w:rFonts w:ascii="Times New Roman" w:hAnsi="Times New Roman" w:cs="Times New Roman"/>
          <w:color w:val="000000" w:themeColor="text1"/>
          <w:sz w:val="24"/>
          <w:szCs w:val="24"/>
          <w:lang w:val="en-US"/>
        </w:rPr>
        <w:t xml:space="preserve">The </w:t>
      </w:r>
      <w:r w:rsidR="00A15E6E" w:rsidRPr="00A15E6E">
        <w:rPr>
          <w:rFonts w:ascii="Times New Roman" w:hAnsi="Times New Roman" w:cs="Times New Roman"/>
          <w:color w:val="000000" w:themeColor="text1"/>
          <w:sz w:val="24"/>
          <w:szCs w:val="24"/>
          <w:lang w:val="en-US"/>
        </w:rPr>
        <w:t>e</w:t>
      </w:r>
      <w:r w:rsidRPr="00A15E6E">
        <w:rPr>
          <w:rFonts w:ascii="Times New Roman" w:hAnsi="Times New Roman" w:cs="Times New Roman"/>
          <w:color w:val="000000" w:themeColor="text1"/>
          <w:sz w:val="24"/>
          <w:szCs w:val="24"/>
          <w:lang w:val="en-US"/>
        </w:rPr>
        <w:t xml:space="preserve">cological </w:t>
      </w:r>
      <w:r w:rsidR="00A15E6E" w:rsidRPr="00A15E6E">
        <w:rPr>
          <w:rFonts w:ascii="Times New Roman" w:hAnsi="Times New Roman" w:cs="Times New Roman"/>
          <w:color w:val="000000" w:themeColor="text1"/>
          <w:sz w:val="24"/>
          <w:szCs w:val="24"/>
          <w:lang w:val="en-US"/>
        </w:rPr>
        <w:t>f</w:t>
      </w:r>
      <w:r w:rsidRPr="00A15E6E">
        <w:rPr>
          <w:rFonts w:ascii="Times New Roman" w:hAnsi="Times New Roman" w:cs="Times New Roman"/>
          <w:color w:val="000000" w:themeColor="text1"/>
          <w:sz w:val="24"/>
          <w:szCs w:val="24"/>
          <w:lang w:val="en-US"/>
        </w:rPr>
        <w:t xml:space="preserve">ootprint has </w:t>
      </w:r>
      <w:r w:rsidR="00A15E6E" w:rsidRPr="00A15E6E">
        <w:rPr>
          <w:rFonts w:ascii="Times New Roman" w:hAnsi="Times New Roman" w:cs="Times New Roman"/>
          <w:color w:val="000000" w:themeColor="text1"/>
          <w:sz w:val="24"/>
          <w:szCs w:val="24"/>
          <w:lang w:val="en-US"/>
        </w:rPr>
        <w:t xml:space="preserve">currently </w:t>
      </w:r>
      <w:r w:rsidRPr="00A15E6E">
        <w:rPr>
          <w:rFonts w:ascii="Times New Roman" w:hAnsi="Times New Roman" w:cs="Times New Roman"/>
          <w:color w:val="000000" w:themeColor="text1"/>
          <w:sz w:val="24"/>
          <w:szCs w:val="24"/>
          <w:lang w:val="en-US"/>
        </w:rPr>
        <w:t xml:space="preserve">become </w:t>
      </w:r>
      <w:r w:rsidR="00A15E6E" w:rsidRPr="00A15E6E">
        <w:rPr>
          <w:rFonts w:ascii="Times New Roman" w:hAnsi="Times New Roman" w:cs="Times New Roman"/>
          <w:color w:val="000000" w:themeColor="text1"/>
          <w:sz w:val="24"/>
          <w:szCs w:val="24"/>
          <w:lang w:val="en-US"/>
        </w:rPr>
        <w:t>a highly</w:t>
      </w:r>
      <w:r w:rsidRPr="00A15E6E">
        <w:rPr>
          <w:rFonts w:ascii="Times New Roman" w:hAnsi="Times New Roman" w:cs="Times New Roman"/>
          <w:color w:val="000000" w:themeColor="text1"/>
          <w:sz w:val="24"/>
          <w:szCs w:val="24"/>
          <w:lang w:val="en-US"/>
        </w:rPr>
        <w:t xml:space="preserve"> popular </w:t>
      </w:r>
      <w:r w:rsidR="0023305E" w:rsidRPr="00A15E6E">
        <w:rPr>
          <w:rFonts w:ascii="Times New Roman" w:hAnsi="Times New Roman" w:cs="Times New Roman"/>
          <w:color w:val="000000" w:themeColor="text1"/>
          <w:sz w:val="24"/>
          <w:szCs w:val="24"/>
          <w:lang w:val="en-US"/>
        </w:rPr>
        <w:t>environmental performance</w:t>
      </w:r>
      <w:r w:rsidRPr="00A15E6E">
        <w:rPr>
          <w:rFonts w:ascii="Times New Roman" w:hAnsi="Times New Roman" w:cs="Times New Roman"/>
          <w:color w:val="000000" w:themeColor="text1"/>
          <w:sz w:val="24"/>
          <w:szCs w:val="24"/>
          <w:lang w:val="en-US"/>
        </w:rPr>
        <w:t xml:space="preserve"> indicator</w:t>
      </w:r>
      <w:r w:rsidR="00A15E6E" w:rsidRPr="00A15E6E">
        <w:rPr>
          <w:rFonts w:ascii="Times New Roman" w:hAnsi="Times New Roman" w:cs="Times New Roman"/>
          <w:color w:val="000000" w:themeColor="text1"/>
          <w:sz w:val="24"/>
          <w:szCs w:val="24"/>
          <w:lang w:val="en-US"/>
        </w:rPr>
        <w:t>.</w:t>
      </w:r>
      <w:r w:rsidR="003D379B" w:rsidRPr="00A15E6E">
        <w:rPr>
          <w:rFonts w:ascii="Times New Roman" w:hAnsi="Times New Roman" w:cs="Times New Roman"/>
          <w:color w:val="000000" w:themeColor="text1"/>
          <w:sz w:val="24"/>
          <w:szCs w:val="24"/>
          <w:lang w:val="en-US"/>
        </w:rPr>
        <w:t xml:space="preserve"> </w:t>
      </w:r>
      <w:r w:rsidR="00A15E6E" w:rsidRPr="00A15E6E">
        <w:rPr>
          <w:rFonts w:ascii="Times New Roman" w:hAnsi="Times New Roman" w:cs="Times New Roman"/>
          <w:color w:val="000000" w:themeColor="text1"/>
          <w:sz w:val="24"/>
          <w:szCs w:val="24"/>
          <w:lang w:val="en-US"/>
        </w:rPr>
        <w:t>It provides the</w:t>
      </w:r>
      <w:r w:rsidRPr="00A15E6E">
        <w:rPr>
          <w:rFonts w:ascii="Times New Roman" w:hAnsi="Times New Roman" w:cs="Times New Roman"/>
          <w:color w:val="000000" w:themeColor="text1"/>
          <w:sz w:val="24"/>
          <w:szCs w:val="24"/>
          <w:lang w:val="en-US"/>
        </w:rPr>
        <w:t xml:space="preserve"> basis for setting goals, identifying options for action, and tracking progress toward stated goals. </w:t>
      </w:r>
      <w:r w:rsidRPr="00A15E6E">
        <w:rPr>
          <w:rFonts w:ascii="Times New Roman" w:hAnsi="Times New Roman" w:cs="Times New Roman"/>
          <w:color w:val="000000" w:themeColor="text1"/>
          <w:lang w:val="en-US"/>
        </w:rPr>
        <w:t xml:space="preserve">This </w:t>
      </w:r>
      <w:r w:rsidR="00A15E6E" w:rsidRPr="00A15E6E">
        <w:rPr>
          <w:rFonts w:ascii="Times New Roman" w:hAnsi="Times New Roman" w:cs="Times New Roman"/>
          <w:color w:val="000000" w:themeColor="text1"/>
          <w:lang w:val="en-US"/>
        </w:rPr>
        <w:t>paper</w:t>
      </w:r>
      <w:r w:rsidRPr="00A15E6E">
        <w:rPr>
          <w:rFonts w:ascii="Times New Roman" w:hAnsi="Times New Roman" w:cs="Times New Roman"/>
          <w:color w:val="000000" w:themeColor="text1"/>
          <w:lang w:val="en-US"/>
        </w:rPr>
        <w:t xml:space="preserve"> investigates the convergence </w:t>
      </w:r>
      <w:r w:rsidR="00A15E6E" w:rsidRPr="00A15E6E">
        <w:rPr>
          <w:rFonts w:ascii="Times New Roman" w:hAnsi="Times New Roman" w:cs="Times New Roman"/>
          <w:color w:val="000000" w:themeColor="text1"/>
          <w:lang w:val="en-US"/>
        </w:rPr>
        <w:t>of the</w:t>
      </w:r>
      <w:r w:rsidRPr="00A15E6E">
        <w:rPr>
          <w:rFonts w:ascii="Times New Roman" w:hAnsi="Times New Roman" w:cs="Times New Roman"/>
          <w:color w:val="000000" w:themeColor="text1"/>
          <w:lang w:val="en-US"/>
        </w:rPr>
        <w:t xml:space="preserve"> per capita ecological footprint by employing the </w:t>
      </w:r>
      <w:r w:rsidRPr="00A15E6E">
        <w:rPr>
          <w:rFonts w:ascii="Times New Roman" w:hAnsi="Times New Roman" w:cs="Times New Roman"/>
          <w:color w:val="000000" w:themeColor="text1"/>
          <w:sz w:val="24"/>
          <w:szCs w:val="24"/>
          <w:lang w:val="en-US"/>
        </w:rPr>
        <w:t>annual data</w:t>
      </w:r>
      <w:r w:rsidR="00A15E6E" w:rsidRPr="00A15E6E">
        <w:rPr>
          <w:rFonts w:ascii="Times New Roman" w:hAnsi="Times New Roman" w:cs="Times New Roman"/>
          <w:color w:val="000000" w:themeColor="text1"/>
          <w:sz w:val="24"/>
          <w:szCs w:val="24"/>
          <w:lang w:val="en-US"/>
        </w:rPr>
        <w:t xml:space="preserve"> for the case of the European Union countries, spanning the period</w:t>
      </w:r>
      <w:r w:rsidRPr="00A15E6E">
        <w:rPr>
          <w:rFonts w:ascii="Times New Roman" w:hAnsi="Times New Roman" w:cs="Times New Roman"/>
          <w:color w:val="000000" w:themeColor="text1"/>
          <w:sz w:val="24"/>
          <w:szCs w:val="24"/>
          <w:lang w:val="en-US"/>
        </w:rPr>
        <w:t xml:space="preserve"> 1961 to 2013.</w:t>
      </w:r>
      <w:r w:rsidR="0023305E" w:rsidRPr="00A15E6E">
        <w:rPr>
          <w:rFonts w:ascii="Times New Roman" w:hAnsi="Times New Roman" w:cs="Times New Roman"/>
          <w:color w:val="000000" w:themeColor="text1"/>
          <w:sz w:val="24"/>
          <w:szCs w:val="24"/>
          <w:lang w:val="en-US"/>
        </w:rPr>
        <w:t xml:space="preserve"> </w:t>
      </w:r>
      <w:r w:rsidR="00A15E6E" w:rsidRPr="00A15E6E">
        <w:rPr>
          <w:rFonts w:ascii="Times New Roman" w:hAnsi="Times New Roman" w:cs="Times New Roman"/>
          <w:color w:val="000000" w:themeColor="text1"/>
          <w:sz w:val="24"/>
          <w:szCs w:val="24"/>
          <w:lang w:val="en-US"/>
        </w:rPr>
        <w:t>The methodology follows the c</w:t>
      </w:r>
      <w:r w:rsidR="0023305E" w:rsidRPr="00A15E6E">
        <w:rPr>
          <w:rFonts w:ascii="Times New Roman" w:hAnsi="Times New Roman" w:cs="Times New Roman"/>
          <w:color w:val="000000" w:themeColor="text1"/>
          <w:sz w:val="24"/>
          <w:szCs w:val="24"/>
          <w:lang w:val="en-US"/>
        </w:rPr>
        <w:t xml:space="preserve">lub </w:t>
      </w:r>
      <w:r w:rsidR="003D379B" w:rsidRPr="00A15E6E">
        <w:rPr>
          <w:rFonts w:ascii="Times New Roman" w:hAnsi="Times New Roman" w:cs="Times New Roman"/>
          <w:color w:val="000000" w:themeColor="text1"/>
          <w:sz w:val="24"/>
          <w:szCs w:val="24"/>
          <w:lang w:val="en-US"/>
        </w:rPr>
        <w:t xml:space="preserve">clustering </w:t>
      </w:r>
      <w:r w:rsidR="00A15E6E" w:rsidRPr="00A15E6E">
        <w:rPr>
          <w:rFonts w:ascii="Times New Roman" w:hAnsi="Times New Roman" w:cs="Times New Roman"/>
          <w:color w:val="000000" w:themeColor="text1"/>
          <w:sz w:val="24"/>
          <w:szCs w:val="24"/>
          <w:lang w:val="en-US"/>
        </w:rPr>
        <w:t xml:space="preserve">approach </w:t>
      </w:r>
      <w:r w:rsidR="00E87898" w:rsidRPr="00A15E6E">
        <w:rPr>
          <w:rFonts w:ascii="Times New Roman" w:hAnsi="Times New Roman" w:cs="Times New Roman"/>
          <w:color w:val="000000" w:themeColor="text1"/>
          <w:sz w:val="24"/>
          <w:szCs w:val="24"/>
          <w:lang w:val="en-US"/>
        </w:rPr>
        <w:t xml:space="preserve">and </w:t>
      </w:r>
      <w:r w:rsidR="00A15E6E" w:rsidRPr="00A15E6E">
        <w:rPr>
          <w:rFonts w:ascii="Times New Roman" w:hAnsi="Times New Roman" w:cs="Times New Roman"/>
          <w:color w:val="000000" w:themeColor="text1"/>
          <w:sz w:val="24"/>
          <w:szCs w:val="24"/>
          <w:lang w:val="en-US"/>
        </w:rPr>
        <w:t xml:space="preserve">the empirical findings document the presence of certain </w:t>
      </w:r>
      <w:r w:rsidR="003D379B" w:rsidRPr="00A15E6E">
        <w:rPr>
          <w:rFonts w:ascii="Times New Roman" w:hAnsi="Times New Roman" w:cs="Times New Roman"/>
          <w:color w:val="000000" w:themeColor="text1"/>
          <w:sz w:val="24"/>
          <w:szCs w:val="24"/>
          <w:lang w:val="en-US"/>
        </w:rPr>
        <w:t xml:space="preserve">convergent clubs. </w:t>
      </w:r>
      <w:r w:rsidR="00A15E6E" w:rsidRPr="00A15E6E">
        <w:rPr>
          <w:rFonts w:ascii="Times New Roman" w:hAnsi="Times New Roman" w:cs="Times New Roman"/>
          <w:color w:val="000000" w:themeColor="text1"/>
          <w:sz w:val="24"/>
          <w:szCs w:val="24"/>
          <w:lang w:val="en-US"/>
        </w:rPr>
        <w:t>These e</w:t>
      </w:r>
      <w:r w:rsidR="00E87898" w:rsidRPr="00A15E6E">
        <w:rPr>
          <w:rFonts w:ascii="Times New Roman" w:hAnsi="Times New Roman" w:cs="Times New Roman"/>
          <w:color w:val="000000" w:themeColor="text1"/>
          <w:sz w:val="24"/>
          <w:szCs w:val="24"/>
          <w:shd w:val="clear" w:color="auto" w:fill="FFFFFF"/>
        </w:rPr>
        <w:t>mpirical</w:t>
      </w:r>
      <w:r w:rsidR="00E87898" w:rsidRPr="00A15E6E">
        <w:rPr>
          <w:rFonts w:ascii="Times New Roman" w:eastAsia="Times New Roman" w:hAnsi="Times New Roman" w:cs="Times New Roman"/>
          <w:color w:val="000000" w:themeColor="text1"/>
          <w:sz w:val="24"/>
          <w:szCs w:val="24"/>
          <w:lang w:val="en-US"/>
        </w:rPr>
        <w:t xml:space="preserve"> results clarify the differences in t</w:t>
      </w:r>
      <w:r w:rsidR="00A15E6E" w:rsidRPr="00A15E6E">
        <w:rPr>
          <w:rFonts w:ascii="Times New Roman" w:eastAsia="Times New Roman" w:hAnsi="Times New Roman" w:cs="Times New Roman"/>
          <w:color w:val="000000" w:themeColor="text1"/>
          <w:sz w:val="24"/>
          <w:szCs w:val="24"/>
          <w:lang w:val="en-US"/>
        </w:rPr>
        <w:t>erms of</w:t>
      </w:r>
      <w:r w:rsidR="00E87898" w:rsidRPr="00A15E6E">
        <w:rPr>
          <w:rFonts w:ascii="Times New Roman" w:eastAsia="Times New Roman" w:hAnsi="Times New Roman" w:cs="Times New Roman"/>
          <w:color w:val="000000" w:themeColor="text1"/>
          <w:sz w:val="24"/>
          <w:szCs w:val="24"/>
          <w:lang w:val="en-US"/>
        </w:rPr>
        <w:t xml:space="preserve"> environmental quality, as well as the awareness strategies the EU members in each club</w:t>
      </w:r>
      <w:r w:rsidR="00A15E6E" w:rsidRPr="00A15E6E">
        <w:rPr>
          <w:rFonts w:ascii="Times New Roman" w:eastAsia="Times New Roman" w:hAnsi="Times New Roman" w:cs="Times New Roman"/>
          <w:color w:val="000000" w:themeColor="text1"/>
          <w:sz w:val="24"/>
          <w:szCs w:val="24"/>
          <w:lang w:val="en-US"/>
        </w:rPr>
        <w:t xml:space="preserve"> need to follow</w:t>
      </w:r>
      <w:r w:rsidR="00E87898" w:rsidRPr="00A15E6E">
        <w:rPr>
          <w:rFonts w:ascii="Times New Roman" w:eastAsia="Times New Roman" w:hAnsi="Times New Roman" w:cs="Times New Roman"/>
          <w:color w:val="000000" w:themeColor="text1"/>
          <w:sz w:val="24"/>
          <w:szCs w:val="24"/>
          <w:lang w:val="en-US"/>
        </w:rPr>
        <w:t>.</w:t>
      </w:r>
    </w:p>
    <w:p w:rsidR="00A15E6E" w:rsidRPr="00A15E6E" w:rsidRDefault="00E46A37" w:rsidP="007E6337">
      <w:pPr>
        <w:spacing w:line="360" w:lineRule="auto"/>
        <w:jc w:val="both"/>
        <w:rPr>
          <w:rFonts w:ascii="Times New Roman" w:hAnsi="Times New Roman" w:cs="Times New Roman"/>
          <w:color w:val="000000" w:themeColor="text1"/>
          <w:lang w:val="en-US"/>
        </w:rPr>
      </w:pPr>
      <w:r w:rsidRPr="00A15E6E">
        <w:rPr>
          <w:rFonts w:ascii="Times New Roman" w:hAnsi="Times New Roman" w:cs="Times New Roman"/>
          <w:b/>
          <w:color w:val="000000" w:themeColor="text1"/>
          <w:sz w:val="24"/>
          <w:szCs w:val="24"/>
        </w:rPr>
        <w:t>Keywords</w:t>
      </w:r>
      <w:r w:rsidRPr="00A15E6E">
        <w:rPr>
          <w:rFonts w:ascii="Times New Roman" w:hAnsi="Times New Roman" w:cs="Times New Roman"/>
          <w:color w:val="000000" w:themeColor="text1"/>
          <w:sz w:val="24"/>
          <w:szCs w:val="24"/>
        </w:rPr>
        <w:t>:</w:t>
      </w:r>
      <w:r w:rsidR="00021AA7" w:rsidRPr="00A15E6E">
        <w:rPr>
          <w:rFonts w:ascii="Times New Roman" w:hAnsi="Times New Roman" w:cs="Times New Roman"/>
          <w:color w:val="000000" w:themeColor="text1"/>
          <w:sz w:val="24"/>
          <w:szCs w:val="24"/>
        </w:rPr>
        <w:t xml:space="preserve"> </w:t>
      </w:r>
      <w:r w:rsidR="00021AA7" w:rsidRPr="00A15E6E">
        <w:rPr>
          <w:rFonts w:ascii="Times New Roman" w:hAnsi="Times New Roman" w:cs="Times New Roman"/>
          <w:color w:val="000000" w:themeColor="text1"/>
          <w:lang w:val="en-US"/>
        </w:rPr>
        <w:t>environmental convergence</w:t>
      </w:r>
      <w:r w:rsidR="00A15E6E" w:rsidRPr="00A15E6E">
        <w:rPr>
          <w:rFonts w:ascii="Times New Roman" w:hAnsi="Times New Roman" w:cs="Times New Roman"/>
          <w:color w:val="000000" w:themeColor="text1"/>
          <w:lang w:val="en-US"/>
        </w:rPr>
        <w:t>; ecological footprint;</w:t>
      </w:r>
      <w:r w:rsidR="00021AA7" w:rsidRPr="00A15E6E">
        <w:rPr>
          <w:rFonts w:ascii="Times New Roman" w:hAnsi="Times New Roman" w:cs="Times New Roman"/>
          <w:b/>
          <w:color w:val="000000" w:themeColor="text1"/>
          <w:lang w:val="en-US"/>
        </w:rPr>
        <w:t xml:space="preserve"> </w:t>
      </w:r>
      <w:r w:rsidR="00021AA7" w:rsidRPr="00A15E6E">
        <w:rPr>
          <w:rFonts w:ascii="Times New Roman" w:hAnsi="Times New Roman" w:cs="Times New Roman"/>
          <w:color w:val="000000" w:themeColor="text1"/>
          <w:lang w:val="en-US"/>
        </w:rPr>
        <w:t>club convergence</w:t>
      </w:r>
      <w:r w:rsidR="00A15E6E" w:rsidRPr="00A15E6E">
        <w:rPr>
          <w:rFonts w:ascii="Times New Roman" w:hAnsi="Times New Roman" w:cs="Times New Roman"/>
          <w:color w:val="000000" w:themeColor="text1"/>
          <w:lang w:val="en-US"/>
        </w:rPr>
        <w:t>;</w:t>
      </w:r>
      <w:r w:rsidR="00722FAC" w:rsidRPr="00A15E6E">
        <w:rPr>
          <w:rFonts w:ascii="Times New Roman" w:hAnsi="Times New Roman" w:cs="Times New Roman"/>
          <w:color w:val="000000" w:themeColor="text1"/>
          <w:lang w:val="en-US"/>
        </w:rPr>
        <w:t xml:space="preserve"> environmental policy </w:t>
      </w:r>
    </w:p>
    <w:p w:rsidR="00CC5796" w:rsidRDefault="00CC5796" w:rsidP="007E6337">
      <w:pPr>
        <w:spacing w:line="360" w:lineRule="auto"/>
        <w:jc w:val="both"/>
        <w:rPr>
          <w:rFonts w:ascii="Times New Roman" w:hAnsi="Times New Roman" w:cs="Times New Roman"/>
          <w:b/>
          <w:sz w:val="24"/>
          <w:szCs w:val="24"/>
        </w:rPr>
      </w:pPr>
    </w:p>
    <w:p w:rsidR="00E46A37" w:rsidRPr="00E46A37" w:rsidRDefault="00E46A37" w:rsidP="00CC5796">
      <w:pPr>
        <w:spacing w:after="0" w:line="360" w:lineRule="auto"/>
        <w:jc w:val="both"/>
        <w:rPr>
          <w:rFonts w:ascii="Times New Roman" w:hAnsi="Times New Roman" w:cs="Times New Roman"/>
          <w:b/>
          <w:sz w:val="24"/>
          <w:szCs w:val="24"/>
        </w:rPr>
      </w:pPr>
      <w:r w:rsidRPr="00E46A37">
        <w:rPr>
          <w:rFonts w:ascii="Times New Roman" w:hAnsi="Times New Roman" w:cs="Times New Roman"/>
          <w:b/>
          <w:sz w:val="24"/>
          <w:szCs w:val="24"/>
        </w:rPr>
        <w:t>1. Introduction</w:t>
      </w:r>
    </w:p>
    <w:p w:rsidR="00467C6C" w:rsidRPr="005517C4" w:rsidRDefault="001464B7" w:rsidP="007E6337">
      <w:pPr>
        <w:spacing w:line="360" w:lineRule="auto"/>
        <w:jc w:val="both"/>
        <w:rPr>
          <w:rFonts w:ascii="Times New Roman" w:eastAsiaTheme="minorEastAsia" w:hAnsi="Times New Roman" w:cs="Times New Roman"/>
          <w:sz w:val="24"/>
          <w:szCs w:val="24"/>
        </w:rPr>
      </w:pPr>
      <w:r w:rsidRPr="005517C4">
        <w:rPr>
          <w:rFonts w:ascii="Times New Roman" w:hAnsi="Times New Roman" w:cs="Times New Roman"/>
          <w:sz w:val="24"/>
          <w:szCs w:val="24"/>
        </w:rPr>
        <w:t>Convergence studies ha</w:t>
      </w:r>
      <w:r w:rsidR="0062747F">
        <w:rPr>
          <w:rFonts w:ascii="Times New Roman" w:hAnsi="Times New Roman" w:cs="Times New Roman"/>
          <w:sz w:val="24"/>
          <w:szCs w:val="24"/>
        </w:rPr>
        <w:t>ve</w:t>
      </w:r>
      <w:r w:rsidRPr="005517C4">
        <w:rPr>
          <w:rFonts w:ascii="Times New Roman" w:hAnsi="Times New Roman" w:cs="Times New Roman"/>
          <w:sz w:val="24"/>
          <w:szCs w:val="24"/>
        </w:rPr>
        <w:t xml:space="preserve"> attracted great attention </w:t>
      </w:r>
      <w:r w:rsidR="00771F7E" w:rsidRPr="005517C4">
        <w:rPr>
          <w:rFonts w:ascii="Times New Roman" w:hAnsi="Times New Roman" w:cs="Times New Roman"/>
          <w:sz w:val="24"/>
          <w:szCs w:val="24"/>
        </w:rPr>
        <w:t xml:space="preserve">in many areas of </w:t>
      </w:r>
      <w:r w:rsidR="0062747F">
        <w:rPr>
          <w:rFonts w:ascii="Times New Roman" w:hAnsi="Times New Roman" w:cs="Times New Roman"/>
          <w:sz w:val="24"/>
          <w:szCs w:val="24"/>
        </w:rPr>
        <w:t xml:space="preserve">the </w:t>
      </w:r>
      <w:r w:rsidR="00771F7E" w:rsidRPr="005517C4">
        <w:rPr>
          <w:rFonts w:ascii="Times New Roman" w:hAnsi="Times New Roman" w:cs="Times New Roman"/>
          <w:sz w:val="24"/>
          <w:szCs w:val="24"/>
        </w:rPr>
        <w:t>macroeconomic theory</w:t>
      </w:r>
      <w:r w:rsidR="0062747F">
        <w:rPr>
          <w:rFonts w:ascii="Times New Roman" w:hAnsi="Times New Roman" w:cs="Times New Roman"/>
          <w:sz w:val="24"/>
          <w:szCs w:val="24"/>
        </w:rPr>
        <w:t>, especially</w:t>
      </w:r>
      <w:r w:rsidR="00771F7E" w:rsidRPr="005517C4">
        <w:rPr>
          <w:rFonts w:ascii="Times New Roman" w:hAnsi="Times New Roman" w:cs="Times New Roman"/>
          <w:sz w:val="24"/>
          <w:szCs w:val="24"/>
        </w:rPr>
        <w:t xml:space="preserve"> since the </w:t>
      </w:r>
      <w:r w:rsidR="0062747F">
        <w:rPr>
          <w:rFonts w:ascii="Times New Roman" w:hAnsi="Times New Roman" w:cs="Times New Roman"/>
          <w:sz w:val="24"/>
          <w:szCs w:val="24"/>
        </w:rPr>
        <w:t>seminal</w:t>
      </w:r>
      <w:r w:rsidR="00771F7E" w:rsidRPr="005517C4">
        <w:rPr>
          <w:rFonts w:ascii="Times New Roman" w:hAnsi="Times New Roman" w:cs="Times New Roman"/>
          <w:sz w:val="24"/>
          <w:szCs w:val="24"/>
        </w:rPr>
        <w:t xml:space="preserve"> work of </w:t>
      </w:r>
      <w:r w:rsidR="006578EE" w:rsidRPr="005517C4">
        <w:rPr>
          <w:rFonts w:ascii="Times New Roman" w:hAnsi="Times New Roman" w:cs="Times New Roman"/>
          <w:sz w:val="24"/>
          <w:szCs w:val="24"/>
        </w:rPr>
        <w:fldChar w:fldCharType="begin" w:fldLock="1"/>
      </w:r>
      <w:r w:rsidR="003D379B">
        <w:rPr>
          <w:rFonts w:ascii="Times New Roman" w:hAnsi="Times New Roman" w:cs="Times New Roman"/>
          <w:sz w:val="24"/>
          <w:szCs w:val="24"/>
        </w:rPr>
        <w:instrText>ADDIN CSL_CITATION { "citationItems" : [ { "id" : "ITEM-1", "itemData" : { "DOI" : "10.1086/261816", "ISSN" : "0022-3808", "author" : [ { "dropping-particle" : "", "family" : "Barro", "given" : "Robert J.", "non-dropping-particle" : "", "parse-names" : false, "suffix" : "" }, { "dropping-particle" : "", "family" : "Sala-i-Martin", "given" : "Xavier", "non-dropping-particle" : "", "parse-names" : false, "suffix" : "" } ], "container-title" : "Journal of Political Economy", "id" : "ITEM-1", "issue" : "2", "issued" : { "date-parts" : [ [ "1992", "4" ] ] }, "page" : "223-251", "title" : "Convergence", "type" : "article-journal", "volume" : "100" }, "uris" : [ "http://www.mendeley.com/documents/?uuid=096a39dd-0c47-3fb4-bfd3-05e3e15da1bd" ] } ], "mendeley" : { "formattedCitation" : "(Barro and Sala-i-Martin 1992)", "manualFormatting" : "Barro and Sala-i-Martin (1992)", "plainTextFormattedCitation" : "(Barro and Sala-i-Martin 1992)", "previouslyFormattedCitation" : "(Barro and Sala-i-Martin 1992)" }, "properties" : { "noteIndex" : 0 }, "schema" : "https://github.com/citation-style-language/schema/raw/master/csl-citation.json" }</w:instrText>
      </w:r>
      <w:r w:rsidR="006578EE" w:rsidRPr="005517C4">
        <w:rPr>
          <w:rFonts w:ascii="Times New Roman" w:hAnsi="Times New Roman" w:cs="Times New Roman"/>
          <w:sz w:val="24"/>
          <w:szCs w:val="24"/>
        </w:rPr>
        <w:fldChar w:fldCharType="separate"/>
      </w:r>
      <w:r w:rsidR="00771F7E" w:rsidRPr="005517C4">
        <w:rPr>
          <w:rFonts w:ascii="Times New Roman" w:hAnsi="Times New Roman" w:cs="Times New Roman"/>
          <w:noProof/>
          <w:sz w:val="24"/>
          <w:szCs w:val="24"/>
        </w:rPr>
        <w:t>Barro and Sala-i-Martin (1992)</w:t>
      </w:r>
      <w:r w:rsidR="006578EE" w:rsidRPr="005517C4">
        <w:rPr>
          <w:rFonts w:ascii="Times New Roman" w:hAnsi="Times New Roman" w:cs="Times New Roman"/>
          <w:sz w:val="24"/>
          <w:szCs w:val="24"/>
        </w:rPr>
        <w:fldChar w:fldCharType="end"/>
      </w:r>
      <w:r w:rsidR="00771F7E" w:rsidRPr="005517C4">
        <w:rPr>
          <w:rFonts w:ascii="Times New Roman" w:hAnsi="Times New Roman" w:cs="Times New Roman"/>
          <w:sz w:val="24"/>
          <w:szCs w:val="24"/>
        </w:rPr>
        <w:t xml:space="preserve">. </w:t>
      </w:r>
      <w:r w:rsidR="00FF04B6" w:rsidRPr="005517C4">
        <w:rPr>
          <w:rFonts w:ascii="Times New Roman" w:eastAsiaTheme="minorEastAsia" w:hAnsi="Times New Roman" w:cs="Times New Roman"/>
          <w:sz w:val="24"/>
          <w:szCs w:val="24"/>
        </w:rPr>
        <w:t xml:space="preserve">There are lot of </w:t>
      </w:r>
      <w:r w:rsidRPr="005517C4">
        <w:rPr>
          <w:rFonts w:ascii="Times New Roman" w:eastAsiaTheme="minorEastAsia" w:hAnsi="Times New Roman" w:cs="Times New Roman"/>
          <w:sz w:val="24"/>
          <w:szCs w:val="24"/>
        </w:rPr>
        <w:t xml:space="preserve">convergence </w:t>
      </w:r>
      <w:r w:rsidR="00771F7E" w:rsidRPr="005517C4">
        <w:rPr>
          <w:rFonts w:ascii="Times New Roman" w:eastAsiaTheme="minorEastAsia" w:hAnsi="Times New Roman" w:cs="Times New Roman"/>
          <w:sz w:val="24"/>
          <w:szCs w:val="24"/>
        </w:rPr>
        <w:t xml:space="preserve">implications </w:t>
      </w:r>
      <w:r w:rsidR="006C3D03" w:rsidRPr="005517C4">
        <w:rPr>
          <w:rFonts w:ascii="Times New Roman" w:eastAsiaTheme="minorEastAsia" w:hAnsi="Times New Roman" w:cs="Times New Roman"/>
          <w:sz w:val="24"/>
          <w:szCs w:val="24"/>
        </w:rPr>
        <w:t>using</w:t>
      </w:r>
      <w:r w:rsidR="00771F7E" w:rsidRPr="005517C4">
        <w:rPr>
          <w:rFonts w:ascii="Times New Roman" w:eastAsiaTheme="minorEastAsia" w:hAnsi="Times New Roman" w:cs="Times New Roman"/>
          <w:sz w:val="24"/>
          <w:szCs w:val="24"/>
        </w:rPr>
        <w:t xml:space="preserve"> </w:t>
      </w:r>
      <w:r w:rsidR="0062747F">
        <w:rPr>
          <w:rFonts w:ascii="Times New Roman" w:eastAsiaTheme="minorEastAsia" w:hAnsi="Times New Roman" w:cs="Times New Roman"/>
          <w:sz w:val="24"/>
          <w:szCs w:val="24"/>
        </w:rPr>
        <w:t>various</w:t>
      </w:r>
      <w:r w:rsidR="00771F7E" w:rsidRPr="005517C4">
        <w:rPr>
          <w:rFonts w:ascii="Times New Roman" w:eastAsiaTheme="minorEastAsia" w:hAnsi="Times New Roman" w:cs="Times New Roman"/>
          <w:sz w:val="24"/>
          <w:szCs w:val="24"/>
        </w:rPr>
        <w:t xml:space="preserve"> empirical method</w:t>
      </w:r>
      <w:r w:rsidR="00F02C3A" w:rsidRPr="005517C4">
        <w:rPr>
          <w:rFonts w:ascii="Times New Roman" w:eastAsiaTheme="minorEastAsia" w:hAnsi="Times New Roman" w:cs="Times New Roman"/>
          <w:sz w:val="24"/>
          <w:szCs w:val="24"/>
        </w:rPr>
        <w:t>ologies</w:t>
      </w:r>
      <w:r w:rsidR="0062747F">
        <w:rPr>
          <w:rFonts w:ascii="Times New Roman" w:eastAsiaTheme="minorEastAsia" w:hAnsi="Times New Roman" w:cs="Times New Roman"/>
          <w:sz w:val="24"/>
          <w:szCs w:val="24"/>
        </w:rPr>
        <w:t>, such as</w:t>
      </w:r>
      <w:r w:rsidR="00E27BD3" w:rsidRPr="005517C4">
        <w:rPr>
          <w:rFonts w:ascii="Times New Roman" w:eastAsiaTheme="minorEastAsia" w:hAnsi="Times New Roman" w:cs="Times New Roman"/>
          <w:sz w:val="24"/>
          <w:szCs w:val="24"/>
        </w:rPr>
        <w:t xml:space="preserve"> time series, cross</w:t>
      </w:r>
      <w:r w:rsidR="0062747F">
        <w:rPr>
          <w:rFonts w:ascii="Times New Roman" w:eastAsiaTheme="minorEastAsia" w:hAnsi="Times New Roman" w:cs="Times New Roman"/>
          <w:sz w:val="24"/>
          <w:szCs w:val="24"/>
        </w:rPr>
        <w:t>-</w:t>
      </w:r>
      <w:r w:rsidR="00E27BD3" w:rsidRPr="005517C4">
        <w:rPr>
          <w:rFonts w:ascii="Times New Roman" w:eastAsiaTheme="minorEastAsia" w:hAnsi="Times New Roman" w:cs="Times New Roman"/>
          <w:sz w:val="24"/>
          <w:szCs w:val="24"/>
        </w:rPr>
        <w:t>section and panel data</w:t>
      </w:r>
      <w:r w:rsidR="00FF04B6" w:rsidRPr="005517C4">
        <w:rPr>
          <w:rFonts w:ascii="Times New Roman" w:eastAsiaTheme="minorEastAsia" w:hAnsi="Times New Roman" w:cs="Times New Roman"/>
          <w:sz w:val="24"/>
          <w:szCs w:val="24"/>
        </w:rPr>
        <w:t>.</w:t>
      </w:r>
      <w:r w:rsidRPr="005517C4">
        <w:rPr>
          <w:rFonts w:ascii="Times New Roman" w:eastAsiaTheme="minorEastAsia" w:hAnsi="Times New Roman" w:cs="Times New Roman"/>
          <w:sz w:val="24"/>
          <w:szCs w:val="24"/>
        </w:rPr>
        <w:t xml:space="preserve"> </w:t>
      </w:r>
      <w:r w:rsidR="00C342C5" w:rsidRPr="005517C4">
        <w:rPr>
          <w:rFonts w:ascii="Times New Roman" w:eastAsiaTheme="minorEastAsia" w:hAnsi="Times New Roman" w:cs="Times New Roman"/>
          <w:sz w:val="24"/>
          <w:szCs w:val="24"/>
        </w:rPr>
        <w:t xml:space="preserve">In </w:t>
      </w:r>
      <w:r w:rsidR="0062747F">
        <w:rPr>
          <w:rFonts w:ascii="Times New Roman" w:eastAsiaTheme="minorEastAsia" w:hAnsi="Times New Roman" w:cs="Times New Roman"/>
          <w:sz w:val="24"/>
          <w:szCs w:val="24"/>
        </w:rPr>
        <w:t xml:space="preserve">relevance to </w:t>
      </w:r>
      <w:r w:rsidR="00C342C5" w:rsidRPr="005517C4">
        <w:rPr>
          <w:rFonts w:ascii="Times New Roman" w:eastAsiaTheme="minorEastAsia" w:hAnsi="Times New Roman" w:cs="Times New Roman"/>
          <w:sz w:val="24"/>
          <w:szCs w:val="24"/>
        </w:rPr>
        <w:t xml:space="preserve">these studies, </w:t>
      </w:r>
      <w:r w:rsidR="0062747F">
        <w:rPr>
          <w:rFonts w:ascii="Times New Roman" w:eastAsiaTheme="minorEastAsia" w:hAnsi="Times New Roman" w:cs="Times New Roman"/>
          <w:sz w:val="24"/>
          <w:szCs w:val="24"/>
        </w:rPr>
        <w:t xml:space="preserve">the </w:t>
      </w:r>
      <w:r w:rsidR="00C342C5" w:rsidRPr="005517C4">
        <w:rPr>
          <w:rFonts w:ascii="Times New Roman" w:eastAsiaTheme="minorEastAsia" w:hAnsi="Times New Roman" w:cs="Times New Roman"/>
          <w:sz w:val="24"/>
          <w:szCs w:val="24"/>
        </w:rPr>
        <w:t>c</w:t>
      </w:r>
      <w:r w:rsidR="009C4E33" w:rsidRPr="005517C4">
        <w:rPr>
          <w:rFonts w:ascii="Times New Roman" w:eastAsiaTheme="minorEastAsia" w:hAnsi="Times New Roman" w:cs="Times New Roman"/>
          <w:sz w:val="24"/>
          <w:szCs w:val="24"/>
        </w:rPr>
        <w:t>ommon</w:t>
      </w:r>
      <w:r w:rsidRPr="005517C4">
        <w:rPr>
          <w:rFonts w:ascii="Times New Roman" w:eastAsiaTheme="minorEastAsia" w:hAnsi="Times New Roman" w:cs="Times New Roman"/>
          <w:sz w:val="24"/>
          <w:szCs w:val="24"/>
        </w:rPr>
        <w:t xml:space="preserve"> ground is convergence regression </w:t>
      </w:r>
      <w:r w:rsidR="0062747F">
        <w:rPr>
          <w:rFonts w:ascii="Times New Roman" w:eastAsiaTheme="minorEastAsia" w:hAnsi="Times New Roman" w:cs="Times New Roman"/>
          <w:sz w:val="24"/>
          <w:szCs w:val="24"/>
        </w:rPr>
        <w:t>through an</w:t>
      </w:r>
      <w:r w:rsidRPr="005517C4">
        <w:rPr>
          <w:rFonts w:ascii="Times New Roman" w:eastAsiaTheme="minorEastAsia" w:hAnsi="Times New Roman" w:cs="Times New Roman"/>
          <w:sz w:val="24"/>
          <w:szCs w:val="24"/>
        </w:rPr>
        <w:t xml:space="preserve"> economic growth equ</w:t>
      </w:r>
      <w:r w:rsidR="0062747F">
        <w:rPr>
          <w:rFonts w:ascii="Times New Roman" w:eastAsiaTheme="minorEastAsia" w:hAnsi="Times New Roman" w:cs="Times New Roman"/>
          <w:sz w:val="24"/>
          <w:szCs w:val="24"/>
        </w:rPr>
        <w:t>ation</w:t>
      </w:r>
      <w:r w:rsidR="00C342C5" w:rsidRPr="005517C4">
        <w:rPr>
          <w:rFonts w:ascii="Times New Roman" w:eastAsiaTheme="minorEastAsia" w:hAnsi="Times New Roman" w:cs="Times New Roman"/>
          <w:sz w:val="24"/>
          <w:szCs w:val="24"/>
        </w:rPr>
        <w:t xml:space="preserve"> </w:t>
      </w:r>
      <w:r w:rsidR="0062747F">
        <w:rPr>
          <w:rFonts w:ascii="Times New Roman" w:eastAsiaTheme="minorEastAsia" w:hAnsi="Times New Roman" w:cs="Times New Roman"/>
          <w:sz w:val="24"/>
          <w:szCs w:val="24"/>
        </w:rPr>
        <w:t>with</w:t>
      </w:r>
      <w:r w:rsidR="00C342C5" w:rsidRPr="005517C4">
        <w:rPr>
          <w:rFonts w:ascii="Times New Roman" w:eastAsiaTheme="minorEastAsia" w:hAnsi="Times New Roman" w:cs="Times New Roman"/>
          <w:sz w:val="24"/>
          <w:szCs w:val="24"/>
        </w:rPr>
        <w:t xml:space="preserve">in the context of </w:t>
      </w:r>
      <w:r w:rsidR="0062747F">
        <w:rPr>
          <w:rFonts w:ascii="Times New Roman" w:eastAsiaTheme="minorEastAsia" w:hAnsi="Times New Roman" w:cs="Times New Roman"/>
          <w:sz w:val="24"/>
          <w:szCs w:val="24"/>
        </w:rPr>
        <w:t xml:space="preserve">the </w:t>
      </w:r>
      <w:r w:rsidR="00C342C5" w:rsidRPr="005517C4">
        <w:rPr>
          <w:rFonts w:ascii="Times New Roman" w:hAnsi="Times New Roman" w:cs="Times New Roman"/>
          <w:sz w:val="24"/>
          <w:szCs w:val="24"/>
        </w:rPr>
        <w:t xml:space="preserve">neo-classical growth theory developed by </w:t>
      </w:r>
      <w:r w:rsidR="006578EE" w:rsidRPr="005517C4">
        <w:rPr>
          <w:rFonts w:ascii="Times New Roman" w:hAnsi="Times New Roman" w:cs="Times New Roman"/>
          <w:sz w:val="24"/>
          <w:szCs w:val="24"/>
        </w:rPr>
        <w:fldChar w:fldCharType="begin" w:fldLock="1"/>
      </w:r>
      <w:r w:rsidR="00C342C5" w:rsidRPr="005517C4">
        <w:rPr>
          <w:rFonts w:ascii="Times New Roman" w:hAnsi="Times New Roman" w:cs="Times New Roman"/>
          <w:sz w:val="24"/>
          <w:szCs w:val="24"/>
        </w:rPr>
        <w:instrText>ADDIN CSL_CITATION { "citationItems" : [ { "id" : "ITEM-1", "itemData" : { "abstract" : "Each copy of any part of a JSTOR transmission must contain the same copyright notice that appears on the screen or printed page of such transmission. JSTOR is a not-for-profit service that helps scholars, researchers, and students discover, use, and build upon a wide range of content in a trusted digital archive. We use information technology and tools to increase productivity and facilitate new forms of scholarship. For more information about JSTOR, please contact support@jstor.org. I. Introduction, 65. -II. A model of long-run growth, 66. -III. Possible growth patterns, 68. -IV. Examples, 73. -V. Behavior of interest and wage rates, 78. -VI. Extensions, 85. -VIT. Qualifications, 91.", "author" : [ { "dropping-particle" : "", "family" : "Solow", "given" : "Robert M", "non-dropping-particle" : "", "parse-names" : false, "suffix" : "" } ], "container-title" : "Source: The Quarterly Journal of Economics", "id" : "ITEM-1", "issue" : "1", "issued" : { "date-parts" : [ [ "1956" ] ] }, "page" : "65-94", "publisher" : "The MIT Press", "title" : "A CONTRIBUTION TO THE THEORY OF ECONOMIC GROWTH", "type" : "article-journal", "volume" : "70" }, "uris" : [ "http://www.mendeley.com/documents/?uuid=7a68dcd5-ed5c-3d38-91b2-8f670a4226b5" ] } ], "mendeley" : { "formattedCitation" : "(Solow 1956)", "manualFormatting" : "Solow (1956)", "plainTextFormattedCitation" : "(Solow 1956)", "previouslyFormattedCitation" : "(Solow 1956)" }, "properties" : { "noteIndex" : 0 }, "schema" : "https://github.com/citation-style-language/schema/raw/master/csl-citation.json" }</w:instrText>
      </w:r>
      <w:r w:rsidR="006578EE" w:rsidRPr="005517C4">
        <w:rPr>
          <w:rFonts w:ascii="Times New Roman" w:hAnsi="Times New Roman" w:cs="Times New Roman"/>
          <w:sz w:val="24"/>
          <w:szCs w:val="24"/>
        </w:rPr>
        <w:fldChar w:fldCharType="separate"/>
      </w:r>
      <w:r w:rsidR="00C342C5" w:rsidRPr="005517C4">
        <w:rPr>
          <w:rFonts w:ascii="Times New Roman" w:hAnsi="Times New Roman" w:cs="Times New Roman"/>
          <w:noProof/>
          <w:sz w:val="24"/>
          <w:szCs w:val="24"/>
        </w:rPr>
        <w:t>Solow (1956)</w:t>
      </w:r>
      <w:r w:rsidR="006578EE" w:rsidRPr="005517C4">
        <w:rPr>
          <w:rFonts w:ascii="Times New Roman" w:hAnsi="Times New Roman" w:cs="Times New Roman"/>
          <w:sz w:val="24"/>
          <w:szCs w:val="24"/>
        </w:rPr>
        <w:fldChar w:fldCharType="end"/>
      </w:r>
      <w:r w:rsidR="00C342C5" w:rsidRPr="005517C4">
        <w:rPr>
          <w:rFonts w:ascii="Times New Roman" w:hAnsi="Times New Roman" w:cs="Times New Roman"/>
          <w:sz w:val="24"/>
          <w:szCs w:val="24"/>
        </w:rPr>
        <w:t xml:space="preserve">. </w:t>
      </w:r>
      <w:r w:rsidRPr="005517C4">
        <w:rPr>
          <w:rFonts w:ascii="Times New Roman" w:eastAsiaTheme="minorEastAsia" w:hAnsi="Times New Roman" w:cs="Times New Roman"/>
          <w:sz w:val="24"/>
          <w:szCs w:val="24"/>
        </w:rPr>
        <w:t xml:space="preserve">These studies differ </w:t>
      </w:r>
      <w:r w:rsidR="0062747F">
        <w:rPr>
          <w:rFonts w:ascii="Times New Roman" w:eastAsiaTheme="minorEastAsia" w:hAnsi="Times New Roman" w:cs="Times New Roman"/>
          <w:sz w:val="24"/>
          <w:szCs w:val="24"/>
        </w:rPr>
        <w:t>across the variables they search running from</w:t>
      </w:r>
      <w:r w:rsidRPr="005517C4">
        <w:rPr>
          <w:rFonts w:ascii="Times New Roman" w:eastAsiaTheme="minorEastAsia" w:hAnsi="Times New Roman" w:cs="Times New Roman"/>
          <w:sz w:val="24"/>
          <w:szCs w:val="24"/>
        </w:rPr>
        <w:t xml:space="preserve"> commodity price</w:t>
      </w:r>
      <w:r w:rsidR="0062747F">
        <w:rPr>
          <w:rFonts w:ascii="Times New Roman" w:eastAsiaTheme="minorEastAsia" w:hAnsi="Times New Roman" w:cs="Times New Roman"/>
          <w:sz w:val="24"/>
          <w:szCs w:val="24"/>
        </w:rPr>
        <w:t>s</w:t>
      </w:r>
      <w:r w:rsidRPr="005517C4">
        <w:rPr>
          <w:rFonts w:ascii="Times New Roman" w:eastAsiaTheme="minorEastAsia" w:hAnsi="Times New Roman" w:cs="Times New Roman"/>
          <w:sz w:val="24"/>
          <w:szCs w:val="24"/>
        </w:rPr>
        <w:t xml:space="preserve"> to public expenditure</w:t>
      </w:r>
      <w:r w:rsidR="0062747F">
        <w:rPr>
          <w:rFonts w:ascii="Times New Roman" w:eastAsiaTheme="minorEastAsia" w:hAnsi="Times New Roman" w:cs="Times New Roman"/>
          <w:sz w:val="24"/>
          <w:szCs w:val="24"/>
        </w:rPr>
        <w:t>s</w:t>
      </w:r>
      <w:r w:rsidRPr="005517C4">
        <w:rPr>
          <w:rFonts w:ascii="Times New Roman" w:eastAsiaTheme="minorEastAsia" w:hAnsi="Times New Roman" w:cs="Times New Roman"/>
          <w:sz w:val="24"/>
          <w:szCs w:val="24"/>
        </w:rPr>
        <w:t xml:space="preserve"> </w:t>
      </w:r>
      <w:r w:rsidR="0062747F">
        <w:rPr>
          <w:rFonts w:ascii="Times New Roman" w:eastAsiaTheme="minorEastAsia" w:hAnsi="Times New Roman" w:cs="Times New Roman"/>
          <w:sz w:val="24"/>
          <w:szCs w:val="24"/>
        </w:rPr>
        <w:t xml:space="preserve">on </w:t>
      </w:r>
      <w:r w:rsidRPr="005517C4">
        <w:rPr>
          <w:rFonts w:ascii="Times New Roman" w:eastAsiaTheme="minorEastAsia" w:hAnsi="Times New Roman" w:cs="Times New Roman"/>
          <w:sz w:val="24"/>
          <w:szCs w:val="24"/>
        </w:rPr>
        <w:t xml:space="preserve">health, military, educational, </w:t>
      </w:r>
      <w:r w:rsidR="0062747F">
        <w:rPr>
          <w:rFonts w:ascii="Times New Roman" w:eastAsiaTheme="minorEastAsia" w:hAnsi="Times New Roman" w:cs="Times New Roman"/>
          <w:sz w:val="24"/>
          <w:szCs w:val="24"/>
        </w:rPr>
        <w:t>to</w:t>
      </w:r>
      <w:r w:rsidRPr="005517C4">
        <w:rPr>
          <w:rFonts w:ascii="Times New Roman" w:eastAsiaTheme="minorEastAsia" w:hAnsi="Times New Roman" w:cs="Times New Roman"/>
          <w:sz w:val="24"/>
          <w:szCs w:val="24"/>
        </w:rPr>
        <w:t xml:space="preserve"> fiscal and monetary variables</w:t>
      </w:r>
      <w:r w:rsidR="0062747F">
        <w:rPr>
          <w:rFonts w:ascii="Times New Roman" w:eastAsiaTheme="minorEastAsia" w:hAnsi="Times New Roman" w:cs="Times New Roman"/>
          <w:sz w:val="24"/>
          <w:szCs w:val="24"/>
        </w:rPr>
        <w:t>,</w:t>
      </w:r>
      <w:r w:rsidRPr="005517C4">
        <w:rPr>
          <w:rFonts w:ascii="Times New Roman" w:eastAsiaTheme="minorEastAsia" w:hAnsi="Times New Roman" w:cs="Times New Roman"/>
          <w:sz w:val="24"/>
          <w:szCs w:val="24"/>
        </w:rPr>
        <w:t xml:space="preserve"> foreign trade</w:t>
      </w:r>
      <w:r w:rsidR="0062747F">
        <w:rPr>
          <w:rFonts w:ascii="Times New Roman" w:eastAsiaTheme="minorEastAsia" w:hAnsi="Times New Roman" w:cs="Times New Roman"/>
          <w:sz w:val="24"/>
          <w:szCs w:val="24"/>
        </w:rPr>
        <w:t>,</w:t>
      </w:r>
      <w:r w:rsidRPr="005517C4">
        <w:rPr>
          <w:rFonts w:ascii="Times New Roman" w:eastAsiaTheme="minorEastAsia" w:hAnsi="Times New Roman" w:cs="Times New Roman"/>
          <w:sz w:val="24"/>
          <w:szCs w:val="24"/>
        </w:rPr>
        <w:t xml:space="preserve"> tourism </w:t>
      </w:r>
      <w:r w:rsidR="0062747F">
        <w:rPr>
          <w:rFonts w:ascii="Times New Roman" w:eastAsiaTheme="minorEastAsia" w:hAnsi="Times New Roman" w:cs="Times New Roman"/>
          <w:sz w:val="24"/>
          <w:szCs w:val="24"/>
        </w:rPr>
        <w:t>and</w:t>
      </w:r>
      <w:r w:rsidRPr="005517C4">
        <w:rPr>
          <w:rFonts w:ascii="Times New Roman" w:eastAsiaTheme="minorEastAsia" w:hAnsi="Times New Roman" w:cs="Times New Roman"/>
          <w:sz w:val="24"/>
          <w:szCs w:val="24"/>
        </w:rPr>
        <w:t xml:space="preserve"> energy consumption </w:t>
      </w:r>
      <w:r w:rsidR="006578EE" w:rsidRPr="005517C4">
        <w:rPr>
          <w:rFonts w:ascii="Times New Roman" w:eastAsiaTheme="minorEastAsia" w:hAnsi="Times New Roman" w:cs="Times New Roman"/>
          <w:sz w:val="24"/>
          <w:szCs w:val="24"/>
        </w:rPr>
        <w:fldChar w:fldCharType="begin" w:fldLock="1"/>
      </w:r>
      <w:r w:rsidR="003D379B">
        <w:rPr>
          <w:rFonts w:ascii="Times New Roman" w:eastAsiaTheme="minorEastAsia" w:hAnsi="Times New Roman" w:cs="Times New Roman"/>
          <w:sz w:val="24"/>
          <w:szCs w:val="24"/>
        </w:rPr>
        <w:instrText>ADDIN CSL_CITATION { "citationItems" : [ { "id" : "ITEM-1", "itemData" : { "DOI" : "10.1080/21649480.2013.862735", "ISSN" : "2164-9480", "abstract" : "The goal of the present article is to investigate the degree of convergence in public expenditures for a panel of 17 European Union member countries spanning the period 1990 to 2012. We apply the methodology of Phillips and Sul (2007) to various categories of public expenditures to assess the existence of convergence clubs. Overall, the results do not support the hypothesis that all countries converge to a single equilibrium state in various public expenditures.", "author" : [ { "dropping-particle" : "", "family" : "Apergis", "given" : "Nicholas", "non-dropping-particle" : "", "parse-names" : false, "suffix" : "" }, { "dropping-particle" : "", "family" : "Christou", "given" : "Christina", "non-dropping-particle" : "", "parse-names" : false, "suffix" : "" }, { "dropping-particle" : "", "family" : "Hassapis", "given" : "Christis", "non-dropping-particle" : "", "parse-names" : false, "suffix" : "" } ], "container-title" : "Economics &amp; Finance Research", "id" : "ITEM-1", "issue" : "1", "issued" : { "date-parts" : [ [ "2013", "1", "21" ] ] }, "page" : "45-59", "publisher" : "Taylor &amp; Francis", "title" : "Convergence in public expenditures across EU countries: evidence from club convergence", "type" : "article-journal", "volume" : "1" }, "uris" : [ "http://www.mendeley.com/documents/?uuid=6dd77fe8-7573-3ffa-8086-8b34fac8da05" ] } ], "mendeley" : { "formattedCitation" : "(Apergis, Christou, and Hassapis 2013)", "manualFormatting" : "(Bukenya and Labys, 2005; ", "plainTextFormattedCitation" : "(Apergis, Christou, and Hassapis 2013)", "previouslyFormattedCitation" : "(Apergis, Christou, and Hassapis 2013)" }, "properties" : { "noteIndex" : 0 }, "schema" : "https://github.com/citation-style-language/schema/raw/master/csl-citation.json" }</w:instrText>
      </w:r>
      <w:r w:rsidR="006578EE" w:rsidRPr="005517C4">
        <w:rPr>
          <w:rFonts w:ascii="Times New Roman" w:eastAsiaTheme="minorEastAsia" w:hAnsi="Times New Roman" w:cs="Times New Roman"/>
          <w:sz w:val="24"/>
          <w:szCs w:val="24"/>
        </w:rPr>
        <w:fldChar w:fldCharType="separate"/>
      </w:r>
      <w:r w:rsidRPr="005517C4">
        <w:rPr>
          <w:rFonts w:ascii="Times New Roman" w:eastAsiaTheme="minorEastAsia" w:hAnsi="Times New Roman" w:cs="Times New Roman"/>
          <w:noProof/>
          <w:sz w:val="24"/>
          <w:szCs w:val="24"/>
        </w:rPr>
        <w:t>(Bukenya and Labys</w:t>
      </w:r>
      <w:r w:rsidR="0062747F">
        <w:rPr>
          <w:rFonts w:ascii="Times New Roman" w:eastAsiaTheme="minorEastAsia" w:hAnsi="Times New Roman" w:cs="Times New Roman"/>
          <w:noProof/>
          <w:sz w:val="24"/>
          <w:szCs w:val="24"/>
        </w:rPr>
        <w:t>,</w:t>
      </w:r>
      <w:r w:rsidRPr="005517C4">
        <w:rPr>
          <w:rFonts w:ascii="Times New Roman" w:eastAsiaTheme="minorEastAsia" w:hAnsi="Times New Roman" w:cs="Times New Roman"/>
          <w:noProof/>
          <w:sz w:val="24"/>
          <w:szCs w:val="24"/>
        </w:rPr>
        <w:t xml:space="preserve"> 2005; </w:t>
      </w:r>
      <w:r w:rsidR="006578EE" w:rsidRPr="005517C4">
        <w:rPr>
          <w:rFonts w:ascii="Times New Roman" w:eastAsiaTheme="minorEastAsia" w:hAnsi="Times New Roman" w:cs="Times New Roman"/>
          <w:sz w:val="24"/>
          <w:szCs w:val="24"/>
        </w:rPr>
        <w:fldChar w:fldCharType="end"/>
      </w:r>
      <w:r w:rsidR="0062747F">
        <w:rPr>
          <w:rFonts w:ascii="Times New Roman" w:eastAsiaTheme="minorEastAsia" w:hAnsi="Times New Roman" w:cs="Times New Roman"/>
          <w:sz w:val="24"/>
          <w:szCs w:val="24"/>
        </w:rPr>
        <w:t xml:space="preserve">Wang, 2009; </w:t>
      </w:r>
      <w:r w:rsidR="006578EE" w:rsidRPr="005517C4">
        <w:rPr>
          <w:rFonts w:ascii="Times New Roman" w:eastAsiaTheme="minorEastAsia" w:hAnsi="Times New Roman" w:cs="Times New Roman"/>
          <w:sz w:val="24"/>
          <w:szCs w:val="24"/>
        </w:rPr>
        <w:fldChar w:fldCharType="begin" w:fldLock="1"/>
      </w:r>
      <w:r w:rsidR="003D379B">
        <w:rPr>
          <w:rFonts w:ascii="Times New Roman" w:eastAsiaTheme="minorEastAsia" w:hAnsi="Times New Roman" w:cs="Times New Roman"/>
          <w:sz w:val="24"/>
          <w:szCs w:val="24"/>
        </w:rPr>
        <w:instrText>ADDIN CSL_CITATION { "citationItems" : [ { "id" : "ITEM-1", "itemData" : { "DOI" : "10.1016/j.red.2010.05.002", "abstract" : "a r t i c l e i n f o a b s t r a c t In models in which convergence in income levels across closed countries is driven by faster accumulation of a productive factor in the poorer countries, opening these countries to trade can stop convergence and even cause divergence. We make this point using a dynamic Heckscher\u2013Ohlin model\u2014a combination of a static two-good, two-factor Heckscher\u2013Ohlin trade model and a two-sector growth model\u2014with infinitely lived consumers where international borrowing and lending are not permitted. We obtain two main results: First, countries that differ only in their initial endowments of capital per worker may converge or diverge in income levels over time, depending on the elasticity of substitution between traded goods. Divergence can occur for parameter values that would imply convergence in a world of closed economies and vice versa. Second, factor price equalization in a given period does not imply factor price equalization in future periods.", "author" : [ { "dropping-particle" : "", "family" : "Claustre Bajona", "given" : "\u2729", "non-dropping-particle" : "", "parse-names" : false, "suffix" : "" }, { "dropping-particle" : "", "family" : "Kehoe", "given" : "Timothy J", "non-dropping-particle" : "", "parse-names" : false, "suffix" : "" } ], "container-title" : "Review of Economic Dynamics", "id" : "ITEM-1", "issued" : { "date-parts" : [ [ "2010" ] ] }, "page" : "487-513", "title" : "Trade, growth, and convergence in a dynamic Heckscher\u2013Ohlin model", "type" : "article-journal", "volume" : "13" }, "uris" : [ "http://www.mendeley.com/documents/?uuid=41b15c8a-a808-389e-b2e8-b2ec4003d0b2" ] } ], "mendeley" : { "formattedCitation" : "(Claustre Bajona and Kehoe 2010)", "manualFormatting" : "Claustre et al., 2010", "plainTextFormattedCitation" : "(Claustre Bajona and Kehoe 2010)", "previouslyFormattedCitation" : "(Claustre Bajona and Kehoe 2010)" }, "properties" : { "noteIndex" : 0 }, "schema" : "https://github.com/citation-style-language/schema/raw/master/csl-citation.json" }</w:instrText>
      </w:r>
      <w:r w:rsidR="006578EE" w:rsidRPr="005517C4">
        <w:rPr>
          <w:rFonts w:ascii="Times New Roman" w:eastAsiaTheme="minorEastAsia" w:hAnsi="Times New Roman" w:cs="Times New Roman"/>
          <w:sz w:val="24"/>
          <w:szCs w:val="24"/>
        </w:rPr>
        <w:fldChar w:fldCharType="separate"/>
      </w:r>
      <w:r w:rsidR="0062747F" w:rsidRPr="005517C4">
        <w:rPr>
          <w:rFonts w:ascii="Times New Roman" w:eastAsiaTheme="minorEastAsia" w:hAnsi="Times New Roman" w:cs="Times New Roman"/>
          <w:noProof/>
          <w:sz w:val="24"/>
          <w:szCs w:val="24"/>
        </w:rPr>
        <w:t>Claustre</w:t>
      </w:r>
      <w:r w:rsidR="0062747F">
        <w:rPr>
          <w:rFonts w:ascii="Times New Roman" w:eastAsiaTheme="minorEastAsia" w:hAnsi="Times New Roman" w:cs="Times New Roman"/>
          <w:noProof/>
          <w:sz w:val="24"/>
          <w:szCs w:val="24"/>
        </w:rPr>
        <w:t xml:space="preserve"> et al.,</w:t>
      </w:r>
      <w:r w:rsidR="0062747F" w:rsidRPr="005517C4">
        <w:rPr>
          <w:rFonts w:ascii="Times New Roman" w:eastAsiaTheme="minorEastAsia" w:hAnsi="Times New Roman" w:cs="Times New Roman"/>
          <w:noProof/>
          <w:sz w:val="24"/>
          <w:szCs w:val="24"/>
        </w:rPr>
        <w:t xml:space="preserve"> 2010</w:t>
      </w:r>
      <w:r w:rsidR="006578EE" w:rsidRPr="005517C4">
        <w:rPr>
          <w:rFonts w:ascii="Times New Roman" w:eastAsiaTheme="minorEastAsia" w:hAnsi="Times New Roman" w:cs="Times New Roman"/>
          <w:sz w:val="24"/>
          <w:szCs w:val="24"/>
        </w:rPr>
        <w:fldChar w:fldCharType="end"/>
      </w:r>
      <w:r w:rsidR="0062747F" w:rsidRPr="005517C4">
        <w:rPr>
          <w:rFonts w:ascii="Times New Roman" w:eastAsiaTheme="minorEastAsia" w:hAnsi="Times New Roman" w:cs="Times New Roman"/>
          <w:sz w:val="24"/>
          <w:szCs w:val="24"/>
        </w:rPr>
        <w:t>;</w:t>
      </w:r>
      <w:r w:rsidR="0062747F">
        <w:rPr>
          <w:rFonts w:ascii="Times New Roman" w:eastAsiaTheme="minorEastAsia" w:hAnsi="Times New Roman" w:cs="Times New Roman"/>
          <w:sz w:val="24"/>
          <w:szCs w:val="24"/>
        </w:rPr>
        <w:t xml:space="preserve"> </w:t>
      </w:r>
      <w:r w:rsidR="006578EE" w:rsidRPr="005517C4">
        <w:rPr>
          <w:rFonts w:ascii="Times New Roman" w:eastAsiaTheme="minorEastAsia" w:hAnsi="Times New Roman" w:cs="Times New Roman"/>
          <w:sz w:val="24"/>
          <w:szCs w:val="24"/>
        </w:rPr>
        <w:fldChar w:fldCharType="begin" w:fldLock="1"/>
      </w:r>
      <w:r w:rsidR="003D379B">
        <w:rPr>
          <w:rFonts w:ascii="Times New Roman" w:eastAsiaTheme="minorEastAsia" w:hAnsi="Times New Roman" w:cs="Times New Roman"/>
          <w:sz w:val="24"/>
          <w:szCs w:val="24"/>
        </w:rPr>
        <w:instrText>ADDIN CSL_CITATION { "citationItems" : [ { "id" : "ITEM-1", "itemData" : { "DOI" : "10.1080/21649480.2013.862735", "ISSN" : "2164-9480", "abstract" : "The goal of the present article is to investigate the degree of convergence in public expenditures for a panel of 17 European Union member countries spanning the period 1990 to 2012. We apply the methodology of Phillips and Sul (2007) to various categories of public expenditures to assess the existence of convergence clubs. Overall, the results do not support the hypothesis that all countries converge to a single equilibrium state in various public expenditures.", "author" : [ { "dropping-particle" : "", "family" : "Apergis", "given" : "Nicholas", "non-dropping-particle" : "", "parse-names" : false, "suffix" : "" }, { "dropping-particle" : "", "family" : "Christou", "given" : "Christina", "non-dropping-particle" : "", "parse-names" : false, "suffix" : "" }, { "dropping-particle" : "", "family" : "Hassapis", "given" : "Christis", "non-dropping-particle" : "", "parse-names" : false, "suffix" : "" } ], "container-title" : "Economics &amp; Finance Research", "id" : "ITEM-1", "issue" : "1", "issued" : { "date-parts" : [ [ "2013", "1", "21" ] ] }, "page" : "45-59", "publisher" : "Taylor &amp; Francis", "title" : "Convergence in public expenditures across EU countries: evidence from club convergence", "type" : "article-journal", "volume" : "1" }, "uris" : [ "http://www.mendeley.com/documents/?uuid=6dd77fe8-7573-3ffa-8086-8b34fac8da05" ] } ], "mendeley" : { "formattedCitation" : "(Apergis, Christou, and Hassapis 2013)", "manualFormatting" : "Apergis et al., 2013", "plainTextFormattedCitation" : "(Apergis, Christou, and Hassapis 2013)", "previouslyFormattedCitation" : "(Apergis, Christou, and Hassapis 2013)" }, "properties" : { "noteIndex" : 0 }, "schema" : "https://github.com/citation-style-language/schema/raw/master/csl-citation.json" }</w:instrText>
      </w:r>
      <w:r w:rsidR="006578EE" w:rsidRPr="005517C4">
        <w:rPr>
          <w:rFonts w:ascii="Times New Roman" w:eastAsiaTheme="minorEastAsia" w:hAnsi="Times New Roman" w:cs="Times New Roman"/>
          <w:sz w:val="24"/>
          <w:szCs w:val="24"/>
        </w:rPr>
        <w:fldChar w:fldCharType="separate"/>
      </w:r>
      <w:r w:rsidRPr="005517C4">
        <w:rPr>
          <w:rFonts w:ascii="Times New Roman" w:eastAsiaTheme="minorEastAsia" w:hAnsi="Times New Roman" w:cs="Times New Roman"/>
          <w:noProof/>
          <w:sz w:val="24"/>
          <w:szCs w:val="24"/>
        </w:rPr>
        <w:t>Apergis</w:t>
      </w:r>
      <w:r w:rsidR="0062747F">
        <w:rPr>
          <w:rFonts w:ascii="Times New Roman" w:eastAsiaTheme="minorEastAsia" w:hAnsi="Times New Roman" w:cs="Times New Roman"/>
          <w:noProof/>
          <w:sz w:val="24"/>
          <w:szCs w:val="24"/>
        </w:rPr>
        <w:t xml:space="preserve"> et al.,</w:t>
      </w:r>
      <w:r w:rsidRPr="005517C4">
        <w:rPr>
          <w:rFonts w:ascii="Times New Roman" w:eastAsiaTheme="minorEastAsia" w:hAnsi="Times New Roman" w:cs="Times New Roman"/>
          <w:noProof/>
          <w:sz w:val="24"/>
          <w:szCs w:val="24"/>
        </w:rPr>
        <w:t xml:space="preserve"> 2013</w:t>
      </w:r>
      <w:r w:rsidR="006578EE" w:rsidRPr="005517C4">
        <w:rPr>
          <w:rFonts w:ascii="Times New Roman" w:eastAsiaTheme="minorEastAsia" w:hAnsi="Times New Roman" w:cs="Times New Roman"/>
          <w:sz w:val="24"/>
          <w:szCs w:val="24"/>
        </w:rPr>
        <w:fldChar w:fldCharType="end"/>
      </w:r>
      <w:r w:rsidRPr="005517C4">
        <w:rPr>
          <w:rFonts w:ascii="Times New Roman" w:eastAsiaTheme="minorEastAsia" w:hAnsi="Times New Roman" w:cs="Times New Roman"/>
          <w:sz w:val="24"/>
          <w:szCs w:val="24"/>
        </w:rPr>
        <w:t xml:space="preserve">; </w:t>
      </w:r>
      <w:r w:rsidR="0062747F">
        <w:rPr>
          <w:rFonts w:ascii="Times New Roman" w:eastAsiaTheme="minorEastAsia" w:hAnsi="Times New Roman" w:cs="Times New Roman"/>
          <w:sz w:val="24"/>
          <w:szCs w:val="24"/>
        </w:rPr>
        <w:t xml:space="preserve">Pjesky, 2013; </w:t>
      </w:r>
      <w:r w:rsidR="006578EE" w:rsidRPr="005517C4">
        <w:rPr>
          <w:rFonts w:ascii="Times New Roman" w:eastAsiaTheme="minorEastAsia" w:hAnsi="Times New Roman" w:cs="Times New Roman"/>
          <w:sz w:val="24"/>
          <w:szCs w:val="24"/>
        </w:rPr>
        <w:fldChar w:fldCharType="begin" w:fldLock="1"/>
      </w:r>
      <w:r w:rsidR="003D379B">
        <w:rPr>
          <w:rFonts w:ascii="Times New Roman" w:eastAsiaTheme="minorEastAsia" w:hAnsi="Times New Roman" w:cs="Times New Roman"/>
          <w:sz w:val="24"/>
          <w:szCs w:val="24"/>
        </w:rPr>
        <w:instrText>ADDIN CSL_CITATION { "citationItems" : [ { "id" : "ITEM-1", "itemData" : { "DOI" : "10.1016/j.enpol.2014.06.006", "ISSN" : "03014215", "abstract" : "We test for convergence in energy consumption per capita among ASEAN countries over the period 1971 to 2011 using the panel KPSS stationarity test and panel Lagrange multiplier (LM) unit root test. The results for the panel stationarity and unit root tests with structural breaks find support for energy convergence in ASEAN.", "author" : [ { "dropping-particle" : "", "family" : "Mishra", "given" : "Vinod", "non-dropping-particle" : "", "parse-names" : false, "suffix" : "" }, { "dropping-particle" : "", "family" : "Smyth", "given" : "Russell", "non-dropping-particle" : "", "parse-names" : false, "suffix" : "" } ], "container-title" : "Energy Policy", "id" : "ITEM-1", "issued" : { "date-parts" : [ [ "2014" ] ] }, "number-of-pages" : "180-185", "title" : "Convergence in energy consumption per capita among ASEAN countries", "type" : "report", "volume" : "73" }, "uris" : [ "http://www.mendeley.com/documents/?uuid=d4072624-bf94-3def-abb6-c7809d70a328" ] } ], "mendeley" : { "formattedCitation" : "(Mishra and Smyth 2014)", "manualFormatting" : "Mishra and Smyth, 2014", "plainTextFormattedCitation" : "(Mishra and Smyth 2014)", "previouslyFormattedCitation" : "(Mishra and Smyth 2014)" }, "properties" : { "noteIndex" : 0 }, "schema" : "https://github.com/citation-style-language/schema/raw/master/csl-citation.json" }</w:instrText>
      </w:r>
      <w:r w:rsidR="006578EE" w:rsidRPr="005517C4">
        <w:rPr>
          <w:rFonts w:ascii="Times New Roman" w:eastAsiaTheme="minorEastAsia" w:hAnsi="Times New Roman" w:cs="Times New Roman"/>
          <w:sz w:val="24"/>
          <w:szCs w:val="24"/>
        </w:rPr>
        <w:fldChar w:fldCharType="separate"/>
      </w:r>
      <w:r w:rsidR="0062747F" w:rsidRPr="005517C4">
        <w:rPr>
          <w:rFonts w:ascii="Times New Roman" w:eastAsiaTheme="minorEastAsia" w:hAnsi="Times New Roman" w:cs="Times New Roman"/>
          <w:noProof/>
          <w:sz w:val="24"/>
          <w:szCs w:val="24"/>
        </w:rPr>
        <w:t>Mishra and Smyth</w:t>
      </w:r>
      <w:r w:rsidR="0062747F">
        <w:rPr>
          <w:rFonts w:ascii="Times New Roman" w:eastAsiaTheme="minorEastAsia" w:hAnsi="Times New Roman" w:cs="Times New Roman"/>
          <w:noProof/>
          <w:sz w:val="24"/>
          <w:szCs w:val="24"/>
        </w:rPr>
        <w:t>,</w:t>
      </w:r>
      <w:r w:rsidR="0062747F" w:rsidRPr="005517C4">
        <w:rPr>
          <w:rFonts w:ascii="Times New Roman" w:eastAsiaTheme="minorEastAsia" w:hAnsi="Times New Roman" w:cs="Times New Roman"/>
          <w:noProof/>
          <w:sz w:val="24"/>
          <w:szCs w:val="24"/>
        </w:rPr>
        <w:t xml:space="preserve"> 2014</w:t>
      </w:r>
      <w:r w:rsidR="006578EE" w:rsidRPr="005517C4">
        <w:rPr>
          <w:rFonts w:ascii="Times New Roman" w:eastAsiaTheme="minorEastAsia" w:hAnsi="Times New Roman" w:cs="Times New Roman"/>
          <w:sz w:val="24"/>
          <w:szCs w:val="24"/>
        </w:rPr>
        <w:fldChar w:fldCharType="end"/>
      </w:r>
      <w:r w:rsidR="0062747F" w:rsidRPr="005517C4">
        <w:rPr>
          <w:rFonts w:ascii="Times New Roman" w:eastAsiaTheme="minorEastAsia" w:hAnsi="Times New Roman" w:cs="Times New Roman"/>
          <w:sz w:val="24"/>
          <w:szCs w:val="24"/>
        </w:rPr>
        <w:t>;</w:t>
      </w:r>
      <w:r w:rsidR="0062747F">
        <w:rPr>
          <w:rFonts w:ascii="Times New Roman" w:eastAsiaTheme="minorEastAsia" w:hAnsi="Times New Roman" w:cs="Times New Roman"/>
          <w:sz w:val="24"/>
          <w:szCs w:val="24"/>
        </w:rPr>
        <w:t xml:space="preserve"> </w:t>
      </w:r>
      <w:r w:rsidR="006578EE" w:rsidRPr="005517C4">
        <w:rPr>
          <w:rFonts w:ascii="Times New Roman" w:eastAsiaTheme="minorEastAsia" w:hAnsi="Times New Roman" w:cs="Times New Roman"/>
          <w:sz w:val="24"/>
          <w:szCs w:val="24"/>
        </w:rPr>
        <w:fldChar w:fldCharType="begin" w:fldLock="1"/>
      </w:r>
      <w:r w:rsidR="003D379B">
        <w:rPr>
          <w:rFonts w:ascii="Times New Roman" w:eastAsiaTheme="minorEastAsia" w:hAnsi="Times New Roman" w:cs="Times New Roman"/>
          <w:sz w:val="24"/>
          <w:szCs w:val="24"/>
        </w:rPr>
        <w:instrText>ADDIN CSL_CITATION { "citationItems" : [ { "id" : "ITEM-1", "itemData" : { "DOI" : "10.1080/13683500.2013.810612", "ISSN" : "1368-3500", "abstract" : "We implement a new approach to test the convergence hypothesis in Seychelles within a nonlinearity framework. This is the first study to consider a nonlinearity process in investigating convergence in tourism markets and the first study on convergence of tourism markets in Seychelles. We support the convergence hypothesis in Seychelles tourism markets with nonlinearity test.", "author" : [ { "dropping-particle" : "", "family" : "Solarin", "given" : "Sakiru Adebola", "non-dropping-particle" : "", "parse-names" : false, "suffix" : "" }, { "dropping-particle" : "", "family" : "Lean", "given" : "Hooi Hooi", "non-dropping-particle" : "", "parse-names" : false, "suffix" : "" } ], "container-title" : "Current Issues in Tourism", "id" : "ITEM-1", "issue" : "6", "issued" : { "date-parts" : [ [ "2014", "7", "3" ] ] }, "page" : "475-479", "publisher" : "Routledge", "title" : "Nonlinearity convergence of tourism markets in Seychelles", "type" : "article-journal", "volume" : "17" }, "uris" : [ "http://www.mendeley.com/documents/?uuid=b5e50aa4-e871-3df5-ba69-9d07367e0d70" ] } ], "mendeley" : { "formattedCitation" : "(Solarin and Lean 2014)", "manualFormatting" : "Solarin and Lean, 2014", "plainTextFormattedCitation" : "(Solarin and Lean 2014)", "previouslyFormattedCitation" : "(Solarin and Lean 2014)" }, "properties" : { "noteIndex" : 0 }, "schema" : "https://github.com/citation-style-language/schema/raw/master/csl-citation.json" }</w:instrText>
      </w:r>
      <w:r w:rsidR="006578EE" w:rsidRPr="005517C4">
        <w:rPr>
          <w:rFonts w:ascii="Times New Roman" w:eastAsiaTheme="minorEastAsia" w:hAnsi="Times New Roman" w:cs="Times New Roman"/>
          <w:sz w:val="24"/>
          <w:szCs w:val="24"/>
        </w:rPr>
        <w:fldChar w:fldCharType="separate"/>
      </w:r>
      <w:r w:rsidR="0062747F" w:rsidRPr="005517C4">
        <w:rPr>
          <w:rFonts w:ascii="Times New Roman" w:eastAsiaTheme="minorEastAsia" w:hAnsi="Times New Roman" w:cs="Times New Roman"/>
          <w:noProof/>
          <w:sz w:val="24"/>
          <w:szCs w:val="24"/>
        </w:rPr>
        <w:t>Solarin and Lean</w:t>
      </w:r>
      <w:r w:rsidR="0062747F">
        <w:rPr>
          <w:rFonts w:ascii="Times New Roman" w:eastAsiaTheme="minorEastAsia" w:hAnsi="Times New Roman" w:cs="Times New Roman"/>
          <w:noProof/>
          <w:sz w:val="24"/>
          <w:szCs w:val="24"/>
        </w:rPr>
        <w:t>,</w:t>
      </w:r>
      <w:r w:rsidR="0062747F" w:rsidRPr="005517C4">
        <w:rPr>
          <w:rFonts w:ascii="Times New Roman" w:eastAsiaTheme="minorEastAsia" w:hAnsi="Times New Roman" w:cs="Times New Roman"/>
          <w:noProof/>
          <w:sz w:val="24"/>
          <w:szCs w:val="24"/>
        </w:rPr>
        <w:t xml:space="preserve"> 2014</w:t>
      </w:r>
      <w:r w:rsidR="006578EE" w:rsidRPr="005517C4">
        <w:rPr>
          <w:rFonts w:ascii="Times New Roman" w:eastAsiaTheme="minorEastAsia" w:hAnsi="Times New Roman" w:cs="Times New Roman"/>
          <w:sz w:val="24"/>
          <w:szCs w:val="24"/>
        </w:rPr>
        <w:fldChar w:fldCharType="end"/>
      </w:r>
      <w:r w:rsidR="0062747F" w:rsidRPr="005517C4">
        <w:rPr>
          <w:rFonts w:ascii="Times New Roman" w:eastAsiaTheme="minorEastAsia" w:hAnsi="Times New Roman" w:cs="Times New Roman"/>
          <w:sz w:val="24"/>
          <w:szCs w:val="24"/>
        </w:rPr>
        <w:t>;</w:t>
      </w:r>
      <w:r w:rsidR="0062747F">
        <w:rPr>
          <w:rFonts w:ascii="Times New Roman" w:eastAsiaTheme="minorEastAsia" w:hAnsi="Times New Roman" w:cs="Times New Roman"/>
          <w:sz w:val="24"/>
          <w:szCs w:val="24"/>
        </w:rPr>
        <w:t xml:space="preserve"> </w:t>
      </w:r>
      <w:r w:rsidR="006578EE" w:rsidRPr="005517C4">
        <w:rPr>
          <w:rFonts w:ascii="Times New Roman" w:eastAsiaTheme="minorEastAsia" w:hAnsi="Times New Roman" w:cs="Times New Roman"/>
          <w:sz w:val="24"/>
          <w:szCs w:val="24"/>
        </w:rPr>
        <w:fldChar w:fldCharType="begin" w:fldLock="1"/>
      </w:r>
      <w:r w:rsidR="0062747F" w:rsidRPr="005517C4">
        <w:rPr>
          <w:rFonts w:ascii="Times New Roman" w:eastAsiaTheme="minorEastAsia" w:hAnsi="Times New Roman" w:cs="Times New Roman"/>
          <w:sz w:val="24"/>
          <w:szCs w:val="24"/>
        </w:rPr>
        <w:instrText>ADDIN CSL_CITATION { "citationItems" : [ { "id" : "ITEM-1", "itemData" : { "DOI" : "10.1016/j.iref.2014.05.008", "ISSN" : "10590560", "abstract" : "This study applies the Sequential Panel Selection Method (SPSM) proposed by Chortareas and Kapetanios (2009) to investigate the non-stationary properties of uncovered interest parity (UIP) with the risk premiums of eight East Asian countries relative to China. SPSM can classify the entire panel of smaller East Asian countries into two groups: one stationary series and one non-stationary series. We clearly identify how many and which series in the panel are stationary processes and provide robust evidence to indicate that UIP holds true for six of the eight East Asian countries included in this analysis. This implies that the choices and effectiveness of monetary and fiscal policies in East Asian economies will be highly influenced by external factors originating in China. Additionally, our findings indicate that capital mobility and exchange market efficiency in these East Asian countries behave in a non-linear way.", "author" : [ { "dropping-particle" : "", "family" : "Su", "given" : "Chi-Wei", "non-dropping-particle" : "", "parse-names" : false, "suffix" : "" }, { "dropping-particle" : "", "family" : "Chang", "given" : "Hsu-Ling", "non-dropping-particle" : "", "parse-names" : false, "suffix" : "" }, { "dropping-particle" : "", "family" : "Chang", "given" : "Tsangyao", "non-dropping-particle" : "", "parse-names" : false, "suffix" : "" }, { "dropping-particle" : "", "family" : "Yin", "given" : "Kedong", "non-dropping-particle" : "", "parse-names" : false, "suffix" : "" } ], "container-title" : "International Review of Economics &amp; Finance", "id" : "ITEM-1", "issued" : { "date-parts" : [ [ "2014" ] ] }, "page" : "228-237", "title" : "Monetary convergence in East Asian countries relative to China", "type" : "article-journal", "volume" : "33" }, "uris" : [ "http://www.mendeley.com/documents/?uuid=5971e3dd-5329-3b06-a4b5-d07302d523cf" ] } ], "mendeley" : { "formattedCitation" : "(Su et al. 2014)", "manualFormatting" : "Su et al. 2014", "plainTextFormattedCitation" : "(Su et al. 2014)", "previouslyFormattedCitation" : "(Su et al. 2014)" }, "properties" : { "noteIndex" : 0 }, "schema" : "https://github.com/citation-style-language/schema/raw/master/csl-citation.json" }</w:instrText>
      </w:r>
      <w:r w:rsidR="006578EE" w:rsidRPr="005517C4">
        <w:rPr>
          <w:rFonts w:ascii="Times New Roman" w:eastAsiaTheme="minorEastAsia" w:hAnsi="Times New Roman" w:cs="Times New Roman"/>
          <w:sz w:val="24"/>
          <w:szCs w:val="24"/>
        </w:rPr>
        <w:fldChar w:fldCharType="separate"/>
      </w:r>
      <w:r w:rsidR="0062747F" w:rsidRPr="005517C4">
        <w:rPr>
          <w:rFonts w:ascii="Times New Roman" w:eastAsiaTheme="minorEastAsia" w:hAnsi="Times New Roman" w:cs="Times New Roman"/>
          <w:noProof/>
          <w:sz w:val="24"/>
          <w:szCs w:val="24"/>
        </w:rPr>
        <w:t>Su et al. 2014</w:t>
      </w:r>
      <w:r w:rsidR="006578EE" w:rsidRPr="005517C4">
        <w:rPr>
          <w:rFonts w:ascii="Times New Roman" w:eastAsiaTheme="minorEastAsia" w:hAnsi="Times New Roman" w:cs="Times New Roman"/>
          <w:sz w:val="24"/>
          <w:szCs w:val="24"/>
        </w:rPr>
        <w:fldChar w:fldCharType="end"/>
      </w:r>
      <w:r w:rsidR="0062747F" w:rsidRPr="005517C4">
        <w:rPr>
          <w:rFonts w:ascii="Times New Roman" w:eastAsiaTheme="minorEastAsia" w:hAnsi="Times New Roman" w:cs="Times New Roman"/>
          <w:sz w:val="24"/>
          <w:szCs w:val="24"/>
        </w:rPr>
        <w:t xml:space="preserve">; </w:t>
      </w:r>
      <w:r w:rsidR="0062747F">
        <w:rPr>
          <w:rFonts w:ascii="Times New Roman" w:eastAsiaTheme="minorEastAsia" w:hAnsi="Times New Roman" w:cs="Times New Roman"/>
          <w:sz w:val="24"/>
          <w:szCs w:val="24"/>
        </w:rPr>
        <w:t xml:space="preserve">Apergis, 2015; </w:t>
      </w:r>
      <w:r w:rsidR="006578EE" w:rsidRPr="005517C4">
        <w:rPr>
          <w:rFonts w:ascii="Times New Roman" w:eastAsiaTheme="minorEastAsia" w:hAnsi="Times New Roman" w:cs="Times New Roman"/>
          <w:sz w:val="24"/>
          <w:szCs w:val="24"/>
        </w:rPr>
        <w:fldChar w:fldCharType="begin" w:fldLock="1"/>
      </w:r>
      <w:r w:rsidR="0062747F" w:rsidRPr="005517C4">
        <w:rPr>
          <w:rFonts w:ascii="Times New Roman" w:eastAsiaTheme="minorEastAsia" w:hAnsi="Times New Roman" w:cs="Times New Roman"/>
          <w:sz w:val="24"/>
          <w:szCs w:val="24"/>
        </w:rPr>
        <w:instrText>ADDIN CSL_CITATION { "citationItems" : [ { "id" : "ITEM-1", "itemData" : { "DOI" : "10.1016/S2212-5671(15)01382-9", "ISSN" : "22125671", "author" : [ { "dropping-particle" : "", "family" : "Ioana-Laura", "given" : "\u0162ibulc\u0103", "non-dropping-particle" : "", "parse-names" : false, "suffix" : "" } ], "container-title" : "Procedia Economics and Finance", "id" : "ITEM-1", "issued" : { "date-parts" : [ [ "2015" ] ] }, "page" : "194-199", "title" : "Is there Evidence of Tax Convergence in the European Union?", "type" : "article-journal", "volume" : "32" }, "uris" : [ "http://www.mendeley.com/documents/?uuid=40a944cc-4118-32e5-ae72-b9b3c6e742ce" ] } ], "mendeley" : { "formattedCitation" : "(Ioana-Laura 2015)", "manualFormatting" : "Ioana-Laura 2015", "plainTextFormattedCitation" : "(Ioana-Laura 2015)", "previouslyFormattedCitation" : "(Ioana-Laura 2015)" }, "properties" : { "noteIndex" : 0 }, "schema" : "https://github.com/citation-style-language/schema/raw/master/csl-citation.json" }</w:instrText>
      </w:r>
      <w:r w:rsidR="006578EE" w:rsidRPr="005517C4">
        <w:rPr>
          <w:rFonts w:ascii="Times New Roman" w:eastAsiaTheme="minorEastAsia" w:hAnsi="Times New Roman" w:cs="Times New Roman"/>
          <w:sz w:val="24"/>
          <w:szCs w:val="24"/>
        </w:rPr>
        <w:fldChar w:fldCharType="separate"/>
      </w:r>
      <w:r w:rsidR="0062747F" w:rsidRPr="005517C4">
        <w:rPr>
          <w:rFonts w:ascii="Times New Roman" w:eastAsiaTheme="minorEastAsia" w:hAnsi="Times New Roman" w:cs="Times New Roman"/>
          <w:noProof/>
          <w:sz w:val="24"/>
          <w:szCs w:val="24"/>
        </w:rPr>
        <w:t>Ioana-Laura 2015</w:t>
      </w:r>
      <w:r w:rsidR="006578EE" w:rsidRPr="005517C4">
        <w:rPr>
          <w:rFonts w:ascii="Times New Roman" w:eastAsiaTheme="minorEastAsia" w:hAnsi="Times New Roman" w:cs="Times New Roman"/>
          <w:sz w:val="24"/>
          <w:szCs w:val="24"/>
        </w:rPr>
        <w:fldChar w:fldCharType="end"/>
      </w:r>
      <w:r w:rsidR="0062747F" w:rsidRPr="005517C4">
        <w:rPr>
          <w:rFonts w:ascii="Times New Roman" w:eastAsiaTheme="minorEastAsia" w:hAnsi="Times New Roman" w:cs="Times New Roman"/>
          <w:sz w:val="24"/>
          <w:szCs w:val="24"/>
        </w:rPr>
        <w:t>;</w:t>
      </w:r>
      <w:r w:rsidR="0062747F">
        <w:rPr>
          <w:rFonts w:ascii="Times New Roman" w:eastAsiaTheme="minorEastAsia" w:hAnsi="Times New Roman" w:cs="Times New Roman"/>
          <w:sz w:val="24"/>
          <w:szCs w:val="24"/>
        </w:rPr>
        <w:t xml:space="preserve"> </w:t>
      </w:r>
      <w:r w:rsidR="0062747F" w:rsidRPr="005517C4">
        <w:rPr>
          <w:rFonts w:ascii="Times New Roman" w:eastAsiaTheme="minorEastAsia" w:hAnsi="Times New Roman" w:cs="Times New Roman"/>
          <w:noProof/>
          <w:sz w:val="24"/>
          <w:szCs w:val="24"/>
        </w:rPr>
        <w:t>Hao</w:t>
      </w:r>
      <w:r w:rsidR="0062747F">
        <w:rPr>
          <w:rFonts w:ascii="Times New Roman" w:eastAsiaTheme="minorEastAsia" w:hAnsi="Times New Roman" w:cs="Times New Roman"/>
          <w:noProof/>
          <w:sz w:val="24"/>
          <w:szCs w:val="24"/>
        </w:rPr>
        <w:t xml:space="preserve"> et al.,</w:t>
      </w:r>
      <w:r w:rsidR="0062747F" w:rsidRPr="005517C4">
        <w:rPr>
          <w:rFonts w:ascii="Times New Roman" w:eastAsiaTheme="minorEastAsia" w:hAnsi="Times New Roman" w:cs="Times New Roman"/>
          <w:noProof/>
          <w:sz w:val="24"/>
          <w:szCs w:val="24"/>
        </w:rPr>
        <w:t xml:space="preserve"> 2015</w:t>
      </w:r>
      <w:r w:rsidR="0062747F">
        <w:rPr>
          <w:rFonts w:ascii="Times New Roman" w:eastAsiaTheme="minorEastAsia" w:hAnsi="Times New Roman" w:cs="Times New Roman"/>
          <w:noProof/>
          <w:sz w:val="24"/>
          <w:szCs w:val="24"/>
        </w:rPr>
        <w:t xml:space="preserve">; </w:t>
      </w:r>
      <w:r w:rsidR="006578EE" w:rsidRPr="005517C4">
        <w:rPr>
          <w:rFonts w:ascii="Times New Roman" w:eastAsiaTheme="minorEastAsia" w:hAnsi="Times New Roman" w:cs="Times New Roman"/>
          <w:sz w:val="24"/>
          <w:szCs w:val="24"/>
        </w:rPr>
        <w:fldChar w:fldCharType="begin" w:fldLock="1"/>
      </w:r>
      <w:r w:rsidR="003D379B">
        <w:rPr>
          <w:rFonts w:ascii="Times New Roman" w:eastAsiaTheme="minorEastAsia" w:hAnsi="Times New Roman" w:cs="Times New Roman"/>
          <w:sz w:val="24"/>
          <w:szCs w:val="24"/>
        </w:rPr>
        <w:instrText>ADDIN CSL_CITATION { "citationItems" : [ { "id" : "ITEM-1", "itemData" : { "DOI" : "10.1080/10242694.2015.1016296", "ISSN" : "1024-2694", "abstract" : "The paper builds a model to empirically test military expenditure convergence in a nonlinear set up. We assert that country A chooses a military strategy of catching up with the military expenditure of its rivals, subject to public spending constraints on public investments, including health and education, leading to decrease in long-term economic welfare. This implies nonlinear convergence path: only when the military expenditure gap between countries reaches the threshold level, will it provide incentives to catch up with rival\u2019s military expenditures. We test this nonlinear catching up hypothesis for 37 countries spanning from 1988 to 2012. Results from individual nonlinear cross-sectionally augmented Dickey\u2013Fuller (NCADF) regression indicate that 53% of countries converge to world\u2019s average military expenditure: where 39% of countries converge to Germany; 33% of countries converge to China; 22% of countries converge to the USA, and 11% of countries converge to Russia. Interestingly, USA does not exhib...", "author" : [ { "dropping-particle" : "", "family" : "Lau", "given" : "Chi Keung Marco", "non-dropping-particle" : "", "parse-names" : false, "suffix" : "" }, { "dropping-particle" : "", "family" : "Demir", "given" : "Ender", "non-dropping-particle" : "", "parse-names" : false, "suffix" : "" }, { "dropping-particle" : "", "family" : "Bilgin", "given" : "Mehmet Huseyin", "non-dropping-particle" : "", "parse-names" : false, "suffix" : "" } ], "container-title" : "Defence and Peace Economics", "id" : "ITEM-1", "issue" : "3", "issued" : { "date-parts" : [ [ "2016", "5", "3" ] ] }, "page" : "392-403", "publisher" : "Routledge", "title" : "A Nonlinear Model of Military Expenditure Convergence: Evidence From Estar Nonlinear Unit Root Test", "type" : "article-journal", "volume" : "27" }, "uris" : [ "http://www.mendeley.com/documents/?uuid=bb369731-544b-3d03-a832-2035fca496f1" ] } ], "mendeley" : { "formattedCitation" : "(Lau, Demir, and Bilgin 2016)", "manualFormatting" : "Lau et al., 2016", "plainTextFormattedCitation" : "(Lau, Demir, and Bilgin 2016)", "previouslyFormattedCitation" : "(Lau, Demir, and Bilgin 2016)" }, "properties" : { "noteIndex" : 0 }, "schema" : "https://github.com/citation-style-language/schema/raw/master/csl-citation.json" }</w:instrText>
      </w:r>
      <w:r w:rsidR="006578EE" w:rsidRPr="005517C4">
        <w:rPr>
          <w:rFonts w:ascii="Times New Roman" w:eastAsiaTheme="minorEastAsia" w:hAnsi="Times New Roman" w:cs="Times New Roman"/>
          <w:sz w:val="24"/>
          <w:szCs w:val="24"/>
        </w:rPr>
        <w:fldChar w:fldCharType="separate"/>
      </w:r>
      <w:r w:rsidRPr="005517C4">
        <w:rPr>
          <w:rFonts w:ascii="Times New Roman" w:eastAsiaTheme="minorEastAsia" w:hAnsi="Times New Roman" w:cs="Times New Roman"/>
          <w:noProof/>
          <w:sz w:val="24"/>
          <w:szCs w:val="24"/>
        </w:rPr>
        <w:t>Lau</w:t>
      </w:r>
      <w:r w:rsidR="0062747F">
        <w:rPr>
          <w:rFonts w:ascii="Times New Roman" w:eastAsiaTheme="minorEastAsia" w:hAnsi="Times New Roman" w:cs="Times New Roman"/>
          <w:noProof/>
          <w:sz w:val="24"/>
          <w:szCs w:val="24"/>
        </w:rPr>
        <w:t xml:space="preserve"> et al.,</w:t>
      </w:r>
      <w:r w:rsidRPr="005517C4">
        <w:rPr>
          <w:rFonts w:ascii="Times New Roman" w:eastAsiaTheme="minorEastAsia" w:hAnsi="Times New Roman" w:cs="Times New Roman"/>
          <w:noProof/>
          <w:sz w:val="24"/>
          <w:szCs w:val="24"/>
        </w:rPr>
        <w:t xml:space="preserve"> 2016</w:t>
      </w:r>
      <w:r w:rsidR="006578EE" w:rsidRPr="005517C4">
        <w:rPr>
          <w:rFonts w:ascii="Times New Roman" w:eastAsiaTheme="minorEastAsia" w:hAnsi="Times New Roman" w:cs="Times New Roman"/>
          <w:sz w:val="24"/>
          <w:szCs w:val="24"/>
        </w:rPr>
        <w:fldChar w:fldCharType="end"/>
      </w:r>
      <w:r w:rsidRPr="005517C4">
        <w:rPr>
          <w:rFonts w:ascii="Times New Roman" w:eastAsiaTheme="minorEastAsia" w:hAnsi="Times New Roman" w:cs="Times New Roman"/>
          <w:sz w:val="24"/>
          <w:szCs w:val="24"/>
        </w:rPr>
        <w:t xml:space="preserve">; </w:t>
      </w:r>
      <w:r w:rsidR="006578EE" w:rsidRPr="005517C4">
        <w:rPr>
          <w:rFonts w:ascii="Times New Roman" w:eastAsiaTheme="minorEastAsia" w:hAnsi="Times New Roman" w:cs="Times New Roman"/>
          <w:sz w:val="24"/>
          <w:szCs w:val="24"/>
        </w:rPr>
        <w:fldChar w:fldCharType="begin" w:fldLock="1"/>
      </w:r>
      <w:r w:rsidR="003D379B">
        <w:rPr>
          <w:rFonts w:ascii="Times New Roman" w:eastAsiaTheme="minorEastAsia" w:hAnsi="Times New Roman" w:cs="Times New Roman"/>
          <w:sz w:val="24"/>
          <w:szCs w:val="24"/>
        </w:rPr>
        <w:instrText>ADDIN CSL_CITATION { "citationItems" : [ { "id" : "ITEM-1", "itemData" : { "DOI" : "10.1002/ijfe.1546", "ISSN" : "10769307", "author" : [ { "dropping-particle" : "", "family" : "Chen", "given" : "Yang", "non-dropping-particle" : "", "parse-names" : false, "suffix" : "" }, { "dropping-particle" : "", "family" : "Cuestas", "given" : "Juan Carlos", "non-dropping-particle" : "", "parse-names" : false, "suffix" : "" }, { "dropping-particle" : "", "family" : "Regis", "given" : "Paulo Jos\u00e9", "non-dropping-particle" : "", "parse-names" : false, "suffix" : "" } ], "container-title" : "International Journal of Finance &amp; Economics", "id" : "ITEM-1", "issue" : "3", "issued" : { "date-parts" : [ [ "2016", "7" ] ] }, "page" : "266-278", "title" : "Convergence in Corporate Statutory Tax Rates in the Asian and Pacific Economies", "type" : "article-journal", "volume" : "21" }, "uris" : [ "http://www.mendeley.com/documents/?uuid=91ba38b2-a8d4-383f-bab9-d9b88bde162e" ] } ], "mendeley" : { "formattedCitation" : "(Chen, Cuestas, and Regis 2016)", "manualFormatting" : "Chen et al., 2016", "plainTextFormattedCitation" : "(Chen, Cuestas, and Regis 2016)", "previouslyFormattedCitation" : "(Chen, Cuestas, and Regis 2016)" }, "properties" : { "noteIndex" : 0 }, "schema" : "https://github.com/citation-style-language/schema/raw/master/csl-citation.json" }</w:instrText>
      </w:r>
      <w:r w:rsidR="006578EE" w:rsidRPr="005517C4">
        <w:rPr>
          <w:rFonts w:ascii="Times New Roman" w:eastAsiaTheme="minorEastAsia" w:hAnsi="Times New Roman" w:cs="Times New Roman"/>
          <w:sz w:val="24"/>
          <w:szCs w:val="24"/>
        </w:rPr>
        <w:fldChar w:fldCharType="separate"/>
      </w:r>
      <w:r w:rsidR="0062747F" w:rsidRPr="005517C4">
        <w:rPr>
          <w:rFonts w:ascii="Times New Roman" w:eastAsiaTheme="minorEastAsia" w:hAnsi="Times New Roman" w:cs="Times New Roman"/>
          <w:noProof/>
          <w:sz w:val="24"/>
          <w:szCs w:val="24"/>
        </w:rPr>
        <w:t>Chen</w:t>
      </w:r>
      <w:r w:rsidR="0062747F">
        <w:rPr>
          <w:rFonts w:ascii="Times New Roman" w:eastAsiaTheme="minorEastAsia" w:hAnsi="Times New Roman" w:cs="Times New Roman"/>
          <w:noProof/>
          <w:sz w:val="24"/>
          <w:szCs w:val="24"/>
        </w:rPr>
        <w:t xml:space="preserve"> et al.,</w:t>
      </w:r>
      <w:r w:rsidR="0062747F" w:rsidRPr="005517C4">
        <w:rPr>
          <w:rFonts w:ascii="Times New Roman" w:eastAsiaTheme="minorEastAsia" w:hAnsi="Times New Roman" w:cs="Times New Roman"/>
          <w:noProof/>
          <w:sz w:val="24"/>
          <w:szCs w:val="24"/>
        </w:rPr>
        <w:t xml:space="preserve"> 2016</w:t>
      </w:r>
      <w:r w:rsidR="006578EE" w:rsidRPr="005517C4">
        <w:rPr>
          <w:rFonts w:ascii="Times New Roman" w:eastAsiaTheme="minorEastAsia" w:hAnsi="Times New Roman" w:cs="Times New Roman"/>
          <w:sz w:val="24"/>
          <w:szCs w:val="24"/>
        </w:rPr>
        <w:fldChar w:fldCharType="end"/>
      </w:r>
      <w:r w:rsidR="0062747F">
        <w:rPr>
          <w:rFonts w:ascii="Times New Roman" w:eastAsiaTheme="minorEastAsia" w:hAnsi="Times New Roman" w:cs="Times New Roman"/>
          <w:sz w:val="24"/>
          <w:szCs w:val="24"/>
        </w:rPr>
        <w:t xml:space="preserve"> </w:t>
      </w:r>
      <w:r w:rsidR="006578EE" w:rsidRPr="005517C4">
        <w:rPr>
          <w:rFonts w:ascii="Times New Roman" w:eastAsiaTheme="minorEastAsia" w:hAnsi="Times New Roman" w:cs="Times New Roman"/>
          <w:sz w:val="24"/>
          <w:szCs w:val="24"/>
        </w:rPr>
        <w:fldChar w:fldCharType="begin" w:fldLock="1"/>
      </w:r>
      <w:r w:rsidR="003D379B">
        <w:rPr>
          <w:rFonts w:ascii="Times New Roman" w:eastAsiaTheme="minorEastAsia" w:hAnsi="Times New Roman" w:cs="Times New Roman"/>
          <w:sz w:val="24"/>
          <w:szCs w:val="24"/>
        </w:rPr>
        <w:instrText>ADDIN CSL_CITATION { "citationItems" : [ { "id" : "ITEM-1", "itemData" : { "DOI" : "10.1016/j.egypro.2015.07.341", "ISSN" : "18766102", "abstract" : "Convergence reflects the important economic principles of energy consumption and therefore has important theoretical and practical meanings. Considering the fact that the structure and development styles of China's economy have changed significantly since 1980s, the characteristics of energy consumption may also change. Using the panel data of 29 provinces in china over the period of 1985-2012, static and dynamic regression methods are utilized to analyze the convergence in per capita energy consumption across Chinese provinces. In order to search for possible breakpoints, the Chow tests are conducted for each year's regression results. The estimation results verify the existence of convergence, and there is also a breakpoint at 1996. After 1996, the growth rate of per capita energy consumption is higher than the pre-1996 period, but the speed of convergence rate is considerably lower. Per capita GDP, the proportion of secondary industry and population density all have significant influences on energy consumption and the convergence speed at both stages.", "author" : [ { "dropping-particle" : "", "family" : "Hao", "given" : "Yu", "non-dropping-particle" : "", "parse-names" : false, "suffix" : "" }, { "dropping-particle" : "", "family" : "Wang", "given" : "Shuo", "non-dropping-particle" : "", "parse-names" : false, "suffix" : "" }, { "dropping-particle" : "", "family" : "Zhang", "given" : "Zong-Yong", "non-dropping-particle" : "", "parse-names" : false, "suffix" : "" } ], "container-title" : "Energy Procedia", "id" : "ITEM-1", "issued" : { "date-parts" : [ [ "2015" ] ] }, "page" : "2617-2625", "title" : "Examine the Convergence in Per Capita Energy Consumption in China with Breakpoints", "type" : "article-journal", "volume" : "75" }, "uris" : [ "http://www.mendeley.com/documents/?uuid=139cc7e1-6680-30e1-a55c-2bd6b03e4ab0" ] } ], "mendeley" : { "formattedCitation" : "(Hao, Wang, and Zhang 2015)", "manualFormatting" : ")", "plainTextFormattedCitation" : "(Hao, Wang, and Zhang 2015)", "previouslyFormattedCitation" : "(Hao, Wang, and Zhang 2015)" }, "properties" : { "noteIndex" : 0 }, "schema" : "https://github.com/citation-style-language/schema/raw/master/csl-citation.json" }</w:instrText>
      </w:r>
      <w:r w:rsidR="006578EE" w:rsidRPr="005517C4">
        <w:rPr>
          <w:rFonts w:ascii="Times New Roman" w:eastAsiaTheme="minorEastAsia" w:hAnsi="Times New Roman" w:cs="Times New Roman"/>
          <w:sz w:val="24"/>
          <w:szCs w:val="24"/>
        </w:rPr>
        <w:fldChar w:fldCharType="separate"/>
      </w:r>
      <w:r w:rsidRPr="005517C4">
        <w:rPr>
          <w:rFonts w:ascii="Times New Roman" w:eastAsiaTheme="minorEastAsia" w:hAnsi="Times New Roman" w:cs="Times New Roman"/>
          <w:noProof/>
          <w:sz w:val="24"/>
          <w:szCs w:val="24"/>
        </w:rPr>
        <w:t>)</w:t>
      </w:r>
      <w:r w:rsidR="006578EE" w:rsidRPr="005517C4">
        <w:rPr>
          <w:rFonts w:ascii="Times New Roman" w:eastAsiaTheme="minorEastAsia" w:hAnsi="Times New Roman" w:cs="Times New Roman"/>
          <w:sz w:val="24"/>
          <w:szCs w:val="24"/>
        </w:rPr>
        <w:fldChar w:fldCharType="end"/>
      </w:r>
      <w:r w:rsidRPr="005517C4">
        <w:rPr>
          <w:rFonts w:ascii="Times New Roman" w:eastAsiaTheme="minorEastAsia" w:hAnsi="Times New Roman" w:cs="Times New Roman"/>
          <w:sz w:val="24"/>
          <w:szCs w:val="24"/>
        </w:rPr>
        <w:t xml:space="preserve">. However, </w:t>
      </w:r>
      <w:r w:rsidR="0062747F">
        <w:rPr>
          <w:rFonts w:ascii="Times New Roman" w:eastAsiaTheme="minorEastAsia" w:hAnsi="Times New Roman" w:cs="Times New Roman"/>
          <w:sz w:val="24"/>
          <w:szCs w:val="24"/>
        </w:rPr>
        <w:t xml:space="preserve">the studies that focus on </w:t>
      </w:r>
      <w:r w:rsidRPr="005517C4">
        <w:rPr>
          <w:rFonts w:ascii="Times New Roman" w:eastAsiaTheme="minorEastAsia" w:hAnsi="Times New Roman" w:cs="Times New Roman"/>
          <w:sz w:val="24"/>
          <w:szCs w:val="24"/>
        </w:rPr>
        <w:t>threats</w:t>
      </w:r>
      <w:r w:rsidR="0062747F">
        <w:rPr>
          <w:rFonts w:ascii="Times New Roman" w:eastAsiaTheme="minorEastAsia" w:hAnsi="Times New Roman" w:cs="Times New Roman"/>
          <w:sz w:val="24"/>
          <w:szCs w:val="24"/>
        </w:rPr>
        <w:t>,</w:t>
      </w:r>
      <w:r w:rsidRPr="005517C4">
        <w:rPr>
          <w:rFonts w:ascii="Times New Roman" w:eastAsiaTheme="minorEastAsia" w:hAnsi="Times New Roman" w:cs="Times New Roman"/>
          <w:sz w:val="24"/>
          <w:szCs w:val="24"/>
        </w:rPr>
        <w:t xml:space="preserve"> like global warming and climate change</w:t>
      </w:r>
      <w:r w:rsidR="0062747F">
        <w:rPr>
          <w:rFonts w:ascii="Times New Roman" w:eastAsiaTheme="minorEastAsia" w:hAnsi="Times New Roman" w:cs="Times New Roman"/>
          <w:sz w:val="24"/>
          <w:szCs w:val="24"/>
        </w:rPr>
        <w:t xml:space="preserve"> and or environmental convergence,</w:t>
      </w:r>
      <w:r w:rsidRPr="005517C4">
        <w:rPr>
          <w:rFonts w:ascii="Times New Roman" w:eastAsiaTheme="minorEastAsia" w:hAnsi="Times New Roman" w:cs="Times New Roman"/>
          <w:sz w:val="24"/>
          <w:szCs w:val="24"/>
        </w:rPr>
        <w:t xml:space="preserve"> which seriously affect the world </w:t>
      </w:r>
      <w:r w:rsidR="0062747F">
        <w:rPr>
          <w:rFonts w:ascii="Times New Roman" w:eastAsiaTheme="minorEastAsia" w:hAnsi="Times New Roman" w:cs="Times New Roman"/>
          <w:sz w:val="24"/>
          <w:szCs w:val="24"/>
        </w:rPr>
        <w:t>have been receiving great attention</w:t>
      </w:r>
      <w:r w:rsidRPr="005517C4">
        <w:rPr>
          <w:rFonts w:ascii="Times New Roman" w:eastAsiaTheme="minorEastAsia" w:hAnsi="Times New Roman" w:cs="Times New Roman"/>
          <w:sz w:val="24"/>
          <w:szCs w:val="24"/>
        </w:rPr>
        <w:t xml:space="preserve">. </w:t>
      </w:r>
    </w:p>
    <w:p w:rsidR="00E96621" w:rsidRPr="005517C4" w:rsidRDefault="00487A53" w:rsidP="0062747F">
      <w:pPr>
        <w:spacing w:line="360" w:lineRule="auto"/>
        <w:ind w:firstLine="708"/>
        <w:jc w:val="both"/>
        <w:rPr>
          <w:rFonts w:ascii="Times New Roman" w:hAnsi="Times New Roman" w:cs="Times New Roman"/>
          <w:sz w:val="24"/>
          <w:szCs w:val="24"/>
        </w:rPr>
      </w:pPr>
      <w:r w:rsidRPr="005517C4">
        <w:rPr>
          <w:rFonts w:ascii="Times New Roman" w:eastAsiaTheme="minorEastAsia" w:hAnsi="Times New Roman" w:cs="Times New Roman"/>
          <w:sz w:val="24"/>
          <w:szCs w:val="24"/>
        </w:rPr>
        <w:t xml:space="preserve">There are </w:t>
      </w:r>
      <w:r w:rsidR="0062747F">
        <w:rPr>
          <w:rFonts w:ascii="Times New Roman" w:eastAsiaTheme="minorEastAsia" w:hAnsi="Times New Roman" w:cs="Times New Roman"/>
          <w:sz w:val="24"/>
          <w:szCs w:val="24"/>
        </w:rPr>
        <w:t xml:space="preserve">primarily </w:t>
      </w:r>
      <w:r w:rsidR="00467C6C" w:rsidRPr="005517C4">
        <w:rPr>
          <w:rFonts w:ascii="Times New Roman" w:eastAsiaTheme="minorEastAsia" w:hAnsi="Times New Roman" w:cs="Times New Roman"/>
          <w:sz w:val="24"/>
          <w:szCs w:val="24"/>
        </w:rPr>
        <w:t>three reason</w:t>
      </w:r>
      <w:r w:rsidR="00FF04B6" w:rsidRPr="005517C4">
        <w:rPr>
          <w:rFonts w:ascii="Times New Roman" w:eastAsiaTheme="minorEastAsia" w:hAnsi="Times New Roman" w:cs="Times New Roman"/>
          <w:sz w:val="24"/>
          <w:szCs w:val="24"/>
        </w:rPr>
        <w:t>s</w:t>
      </w:r>
      <w:r w:rsidR="00467C6C" w:rsidRPr="005517C4">
        <w:rPr>
          <w:rFonts w:ascii="Times New Roman" w:eastAsiaTheme="minorEastAsia" w:hAnsi="Times New Roman" w:cs="Times New Roman"/>
          <w:sz w:val="24"/>
          <w:szCs w:val="24"/>
        </w:rPr>
        <w:t xml:space="preserve"> </w:t>
      </w:r>
      <w:r w:rsidR="0062747F">
        <w:rPr>
          <w:rFonts w:ascii="Times New Roman" w:eastAsiaTheme="minorEastAsia" w:hAnsi="Times New Roman" w:cs="Times New Roman"/>
          <w:sz w:val="24"/>
          <w:szCs w:val="24"/>
        </w:rPr>
        <w:t>that can</w:t>
      </w:r>
      <w:r w:rsidR="00467C6C" w:rsidRPr="005517C4">
        <w:rPr>
          <w:rFonts w:ascii="Times New Roman" w:eastAsiaTheme="minorEastAsia" w:hAnsi="Times New Roman" w:cs="Times New Roman"/>
          <w:sz w:val="24"/>
          <w:szCs w:val="24"/>
        </w:rPr>
        <w:t xml:space="preserve"> explain why coun</w:t>
      </w:r>
      <w:r w:rsidR="006C3D03" w:rsidRPr="005517C4">
        <w:rPr>
          <w:rFonts w:ascii="Times New Roman" w:eastAsiaTheme="minorEastAsia" w:hAnsi="Times New Roman" w:cs="Times New Roman"/>
          <w:sz w:val="24"/>
          <w:szCs w:val="24"/>
        </w:rPr>
        <w:t>t</w:t>
      </w:r>
      <w:r w:rsidR="00467C6C" w:rsidRPr="005517C4">
        <w:rPr>
          <w:rFonts w:ascii="Times New Roman" w:eastAsiaTheme="minorEastAsia" w:hAnsi="Times New Roman" w:cs="Times New Roman"/>
          <w:sz w:val="24"/>
          <w:szCs w:val="24"/>
        </w:rPr>
        <w:t xml:space="preserve">ries converge in terms of environmental values. </w:t>
      </w:r>
      <w:r w:rsidR="008A6499">
        <w:rPr>
          <w:rFonts w:ascii="Times New Roman" w:eastAsiaTheme="minorEastAsia" w:hAnsi="Times New Roman" w:cs="Times New Roman"/>
          <w:sz w:val="24"/>
          <w:szCs w:val="24"/>
        </w:rPr>
        <w:t>The f</w:t>
      </w:r>
      <w:r w:rsidR="00E96621" w:rsidRPr="005517C4">
        <w:rPr>
          <w:rFonts w:ascii="Times New Roman" w:hAnsi="Times New Roman" w:cs="Times New Roman"/>
          <w:sz w:val="24"/>
          <w:szCs w:val="24"/>
        </w:rPr>
        <w:t xml:space="preserve">irst one is </w:t>
      </w:r>
      <w:r w:rsidR="008A6499">
        <w:rPr>
          <w:rFonts w:ascii="Times New Roman" w:hAnsi="Times New Roman" w:cs="Times New Roman"/>
          <w:sz w:val="24"/>
          <w:szCs w:val="24"/>
        </w:rPr>
        <w:t>in relevance to the</w:t>
      </w:r>
      <w:r w:rsidR="00E96621" w:rsidRPr="005517C4">
        <w:rPr>
          <w:rFonts w:ascii="Times New Roman" w:hAnsi="Times New Roman" w:cs="Times New Roman"/>
          <w:sz w:val="24"/>
          <w:szCs w:val="24"/>
        </w:rPr>
        <w:t xml:space="preserve"> </w:t>
      </w:r>
      <w:r w:rsidR="00E96621" w:rsidRPr="005517C4">
        <w:rPr>
          <w:rFonts w:ascii="Times New Roman" w:eastAsiaTheme="minorEastAsia" w:hAnsi="Times New Roman" w:cs="Times New Roman"/>
          <w:sz w:val="24"/>
          <w:szCs w:val="24"/>
        </w:rPr>
        <w:t xml:space="preserve">environmental catch-up hypothesis </w:t>
      </w:r>
      <w:r w:rsidR="008A6499">
        <w:rPr>
          <w:rFonts w:ascii="Times New Roman" w:eastAsiaTheme="minorEastAsia" w:hAnsi="Times New Roman" w:cs="Times New Roman"/>
          <w:sz w:val="24"/>
          <w:szCs w:val="24"/>
        </w:rPr>
        <w:t>recommended</w:t>
      </w:r>
      <w:r w:rsidR="00E96621" w:rsidRPr="005517C4">
        <w:rPr>
          <w:rFonts w:ascii="Times New Roman" w:eastAsiaTheme="minorEastAsia" w:hAnsi="Times New Roman" w:cs="Times New Roman"/>
          <w:sz w:val="24"/>
          <w:szCs w:val="24"/>
        </w:rPr>
        <w:t xml:space="preserve"> by </w:t>
      </w:r>
      <w:r w:rsidR="006578EE" w:rsidRPr="005517C4">
        <w:rPr>
          <w:rFonts w:ascii="Times New Roman" w:eastAsiaTheme="minorEastAsia" w:hAnsi="Times New Roman" w:cs="Times New Roman"/>
          <w:sz w:val="24"/>
          <w:szCs w:val="24"/>
        </w:rPr>
        <w:fldChar w:fldCharType="begin" w:fldLock="1"/>
      </w:r>
      <w:r w:rsidR="00E96621" w:rsidRPr="005517C4">
        <w:rPr>
          <w:rFonts w:ascii="Times New Roman" w:eastAsiaTheme="minorEastAsia" w:hAnsi="Times New Roman" w:cs="Times New Roman"/>
          <w:sz w:val="24"/>
          <w:szCs w:val="24"/>
        </w:rPr>
        <w:instrText>ADDIN CSL_CITATION { "citationItems" : [ { "id" : "ITEM-1", "itemData" : { "author" : [ { "dropping-particle" : "", "family" : "Brock", "given" : "William A.", "non-dropping-particle" : "", "parse-names" : false, "suffix" : "" }, { "dropping-particle" : "", "family" : "Taylor", "given" : "M. Scott", "non-dropping-particle" : "", "parse-names" : false, "suffix" : "" } ], "collection-title" : "NBER", "id" : "ITEM-1", "issued" : { "date-parts" : [ [ "2003" ] ] }, "number" : "Working Paper 9597", "number-of-pages" : "1-56", "publisher-place" : "Massachusetts", "title" : "THE KINDERGARTEN RULE OF SUSTAINABLE GROWTH", "type" : "report" }, "uris" : [ "http://www.mendeley.com/documents/?uuid=6e0a4ece-d934-410f-b011-f00a6b19659f" ] } ], "mendeley" : { "formattedCitation" : "(Brock and Taylor 2003)", "manualFormatting" : "Brock and Taylor (2003)", "plainTextFormattedCitation" : "(Brock and Taylor 2003)", "previouslyFormattedCitation" : "(Brock and Taylor 2003)" }, "properties" : { "noteIndex" : 0 }, "schema" : "https://github.com/citation-style-language/schema/raw/master/csl-citation.json" }</w:instrText>
      </w:r>
      <w:r w:rsidR="006578EE" w:rsidRPr="005517C4">
        <w:rPr>
          <w:rFonts w:ascii="Times New Roman" w:eastAsiaTheme="minorEastAsia" w:hAnsi="Times New Roman" w:cs="Times New Roman"/>
          <w:sz w:val="24"/>
          <w:szCs w:val="24"/>
        </w:rPr>
        <w:fldChar w:fldCharType="separate"/>
      </w:r>
      <w:r w:rsidR="00E96621" w:rsidRPr="005517C4">
        <w:rPr>
          <w:rFonts w:ascii="Times New Roman" w:eastAsiaTheme="minorEastAsia" w:hAnsi="Times New Roman" w:cs="Times New Roman"/>
          <w:noProof/>
          <w:sz w:val="24"/>
          <w:szCs w:val="24"/>
        </w:rPr>
        <w:t>Brock and Taylor (2003)</w:t>
      </w:r>
      <w:r w:rsidR="006578EE" w:rsidRPr="005517C4">
        <w:rPr>
          <w:rFonts w:ascii="Times New Roman" w:eastAsiaTheme="minorEastAsia" w:hAnsi="Times New Roman" w:cs="Times New Roman"/>
          <w:sz w:val="24"/>
          <w:szCs w:val="24"/>
        </w:rPr>
        <w:fldChar w:fldCharType="end"/>
      </w:r>
      <w:r w:rsidR="008A6499">
        <w:rPr>
          <w:rFonts w:ascii="Times New Roman" w:eastAsiaTheme="minorEastAsia" w:hAnsi="Times New Roman" w:cs="Times New Roman"/>
          <w:sz w:val="24"/>
          <w:szCs w:val="24"/>
        </w:rPr>
        <w:t>. According to this hypothesis,</w:t>
      </w:r>
      <w:r w:rsidR="00E96621" w:rsidRPr="005517C4">
        <w:rPr>
          <w:rFonts w:ascii="Times New Roman" w:eastAsiaTheme="minorEastAsia" w:hAnsi="Times New Roman" w:cs="Times New Roman"/>
          <w:sz w:val="24"/>
          <w:szCs w:val="24"/>
        </w:rPr>
        <w:t xml:space="preserve"> it</w:t>
      </w:r>
      <w:r w:rsidR="00911314">
        <w:rPr>
          <w:rFonts w:ascii="Times New Roman" w:eastAsiaTheme="minorEastAsia" w:hAnsi="Times New Roman" w:cs="Times New Roman"/>
          <w:sz w:val="24"/>
          <w:szCs w:val="24"/>
        </w:rPr>
        <w:t xml:space="preserve"> </w:t>
      </w:r>
      <w:r w:rsidR="00E96621" w:rsidRPr="005517C4">
        <w:rPr>
          <w:rFonts w:ascii="Times New Roman" w:eastAsiaTheme="minorEastAsia" w:hAnsi="Times New Roman" w:cs="Times New Roman"/>
          <w:sz w:val="24"/>
          <w:szCs w:val="24"/>
        </w:rPr>
        <w:t xml:space="preserve">refers to </w:t>
      </w:r>
      <w:r w:rsidR="008A6499">
        <w:rPr>
          <w:rFonts w:ascii="Times New Roman" w:eastAsiaTheme="minorEastAsia" w:hAnsi="Times New Roman" w:cs="Times New Roman"/>
          <w:sz w:val="24"/>
          <w:szCs w:val="24"/>
        </w:rPr>
        <w:t xml:space="preserve">the </w:t>
      </w:r>
      <w:r w:rsidR="00E96621" w:rsidRPr="005517C4">
        <w:rPr>
          <w:rFonts w:ascii="Times New Roman" w:eastAsiaTheme="minorEastAsia" w:hAnsi="Times New Roman" w:cs="Times New Roman"/>
          <w:sz w:val="24"/>
          <w:szCs w:val="24"/>
        </w:rPr>
        <w:t>convergence of environmental quality between the rich and the poor countries at a point in time</w:t>
      </w:r>
      <w:r w:rsidR="008A6499">
        <w:rPr>
          <w:rFonts w:ascii="Times New Roman" w:eastAsiaTheme="minorEastAsia" w:hAnsi="Times New Roman" w:cs="Times New Roman"/>
          <w:sz w:val="24"/>
          <w:szCs w:val="24"/>
        </w:rPr>
        <w:t>, which is fundamentally explained</w:t>
      </w:r>
      <w:r w:rsidR="00E96621" w:rsidRPr="005517C4">
        <w:rPr>
          <w:rFonts w:ascii="Times New Roman" w:eastAsiaTheme="minorEastAsia" w:hAnsi="Times New Roman" w:cs="Times New Roman"/>
          <w:sz w:val="24"/>
          <w:szCs w:val="24"/>
        </w:rPr>
        <w:t xml:space="preserve"> </w:t>
      </w:r>
      <w:r w:rsidR="006C3D03" w:rsidRPr="005517C4">
        <w:rPr>
          <w:rFonts w:ascii="Times New Roman" w:eastAsiaTheme="minorEastAsia" w:hAnsi="Times New Roman" w:cs="Times New Roman"/>
          <w:sz w:val="24"/>
          <w:szCs w:val="24"/>
        </w:rPr>
        <w:t>through</w:t>
      </w:r>
      <w:r w:rsidR="00E96621" w:rsidRPr="005517C4">
        <w:rPr>
          <w:rFonts w:ascii="Times New Roman" w:eastAsiaTheme="minorEastAsia" w:hAnsi="Times New Roman" w:cs="Times New Roman"/>
          <w:sz w:val="24"/>
          <w:szCs w:val="24"/>
        </w:rPr>
        <w:t xml:space="preserve"> </w:t>
      </w:r>
      <w:r w:rsidR="008A6499">
        <w:rPr>
          <w:rFonts w:ascii="Times New Roman" w:eastAsiaTheme="minorEastAsia" w:hAnsi="Times New Roman" w:cs="Times New Roman"/>
          <w:sz w:val="24"/>
          <w:szCs w:val="24"/>
        </w:rPr>
        <w:t xml:space="preserve">the </w:t>
      </w:r>
      <w:r w:rsidR="00E96621" w:rsidRPr="005517C4">
        <w:rPr>
          <w:rFonts w:ascii="Times New Roman" w:eastAsiaTheme="minorEastAsia" w:hAnsi="Times New Roman" w:cs="Times New Roman"/>
          <w:sz w:val="24"/>
          <w:szCs w:val="24"/>
        </w:rPr>
        <w:t xml:space="preserve">Environmental Kuznet's Curve (EKC) </w:t>
      </w:r>
      <w:r w:rsidR="008A6499">
        <w:rPr>
          <w:rFonts w:ascii="Times New Roman" w:eastAsiaTheme="minorEastAsia" w:hAnsi="Times New Roman" w:cs="Times New Roman"/>
          <w:sz w:val="24"/>
          <w:szCs w:val="24"/>
        </w:rPr>
        <w:t xml:space="preserve">which highliths </w:t>
      </w:r>
      <w:r w:rsidR="00E96621" w:rsidRPr="005517C4">
        <w:rPr>
          <w:rFonts w:ascii="Times New Roman" w:eastAsiaTheme="minorEastAsia" w:hAnsi="Times New Roman" w:cs="Times New Roman"/>
          <w:sz w:val="24"/>
          <w:szCs w:val="24"/>
        </w:rPr>
        <w:t xml:space="preserve">that </w:t>
      </w:r>
      <w:r w:rsidR="008A6499">
        <w:rPr>
          <w:rFonts w:ascii="Times New Roman" w:eastAsiaTheme="minorEastAsia" w:hAnsi="Times New Roman" w:cs="Times New Roman"/>
          <w:sz w:val="24"/>
          <w:szCs w:val="24"/>
        </w:rPr>
        <w:t xml:space="preserve">at the </w:t>
      </w:r>
      <w:r w:rsidR="00E96621" w:rsidRPr="005517C4">
        <w:rPr>
          <w:rFonts w:ascii="Times New Roman" w:eastAsiaTheme="minorEastAsia" w:hAnsi="Times New Roman" w:cs="Times New Roman"/>
          <w:sz w:val="24"/>
          <w:szCs w:val="24"/>
        </w:rPr>
        <w:t>initial stage of economic growth</w:t>
      </w:r>
      <w:r w:rsidR="008A6499">
        <w:rPr>
          <w:rFonts w:ascii="Times New Roman" w:eastAsiaTheme="minorEastAsia" w:hAnsi="Times New Roman" w:cs="Times New Roman"/>
          <w:sz w:val="24"/>
          <w:szCs w:val="24"/>
        </w:rPr>
        <w:t>, it</w:t>
      </w:r>
      <w:r w:rsidR="00E96621" w:rsidRPr="005517C4">
        <w:rPr>
          <w:rFonts w:ascii="Times New Roman" w:eastAsiaTheme="minorEastAsia" w:hAnsi="Times New Roman" w:cs="Times New Roman"/>
          <w:sz w:val="24"/>
          <w:szCs w:val="24"/>
        </w:rPr>
        <w:t xml:space="preserve"> makes environmental quality worse, and, </w:t>
      </w:r>
      <w:r w:rsidR="00E96621" w:rsidRPr="005517C4">
        <w:rPr>
          <w:rFonts w:ascii="Times New Roman" w:eastAsiaTheme="minorEastAsia" w:hAnsi="Times New Roman" w:cs="Times New Roman"/>
          <w:sz w:val="24"/>
          <w:szCs w:val="24"/>
        </w:rPr>
        <w:lastRenderedPageBreak/>
        <w:t xml:space="preserve">that, </w:t>
      </w:r>
      <w:r w:rsidR="008A6499">
        <w:rPr>
          <w:rFonts w:ascii="Times New Roman" w:eastAsiaTheme="minorEastAsia" w:hAnsi="Times New Roman" w:cs="Times New Roman"/>
          <w:sz w:val="24"/>
          <w:szCs w:val="24"/>
        </w:rPr>
        <w:t xml:space="preserve">at a </w:t>
      </w:r>
      <w:r w:rsidR="00E96621" w:rsidRPr="005517C4">
        <w:rPr>
          <w:rFonts w:ascii="Times New Roman" w:eastAsiaTheme="minorEastAsia" w:hAnsi="Times New Roman" w:cs="Times New Roman"/>
          <w:sz w:val="24"/>
          <w:szCs w:val="24"/>
        </w:rPr>
        <w:t xml:space="preserve">later stage of economic growth enhances environmental quality </w:t>
      </w:r>
      <w:r w:rsidR="008A6499">
        <w:rPr>
          <w:rFonts w:ascii="Times New Roman" w:eastAsiaTheme="minorEastAsia" w:hAnsi="Times New Roman" w:cs="Times New Roman"/>
          <w:sz w:val="24"/>
          <w:szCs w:val="24"/>
        </w:rPr>
        <w:t>only aft</w:t>
      </w:r>
      <w:r w:rsidR="00E96621" w:rsidRPr="005517C4">
        <w:rPr>
          <w:rFonts w:ascii="Times New Roman" w:eastAsiaTheme="minorEastAsia" w:hAnsi="Times New Roman" w:cs="Times New Roman"/>
          <w:sz w:val="24"/>
          <w:szCs w:val="24"/>
        </w:rPr>
        <w:t xml:space="preserve">er per capita income reaches a threshold </w:t>
      </w:r>
      <w:r w:rsidR="006578EE" w:rsidRPr="005517C4">
        <w:rPr>
          <w:rFonts w:ascii="Times New Roman" w:eastAsiaTheme="minorEastAsia" w:hAnsi="Times New Roman" w:cs="Times New Roman"/>
          <w:sz w:val="24"/>
          <w:szCs w:val="24"/>
        </w:rPr>
        <w:fldChar w:fldCharType="begin" w:fldLock="1"/>
      </w:r>
      <w:r w:rsidR="003D379B">
        <w:rPr>
          <w:rFonts w:ascii="Times New Roman" w:eastAsiaTheme="minorEastAsia" w:hAnsi="Times New Roman" w:cs="Times New Roman"/>
          <w:sz w:val="24"/>
          <w:szCs w:val="24"/>
        </w:rPr>
        <w:instrText>ADDIN CSL_CITATION { "citationItems" : [ { "id" : "ITEM-1", "itemData" : { "author" : [ { "dropping-particle" : "", "family" : "Brock", "given" : "William A.", "non-dropping-particle" : "", "parse-names" : false, "suffix" : "" }, { "dropping-particle" : "", "family" : "Taylor", "given" : "M. Scott", "non-dropping-particle" : "", "parse-names" : false, "suffix" : "" } ], "collection-title" : "NBER", "id" : "ITEM-1", "issued" : { "date-parts" : [ [ "2003" ] ] }, "number" : "Working Paper 9597", "number-of-pages" : "1-56", "publisher-place" : "Massachusetts", "title" : "THE KINDERGARTEN RULE OF SUSTAINABLE GROWTH", "type" : "report" }, "uris" : [ "http://www.mendeley.com/documents/?uuid=6e0a4ece-d934-410f-b011-f00a6b19659f" ] } ], "mendeley" : { "formattedCitation" : "(Brock and Taylor 2003)", "manualFormatting" : "(Brock and Taylor, 2003)", "plainTextFormattedCitation" : "(Brock and Taylor 2003)", "previouslyFormattedCitation" : "(Brock and Taylor 2003)" }, "properties" : { "noteIndex" : 0 }, "schema" : "https://github.com/citation-style-language/schema/raw/master/csl-citation.json" }</w:instrText>
      </w:r>
      <w:r w:rsidR="006578EE" w:rsidRPr="005517C4">
        <w:rPr>
          <w:rFonts w:ascii="Times New Roman" w:eastAsiaTheme="minorEastAsia" w:hAnsi="Times New Roman" w:cs="Times New Roman"/>
          <w:sz w:val="24"/>
          <w:szCs w:val="24"/>
        </w:rPr>
        <w:fldChar w:fldCharType="separate"/>
      </w:r>
      <w:r w:rsidR="00E96621" w:rsidRPr="005517C4">
        <w:rPr>
          <w:rFonts w:ascii="Times New Roman" w:eastAsiaTheme="minorEastAsia" w:hAnsi="Times New Roman" w:cs="Times New Roman"/>
          <w:noProof/>
          <w:sz w:val="24"/>
          <w:szCs w:val="24"/>
        </w:rPr>
        <w:t>(Brock and Taylor</w:t>
      </w:r>
      <w:r w:rsidR="008A6499">
        <w:rPr>
          <w:rFonts w:ascii="Times New Roman" w:eastAsiaTheme="minorEastAsia" w:hAnsi="Times New Roman" w:cs="Times New Roman"/>
          <w:noProof/>
          <w:sz w:val="24"/>
          <w:szCs w:val="24"/>
        </w:rPr>
        <w:t>,</w:t>
      </w:r>
      <w:r w:rsidR="00E96621" w:rsidRPr="005517C4">
        <w:rPr>
          <w:rFonts w:ascii="Times New Roman" w:eastAsiaTheme="minorEastAsia" w:hAnsi="Times New Roman" w:cs="Times New Roman"/>
          <w:noProof/>
          <w:sz w:val="24"/>
          <w:szCs w:val="24"/>
        </w:rPr>
        <w:t xml:space="preserve"> 2003)</w:t>
      </w:r>
      <w:r w:rsidR="006578EE" w:rsidRPr="005517C4">
        <w:rPr>
          <w:rFonts w:ascii="Times New Roman" w:eastAsiaTheme="minorEastAsia" w:hAnsi="Times New Roman" w:cs="Times New Roman"/>
          <w:sz w:val="24"/>
          <w:szCs w:val="24"/>
        </w:rPr>
        <w:fldChar w:fldCharType="end"/>
      </w:r>
      <w:r w:rsidR="00E96621" w:rsidRPr="005517C4">
        <w:rPr>
          <w:rFonts w:ascii="Times New Roman" w:eastAsiaTheme="minorEastAsia" w:hAnsi="Times New Roman" w:cs="Times New Roman"/>
          <w:sz w:val="24"/>
          <w:szCs w:val="24"/>
        </w:rPr>
        <w:t xml:space="preserve">. </w:t>
      </w:r>
      <w:r w:rsidR="008A6499">
        <w:rPr>
          <w:rFonts w:ascii="Times New Roman" w:eastAsiaTheme="minorEastAsia" w:hAnsi="Times New Roman" w:cs="Times New Roman"/>
          <w:sz w:val="24"/>
          <w:szCs w:val="24"/>
        </w:rPr>
        <w:t xml:space="preserve">According to </w:t>
      </w:r>
      <w:r w:rsidR="00E96621" w:rsidRPr="005517C4">
        <w:rPr>
          <w:rFonts w:ascii="Times New Roman" w:eastAsiaTheme="minorEastAsia" w:hAnsi="Times New Roman" w:cs="Times New Roman"/>
          <w:sz w:val="24"/>
          <w:szCs w:val="24"/>
        </w:rPr>
        <w:t xml:space="preserve">the EKC, </w:t>
      </w:r>
      <w:r w:rsidR="008A6499">
        <w:rPr>
          <w:rFonts w:ascii="Times New Roman" w:eastAsiaTheme="minorEastAsia" w:hAnsi="Times New Roman" w:cs="Times New Roman"/>
          <w:sz w:val="24"/>
          <w:szCs w:val="24"/>
        </w:rPr>
        <w:t>the</w:t>
      </w:r>
      <w:r w:rsidR="00E96621" w:rsidRPr="005517C4">
        <w:rPr>
          <w:rFonts w:ascii="Times New Roman" w:eastAsiaTheme="minorEastAsia" w:hAnsi="Times New Roman" w:cs="Times New Roman"/>
          <w:sz w:val="24"/>
          <w:szCs w:val="24"/>
        </w:rPr>
        <w:t xml:space="preserve"> countries which reach a spesific income level</w:t>
      </w:r>
      <w:r w:rsidR="008A6499">
        <w:rPr>
          <w:rFonts w:ascii="Times New Roman" w:eastAsiaTheme="minorEastAsia" w:hAnsi="Times New Roman" w:cs="Times New Roman"/>
          <w:sz w:val="24"/>
          <w:szCs w:val="24"/>
        </w:rPr>
        <w:t>,</w:t>
      </w:r>
      <w:r w:rsidR="00E96621" w:rsidRPr="005517C4">
        <w:rPr>
          <w:rFonts w:ascii="Times New Roman" w:eastAsiaTheme="minorEastAsia" w:hAnsi="Times New Roman" w:cs="Times New Roman"/>
          <w:sz w:val="24"/>
          <w:szCs w:val="24"/>
        </w:rPr>
        <w:t xml:space="preserve"> reduce their emissions. As long as this is true, rises in income will get emissions per capita closer to each other. This is exactly what a convergence implies with regard to the EKC</w:t>
      </w:r>
      <w:r w:rsidR="00571D15" w:rsidRPr="005517C4">
        <w:rPr>
          <w:rFonts w:ascii="Times New Roman" w:eastAsiaTheme="minorEastAsia" w:hAnsi="Times New Roman" w:cs="Times New Roman"/>
          <w:sz w:val="24"/>
          <w:szCs w:val="24"/>
        </w:rPr>
        <w:t xml:space="preserve"> </w:t>
      </w:r>
      <w:r w:rsidR="006578EE" w:rsidRPr="005517C4">
        <w:rPr>
          <w:rFonts w:ascii="Times New Roman" w:eastAsiaTheme="minorEastAsia" w:hAnsi="Times New Roman" w:cs="Times New Roman"/>
          <w:sz w:val="24"/>
          <w:szCs w:val="24"/>
        </w:rPr>
        <w:fldChar w:fldCharType="begin" w:fldLock="1"/>
      </w:r>
      <w:r w:rsidR="003D379B">
        <w:rPr>
          <w:rFonts w:ascii="Times New Roman" w:eastAsiaTheme="minorEastAsia" w:hAnsi="Times New Roman" w:cs="Times New Roman"/>
          <w:sz w:val="24"/>
          <w:szCs w:val="24"/>
        </w:rPr>
        <w:instrText>ADDIN CSL_CITATION { "citationItems" : [ { "id" : "ITEM-1", "itemData" : { "DOI" : "10.1023/A:1022910701857", "ISSN" : "09246460", "author" : [ { "dropping-particle" : "", "family" : "Strazicich", "given" : "Mark C.", "non-dropping-particle" : "", "parse-names" : false, "suffix" : "" }, { "dropping-particle" : "", "family" : "List", "given" : "John A.", "non-dropping-particle" : "", "parse-names" : false, "suffix" : "" } ], "container-title" : "Environmental and Resource Economics", "id" : "ITEM-1", "issue" : "3", "issued" : { "date-parts" : [ [ "2003" ] ] }, "page" : "263-271", "publisher" : "Kluwer Academic Publishers", "title" : "Are CO2 Emission Levels Converging Among Industrial Countries?", "type" : "article-journal", "volume" : "24" }, "uris" : [ "http://www.mendeley.com/documents/?uuid=78aeb247-d986-3138-882c-497b6d3d268f" ] } ], "mendeley" : { "formattedCitation" : "(Strazicich and List 2003)", "manualFormatting" : "(Strazicich and List, 2003b)", "plainTextFormattedCitation" : "(Strazicich and List 2003)", "previouslyFormattedCitation" : "(Strazicich and List 2003)" }, "properties" : { "noteIndex" : 0 }, "schema" : "https://github.com/citation-style-language/schema/raw/master/csl-citation.json" }</w:instrText>
      </w:r>
      <w:r w:rsidR="006578EE" w:rsidRPr="005517C4">
        <w:rPr>
          <w:rFonts w:ascii="Times New Roman" w:eastAsiaTheme="minorEastAsia" w:hAnsi="Times New Roman" w:cs="Times New Roman"/>
          <w:sz w:val="24"/>
          <w:szCs w:val="24"/>
        </w:rPr>
        <w:fldChar w:fldCharType="separate"/>
      </w:r>
      <w:r w:rsidR="00571D15" w:rsidRPr="005517C4">
        <w:rPr>
          <w:rFonts w:ascii="Times New Roman" w:eastAsiaTheme="minorEastAsia" w:hAnsi="Times New Roman" w:cs="Times New Roman"/>
          <w:noProof/>
          <w:sz w:val="24"/>
          <w:szCs w:val="24"/>
        </w:rPr>
        <w:t>(Strazicich and List</w:t>
      </w:r>
      <w:r w:rsidR="008A6499">
        <w:rPr>
          <w:rFonts w:ascii="Times New Roman" w:eastAsiaTheme="minorEastAsia" w:hAnsi="Times New Roman" w:cs="Times New Roman"/>
          <w:noProof/>
          <w:sz w:val="24"/>
          <w:szCs w:val="24"/>
        </w:rPr>
        <w:t>,</w:t>
      </w:r>
      <w:r w:rsidR="00571D15" w:rsidRPr="005517C4">
        <w:rPr>
          <w:rFonts w:ascii="Times New Roman" w:eastAsiaTheme="minorEastAsia" w:hAnsi="Times New Roman" w:cs="Times New Roman"/>
          <w:noProof/>
          <w:sz w:val="24"/>
          <w:szCs w:val="24"/>
        </w:rPr>
        <w:t xml:space="preserve"> 2003b)</w:t>
      </w:r>
      <w:r w:rsidR="006578EE" w:rsidRPr="005517C4">
        <w:rPr>
          <w:rFonts w:ascii="Times New Roman" w:eastAsiaTheme="minorEastAsia" w:hAnsi="Times New Roman" w:cs="Times New Roman"/>
          <w:sz w:val="24"/>
          <w:szCs w:val="24"/>
        </w:rPr>
        <w:fldChar w:fldCharType="end"/>
      </w:r>
      <w:r w:rsidR="00E96621" w:rsidRPr="005517C4">
        <w:rPr>
          <w:rFonts w:ascii="Times New Roman" w:eastAsiaTheme="minorEastAsia" w:hAnsi="Times New Roman" w:cs="Times New Roman"/>
          <w:sz w:val="24"/>
          <w:szCs w:val="24"/>
        </w:rPr>
        <w:t>. Second</w:t>
      </w:r>
      <w:r w:rsidR="008A6499">
        <w:rPr>
          <w:rFonts w:ascii="Times New Roman" w:eastAsiaTheme="minorEastAsia" w:hAnsi="Times New Roman" w:cs="Times New Roman"/>
          <w:sz w:val="24"/>
          <w:szCs w:val="24"/>
        </w:rPr>
        <w:t>, such convergence</w:t>
      </w:r>
      <w:r w:rsidR="00E96621" w:rsidRPr="005517C4">
        <w:rPr>
          <w:rFonts w:ascii="Times New Roman" w:eastAsiaTheme="minorEastAsia" w:hAnsi="Times New Roman" w:cs="Times New Roman"/>
          <w:sz w:val="24"/>
          <w:szCs w:val="24"/>
        </w:rPr>
        <w:t xml:space="preserve"> is </w:t>
      </w:r>
      <w:r w:rsidR="00E96621" w:rsidRPr="005517C4">
        <w:rPr>
          <w:rFonts w:ascii="Times New Roman" w:hAnsi="Times New Roman" w:cs="Times New Roman"/>
          <w:sz w:val="24"/>
          <w:szCs w:val="24"/>
        </w:rPr>
        <w:t>based on global mitigation efforts in order to stop global warming and climate change under the guidence of Intergovernmental Panel on Climate Chance, IPCC, and international agreements</w:t>
      </w:r>
      <w:r w:rsidR="008A6499">
        <w:rPr>
          <w:rFonts w:ascii="Times New Roman" w:hAnsi="Times New Roman" w:cs="Times New Roman"/>
          <w:sz w:val="24"/>
          <w:szCs w:val="24"/>
        </w:rPr>
        <w:t>,</w:t>
      </w:r>
      <w:r w:rsidR="00E96621" w:rsidRPr="005517C4">
        <w:rPr>
          <w:rFonts w:ascii="Times New Roman" w:hAnsi="Times New Roman" w:cs="Times New Roman"/>
          <w:sz w:val="24"/>
          <w:szCs w:val="24"/>
        </w:rPr>
        <w:t xml:space="preserve"> like </w:t>
      </w:r>
      <w:r w:rsidR="008A6499">
        <w:rPr>
          <w:rFonts w:ascii="Times New Roman" w:hAnsi="Times New Roman" w:cs="Times New Roman"/>
          <w:sz w:val="24"/>
          <w:szCs w:val="24"/>
        </w:rPr>
        <w:t xml:space="preserve">that of the </w:t>
      </w:r>
      <w:r w:rsidR="00E96621" w:rsidRPr="005517C4">
        <w:rPr>
          <w:rFonts w:ascii="Times New Roman" w:hAnsi="Times New Roman" w:cs="Times New Roman"/>
          <w:sz w:val="24"/>
          <w:szCs w:val="24"/>
        </w:rPr>
        <w:t xml:space="preserve">Kyoto Protocol </w:t>
      </w:r>
      <w:r w:rsidR="006578EE" w:rsidRPr="005517C4">
        <w:rPr>
          <w:rFonts w:ascii="Times New Roman" w:hAnsi="Times New Roman" w:cs="Times New Roman"/>
          <w:sz w:val="24"/>
          <w:szCs w:val="24"/>
        </w:rPr>
        <w:fldChar w:fldCharType="begin" w:fldLock="1"/>
      </w:r>
      <w:r w:rsidR="003D379B">
        <w:rPr>
          <w:rFonts w:ascii="Times New Roman" w:hAnsi="Times New Roman" w:cs="Times New Roman"/>
          <w:sz w:val="24"/>
          <w:szCs w:val="24"/>
        </w:rPr>
        <w:instrText>ADDIN CSL_CITATION { "citationItems" : [ { "id" : "ITEM-1", "itemData" : { "DOI" : "10.1007/s10640-005-6160-x", "abstract" : "Understanding and considering the distribution of per capita carbon dioxide (CO 2) emissions is important in designing international climate change proposals and incentives for participation. I evaluate historic international emissions distributions and forecast future distributions to assess whether per capita emissions have been converging or will converge. I find evidence of convergence among 23 member countries of the Organisation for Economic Co-operation and Development (OECD), whereas emissions appear to be diverging for an 88-country global sample over 1960\u20132000. Forecasts based on a Markov chain transition matrix provide little evidence of future emissions convergence and indicate that emissions may diverge in the near term. I also review the shortcomings of environmental Kuznets curve regressions and structural models in characterizing future emissions distributions.", "author" : [ { "dropping-particle" : "", "family" : "Aldy", "given" : "Joseph E", "non-dropping-particle" : "", "parse-names" : false, "suffix" : "" } ], "container-title" : "Environmental &amp; Resource Economics", "id" : "ITEM-1", "issued" : { "date-parts" : [ [ "2006" ] ] }, "page" : "533-555", "title" : "Per Capita Carbon Dioxide Emissions: Convergence or Divergence?", "type" : "article-journal", "volume" : "33" }, "uris" : [ "http://www.mendeley.com/documents/?uuid=15e26098-a78b-3e32-ba01-38dc68188a70" ] } ], "mendeley" : { "formattedCitation" : "(Aldy 2006)", "manualFormatting" : "(Aldy, 2006)", "plainTextFormattedCitation" : "(Aldy 2006)", "previouslyFormattedCitation" : "(Aldy 2006)" }, "properties" : { "noteIndex" : 0 }, "schema" : "https://github.com/citation-style-language/schema/raw/master/csl-citation.json" }</w:instrText>
      </w:r>
      <w:r w:rsidR="006578EE" w:rsidRPr="005517C4">
        <w:rPr>
          <w:rFonts w:ascii="Times New Roman" w:hAnsi="Times New Roman" w:cs="Times New Roman"/>
          <w:sz w:val="24"/>
          <w:szCs w:val="24"/>
        </w:rPr>
        <w:fldChar w:fldCharType="separate"/>
      </w:r>
      <w:r w:rsidR="00E96621" w:rsidRPr="005517C4">
        <w:rPr>
          <w:rFonts w:ascii="Times New Roman" w:hAnsi="Times New Roman" w:cs="Times New Roman"/>
          <w:noProof/>
          <w:sz w:val="24"/>
          <w:szCs w:val="24"/>
        </w:rPr>
        <w:t>(Aldy</w:t>
      </w:r>
      <w:r w:rsidR="008A6499">
        <w:rPr>
          <w:rFonts w:ascii="Times New Roman" w:hAnsi="Times New Roman" w:cs="Times New Roman"/>
          <w:noProof/>
          <w:sz w:val="24"/>
          <w:szCs w:val="24"/>
        </w:rPr>
        <w:t>,</w:t>
      </w:r>
      <w:r w:rsidR="00E96621" w:rsidRPr="005517C4">
        <w:rPr>
          <w:rFonts w:ascii="Times New Roman" w:hAnsi="Times New Roman" w:cs="Times New Roman"/>
          <w:noProof/>
          <w:sz w:val="24"/>
          <w:szCs w:val="24"/>
        </w:rPr>
        <w:t xml:space="preserve"> 2006)</w:t>
      </w:r>
      <w:r w:rsidR="006578EE" w:rsidRPr="005517C4">
        <w:rPr>
          <w:rFonts w:ascii="Times New Roman" w:hAnsi="Times New Roman" w:cs="Times New Roman"/>
          <w:sz w:val="24"/>
          <w:szCs w:val="24"/>
        </w:rPr>
        <w:fldChar w:fldCharType="end"/>
      </w:r>
      <w:r w:rsidR="00E96621" w:rsidRPr="005517C4">
        <w:rPr>
          <w:rFonts w:ascii="Times New Roman" w:hAnsi="Times New Roman" w:cs="Times New Roman"/>
          <w:sz w:val="24"/>
          <w:szCs w:val="24"/>
        </w:rPr>
        <w:t xml:space="preserve">. </w:t>
      </w:r>
      <w:r w:rsidR="008A6499">
        <w:rPr>
          <w:rFonts w:ascii="Times New Roman" w:hAnsi="Times New Roman" w:cs="Times New Roman"/>
          <w:sz w:val="24"/>
          <w:szCs w:val="24"/>
        </w:rPr>
        <w:t>Finally, the</w:t>
      </w:r>
      <w:r w:rsidR="00E96621" w:rsidRPr="005517C4">
        <w:rPr>
          <w:rFonts w:ascii="Times New Roman" w:eastAsiaTheme="minorEastAsia" w:hAnsi="Times New Roman" w:cs="Times New Roman"/>
          <w:sz w:val="24"/>
          <w:szCs w:val="24"/>
        </w:rPr>
        <w:t xml:space="preserve"> i</w:t>
      </w:r>
      <w:r w:rsidR="00E96621" w:rsidRPr="005517C4">
        <w:rPr>
          <w:rFonts w:ascii="Times New Roman" w:hAnsi="Times New Roman" w:cs="Times New Roman"/>
          <w:sz w:val="24"/>
          <w:szCs w:val="24"/>
        </w:rPr>
        <w:t xml:space="preserve">nitial levels of pollution emissions, emissions intensity, or concentrations, are associated with slower growth in parallel with growth convergence </w:t>
      </w:r>
      <w:r w:rsidR="006578EE" w:rsidRPr="005517C4">
        <w:rPr>
          <w:rFonts w:ascii="Times New Roman" w:hAnsi="Times New Roman" w:cs="Times New Roman"/>
          <w:sz w:val="24"/>
          <w:szCs w:val="24"/>
        </w:rPr>
        <w:fldChar w:fldCharType="begin" w:fldLock="1"/>
      </w:r>
      <w:r w:rsidR="003D379B">
        <w:rPr>
          <w:rFonts w:ascii="Times New Roman" w:hAnsi="Times New Roman" w:cs="Times New Roman"/>
          <w:sz w:val="24"/>
          <w:szCs w:val="24"/>
        </w:rPr>
        <w:instrText>ADDIN CSL_CITATION { "citationItems" : [ { "id" : "ITEM-1", "itemData" : { "abstract" : "The environmental Kuznets curve (EKC) has been the dominant approach among economists to modeling aggregate pollution emissions and ambient pollution concentrations over the last quarter century. Despite this, the EKC was criticized almost from the start and decomposition approaches have been more popular in other disciplines working on global climate change. More recently, convergence approaches to modeling emissions have become popular. This paper reviews the history of the EKC and alternative approaches. Applying an approach that synthesizes the EKC and convergence approaches, I show that convergence is important for explaining both pollution emissions and concentrations. On the other hand, while economic growth has had a monotonic positive effect on carbon and sulfur emissions, the EKC holds for concentrations of particulates. Negative time effects are important for sulfur emissions. The EKC seems to be most useful for modeling the ambient concentrations of pollutants it was originally applied to.", "author" : [ { "dropping-particle" : "", "family" : "Stern", "given" : "David I.", "non-dropping-particle" : "", "parse-names" : false, "suffix" : "" } ], "collection-title" : "CCEP Working Paper", "id" : "ITEM-1", "issued" : { "date-parts" : [ [ "2015" ] ] }, "number" : "1514", "number-of-pages" : "1-28", "publisher-place" : "Crawford", "title" : "The environmental Kuznets curve after 25 years", "type" : "report" }, "uris" : [ "http://www.mendeley.com/documents/?uuid=afbad262-7da3-3a2f-8eb1-439f71507e4b" ] } ], "mendeley" : { "formattedCitation" : "(Stern 2015)", "manualFormatting" : "(Stern, 2015)", "plainTextFormattedCitation" : "(Stern 2015)", "previouslyFormattedCitation" : "(Stern 2015)" }, "properties" : { "noteIndex" : 0 }, "schema" : "https://github.com/citation-style-language/schema/raw/master/csl-citation.json" }</w:instrText>
      </w:r>
      <w:r w:rsidR="006578EE" w:rsidRPr="005517C4">
        <w:rPr>
          <w:rFonts w:ascii="Times New Roman" w:hAnsi="Times New Roman" w:cs="Times New Roman"/>
          <w:sz w:val="24"/>
          <w:szCs w:val="24"/>
        </w:rPr>
        <w:fldChar w:fldCharType="separate"/>
      </w:r>
      <w:r w:rsidR="00E96621" w:rsidRPr="005517C4">
        <w:rPr>
          <w:rFonts w:ascii="Times New Roman" w:hAnsi="Times New Roman" w:cs="Times New Roman"/>
          <w:noProof/>
          <w:sz w:val="24"/>
          <w:szCs w:val="24"/>
        </w:rPr>
        <w:t>(Stern</w:t>
      </w:r>
      <w:r w:rsidR="008A6499">
        <w:rPr>
          <w:rFonts w:ascii="Times New Roman" w:hAnsi="Times New Roman" w:cs="Times New Roman"/>
          <w:noProof/>
          <w:sz w:val="24"/>
          <w:szCs w:val="24"/>
        </w:rPr>
        <w:t>,</w:t>
      </w:r>
      <w:r w:rsidR="00E96621" w:rsidRPr="005517C4">
        <w:rPr>
          <w:rFonts w:ascii="Times New Roman" w:hAnsi="Times New Roman" w:cs="Times New Roman"/>
          <w:noProof/>
          <w:sz w:val="24"/>
          <w:szCs w:val="24"/>
        </w:rPr>
        <w:t xml:space="preserve"> 2015)</w:t>
      </w:r>
      <w:r w:rsidR="006578EE" w:rsidRPr="005517C4">
        <w:rPr>
          <w:rFonts w:ascii="Times New Roman" w:hAnsi="Times New Roman" w:cs="Times New Roman"/>
          <w:sz w:val="24"/>
          <w:szCs w:val="24"/>
        </w:rPr>
        <w:fldChar w:fldCharType="end"/>
      </w:r>
      <w:r w:rsidR="00E96621" w:rsidRPr="005517C4">
        <w:rPr>
          <w:rFonts w:ascii="Times New Roman" w:hAnsi="Times New Roman" w:cs="Times New Roman"/>
          <w:sz w:val="24"/>
          <w:szCs w:val="24"/>
        </w:rPr>
        <w:t xml:space="preserve">. </w:t>
      </w:r>
      <w:r w:rsidR="008A6499">
        <w:rPr>
          <w:rFonts w:ascii="Times New Roman" w:hAnsi="Times New Roman" w:cs="Times New Roman"/>
          <w:sz w:val="24"/>
          <w:szCs w:val="24"/>
        </w:rPr>
        <w:t>Such potential e</w:t>
      </w:r>
      <w:r w:rsidR="00E96621" w:rsidRPr="005517C4">
        <w:rPr>
          <w:rFonts w:ascii="Times New Roman" w:hAnsi="Times New Roman" w:cs="Times New Roman"/>
          <w:sz w:val="24"/>
          <w:szCs w:val="24"/>
        </w:rPr>
        <w:t xml:space="preserve">xpectations </w:t>
      </w:r>
      <w:r w:rsidR="008A6499">
        <w:rPr>
          <w:rFonts w:ascii="Times New Roman" w:hAnsi="Times New Roman" w:cs="Times New Roman"/>
          <w:sz w:val="24"/>
          <w:szCs w:val="24"/>
        </w:rPr>
        <w:t xml:space="preserve">provided in the relevant literature </w:t>
      </w:r>
      <w:r w:rsidR="00E96621" w:rsidRPr="005517C4">
        <w:rPr>
          <w:rFonts w:ascii="Times New Roman" w:hAnsi="Times New Roman" w:cs="Times New Roman"/>
          <w:sz w:val="24"/>
          <w:szCs w:val="24"/>
        </w:rPr>
        <w:t xml:space="preserve">have led to </w:t>
      </w:r>
      <w:r w:rsidR="008A6499">
        <w:rPr>
          <w:rFonts w:ascii="Times New Roman" w:hAnsi="Times New Roman" w:cs="Times New Roman"/>
          <w:sz w:val="24"/>
          <w:szCs w:val="24"/>
        </w:rPr>
        <w:t xml:space="preserve">the </w:t>
      </w:r>
      <w:r w:rsidR="00E96621" w:rsidRPr="005517C4">
        <w:rPr>
          <w:rFonts w:ascii="Times New Roman" w:hAnsi="Times New Roman" w:cs="Times New Roman"/>
          <w:sz w:val="24"/>
          <w:szCs w:val="24"/>
        </w:rPr>
        <w:t>investigat</w:t>
      </w:r>
      <w:r w:rsidR="008A6499">
        <w:rPr>
          <w:rFonts w:ascii="Times New Roman" w:hAnsi="Times New Roman" w:cs="Times New Roman"/>
          <w:sz w:val="24"/>
          <w:szCs w:val="24"/>
        </w:rPr>
        <w:t>ion</w:t>
      </w:r>
      <w:r w:rsidR="00E96621" w:rsidRPr="005517C4">
        <w:rPr>
          <w:rFonts w:ascii="Times New Roman" w:hAnsi="Times New Roman" w:cs="Times New Roman"/>
          <w:sz w:val="24"/>
          <w:szCs w:val="24"/>
        </w:rPr>
        <w:t xml:space="preserve"> </w:t>
      </w:r>
      <w:r w:rsidR="008A6499">
        <w:rPr>
          <w:rFonts w:ascii="Times New Roman" w:hAnsi="Times New Roman" w:cs="Times New Roman"/>
          <w:sz w:val="24"/>
          <w:szCs w:val="24"/>
        </w:rPr>
        <w:t xml:space="preserve">of environmental </w:t>
      </w:r>
      <w:r w:rsidR="00E96621" w:rsidRPr="005517C4">
        <w:rPr>
          <w:rFonts w:ascii="Times New Roman" w:hAnsi="Times New Roman" w:cs="Times New Roman"/>
          <w:sz w:val="24"/>
          <w:szCs w:val="24"/>
        </w:rPr>
        <w:t xml:space="preserve">convergence. </w:t>
      </w:r>
      <w:r w:rsidR="00697629">
        <w:rPr>
          <w:rFonts w:ascii="Times New Roman" w:hAnsi="Times New Roman" w:cs="Times New Roman"/>
          <w:sz w:val="24"/>
          <w:szCs w:val="24"/>
        </w:rPr>
        <w:t xml:space="preserve"> </w:t>
      </w:r>
    </w:p>
    <w:p w:rsidR="00487A53" w:rsidRDefault="003214D3" w:rsidP="00697629">
      <w:pPr>
        <w:spacing w:line="360" w:lineRule="auto"/>
        <w:ind w:firstLine="360"/>
        <w:jc w:val="both"/>
        <w:rPr>
          <w:rFonts w:ascii="Times New Roman" w:hAnsi="Times New Roman" w:cs="Times New Roman"/>
          <w:sz w:val="24"/>
          <w:szCs w:val="24"/>
        </w:rPr>
      </w:pPr>
      <w:r w:rsidRPr="005517C4">
        <w:rPr>
          <w:rFonts w:ascii="Times New Roman" w:hAnsi="Times New Roman" w:cs="Times New Roman"/>
          <w:sz w:val="24"/>
          <w:szCs w:val="24"/>
        </w:rPr>
        <w:t xml:space="preserve">The </w:t>
      </w:r>
      <w:r w:rsidR="00EB5FB2" w:rsidRPr="005517C4">
        <w:rPr>
          <w:rFonts w:ascii="Times New Roman" w:hAnsi="Times New Roman" w:cs="Times New Roman"/>
          <w:sz w:val="24"/>
          <w:szCs w:val="24"/>
        </w:rPr>
        <w:t>con</w:t>
      </w:r>
      <w:r w:rsidR="00282E88">
        <w:rPr>
          <w:rFonts w:ascii="Times New Roman" w:hAnsi="Times New Roman" w:cs="Times New Roman"/>
          <w:sz w:val="24"/>
          <w:szCs w:val="24"/>
        </w:rPr>
        <w:t>t</w:t>
      </w:r>
      <w:r w:rsidR="00EB5FB2" w:rsidRPr="005517C4">
        <w:rPr>
          <w:rFonts w:ascii="Times New Roman" w:hAnsi="Times New Roman" w:cs="Times New Roman"/>
          <w:sz w:val="24"/>
          <w:szCs w:val="24"/>
        </w:rPr>
        <w:t>r</w:t>
      </w:r>
      <w:r w:rsidR="00282E88">
        <w:rPr>
          <w:rFonts w:ascii="Times New Roman" w:hAnsi="Times New Roman" w:cs="Times New Roman"/>
          <w:sz w:val="24"/>
          <w:szCs w:val="24"/>
        </w:rPr>
        <w:t>i</w:t>
      </w:r>
      <w:r w:rsidR="00EB5FB2" w:rsidRPr="005517C4">
        <w:rPr>
          <w:rFonts w:ascii="Times New Roman" w:hAnsi="Times New Roman" w:cs="Times New Roman"/>
          <w:sz w:val="24"/>
          <w:szCs w:val="24"/>
        </w:rPr>
        <w:t xml:space="preserve">bution of this </w:t>
      </w:r>
      <w:r w:rsidR="003D379B">
        <w:rPr>
          <w:rFonts w:ascii="Times New Roman" w:hAnsi="Times New Roman" w:cs="Times New Roman"/>
          <w:lang w:val="en-US"/>
        </w:rPr>
        <w:t>manuscript</w:t>
      </w:r>
      <w:r w:rsidR="00EB5FB2" w:rsidRPr="005517C4">
        <w:rPr>
          <w:rFonts w:ascii="Times New Roman" w:hAnsi="Times New Roman" w:cs="Times New Roman"/>
          <w:sz w:val="24"/>
          <w:szCs w:val="24"/>
        </w:rPr>
        <w:t xml:space="preserve"> </w:t>
      </w:r>
      <w:r w:rsidR="00697629">
        <w:rPr>
          <w:rFonts w:ascii="Times New Roman" w:hAnsi="Times New Roman" w:cs="Times New Roman"/>
          <w:sz w:val="24"/>
          <w:szCs w:val="24"/>
        </w:rPr>
        <w:t>is</w:t>
      </w:r>
      <w:r w:rsidR="00EB5FB2" w:rsidRPr="005517C4">
        <w:rPr>
          <w:rFonts w:ascii="Times New Roman" w:hAnsi="Times New Roman" w:cs="Times New Roman"/>
          <w:sz w:val="24"/>
          <w:szCs w:val="24"/>
        </w:rPr>
        <w:t xml:space="preserve"> twofold</w:t>
      </w:r>
      <w:r w:rsidRPr="005517C4">
        <w:rPr>
          <w:rFonts w:ascii="Times New Roman" w:hAnsi="Times New Roman" w:cs="Times New Roman"/>
          <w:sz w:val="24"/>
          <w:szCs w:val="24"/>
        </w:rPr>
        <w:t xml:space="preserve">: </w:t>
      </w:r>
      <w:r w:rsidR="00697629">
        <w:rPr>
          <w:rFonts w:ascii="Times New Roman" w:hAnsi="Times New Roman" w:cs="Times New Roman"/>
          <w:sz w:val="24"/>
          <w:szCs w:val="24"/>
        </w:rPr>
        <w:t>First,</w:t>
      </w:r>
      <w:r w:rsidRPr="005517C4">
        <w:rPr>
          <w:rFonts w:ascii="Times New Roman" w:hAnsi="Times New Roman" w:cs="Times New Roman"/>
          <w:sz w:val="24"/>
          <w:szCs w:val="24"/>
        </w:rPr>
        <w:t xml:space="preserve"> </w:t>
      </w:r>
      <w:r w:rsidR="00697629">
        <w:rPr>
          <w:rFonts w:ascii="Times New Roman" w:hAnsi="Times New Roman" w:cs="Times New Roman"/>
          <w:sz w:val="24"/>
          <w:szCs w:val="24"/>
        </w:rPr>
        <w:t>t</w:t>
      </w:r>
      <w:r w:rsidRPr="005517C4">
        <w:rPr>
          <w:rFonts w:ascii="Times New Roman" w:hAnsi="Times New Roman" w:cs="Times New Roman"/>
          <w:sz w:val="24"/>
          <w:szCs w:val="24"/>
        </w:rPr>
        <w:t xml:space="preserve">he </w:t>
      </w:r>
      <w:r w:rsidR="00697629">
        <w:rPr>
          <w:rFonts w:ascii="Times New Roman" w:hAnsi="Times New Roman" w:cs="Times New Roman"/>
          <w:sz w:val="24"/>
          <w:szCs w:val="24"/>
        </w:rPr>
        <w:t>current</w:t>
      </w:r>
      <w:r w:rsidRPr="005517C4">
        <w:rPr>
          <w:rFonts w:ascii="Times New Roman" w:hAnsi="Times New Roman" w:cs="Times New Roman"/>
          <w:sz w:val="24"/>
          <w:szCs w:val="24"/>
        </w:rPr>
        <w:t xml:space="preserve"> literature </w:t>
      </w:r>
      <w:r w:rsidR="00697629">
        <w:rPr>
          <w:rFonts w:ascii="Times New Roman" w:hAnsi="Times New Roman" w:cs="Times New Roman"/>
          <w:sz w:val="24"/>
          <w:szCs w:val="24"/>
        </w:rPr>
        <w:t xml:space="preserve">is </w:t>
      </w:r>
      <w:r w:rsidRPr="005517C4">
        <w:rPr>
          <w:rFonts w:ascii="Times New Roman" w:hAnsi="Times New Roman" w:cs="Times New Roman"/>
          <w:sz w:val="24"/>
          <w:szCs w:val="24"/>
        </w:rPr>
        <w:t xml:space="preserve">mostly based on </w:t>
      </w:r>
      <w:r w:rsidR="009C4E33" w:rsidRPr="005517C4">
        <w:rPr>
          <w:rFonts w:ascii="Times New Roman" w:hAnsi="Times New Roman" w:cs="Times New Roman"/>
          <w:sz w:val="24"/>
          <w:szCs w:val="24"/>
        </w:rPr>
        <w:t>per capita carbon diox</w:t>
      </w:r>
      <w:r w:rsidRPr="005517C4">
        <w:rPr>
          <w:rFonts w:ascii="Times New Roman" w:hAnsi="Times New Roman" w:cs="Times New Roman"/>
          <w:sz w:val="24"/>
          <w:szCs w:val="24"/>
        </w:rPr>
        <w:t>ide emission</w:t>
      </w:r>
      <w:r w:rsidR="005517C4" w:rsidRPr="005517C4">
        <w:rPr>
          <w:rFonts w:ascii="Times New Roman" w:hAnsi="Times New Roman" w:cs="Times New Roman"/>
          <w:sz w:val="24"/>
          <w:szCs w:val="24"/>
        </w:rPr>
        <w:t>s</w:t>
      </w:r>
      <w:r w:rsidRPr="005517C4">
        <w:rPr>
          <w:rFonts w:ascii="Times New Roman" w:hAnsi="Times New Roman" w:cs="Times New Roman"/>
          <w:sz w:val="24"/>
          <w:szCs w:val="24"/>
        </w:rPr>
        <w:t xml:space="preserve"> </w:t>
      </w:r>
      <w:r w:rsidR="009C4E33" w:rsidRPr="005517C4">
        <w:rPr>
          <w:rFonts w:ascii="Times New Roman" w:hAnsi="Times New Roman" w:cs="Times New Roman"/>
          <w:sz w:val="24"/>
          <w:szCs w:val="24"/>
        </w:rPr>
        <w:t xml:space="preserve">and </w:t>
      </w:r>
      <w:r w:rsidRPr="005517C4">
        <w:rPr>
          <w:rFonts w:ascii="Times New Roman" w:hAnsi="Times New Roman" w:cs="Times New Roman"/>
          <w:sz w:val="24"/>
          <w:szCs w:val="24"/>
        </w:rPr>
        <w:t xml:space="preserve">does not consider </w:t>
      </w:r>
      <w:r w:rsidR="00697629">
        <w:rPr>
          <w:rFonts w:ascii="Times New Roman" w:hAnsi="Times New Roman" w:cs="Times New Roman"/>
          <w:sz w:val="24"/>
          <w:szCs w:val="24"/>
        </w:rPr>
        <w:t xml:space="preserve">any </w:t>
      </w:r>
      <w:r w:rsidRPr="005517C4">
        <w:rPr>
          <w:rFonts w:ascii="Times New Roman" w:hAnsi="Times New Roman" w:cs="Times New Roman"/>
          <w:sz w:val="24"/>
          <w:szCs w:val="24"/>
        </w:rPr>
        <w:t>environmen</w:t>
      </w:r>
      <w:r w:rsidR="009C4E33" w:rsidRPr="005517C4">
        <w:rPr>
          <w:rFonts w:ascii="Times New Roman" w:hAnsi="Times New Roman" w:cs="Times New Roman"/>
          <w:sz w:val="24"/>
          <w:szCs w:val="24"/>
        </w:rPr>
        <w:t>tal degradation variable</w:t>
      </w:r>
      <w:r w:rsidR="00697629">
        <w:rPr>
          <w:rFonts w:ascii="Times New Roman" w:hAnsi="Times New Roman" w:cs="Times New Roman"/>
          <w:sz w:val="24"/>
          <w:szCs w:val="24"/>
        </w:rPr>
        <w:t>s</w:t>
      </w:r>
      <w:r w:rsidR="009C4E33" w:rsidRPr="005517C4">
        <w:rPr>
          <w:rFonts w:ascii="Times New Roman" w:hAnsi="Times New Roman" w:cs="Times New Roman"/>
          <w:sz w:val="24"/>
          <w:szCs w:val="24"/>
        </w:rPr>
        <w:t>. Therefore</w:t>
      </w:r>
      <w:r w:rsidR="00697629">
        <w:rPr>
          <w:rFonts w:ascii="Times New Roman" w:hAnsi="Times New Roman" w:cs="Times New Roman"/>
          <w:sz w:val="24"/>
          <w:szCs w:val="24"/>
        </w:rPr>
        <w:t>,</w:t>
      </w:r>
      <w:r w:rsidR="009C4E33" w:rsidRPr="005517C4">
        <w:rPr>
          <w:rFonts w:ascii="Times New Roman" w:hAnsi="Times New Roman" w:cs="Times New Roman"/>
          <w:sz w:val="24"/>
          <w:szCs w:val="24"/>
        </w:rPr>
        <w:t xml:space="preserve"> the relevant observation</w:t>
      </w:r>
      <w:r w:rsidR="00697629">
        <w:rPr>
          <w:rFonts w:ascii="Times New Roman" w:hAnsi="Times New Roman" w:cs="Times New Roman"/>
          <w:sz w:val="24"/>
          <w:szCs w:val="24"/>
        </w:rPr>
        <w:t>s</w:t>
      </w:r>
      <w:r w:rsidR="009C4E33" w:rsidRPr="005517C4">
        <w:rPr>
          <w:rFonts w:ascii="Times New Roman" w:hAnsi="Times New Roman" w:cs="Times New Roman"/>
          <w:sz w:val="24"/>
          <w:szCs w:val="24"/>
        </w:rPr>
        <w:t xml:space="preserve"> should also focus on resource stocks</w:t>
      </w:r>
      <w:r w:rsidR="00697629">
        <w:rPr>
          <w:rFonts w:ascii="Times New Roman" w:hAnsi="Times New Roman" w:cs="Times New Roman"/>
          <w:sz w:val="24"/>
          <w:szCs w:val="24"/>
        </w:rPr>
        <w:t>,</w:t>
      </w:r>
      <w:r w:rsidR="009C4E33" w:rsidRPr="005517C4">
        <w:rPr>
          <w:rFonts w:ascii="Times New Roman" w:hAnsi="Times New Roman" w:cs="Times New Roman"/>
          <w:sz w:val="24"/>
          <w:szCs w:val="24"/>
        </w:rPr>
        <w:t xml:space="preserve"> such as soil stock</w:t>
      </w:r>
      <w:r w:rsidR="00697629">
        <w:rPr>
          <w:rFonts w:ascii="Times New Roman" w:hAnsi="Times New Roman" w:cs="Times New Roman"/>
          <w:sz w:val="24"/>
          <w:szCs w:val="24"/>
        </w:rPr>
        <w:t>s</w:t>
      </w:r>
      <w:r w:rsidR="009C4E33" w:rsidRPr="005517C4">
        <w:rPr>
          <w:rFonts w:ascii="Times New Roman" w:hAnsi="Times New Roman" w:cs="Times New Roman"/>
          <w:sz w:val="24"/>
          <w:szCs w:val="24"/>
        </w:rPr>
        <w:t>, forestry stock</w:t>
      </w:r>
      <w:r w:rsidR="00697629">
        <w:rPr>
          <w:rFonts w:ascii="Times New Roman" w:hAnsi="Times New Roman" w:cs="Times New Roman"/>
          <w:sz w:val="24"/>
          <w:szCs w:val="24"/>
        </w:rPr>
        <w:t>s</w:t>
      </w:r>
      <w:r w:rsidR="009C4E33" w:rsidRPr="005517C4">
        <w:rPr>
          <w:rFonts w:ascii="Times New Roman" w:hAnsi="Times New Roman" w:cs="Times New Roman"/>
          <w:sz w:val="24"/>
          <w:szCs w:val="24"/>
        </w:rPr>
        <w:t>, mining stock</w:t>
      </w:r>
      <w:r w:rsidR="00697629">
        <w:rPr>
          <w:rFonts w:ascii="Times New Roman" w:hAnsi="Times New Roman" w:cs="Times New Roman"/>
          <w:sz w:val="24"/>
          <w:szCs w:val="24"/>
        </w:rPr>
        <w:t>s</w:t>
      </w:r>
      <w:r w:rsidR="009C4E33" w:rsidRPr="005517C4">
        <w:rPr>
          <w:rFonts w:ascii="Times New Roman" w:hAnsi="Times New Roman" w:cs="Times New Roman"/>
          <w:sz w:val="24"/>
          <w:szCs w:val="24"/>
        </w:rPr>
        <w:t>, and oil stock</w:t>
      </w:r>
      <w:r w:rsidR="00697629">
        <w:rPr>
          <w:rFonts w:ascii="Times New Roman" w:hAnsi="Times New Roman" w:cs="Times New Roman"/>
          <w:sz w:val="24"/>
          <w:szCs w:val="24"/>
        </w:rPr>
        <w:t>s</w:t>
      </w:r>
      <w:r w:rsidR="00216FA4">
        <w:rPr>
          <w:rFonts w:ascii="Times New Roman" w:hAnsi="Times New Roman" w:cs="Times New Roman"/>
          <w:sz w:val="24"/>
          <w:szCs w:val="24"/>
        </w:rPr>
        <w:t xml:space="preserve"> </w:t>
      </w:r>
      <w:r w:rsidR="006578EE" w:rsidRPr="00216FA4">
        <w:rPr>
          <w:rFonts w:ascii="Times New Roman" w:hAnsi="Times New Roman" w:cs="Times New Roman"/>
          <w:sz w:val="24"/>
          <w:szCs w:val="24"/>
        </w:rPr>
        <w:fldChar w:fldCharType="begin" w:fldLock="1"/>
      </w:r>
      <w:r w:rsidR="002B242F">
        <w:rPr>
          <w:rFonts w:ascii="Times New Roman" w:hAnsi="Times New Roman" w:cs="Times New Roman"/>
          <w:sz w:val="24"/>
          <w:szCs w:val="24"/>
        </w:rPr>
        <w:instrText>ADDIN CSL_CITATION { "citationItems" : [ { "id" : "ITEM-1", "itemData" : { "author" : [ { "dropping-particle" : "", "family" : "Arrow", "given" : "Kenneth", "non-dropping-particle" : "", "parse-names" : false, "suffix" : "" }, { "dropping-particle" : "", "family" : "Bolin", "given" : "Bert", "non-dropping-particle" : "", "parse-names" : false, "suffix" : "" }, { "dropping-particle" : "", "family" : "Costanza", "given" : "Robert", "non-dropping-particle" : "", "parse-names" : false, "suffix" : "" }, { "dropping-particle" : "", "family" : "Dasgupta", "given" : "Partha", "non-dropping-particle" : "", "parse-names" : false, "suffix" : "" }, { "dropping-particle" : "", "family" : "Folke", "given" : "Carl", "non-dropping-particle" : "", "parse-names" : false, "suffix" : "" }, { "dropping-particle" : "", "family" : "Holling", "given" : "C. S.", "non-dropping-particle" : "", "parse-names" : false, "suffix" : "" }, { "dropping-particle" : "", "family" : "Jansson", "given" : "Bengt-Owe", "non-dropping-particle" : "", "parse-names" : false, "suffix" : "" }, { "dropping-particle" : "", "family" : "Levin", "given" : "Simon", "non-dropping-particle" : "", "parse-names" : false, "suffix" : "" }, { "dropping-particle" : "", "family" : "M\u00e4ler", "given" : "Karl-G\u00f6ran", "non-dropping-particle" : "", "parse-names" : false, "suffix" : "" }, { "dropping-particle" : "", "family" : "Perrings", "given" : "Charles", "non-dropping-particle" : "", "parse-names" : false, "suffix" : "" }, { "dropping-particle" : "", "family" : "Pimentel", "given" : "David", "non-dropping-particle" : "", "parse-names" : false, "suffix" : "" } ], "container-title" : "Science", "id" : "ITEM-1", "issue" : "5210", "issued" : { "date-parts" : [ [ "1995" ] ] }, "title" : "Economic Growth, Carrying Capacity, and the Environment", "type" : "article-journal", "volume" : "268" }, "uris" : [ "http://www.mendeley.com/documents/?uuid=ae84a79b-9d69-33f0-b393-0892127612a8" ] }, { "id" : "ITEM-2", "itemData" : { "abstract" : "The environmental Kuznets curve (EKC) has been the dominant approach among economists to modeling aggregate pollution emissions and ambient pollution concentrations over the last quarter century. Despite this, the EKC was criticized almost from the start and decomposition approaches have been more popular in other disciplines working on global climate change. More recently, convergence approaches to modeling emissions have become popular. This paper reviews the history of the EKC and alternative approaches. Applying an approach that synthesizes the EKC and convergence approaches, I show that convergence is important for explaining both pollution emissions and concentrations. On the other hand, while economic growth has had a monotonic positive effect on carbon and sulfur emissions, the EKC holds for concentrations of particulates. Negative time effects are important for sulfur emissions. The EKC seems to be most useful for modeling the ambient concentrations of pollutants it was originally applied to.", "author" : [ { "dropping-particle" : "", "family" : "Stern", "given" : "David I.", "non-dropping-particle" : "", "parse-names" : false, "suffix" : "" } ], "collection-title" : "CCEP Working Paper", "id" : "ITEM-2", "issued" : { "date-parts" : [ [ "2015" ] ] }, "number" : "1514", "number-of-pages" : "1-28", "publisher-place" : "Crawford", "title" : "The environmental Kuznets curve after 25 years", "type" : "report" }, "uris" : [ "http://www.mendeley.com/documents/?uuid=afbad262-7da3-3a2f-8eb1-439f71507e4b" ] } ], "mendeley" : { "formattedCitation" : "(Arrow et al. 1995; Stern 2015)", "plainTextFormattedCitation" : "(Arrow et al. 1995; Stern 2015)", "previouslyFormattedCitation" : "(Arrow et al. 1995; Stern 2015)" }, "properties" : { "noteIndex" : 0 }, "schema" : "https://github.com/citation-style-language/schema/raw/master/csl-citation.json" }</w:instrText>
      </w:r>
      <w:r w:rsidR="006578EE" w:rsidRPr="00216FA4">
        <w:rPr>
          <w:rFonts w:ascii="Times New Roman" w:hAnsi="Times New Roman" w:cs="Times New Roman"/>
          <w:sz w:val="24"/>
          <w:szCs w:val="24"/>
        </w:rPr>
        <w:fldChar w:fldCharType="separate"/>
      </w:r>
      <w:r w:rsidR="00216FA4" w:rsidRPr="00216FA4">
        <w:rPr>
          <w:rFonts w:ascii="Times New Roman" w:hAnsi="Times New Roman" w:cs="Times New Roman"/>
          <w:noProof/>
          <w:sz w:val="24"/>
          <w:szCs w:val="24"/>
        </w:rPr>
        <w:t>(Arrow et al. 1995; Stern 2015)</w:t>
      </w:r>
      <w:r w:rsidR="006578EE" w:rsidRPr="00216FA4">
        <w:rPr>
          <w:rFonts w:ascii="Times New Roman" w:hAnsi="Times New Roman" w:cs="Times New Roman"/>
          <w:sz w:val="24"/>
          <w:szCs w:val="24"/>
        </w:rPr>
        <w:fldChar w:fldCharType="end"/>
      </w:r>
      <w:r w:rsidR="009C4E33" w:rsidRPr="00216FA4">
        <w:rPr>
          <w:rFonts w:ascii="Times New Roman" w:hAnsi="Times New Roman" w:cs="Times New Roman"/>
          <w:sz w:val="24"/>
          <w:szCs w:val="24"/>
        </w:rPr>
        <w:t xml:space="preserve">. </w:t>
      </w:r>
      <w:r w:rsidR="00697629" w:rsidRPr="00216FA4">
        <w:rPr>
          <w:rFonts w:ascii="Times New Roman" w:hAnsi="Times New Roman" w:cs="Times New Roman"/>
          <w:sz w:val="24"/>
          <w:szCs w:val="24"/>
        </w:rPr>
        <w:t>Ther</w:t>
      </w:r>
      <w:r w:rsidR="00697629">
        <w:rPr>
          <w:rFonts w:ascii="Times New Roman" w:hAnsi="Times New Roman" w:cs="Times New Roman"/>
          <w:sz w:val="24"/>
          <w:szCs w:val="24"/>
        </w:rPr>
        <w:t>efore</w:t>
      </w:r>
      <w:r w:rsidR="000C3CCB" w:rsidRPr="005517C4">
        <w:rPr>
          <w:rFonts w:ascii="Times New Roman" w:hAnsi="Times New Roman" w:cs="Times New Roman"/>
          <w:sz w:val="24"/>
          <w:szCs w:val="24"/>
        </w:rPr>
        <w:t>,</w:t>
      </w:r>
      <w:r w:rsidR="00385988" w:rsidRPr="005517C4">
        <w:rPr>
          <w:rFonts w:ascii="Times New Roman" w:hAnsi="Times New Roman" w:cs="Times New Roman"/>
          <w:sz w:val="24"/>
          <w:szCs w:val="24"/>
        </w:rPr>
        <w:t xml:space="preserve"> </w:t>
      </w:r>
      <w:r w:rsidR="00697629">
        <w:rPr>
          <w:rFonts w:ascii="Times New Roman" w:hAnsi="Times New Roman" w:cs="Times New Roman"/>
          <w:sz w:val="24"/>
          <w:szCs w:val="24"/>
        </w:rPr>
        <w:t>this study</w:t>
      </w:r>
      <w:r w:rsidR="00385988" w:rsidRPr="005517C4">
        <w:rPr>
          <w:rFonts w:ascii="Times New Roman" w:hAnsi="Times New Roman" w:cs="Times New Roman"/>
          <w:sz w:val="24"/>
          <w:szCs w:val="24"/>
        </w:rPr>
        <w:t xml:space="preserve"> </w:t>
      </w:r>
      <w:r w:rsidR="00697629">
        <w:rPr>
          <w:rFonts w:ascii="Times New Roman" w:hAnsi="Times New Roman" w:cs="Times New Roman"/>
          <w:sz w:val="24"/>
          <w:szCs w:val="24"/>
        </w:rPr>
        <w:t xml:space="preserve">makes </w:t>
      </w:r>
      <w:r w:rsidR="00385988" w:rsidRPr="005517C4">
        <w:rPr>
          <w:rFonts w:ascii="Times New Roman" w:hAnsi="Times New Roman" w:cs="Times New Roman"/>
          <w:sz w:val="24"/>
          <w:szCs w:val="24"/>
        </w:rPr>
        <w:t xml:space="preserve">use </w:t>
      </w:r>
      <w:r w:rsidR="00697629">
        <w:rPr>
          <w:rFonts w:ascii="Times New Roman" w:hAnsi="Times New Roman" w:cs="Times New Roman"/>
          <w:sz w:val="24"/>
          <w:szCs w:val="24"/>
        </w:rPr>
        <w:t xml:space="preserve">of the </w:t>
      </w:r>
      <w:r w:rsidR="00385988" w:rsidRPr="005517C4">
        <w:rPr>
          <w:rFonts w:ascii="Times New Roman" w:hAnsi="Times New Roman" w:cs="Times New Roman"/>
          <w:sz w:val="24"/>
          <w:szCs w:val="24"/>
        </w:rPr>
        <w:t>ecological footprint</w:t>
      </w:r>
      <w:r w:rsidR="00282E88">
        <w:rPr>
          <w:rFonts w:ascii="Times New Roman" w:hAnsi="Times New Roman" w:cs="Times New Roman"/>
          <w:sz w:val="24"/>
          <w:szCs w:val="24"/>
        </w:rPr>
        <w:t xml:space="preserve"> </w:t>
      </w:r>
      <w:r w:rsidR="00A15E6E">
        <w:rPr>
          <w:rFonts w:ascii="Times New Roman" w:hAnsi="Times New Roman" w:cs="Times New Roman"/>
          <w:sz w:val="24"/>
          <w:szCs w:val="24"/>
        </w:rPr>
        <w:t xml:space="preserve">concept, </w:t>
      </w:r>
      <w:r w:rsidR="00282E88" w:rsidRPr="00A15E6E">
        <w:rPr>
          <w:rFonts w:ascii="Times New Roman" w:hAnsi="Times New Roman" w:cs="Times New Roman"/>
          <w:color w:val="000000" w:themeColor="text1"/>
          <w:sz w:val="24"/>
          <w:szCs w:val="24"/>
          <w:lang w:val="en-US"/>
        </w:rPr>
        <w:t xml:space="preserve">developed by </w:t>
      </w:r>
      <w:r w:rsidR="006578EE" w:rsidRPr="00A15E6E">
        <w:rPr>
          <w:rFonts w:ascii="Times New Roman" w:hAnsi="Times New Roman" w:cs="Times New Roman"/>
          <w:color w:val="000000" w:themeColor="text1"/>
          <w:sz w:val="24"/>
          <w:szCs w:val="24"/>
        </w:rPr>
        <w:fldChar w:fldCharType="begin" w:fldLock="1"/>
      </w:r>
      <w:r w:rsidR="00282E88" w:rsidRPr="00A15E6E">
        <w:rPr>
          <w:rFonts w:ascii="Times New Roman" w:hAnsi="Times New Roman" w:cs="Times New Roman"/>
          <w:color w:val="000000" w:themeColor="text1"/>
          <w:sz w:val="24"/>
          <w:szCs w:val="24"/>
        </w:rPr>
        <w:instrText>ADDIN CSL_CITATION { "citationItems" : [ { "id" : "ITEM-1", "itemData" : { "abstract" : "This book helps readers to visualize the resources required to sustain typical North Americans in their current lifestyle.", "author" : [ { "dropping-particle" : "", "family" : "Wachernagel", "given" : "Mathis", "non-dropping-particle" : "", "parse-names" : false, "suffix" : "" }, { "dropping-particle" : "", "family" : "Rees", "given" : "William", "non-dropping-particle" : "", "parse-names" : false, "suffix" : "" } ], "container-title" : "The New Catalyst Bioregional Series", "id" : "ITEM-1", "issue" : "9", "issued" : { "date-parts" : [ [ "1996" ] ] }, "number-of-pages" : "160", "publisher" : "New Society Publishers", "title" : "Our Ecological Footprint: Reducing Human Impact on the Earth", "type" : "book" }, "uris" : [ "http://www.mendeley.com/documents/?uuid=6433eff8-e909-43b9-9379-e70846d76ef9" ] } ], "mendeley" : { "formattedCitation" : "(Wachernagel and Rees 1996)", "manualFormatting" : "Wachernagel &amp; Rees (1996", "plainTextFormattedCitation" : "(Wachernagel and Rees 1996)", "previouslyFormattedCitation" : "(Wachernagel and Rees 1996)" }, "properties" : { "noteIndex" : 0 }, "schema" : "https://github.com/citation-style-language/schema/raw/master/csl-citation.json" }</w:instrText>
      </w:r>
      <w:r w:rsidR="006578EE" w:rsidRPr="00A15E6E">
        <w:rPr>
          <w:rFonts w:ascii="Times New Roman" w:hAnsi="Times New Roman" w:cs="Times New Roman"/>
          <w:color w:val="000000" w:themeColor="text1"/>
          <w:sz w:val="24"/>
          <w:szCs w:val="24"/>
        </w:rPr>
        <w:fldChar w:fldCharType="separate"/>
      </w:r>
      <w:r w:rsidR="00282E88" w:rsidRPr="00A15E6E">
        <w:rPr>
          <w:rFonts w:ascii="Times New Roman" w:hAnsi="Times New Roman" w:cs="Times New Roman"/>
          <w:noProof/>
          <w:color w:val="000000" w:themeColor="text1"/>
          <w:sz w:val="24"/>
          <w:szCs w:val="24"/>
        </w:rPr>
        <w:t>Wachernagel &amp; Rees (1996</w:t>
      </w:r>
      <w:r w:rsidR="006578EE" w:rsidRPr="00A15E6E">
        <w:rPr>
          <w:rFonts w:ascii="Times New Roman" w:hAnsi="Times New Roman" w:cs="Times New Roman"/>
          <w:color w:val="000000" w:themeColor="text1"/>
          <w:sz w:val="24"/>
          <w:szCs w:val="24"/>
        </w:rPr>
        <w:fldChar w:fldCharType="end"/>
      </w:r>
      <w:r w:rsidR="00282E88" w:rsidRPr="00A15E6E">
        <w:rPr>
          <w:rFonts w:ascii="Times New Roman" w:hAnsi="Times New Roman" w:cs="Times New Roman"/>
          <w:color w:val="000000" w:themeColor="text1"/>
          <w:sz w:val="24"/>
          <w:szCs w:val="24"/>
        </w:rPr>
        <w:t>)</w:t>
      </w:r>
      <w:r w:rsidR="00A15E6E">
        <w:rPr>
          <w:rFonts w:ascii="Times New Roman" w:hAnsi="Times New Roman" w:cs="Times New Roman"/>
          <w:sz w:val="24"/>
          <w:szCs w:val="24"/>
        </w:rPr>
        <w:t>,</w:t>
      </w:r>
      <w:r w:rsidR="00385988" w:rsidRPr="005517C4">
        <w:rPr>
          <w:rFonts w:ascii="Times New Roman" w:hAnsi="Times New Roman" w:cs="Times New Roman"/>
          <w:sz w:val="24"/>
          <w:szCs w:val="24"/>
        </w:rPr>
        <w:t xml:space="preserve"> as</w:t>
      </w:r>
      <w:r w:rsidR="000C3CCB" w:rsidRPr="005517C4">
        <w:rPr>
          <w:rFonts w:ascii="Times New Roman" w:hAnsi="Times New Roman" w:cs="Times New Roman"/>
          <w:sz w:val="24"/>
          <w:szCs w:val="24"/>
        </w:rPr>
        <w:t xml:space="preserve"> a comprehensive</w:t>
      </w:r>
      <w:r w:rsidR="00385988" w:rsidRPr="005517C4">
        <w:rPr>
          <w:rFonts w:ascii="Times New Roman" w:hAnsi="Times New Roman" w:cs="Times New Roman"/>
          <w:sz w:val="24"/>
          <w:szCs w:val="24"/>
        </w:rPr>
        <w:t xml:space="preserve"> environmental degradation variable</w:t>
      </w:r>
      <w:r w:rsidR="005814D2" w:rsidRPr="005517C4">
        <w:rPr>
          <w:rFonts w:ascii="Times New Roman" w:hAnsi="Times New Roman" w:cs="Times New Roman"/>
          <w:sz w:val="24"/>
          <w:szCs w:val="24"/>
        </w:rPr>
        <w:t xml:space="preserve"> </w:t>
      </w:r>
      <w:r w:rsidR="006578EE" w:rsidRPr="005517C4">
        <w:rPr>
          <w:rFonts w:ascii="Times New Roman" w:hAnsi="Times New Roman" w:cs="Times New Roman"/>
          <w:sz w:val="24"/>
          <w:szCs w:val="24"/>
        </w:rPr>
        <w:fldChar w:fldCharType="begin" w:fldLock="1"/>
      </w:r>
      <w:r w:rsidR="003D379B">
        <w:rPr>
          <w:rFonts w:ascii="Times New Roman" w:hAnsi="Times New Roman" w:cs="Times New Roman"/>
          <w:sz w:val="24"/>
          <w:szCs w:val="24"/>
        </w:rPr>
        <w:instrText>ADDIN CSL_CITATION { "citationItems" : [ { "id" : "ITEM-1", "itemData" : { "abstract" : "\u201cQuantitative Eco-nomics\u201d cuts through the fog of vision and advocacy by comparing and applying new quantitative tools of both environmental and ecological economics. Environmental accounts and empirical analyses provide operational concepts and measures of the sustainability of economic performance and growth. They facilitate rational and compatible environmental and economic policies. This thought-provoking text raises doubts, however, about the measurability of sustainable development. Has the paradigm run its course? The answer is a guarded \u2018yes\u2019 \u2013 guarded because the concept still carries considerable environmental goodwill. At the same time the opaque concept fosters contradictory policy advice, or worse, inaction. Do we need zero- or accelerated economic growth? Should we reduce conspicuous consumption or enjoy spending as we see fit? Will rules and regulation or adjusted markets prevent environmental disaster?", "author" : [ { "dropping-particle" : "", "family" : "Bartelmus", "given" : "Peter", "non-dropping-particle" : "", "parse-names" : false, "suffix" : "" } ], "container-title" : "Quantitative Eco-nomics: How sustainable are our economies?", "id" : "ITEM-1", "issued" : { "date-parts" : [ [ "2008" ] ] }, "number-of-pages" : "1-329", "publisher" : "Springer Netherlands", "title" : "Quantitative eco-nomics: How sustainable are our economies?", "type" : "book" }, "uris" : [ "http://www.mendeley.com/documents/?uuid=d43f7141-b020-4e87-bfb3-1678372b7d50" ] } ], "mendeley" : { "formattedCitation" : "(Bartelmus 2008)", "manualFormatting" : "(i.e. Bartelmus, 2008", "plainTextFormattedCitation" : "(Bartelmus 2008)", "previouslyFormattedCitation" : "(Bartelmus 2008)" }, "properties" : { "noteIndex" : 0 }, "schema" : "https://github.com/citation-style-language/schema/raw/master/csl-citation.json" }</w:instrText>
      </w:r>
      <w:r w:rsidR="006578EE" w:rsidRPr="005517C4">
        <w:rPr>
          <w:rFonts w:ascii="Times New Roman" w:hAnsi="Times New Roman" w:cs="Times New Roman"/>
          <w:sz w:val="24"/>
          <w:szCs w:val="24"/>
        </w:rPr>
        <w:fldChar w:fldCharType="separate"/>
      </w:r>
      <w:r w:rsidR="005814D2" w:rsidRPr="005517C4">
        <w:rPr>
          <w:rFonts w:ascii="Times New Roman" w:hAnsi="Times New Roman" w:cs="Times New Roman"/>
          <w:noProof/>
          <w:sz w:val="24"/>
          <w:szCs w:val="24"/>
        </w:rPr>
        <w:t>(</w:t>
      </w:r>
      <w:r w:rsidR="00282E88">
        <w:rPr>
          <w:rFonts w:ascii="Times New Roman" w:hAnsi="Times New Roman" w:cs="Times New Roman"/>
          <w:noProof/>
          <w:sz w:val="24"/>
          <w:szCs w:val="24"/>
        </w:rPr>
        <w:t xml:space="preserve">i.e. </w:t>
      </w:r>
      <w:r w:rsidR="005814D2" w:rsidRPr="005517C4">
        <w:rPr>
          <w:rFonts w:ascii="Times New Roman" w:hAnsi="Times New Roman" w:cs="Times New Roman"/>
          <w:noProof/>
          <w:sz w:val="24"/>
          <w:szCs w:val="24"/>
        </w:rPr>
        <w:t>Bartelmus</w:t>
      </w:r>
      <w:r w:rsidR="00697629">
        <w:rPr>
          <w:rFonts w:ascii="Times New Roman" w:hAnsi="Times New Roman" w:cs="Times New Roman"/>
          <w:noProof/>
          <w:sz w:val="24"/>
          <w:szCs w:val="24"/>
        </w:rPr>
        <w:t>,</w:t>
      </w:r>
      <w:r w:rsidR="005814D2" w:rsidRPr="005517C4">
        <w:rPr>
          <w:rFonts w:ascii="Times New Roman" w:hAnsi="Times New Roman" w:cs="Times New Roman"/>
          <w:noProof/>
          <w:sz w:val="24"/>
          <w:szCs w:val="24"/>
        </w:rPr>
        <w:t xml:space="preserve"> 2008</w:t>
      </w:r>
      <w:r w:rsidR="006578EE" w:rsidRPr="005517C4">
        <w:rPr>
          <w:rFonts w:ascii="Times New Roman" w:hAnsi="Times New Roman" w:cs="Times New Roman"/>
          <w:sz w:val="24"/>
          <w:szCs w:val="24"/>
        </w:rPr>
        <w:fldChar w:fldCharType="end"/>
      </w:r>
      <w:r w:rsidR="005814D2" w:rsidRPr="005517C4">
        <w:rPr>
          <w:rFonts w:ascii="Times New Roman" w:hAnsi="Times New Roman" w:cs="Times New Roman"/>
          <w:sz w:val="24"/>
          <w:szCs w:val="24"/>
        </w:rPr>
        <w:t xml:space="preserve">; </w:t>
      </w:r>
      <w:r w:rsidR="006578EE" w:rsidRPr="005517C4">
        <w:rPr>
          <w:rFonts w:ascii="Times New Roman" w:hAnsi="Times New Roman" w:cs="Times New Roman"/>
          <w:sz w:val="24"/>
          <w:szCs w:val="24"/>
        </w:rPr>
        <w:fldChar w:fldCharType="begin" w:fldLock="1"/>
      </w:r>
      <w:r w:rsidR="003D379B">
        <w:rPr>
          <w:rFonts w:ascii="Times New Roman" w:hAnsi="Times New Roman" w:cs="Times New Roman"/>
          <w:sz w:val="24"/>
          <w:szCs w:val="24"/>
        </w:rPr>
        <w:instrText>ADDIN CSL_CITATION { "citationItems" : [ { "id" : "ITEM-1", "itemData" : { "abstract" : "Unlike most Environmental Kuznets Curve (EKC) studies which focus on narrow measures of pollution as proxies for environmental quality, we test the validity of the EKC using the Ecological Footprint (EF), a more comprehensive measure of environmental degradation. We find no empirical evidence of an EKC relationship between the EF and economic development, and only limited support for such a relationship among the components of the EF. In addition, we discover that energy is largely responsible for the lack of an EKC relationship, and that energy consumption levels would have to be cut by over 50% in order for a statistically significant EKC relationship to emerge from the data. Overall, these results suggest that growth alone will not lead to sustainable development. ?? 2008 Elsevier B.V. All rights reserved.", "author" : [ { "dropping-particle" : "", "family" : "Caviglia-Harris", "given" : "Jill L.", "non-dropping-particle" : "", "parse-names" : false, "suffix" : "" }, { "dropping-particle" : "", "family" : "Chambers", "given" : "Dustin", "non-dropping-particle" : "", "parse-names" : false, "suffix" : "" }, { "dropping-particle" : "", "family" : "Kahn", "given" : "James R.", "non-dropping-particle" : "", "parse-names" : false, "suffix" : "" } ], "container-title" : "Ecological Economics", "id" : "ITEM-1", "issue" : "4", "issued" : { "date-parts" : [ [ "2009" ] ] }, "page" : "1149-1159", "title" : "Taking the \"U\" out of Kuznets. A comprehensive analysis of the EKC and environmental degradation", "type" : "article-journal", "volume" : "68" }, "uris" : [ "http://www.mendeley.com/documents/?uuid=7a459380-e3cc-40c2-b59f-d0c6a733cb61" ] } ], "mendeley" : { "formattedCitation" : "(Caviglia-Harris, Chambers, and Kahn 2009)", "manualFormatting" : "Caviglia-Harris et al., 2009; ", "plainTextFormattedCitation" : "(Caviglia-Harris, Chambers, and Kahn 2009)", "previouslyFormattedCitation" : "(Caviglia-Harris, Chambers, and Kahn 2009)" }, "properties" : { "noteIndex" : 0 }, "schema" : "https://github.com/citation-style-language/schema/raw/master/csl-citation.json" }</w:instrText>
      </w:r>
      <w:r w:rsidR="006578EE" w:rsidRPr="005517C4">
        <w:rPr>
          <w:rFonts w:ascii="Times New Roman" w:hAnsi="Times New Roman" w:cs="Times New Roman"/>
          <w:sz w:val="24"/>
          <w:szCs w:val="24"/>
        </w:rPr>
        <w:fldChar w:fldCharType="separate"/>
      </w:r>
      <w:r w:rsidR="005814D2" w:rsidRPr="005517C4">
        <w:rPr>
          <w:rFonts w:ascii="Times New Roman" w:hAnsi="Times New Roman" w:cs="Times New Roman"/>
          <w:noProof/>
          <w:sz w:val="24"/>
          <w:szCs w:val="24"/>
        </w:rPr>
        <w:t>Caviglia-Harris</w:t>
      </w:r>
      <w:r w:rsidR="00697629">
        <w:rPr>
          <w:rFonts w:ascii="Times New Roman" w:hAnsi="Times New Roman" w:cs="Times New Roman"/>
          <w:noProof/>
          <w:sz w:val="24"/>
          <w:szCs w:val="24"/>
        </w:rPr>
        <w:t xml:space="preserve"> et al.,</w:t>
      </w:r>
      <w:r w:rsidR="005814D2" w:rsidRPr="005517C4">
        <w:rPr>
          <w:rFonts w:ascii="Times New Roman" w:hAnsi="Times New Roman" w:cs="Times New Roman"/>
          <w:noProof/>
          <w:sz w:val="24"/>
          <w:szCs w:val="24"/>
        </w:rPr>
        <w:t xml:space="preserve"> 2009; </w:t>
      </w:r>
      <w:r w:rsidR="006578EE" w:rsidRPr="005517C4">
        <w:rPr>
          <w:rFonts w:ascii="Times New Roman" w:hAnsi="Times New Roman" w:cs="Times New Roman"/>
          <w:sz w:val="24"/>
          <w:szCs w:val="24"/>
        </w:rPr>
        <w:fldChar w:fldCharType="end"/>
      </w:r>
      <w:r w:rsidR="006578EE" w:rsidRPr="005517C4">
        <w:rPr>
          <w:rFonts w:ascii="Times New Roman" w:hAnsi="Times New Roman" w:cs="Times New Roman"/>
          <w:sz w:val="24"/>
          <w:szCs w:val="24"/>
        </w:rPr>
        <w:fldChar w:fldCharType="begin" w:fldLock="1"/>
      </w:r>
      <w:r w:rsidR="003D379B">
        <w:rPr>
          <w:rFonts w:ascii="Times New Roman" w:hAnsi="Times New Roman" w:cs="Times New Roman"/>
          <w:sz w:val="24"/>
          <w:szCs w:val="24"/>
        </w:rPr>
        <w:instrText>ADDIN CSL_CITATION { "citationItems" : [ { "id" : "ITEM-1", "itemData" : { "abstract" : "The questions regarding Ecological Footprint accounting methodology are answered through the responses of technical support queries sent to Global Footprint Network. The question of the regenerative biological capacity of the planet demanded by a given human activity is answered by considering all the biological materials consumed and the biological wastes generated by that person in a given year. The Ecological Footprint can be used to address waste flows and the non-regenerative uses of the biosphere that systematically degrade ecosystem health are tracked in separate non-Footprint account. Ecological Footprint treat water usage by calculating water footprint based on the area of catchments or recharge zone needed to supply a given quantity of water. The Ecological Footprint supports biodiversity assessment and conservation assigns empirically based weighting coefficients to individual land types based on data on the relative productivity of these different area types.", "author" : [ { "dropping-particle" : "", "family" : "Kitzes", "given" : "Justin", "non-dropping-particle" : "", "parse-names" : false, "suffix" : "" }, { "dropping-particle" : "", "family" : "Wackernagel", "given" : "Mathis", "non-dropping-particle" : "", "parse-names" : false, "suffix" : "" } ], "container-title" : "Ecological Indicators", "id" : "ITEM-1", "issue" : "4", "issued" : { "date-parts" : [ [ "2009" ] ] }, "page" : "812-817", "title" : "Answers to common questions in Ecological Footprint accounting", "type" : "article-journal", "volume" : "9" }, "uris" : [ "http://www.mendeley.com/documents/?uuid=9e17bff6-5b83-4599-9d3f-3e572d7f301e" ] } ], "mendeley" : { "formattedCitation" : "(Kitzes and Wackernagel 2009)", "manualFormatting" : "Kitzes and Wackernagel, 2009", "plainTextFormattedCitation" : "(Kitzes and Wackernagel 2009)", "previouslyFormattedCitation" : "(Kitzes and Wackernagel 2009)" }, "properties" : { "noteIndex" : 0 }, "schema" : "https://github.com/citation-style-language/schema/raw/master/csl-citation.json" }</w:instrText>
      </w:r>
      <w:r w:rsidR="006578EE" w:rsidRPr="005517C4">
        <w:rPr>
          <w:rFonts w:ascii="Times New Roman" w:hAnsi="Times New Roman" w:cs="Times New Roman"/>
          <w:sz w:val="24"/>
          <w:szCs w:val="24"/>
        </w:rPr>
        <w:fldChar w:fldCharType="separate"/>
      </w:r>
      <w:r w:rsidR="005814D2" w:rsidRPr="005517C4">
        <w:rPr>
          <w:rFonts w:ascii="Times New Roman" w:hAnsi="Times New Roman" w:cs="Times New Roman"/>
          <w:noProof/>
          <w:sz w:val="24"/>
          <w:szCs w:val="24"/>
        </w:rPr>
        <w:t>Kitzes and Wackernagel</w:t>
      </w:r>
      <w:r w:rsidR="00697629">
        <w:rPr>
          <w:rFonts w:ascii="Times New Roman" w:hAnsi="Times New Roman" w:cs="Times New Roman"/>
          <w:noProof/>
          <w:sz w:val="24"/>
          <w:szCs w:val="24"/>
        </w:rPr>
        <w:t>,</w:t>
      </w:r>
      <w:r w:rsidR="005814D2" w:rsidRPr="005517C4">
        <w:rPr>
          <w:rFonts w:ascii="Times New Roman" w:hAnsi="Times New Roman" w:cs="Times New Roman"/>
          <w:noProof/>
          <w:sz w:val="24"/>
          <w:szCs w:val="24"/>
        </w:rPr>
        <w:t xml:space="preserve"> 2009</w:t>
      </w:r>
      <w:r w:rsidR="006578EE" w:rsidRPr="005517C4">
        <w:rPr>
          <w:rFonts w:ascii="Times New Roman" w:hAnsi="Times New Roman" w:cs="Times New Roman"/>
          <w:sz w:val="24"/>
          <w:szCs w:val="24"/>
        </w:rPr>
        <w:fldChar w:fldCharType="end"/>
      </w:r>
      <w:r w:rsidR="005814D2" w:rsidRPr="005517C4">
        <w:rPr>
          <w:rFonts w:ascii="Times New Roman" w:hAnsi="Times New Roman" w:cs="Times New Roman"/>
          <w:sz w:val="24"/>
          <w:szCs w:val="24"/>
        </w:rPr>
        <w:t xml:space="preserve">; </w:t>
      </w:r>
      <w:r w:rsidR="006578EE" w:rsidRPr="005517C4">
        <w:rPr>
          <w:rFonts w:ascii="Times New Roman" w:hAnsi="Times New Roman" w:cs="Times New Roman"/>
          <w:sz w:val="24"/>
          <w:szCs w:val="24"/>
        </w:rPr>
        <w:fldChar w:fldCharType="begin" w:fldLock="1"/>
      </w:r>
      <w:r w:rsidR="003D379B">
        <w:rPr>
          <w:rFonts w:ascii="Times New Roman" w:hAnsi="Times New Roman" w:cs="Times New Roman"/>
          <w:sz w:val="24"/>
          <w:szCs w:val="24"/>
        </w:rPr>
        <w:instrText>ADDIN CSL_CITATION { "citationItems" : [ { "id" : "ITEM-1", "itemData" : { "DOI" : "10.3390/su2061645", "abstract" : "We present a comprehensive review of perceptions and methods around the Ecological Footprint (EF), based on a survey of more than 50 international EF stakeholders and a review of more than 150 original papers on EF methods and applications over the last decade. The key points identified in the survey are that the EF (a) is seen as a strong communication tool, (b) has a limited role within a policy context, (c) is limited in scope, (d) should be closer aligned to the UN System of Environmental and Economic Accounting and (e) is most useful as part of a basket of indicators. Key issues from the review of methods are: (a) none of the major methods identified can address all relevant issues and questions at once, (b) basing bioproductivity calculations on Net Primary Production (NPP) is a promising approach, (c) advances in linking bioproductivity with ecosystem services and biodiversity have been made by the Dynamic EF concept and the HANPP indicator, (d) environmentally extended input-output analysis (IOA) provides a number of advantages for improving EF calculations and (e) further variations such as the emergy-based concept or the inclusion of further pollutants are not regarded as providing a fundamental shift to the usefulness of EF for policy making. We also discuss the implications of our findings for the use of the EF as a headline indicator for sustainability decision-making.", "author" : [ { "dropping-particle" : "", "family" : "Wiedmann", "given" : "Thomas", "non-dropping-particle" : "", "parse-names" : false, "suffix" : "" }, { "dropping-particle" : "", "family" : "Barrett", "given" : "John", "non-dropping-particle" : "", "parse-names" : false, "suffix" : "" } ], "container-title" : "Sustainability", "id" : "ITEM-1", "issue" : "6", "issued" : { "date-parts" : [ [ "2010", "6", "7" ] ] }, "page" : "1645-1693", "publisher" : "Molecular Diversity Preservation International", "title" : "A Review of the Ecological Footprint Indicator\u2014Perceptions and Methods", "type" : "article-journal", "volume" : "2" }, "uris" : [ "http://www.mendeley.com/documents/?uuid=33b37115-2753-346c-9cb7-cc3156602342" ] } ], "mendeley" : { "formattedCitation" : "(Wiedmann and Barrett 2010)", "manualFormatting" : "Wiedmann and Barrett, 2010", "plainTextFormattedCitation" : "(Wiedmann and Barrett 2010)", "previouslyFormattedCitation" : "(Wiedmann and Barrett 2010)" }, "properties" : { "noteIndex" : 0 }, "schema" : "https://github.com/citation-style-language/schema/raw/master/csl-citation.json" }</w:instrText>
      </w:r>
      <w:r w:rsidR="006578EE" w:rsidRPr="005517C4">
        <w:rPr>
          <w:rFonts w:ascii="Times New Roman" w:hAnsi="Times New Roman" w:cs="Times New Roman"/>
          <w:sz w:val="24"/>
          <w:szCs w:val="24"/>
        </w:rPr>
        <w:fldChar w:fldCharType="separate"/>
      </w:r>
      <w:r w:rsidR="005814D2" w:rsidRPr="005517C4">
        <w:rPr>
          <w:rFonts w:ascii="Times New Roman" w:hAnsi="Times New Roman" w:cs="Times New Roman"/>
          <w:noProof/>
          <w:sz w:val="24"/>
          <w:szCs w:val="24"/>
        </w:rPr>
        <w:t>Wiedmann and Barrett</w:t>
      </w:r>
      <w:r w:rsidR="00697629">
        <w:rPr>
          <w:rFonts w:ascii="Times New Roman" w:hAnsi="Times New Roman" w:cs="Times New Roman"/>
          <w:noProof/>
          <w:sz w:val="24"/>
          <w:szCs w:val="24"/>
        </w:rPr>
        <w:t>,</w:t>
      </w:r>
      <w:r w:rsidR="005814D2" w:rsidRPr="005517C4">
        <w:rPr>
          <w:rFonts w:ascii="Times New Roman" w:hAnsi="Times New Roman" w:cs="Times New Roman"/>
          <w:noProof/>
          <w:sz w:val="24"/>
          <w:szCs w:val="24"/>
        </w:rPr>
        <w:t xml:space="preserve"> 2010</w:t>
      </w:r>
      <w:r w:rsidR="006578EE" w:rsidRPr="005517C4">
        <w:rPr>
          <w:rFonts w:ascii="Times New Roman" w:hAnsi="Times New Roman" w:cs="Times New Roman"/>
          <w:sz w:val="24"/>
          <w:szCs w:val="24"/>
        </w:rPr>
        <w:fldChar w:fldCharType="end"/>
      </w:r>
      <w:r w:rsidR="005814D2" w:rsidRPr="005517C4">
        <w:rPr>
          <w:rFonts w:ascii="Times New Roman" w:hAnsi="Times New Roman" w:cs="Times New Roman"/>
          <w:sz w:val="24"/>
          <w:szCs w:val="24"/>
        </w:rPr>
        <w:t xml:space="preserve">; </w:t>
      </w:r>
      <w:r w:rsidR="006578EE" w:rsidRPr="005517C4">
        <w:rPr>
          <w:rFonts w:ascii="Times New Roman" w:hAnsi="Times New Roman" w:cs="Times New Roman"/>
          <w:sz w:val="24"/>
          <w:szCs w:val="24"/>
        </w:rPr>
        <w:fldChar w:fldCharType="begin" w:fldLock="1"/>
      </w:r>
      <w:r w:rsidR="00216FA4">
        <w:rPr>
          <w:rFonts w:ascii="Times New Roman" w:hAnsi="Times New Roman" w:cs="Times New Roman"/>
          <w:sz w:val="24"/>
          <w:szCs w:val="24"/>
        </w:rPr>
        <w:instrText>ADDIN CSL_CITATION { "citationItems" : [ { "id" : "ITEM-1", "itemData" : { "DOI" : "10.1007/s11356-015-5447-x", "ISSN" : "0944-1344", "author" : [ { "dropping-particle" : "", "family" : "Ozturk", "given" : "Ilhan", "non-dropping-particle" : "", "parse-names" : false, "suffix" : "" }, { "dropping-particle" : "", "family" : "Al-Mulali", "given" : "Usama", "non-dropping-particle" : "", "parse-names" : false, "suffix" : "" }, { "dropping-particle" : "", "family" : "Saboori", "given" : "Behnaz", "non-dropping-particle" : "", "parse-names" : false, "suffix" : "" } ], "container-title" : "Environmental Science and Pollution Research", "id" : "ITEM-1", "issue" : "2", "issued" : { "date-parts" : [ [ "2016", "1", "26" ] ] }, "page" : "1916-1928", "publisher" : "Springer Berlin Heidelberg", "title" : "Investigating the environmental Kuznets curve hypothesis: the role of tourism and ecological footprint", "type" : "article-journal", "volume" : "23" }, "uris" : [ "http://www.mendeley.com/documents/?uuid=2628ccac-b970-3b71-849a-0e4a63401c91" ] } ], "mendeley" : { "formattedCitation" : "(Ozturk, Al-Mulali, and Saboori 2016)", "manualFormatting" : "Ozturk et al. 2016)", "plainTextFormattedCitation" : "(Ozturk, Al-Mulali, and Saboori 2016)", "previouslyFormattedCitation" : "(Ozturk, Al-Mulali, and Saboori 2016)" }, "properties" : { "noteIndex" : 0 }, "schema" : "https://github.com/citation-style-language/schema/raw/master/csl-citation.json" }</w:instrText>
      </w:r>
      <w:r w:rsidR="006578EE" w:rsidRPr="005517C4">
        <w:rPr>
          <w:rFonts w:ascii="Times New Roman" w:hAnsi="Times New Roman" w:cs="Times New Roman"/>
          <w:sz w:val="24"/>
          <w:szCs w:val="24"/>
        </w:rPr>
        <w:fldChar w:fldCharType="separate"/>
      </w:r>
      <w:r w:rsidR="005814D2" w:rsidRPr="005517C4">
        <w:rPr>
          <w:rFonts w:ascii="Times New Roman" w:hAnsi="Times New Roman" w:cs="Times New Roman"/>
          <w:noProof/>
          <w:sz w:val="24"/>
          <w:szCs w:val="24"/>
        </w:rPr>
        <w:t>Ozturk</w:t>
      </w:r>
      <w:r w:rsidR="003D379B">
        <w:rPr>
          <w:rFonts w:ascii="Times New Roman" w:hAnsi="Times New Roman" w:cs="Times New Roman"/>
          <w:noProof/>
          <w:sz w:val="24"/>
          <w:szCs w:val="24"/>
        </w:rPr>
        <w:t xml:space="preserve"> et al.</w:t>
      </w:r>
      <w:r w:rsidR="005814D2" w:rsidRPr="005517C4">
        <w:rPr>
          <w:rFonts w:ascii="Times New Roman" w:hAnsi="Times New Roman" w:cs="Times New Roman"/>
          <w:noProof/>
          <w:sz w:val="24"/>
          <w:szCs w:val="24"/>
        </w:rPr>
        <w:t xml:space="preserve"> 2016)</w:t>
      </w:r>
      <w:r w:rsidR="006578EE" w:rsidRPr="005517C4">
        <w:rPr>
          <w:rFonts w:ascii="Times New Roman" w:hAnsi="Times New Roman" w:cs="Times New Roman"/>
          <w:sz w:val="24"/>
          <w:szCs w:val="24"/>
        </w:rPr>
        <w:fldChar w:fldCharType="end"/>
      </w:r>
      <w:r w:rsidR="00697629">
        <w:rPr>
          <w:rFonts w:ascii="Times New Roman" w:hAnsi="Times New Roman" w:cs="Times New Roman"/>
          <w:sz w:val="24"/>
          <w:szCs w:val="24"/>
        </w:rPr>
        <w:t>, and</w:t>
      </w:r>
      <w:r w:rsidR="00385988" w:rsidRPr="005517C4">
        <w:rPr>
          <w:rFonts w:ascii="Times New Roman" w:hAnsi="Times New Roman" w:cs="Times New Roman"/>
          <w:sz w:val="24"/>
          <w:szCs w:val="24"/>
        </w:rPr>
        <w:t xml:space="preserve"> </w:t>
      </w:r>
      <w:r w:rsidRPr="005517C4">
        <w:rPr>
          <w:rFonts w:ascii="Times New Roman" w:hAnsi="Times New Roman" w:cs="Times New Roman"/>
          <w:sz w:val="24"/>
          <w:szCs w:val="24"/>
        </w:rPr>
        <w:t xml:space="preserve">(ii) </w:t>
      </w:r>
      <w:r w:rsidR="00697629">
        <w:rPr>
          <w:rFonts w:ascii="Times New Roman" w:hAnsi="Times New Roman" w:cs="Times New Roman"/>
          <w:sz w:val="24"/>
          <w:szCs w:val="24"/>
        </w:rPr>
        <w:t>the</w:t>
      </w:r>
      <w:r w:rsidR="005814D2" w:rsidRPr="005517C4">
        <w:rPr>
          <w:rFonts w:ascii="Times New Roman" w:hAnsi="Times New Roman" w:cs="Times New Roman"/>
          <w:sz w:val="24"/>
          <w:szCs w:val="24"/>
        </w:rPr>
        <w:t xml:space="preserve"> majority of </w:t>
      </w:r>
      <w:r w:rsidR="00697629">
        <w:rPr>
          <w:rFonts w:ascii="Times New Roman" w:hAnsi="Times New Roman" w:cs="Times New Roman"/>
          <w:sz w:val="24"/>
          <w:szCs w:val="24"/>
        </w:rPr>
        <w:t xml:space="preserve">the relevant </w:t>
      </w:r>
      <w:r w:rsidR="005814D2" w:rsidRPr="005517C4">
        <w:rPr>
          <w:rFonts w:ascii="Times New Roman" w:hAnsi="Times New Roman" w:cs="Times New Roman"/>
          <w:sz w:val="24"/>
          <w:szCs w:val="24"/>
        </w:rPr>
        <w:t>literature</w:t>
      </w:r>
      <w:r w:rsidRPr="005517C4">
        <w:rPr>
          <w:rFonts w:ascii="Times New Roman" w:hAnsi="Times New Roman" w:cs="Times New Roman"/>
          <w:sz w:val="24"/>
          <w:szCs w:val="24"/>
        </w:rPr>
        <w:t xml:space="preserve"> </w:t>
      </w:r>
      <w:r w:rsidR="00697629">
        <w:rPr>
          <w:rFonts w:ascii="Times New Roman" w:hAnsi="Times New Roman" w:cs="Times New Roman"/>
          <w:sz w:val="24"/>
          <w:szCs w:val="24"/>
        </w:rPr>
        <w:t>consider</w:t>
      </w:r>
      <w:r w:rsidR="005814D2" w:rsidRPr="005517C4">
        <w:rPr>
          <w:rFonts w:ascii="Times New Roman" w:hAnsi="Times New Roman" w:cs="Times New Roman"/>
          <w:sz w:val="24"/>
          <w:szCs w:val="24"/>
        </w:rPr>
        <w:t xml:space="preserve"> </w:t>
      </w:r>
      <w:r w:rsidR="00697629">
        <w:rPr>
          <w:rFonts w:ascii="Times New Roman" w:hAnsi="Times New Roman" w:cs="Times New Roman"/>
          <w:sz w:val="24"/>
          <w:szCs w:val="24"/>
        </w:rPr>
        <w:t xml:space="preserve">a </w:t>
      </w:r>
      <w:r w:rsidR="005814D2" w:rsidRPr="005517C4">
        <w:rPr>
          <w:rFonts w:ascii="Times New Roman" w:hAnsi="Times New Roman" w:cs="Times New Roman"/>
          <w:sz w:val="24"/>
          <w:szCs w:val="24"/>
        </w:rPr>
        <w:t>unit root approach or growth regression</w:t>
      </w:r>
      <w:r w:rsidR="00697629">
        <w:rPr>
          <w:rFonts w:ascii="Times New Roman" w:hAnsi="Times New Roman" w:cs="Times New Roman"/>
          <w:sz w:val="24"/>
          <w:szCs w:val="24"/>
        </w:rPr>
        <w:t>s to</w:t>
      </w:r>
      <w:r w:rsidR="005814D2" w:rsidRPr="005517C4">
        <w:rPr>
          <w:rFonts w:ascii="Times New Roman" w:hAnsi="Times New Roman" w:cs="Times New Roman"/>
          <w:sz w:val="24"/>
          <w:szCs w:val="24"/>
        </w:rPr>
        <w:t xml:space="preserve"> reach </w:t>
      </w:r>
      <w:r w:rsidR="00697629">
        <w:rPr>
          <w:rFonts w:ascii="Times New Roman" w:hAnsi="Times New Roman" w:cs="Times New Roman"/>
          <w:sz w:val="24"/>
          <w:szCs w:val="24"/>
        </w:rPr>
        <w:t>the conclusion on whether</w:t>
      </w:r>
      <w:r w:rsidR="005814D2" w:rsidRPr="005517C4">
        <w:rPr>
          <w:rFonts w:ascii="Times New Roman" w:hAnsi="Times New Roman" w:cs="Times New Roman"/>
          <w:sz w:val="24"/>
          <w:szCs w:val="24"/>
        </w:rPr>
        <w:t xml:space="preserve"> convergence is verified for their samples. However, pollution or </w:t>
      </w:r>
      <w:r w:rsidR="00697629">
        <w:rPr>
          <w:rFonts w:ascii="Times New Roman" w:hAnsi="Times New Roman" w:cs="Times New Roman"/>
          <w:sz w:val="24"/>
          <w:szCs w:val="24"/>
        </w:rPr>
        <w:t xml:space="preserve">the </w:t>
      </w:r>
      <w:r w:rsidR="005814D2" w:rsidRPr="005517C4">
        <w:rPr>
          <w:rFonts w:ascii="Times New Roman" w:hAnsi="Times New Roman" w:cs="Times New Roman"/>
          <w:sz w:val="24"/>
          <w:szCs w:val="24"/>
        </w:rPr>
        <w:t xml:space="preserve">environmental degradation has </w:t>
      </w:r>
      <w:r w:rsidR="00EB5FB2" w:rsidRPr="005517C4">
        <w:rPr>
          <w:rFonts w:ascii="Times New Roman" w:hAnsi="Times New Roman" w:cs="Times New Roman"/>
          <w:sz w:val="24"/>
          <w:szCs w:val="24"/>
        </w:rPr>
        <w:t>spillover effect</w:t>
      </w:r>
      <w:r w:rsidR="00697629">
        <w:rPr>
          <w:rFonts w:ascii="Times New Roman" w:hAnsi="Times New Roman" w:cs="Times New Roman"/>
          <w:sz w:val="24"/>
          <w:szCs w:val="24"/>
        </w:rPr>
        <w:t>s</w:t>
      </w:r>
      <w:r w:rsidR="00EB5FB2" w:rsidRPr="005517C4">
        <w:rPr>
          <w:rFonts w:ascii="Times New Roman" w:hAnsi="Times New Roman" w:cs="Times New Roman"/>
          <w:sz w:val="24"/>
          <w:szCs w:val="24"/>
        </w:rPr>
        <w:t xml:space="preserve"> </w:t>
      </w:r>
      <w:r w:rsidR="00697629">
        <w:rPr>
          <w:rFonts w:ascii="Times New Roman" w:hAnsi="Times New Roman" w:cs="Times New Roman"/>
          <w:sz w:val="24"/>
          <w:szCs w:val="24"/>
        </w:rPr>
        <w:t>across</w:t>
      </w:r>
      <w:r w:rsidR="00EB5FB2" w:rsidRPr="005517C4">
        <w:rPr>
          <w:rFonts w:ascii="Times New Roman" w:hAnsi="Times New Roman" w:cs="Times New Roman"/>
          <w:sz w:val="24"/>
          <w:szCs w:val="24"/>
        </w:rPr>
        <w:t xml:space="preserve"> region</w:t>
      </w:r>
      <w:r w:rsidR="00697629">
        <w:rPr>
          <w:rFonts w:ascii="Times New Roman" w:hAnsi="Times New Roman" w:cs="Times New Roman"/>
          <w:sz w:val="24"/>
          <w:szCs w:val="24"/>
        </w:rPr>
        <w:t>s</w:t>
      </w:r>
      <w:r w:rsidR="00EB5FB2" w:rsidRPr="005517C4">
        <w:rPr>
          <w:rFonts w:ascii="Times New Roman" w:hAnsi="Times New Roman" w:cs="Times New Roman"/>
          <w:sz w:val="24"/>
          <w:szCs w:val="24"/>
        </w:rPr>
        <w:t xml:space="preserve"> or countr</w:t>
      </w:r>
      <w:r w:rsidR="00697629">
        <w:rPr>
          <w:rFonts w:ascii="Times New Roman" w:hAnsi="Times New Roman" w:cs="Times New Roman"/>
          <w:sz w:val="24"/>
          <w:szCs w:val="24"/>
        </w:rPr>
        <w:t>ies</w:t>
      </w:r>
      <w:r w:rsidR="00EB5FB2" w:rsidRPr="005517C4">
        <w:rPr>
          <w:rFonts w:ascii="Times New Roman" w:hAnsi="Times New Roman" w:cs="Times New Roman"/>
          <w:sz w:val="24"/>
          <w:szCs w:val="24"/>
        </w:rPr>
        <w:t xml:space="preserve">. Furthermore, </w:t>
      </w:r>
      <w:r w:rsidR="00697629">
        <w:rPr>
          <w:rFonts w:ascii="Times New Roman" w:hAnsi="Times New Roman" w:cs="Times New Roman"/>
          <w:sz w:val="24"/>
          <w:szCs w:val="24"/>
        </w:rPr>
        <w:t>certain</w:t>
      </w:r>
      <w:r w:rsidR="0038148C" w:rsidRPr="005517C4">
        <w:rPr>
          <w:rFonts w:ascii="Times New Roman" w:hAnsi="Times New Roman" w:cs="Times New Roman"/>
          <w:sz w:val="24"/>
          <w:szCs w:val="24"/>
        </w:rPr>
        <w:t xml:space="preserve"> countries have similar dynamics and conditions with regard t</w:t>
      </w:r>
      <w:r w:rsidR="0038148C" w:rsidRPr="00A15E6E">
        <w:rPr>
          <w:rFonts w:ascii="Times New Roman" w:hAnsi="Times New Roman" w:cs="Times New Roman"/>
          <w:color w:val="000000" w:themeColor="text1"/>
          <w:sz w:val="24"/>
          <w:szCs w:val="24"/>
        </w:rPr>
        <w:t xml:space="preserve">o </w:t>
      </w:r>
      <w:r w:rsidR="00697629" w:rsidRPr="00A15E6E">
        <w:rPr>
          <w:rFonts w:ascii="Times New Roman" w:hAnsi="Times New Roman" w:cs="Times New Roman"/>
          <w:color w:val="000000" w:themeColor="text1"/>
          <w:sz w:val="24"/>
          <w:szCs w:val="24"/>
        </w:rPr>
        <w:t xml:space="preserve">the </w:t>
      </w:r>
      <w:r w:rsidR="00A15E6E" w:rsidRPr="00A15E6E">
        <w:rPr>
          <w:rFonts w:ascii="Times New Roman" w:hAnsi="Times New Roman" w:cs="Times New Roman"/>
          <w:color w:val="000000" w:themeColor="text1"/>
          <w:sz w:val="24"/>
          <w:szCs w:val="24"/>
        </w:rPr>
        <w:t xml:space="preserve">drivers of </w:t>
      </w:r>
      <w:r w:rsidR="0038148C" w:rsidRPr="00A15E6E">
        <w:rPr>
          <w:rFonts w:ascii="Times New Roman" w:hAnsi="Times New Roman" w:cs="Times New Roman"/>
          <w:color w:val="000000" w:themeColor="text1"/>
          <w:sz w:val="24"/>
          <w:szCs w:val="24"/>
        </w:rPr>
        <w:t>environment</w:t>
      </w:r>
      <w:r w:rsidR="00A15E6E" w:rsidRPr="00A15E6E">
        <w:rPr>
          <w:rFonts w:ascii="Times New Roman" w:hAnsi="Times New Roman" w:cs="Times New Roman"/>
          <w:color w:val="000000" w:themeColor="text1"/>
          <w:sz w:val="24"/>
          <w:szCs w:val="24"/>
        </w:rPr>
        <w:t>al quality.</w:t>
      </w:r>
      <w:r w:rsidR="0038148C" w:rsidRPr="005517C4">
        <w:rPr>
          <w:rFonts w:ascii="Times New Roman" w:hAnsi="Times New Roman" w:cs="Times New Roman"/>
          <w:sz w:val="24"/>
          <w:szCs w:val="24"/>
        </w:rPr>
        <w:t xml:space="preserve"> Thus, convergence may be verified </w:t>
      </w:r>
      <w:r w:rsidR="00697629">
        <w:rPr>
          <w:rFonts w:ascii="Times New Roman" w:hAnsi="Times New Roman" w:cs="Times New Roman"/>
          <w:sz w:val="24"/>
          <w:szCs w:val="24"/>
        </w:rPr>
        <w:t>across</w:t>
      </w:r>
      <w:r w:rsidR="0038148C" w:rsidRPr="005517C4">
        <w:rPr>
          <w:rFonts w:ascii="Times New Roman" w:hAnsi="Times New Roman" w:cs="Times New Roman"/>
          <w:sz w:val="24"/>
          <w:szCs w:val="24"/>
        </w:rPr>
        <w:t xml:space="preserve"> countries with similar condition</w:t>
      </w:r>
      <w:r w:rsidR="00697629">
        <w:rPr>
          <w:rFonts w:ascii="Times New Roman" w:hAnsi="Times New Roman" w:cs="Times New Roman"/>
          <w:sz w:val="24"/>
          <w:szCs w:val="24"/>
        </w:rPr>
        <w:t>s</w:t>
      </w:r>
      <w:r w:rsidR="00A15E6E">
        <w:rPr>
          <w:rFonts w:ascii="Times New Roman" w:hAnsi="Times New Roman" w:cs="Times New Roman"/>
          <w:sz w:val="24"/>
          <w:szCs w:val="24"/>
        </w:rPr>
        <w:t>,</w:t>
      </w:r>
      <w:r w:rsidR="00085CD4" w:rsidRPr="00A15E6E">
        <w:rPr>
          <w:rFonts w:ascii="Times New Roman" w:hAnsi="Times New Roman" w:cs="Times New Roman"/>
          <w:color w:val="000000" w:themeColor="text1"/>
          <w:sz w:val="24"/>
          <w:szCs w:val="24"/>
        </w:rPr>
        <w:t xml:space="preserve"> such as </w:t>
      </w:r>
      <w:r w:rsidR="00A15E6E" w:rsidRPr="00A15E6E">
        <w:rPr>
          <w:rFonts w:ascii="Times New Roman" w:hAnsi="Times New Roman" w:cs="Times New Roman"/>
          <w:color w:val="000000" w:themeColor="text1"/>
          <w:sz w:val="24"/>
          <w:szCs w:val="24"/>
        </w:rPr>
        <w:t xml:space="preserve">the </w:t>
      </w:r>
      <w:r w:rsidR="00085CD4" w:rsidRPr="00A15E6E">
        <w:rPr>
          <w:rFonts w:ascii="Times New Roman" w:hAnsi="Times New Roman" w:cs="Times New Roman"/>
          <w:color w:val="000000" w:themeColor="text1"/>
          <w:sz w:val="24"/>
          <w:szCs w:val="24"/>
        </w:rPr>
        <w:t xml:space="preserve">growth process, </w:t>
      </w:r>
      <w:r w:rsidR="00A15E6E" w:rsidRPr="00A15E6E">
        <w:rPr>
          <w:rFonts w:ascii="Times New Roman" w:hAnsi="Times New Roman" w:cs="Times New Roman"/>
          <w:color w:val="000000" w:themeColor="text1"/>
          <w:sz w:val="24"/>
          <w:szCs w:val="24"/>
        </w:rPr>
        <w:t xml:space="preserve">the </w:t>
      </w:r>
      <w:r w:rsidR="00085CD4" w:rsidRPr="00A15E6E">
        <w:rPr>
          <w:rFonts w:ascii="Times New Roman" w:hAnsi="Times New Roman" w:cs="Times New Roman"/>
          <w:color w:val="000000" w:themeColor="text1"/>
          <w:sz w:val="24"/>
          <w:szCs w:val="24"/>
        </w:rPr>
        <w:t xml:space="preserve">dependence on environmental resources, </w:t>
      </w:r>
      <w:r w:rsidR="00085CD4" w:rsidRPr="00A15E6E">
        <w:rPr>
          <w:rFonts w:ascii="Times New Roman" w:hAnsi="Times New Roman" w:cs="Times New Roman"/>
          <w:color w:val="000000" w:themeColor="text1"/>
          <w:sz w:val="24"/>
          <w:szCs w:val="24"/>
          <w:lang w:val="en-US"/>
        </w:rPr>
        <w:t>change</w:t>
      </w:r>
      <w:r w:rsidR="00A15E6E" w:rsidRPr="00A15E6E">
        <w:rPr>
          <w:rFonts w:ascii="Times New Roman" w:hAnsi="Times New Roman" w:cs="Times New Roman"/>
          <w:color w:val="000000" w:themeColor="text1"/>
          <w:sz w:val="24"/>
          <w:szCs w:val="24"/>
          <w:lang w:val="en-US"/>
        </w:rPr>
        <w:t>s</w:t>
      </w:r>
      <w:r w:rsidR="00085CD4" w:rsidRPr="00A15E6E">
        <w:rPr>
          <w:rFonts w:ascii="Times New Roman" w:hAnsi="Times New Roman" w:cs="Times New Roman"/>
          <w:color w:val="000000" w:themeColor="text1"/>
          <w:sz w:val="24"/>
          <w:szCs w:val="24"/>
          <w:lang w:val="en-US"/>
        </w:rPr>
        <w:t xml:space="preserve"> in </w:t>
      </w:r>
      <w:r w:rsidR="00A15E6E" w:rsidRPr="00A15E6E">
        <w:rPr>
          <w:rFonts w:ascii="Times New Roman" w:hAnsi="Times New Roman" w:cs="Times New Roman"/>
          <w:color w:val="000000" w:themeColor="text1"/>
          <w:sz w:val="24"/>
          <w:szCs w:val="24"/>
          <w:lang w:val="en-US"/>
        </w:rPr>
        <w:t xml:space="preserve">the </w:t>
      </w:r>
      <w:r w:rsidR="00085CD4" w:rsidRPr="00A15E6E">
        <w:rPr>
          <w:rFonts w:ascii="Times New Roman" w:hAnsi="Times New Roman" w:cs="Times New Roman"/>
          <w:color w:val="000000" w:themeColor="text1"/>
          <w:sz w:val="24"/>
          <w:szCs w:val="24"/>
          <w:lang w:val="en-US"/>
        </w:rPr>
        <w:t xml:space="preserve">composition of energy production between </w:t>
      </w:r>
      <w:proofErr w:type="spellStart"/>
      <w:r w:rsidR="00085CD4" w:rsidRPr="00A15E6E">
        <w:rPr>
          <w:rFonts w:ascii="Times New Roman" w:hAnsi="Times New Roman" w:cs="Times New Roman"/>
          <w:color w:val="000000" w:themeColor="text1"/>
          <w:sz w:val="24"/>
          <w:szCs w:val="24"/>
          <w:lang w:val="en-US"/>
        </w:rPr>
        <w:t>renewables</w:t>
      </w:r>
      <w:proofErr w:type="spellEnd"/>
      <w:r w:rsidR="00085CD4" w:rsidRPr="00A15E6E">
        <w:rPr>
          <w:rFonts w:ascii="Times New Roman" w:hAnsi="Times New Roman" w:cs="Times New Roman"/>
          <w:color w:val="000000" w:themeColor="text1"/>
          <w:sz w:val="24"/>
          <w:szCs w:val="24"/>
          <w:lang w:val="en-US"/>
        </w:rPr>
        <w:t xml:space="preserve"> and </w:t>
      </w:r>
      <w:proofErr w:type="spellStart"/>
      <w:r w:rsidR="00085CD4" w:rsidRPr="00A15E6E">
        <w:rPr>
          <w:rFonts w:ascii="Times New Roman" w:hAnsi="Times New Roman" w:cs="Times New Roman"/>
          <w:color w:val="000000" w:themeColor="text1"/>
          <w:sz w:val="24"/>
          <w:szCs w:val="24"/>
          <w:lang w:val="en-US"/>
        </w:rPr>
        <w:t>nonrenewables</w:t>
      </w:r>
      <w:proofErr w:type="spellEnd"/>
      <w:r w:rsidR="00085CD4" w:rsidRPr="00A15E6E">
        <w:rPr>
          <w:rFonts w:ascii="Times New Roman" w:hAnsi="Times New Roman" w:cs="Times New Roman"/>
          <w:color w:val="000000" w:themeColor="text1"/>
          <w:sz w:val="24"/>
          <w:szCs w:val="24"/>
          <w:lang w:val="en-US"/>
        </w:rPr>
        <w:t xml:space="preserve">, </w:t>
      </w:r>
      <w:r w:rsidR="00A15E6E" w:rsidRPr="00A15E6E">
        <w:rPr>
          <w:rFonts w:ascii="Times New Roman" w:hAnsi="Times New Roman" w:cs="Times New Roman"/>
          <w:color w:val="000000" w:themeColor="text1"/>
          <w:sz w:val="24"/>
          <w:szCs w:val="24"/>
          <w:lang w:val="en-US"/>
        </w:rPr>
        <w:t xml:space="preserve">and </w:t>
      </w:r>
      <w:r w:rsidR="00085CD4" w:rsidRPr="00A15E6E">
        <w:rPr>
          <w:rFonts w:ascii="Times New Roman" w:hAnsi="Times New Roman" w:cs="Times New Roman"/>
          <w:color w:val="000000" w:themeColor="text1"/>
          <w:sz w:val="24"/>
          <w:szCs w:val="24"/>
          <w:lang w:val="en-US"/>
        </w:rPr>
        <w:t>change</w:t>
      </w:r>
      <w:r w:rsidR="00A15E6E" w:rsidRPr="00A15E6E">
        <w:rPr>
          <w:rFonts w:ascii="Times New Roman" w:hAnsi="Times New Roman" w:cs="Times New Roman"/>
          <w:color w:val="000000" w:themeColor="text1"/>
          <w:sz w:val="24"/>
          <w:szCs w:val="24"/>
          <w:lang w:val="en-US"/>
        </w:rPr>
        <w:t>s</w:t>
      </w:r>
      <w:r w:rsidR="00085CD4" w:rsidRPr="00A15E6E">
        <w:rPr>
          <w:rFonts w:ascii="Times New Roman" w:hAnsi="Times New Roman" w:cs="Times New Roman"/>
          <w:color w:val="000000" w:themeColor="text1"/>
          <w:sz w:val="24"/>
          <w:szCs w:val="24"/>
          <w:lang w:val="en-US"/>
        </w:rPr>
        <w:t xml:space="preserve"> in </w:t>
      </w:r>
      <w:r w:rsidR="00A15E6E" w:rsidRPr="00A15E6E">
        <w:rPr>
          <w:rFonts w:ascii="Times New Roman" w:hAnsi="Times New Roman" w:cs="Times New Roman"/>
          <w:color w:val="000000" w:themeColor="text1"/>
          <w:sz w:val="24"/>
          <w:szCs w:val="24"/>
          <w:lang w:val="en-US"/>
        </w:rPr>
        <w:t xml:space="preserve">the </w:t>
      </w:r>
      <w:r w:rsidR="00085CD4" w:rsidRPr="00A15E6E">
        <w:rPr>
          <w:rFonts w:ascii="Times New Roman" w:hAnsi="Times New Roman" w:cs="Times New Roman"/>
          <w:color w:val="000000" w:themeColor="text1"/>
          <w:sz w:val="24"/>
          <w:szCs w:val="24"/>
          <w:lang w:val="en-US"/>
        </w:rPr>
        <w:t>composition of energy consumption</w:t>
      </w:r>
      <w:r w:rsidR="0038148C" w:rsidRPr="00A15E6E">
        <w:rPr>
          <w:rFonts w:ascii="Times New Roman" w:hAnsi="Times New Roman" w:cs="Times New Roman"/>
          <w:color w:val="000000" w:themeColor="text1"/>
          <w:sz w:val="24"/>
          <w:szCs w:val="24"/>
        </w:rPr>
        <w:t xml:space="preserve">. </w:t>
      </w:r>
      <w:r w:rsidR="00697629" w:rsidRPr="00A15E6E">
        <w:rPr>
          <w:rFonts w:ascii="Times New Roman" w:hAnsi="Times New Roman" w:cs="Times New Roman"/>
          <w:color w:val="000000" w:themeColor="text1"/>
          <w:sz w:val="24"/>
          <w:szCs w:val="24"/>
        </w:rPr>
        <w:t>To this end</w:t>
      </w:r>
      <w:r w:rsidR="0038148C" w:rsidRPr="00A15E6E">
        <w:rPr>
          <w:rFonts w:ascii="Times New Roman" w:hAnsi="Times New Roman" w:cs="Times New Roman"/>
          <w:color w:val="000000" w:themeColor="text1"/>
          <w:sz w:val="24"/>
          <w:szCs w:val="24"/>
        </w:rPr>
        <w:t xml:space="preserve">, </w:t>
      </w:r>
      <w:r w:rsidR="00697629" w:rsidRPr="00A15E6E">
        <w:rPr>
          <w:rFonts w:ascii="Times New Roman" w:hAnsi="Times New Roman" w:cs="Times New Roman"/>
          <w:color w:val="000000" w:themeColor="text1"/>
          <w:sz w:val="24"/>
          <w:szCs w:val="24"/>
        </w:rPr>
        <w:t>the study</w:t>
      </w:r>
      <w:r w:rsidR="0038148C" w:rsidRPr="00A15E6E">
        <w:rPr>
          <w:rFonts w:ascii="Times New Roman" w:hAnsi="Times New Roman" w:cs="Times New Roman"/>
          <w:color w:val="000000" w:themeColor="text1"/>
          <w:sz w:val="24"/>
          <w:szCs w:val="24"/>
        </w:rPr>
        <w:t xml:space="preserve"> use</w:t>
      </w:r>
      <w:r w:rsidR="00697629" w:rsidRPr="00A15E6E">
        <w:rPr>
          <w:rFonts w:ascii="Times New Roman" w:hAnsi="Times New Roman" w:cs="Times New Roman"/>
          <w:color w:val="000000" w:themeColor="text1"/>
          <w:sz w:val="24"/>
          <w:szCs w:val="24"/>
        </w:rPr>
        <w:t>s</w:t>
      </w:r>
      <w:r w:rsidR="0038148C" w:rsidRPr="00A15E6E">
        <w:rPr>
          <w:rFonts w:ascii="Times New Roman" w:hAnsi="Times New Roman" w:cs="Times New Roman"/>
          <w:color w:val="000000" w:themeColor="text1"/>
          <w:sz w:val="24"/>
          <w:szCs w:val="24"/>
        </w:rPr>
        <w:t xml:space="preserve"> </w:t>
      </w:r>
      <w:r w:rsidR="00697629" w:rsidRPr="00A15E6E">
        <w:rPr>
          <w:rFonts w:ascii="Times New Roman" w:hAnsi="Times New Roman" w:cs="Times New Roman"/>
          <w:color w:val="000000" w:themeColor="text1"/>
          <w:sz w:val="24"/>
          <w:szCs w:val="24"/>
        </w:rPr>
        <w:t xml:space="preserve">the </w:t>
      </w:r>
      <w:r w:rsidR="0038148C" w:rsidRPr="00A15E6E">
        <w:rPr>
          <w:rFonts w:ascii="Times New Roman" w:hAnsi="Times New Roman" w:cs="Times New Roman"/>
          <w:color w:val="000000" w:themeColor="text1"/>
          <w:sz w:val="24"/>
          <w:szCs w:val="24"/>
        </w:rPr>
        <w:t xml:space="preserve">club convergence </w:t>
      </w:r>
      <w:r w:rsidR="00697629" w:rsidRPr="00A15E6E">
        <w:rPr>
          <w:rFonts w:ascii="Times New Roman" w:hAnsi="Times New Roman" w:cs="Times New Roman"/>
          <w:color w:val="000000" w:themeColor="text1"/>
          <w:sz w:val="24"/>
          <w:szCs w:val="24"/>
        </w:rPr>
        <w:t>approach</w:t>
      </w:r>
      <w:r w:rsidR="001F5C12" w:rsidRPr="00A15E6E">
        <w:rPr>
          <w:rFonts w:ascii="Times New Roman" w:hAnsi="Times New Roman" w:cs="Times New Roman"/>
          <w:color w:val="000000" w:themeColor="text1"/>
          <w:sz w:val="24"/>
          <w:szCs w:val="24"/>
        </w:rPr>
        <w:t xml:space="preserve"> develope</w:t>
      </w:r>
      <w:r w:rsidR="001F5C12" w:rsidRPr="005517C4">
        <w:rPr>
          <w:rFonts w:ascii="Times New Roman" w:hAnsi="Times New Roman" w:cs="Times New Roman"/>
          <w:sz w:val="24"/>
          <w:szCs w:val="24"/>
        </w:rPr>
        <w:t xml:space="preserve">d by </w:t>
      </w:r>
      <w:r w:rsidR="006578EE" w:rsidRPr="005517C4">
        <w:rPr>
          <w:rFonts w:ascii="Times New Roman" w:hAnsi="Times New Roman" w:cs="Times New Roman"/>
          <w:sz w:val="24"/>
          <w:szCs w:val="24"/>
        </w:rPr>
        <w:fldChar w:fldCharType="begin" w:fldLock="1"/>
      </w:r>
      <w:r w:rsidR="00DF4C54" w:rsidRPr="005517C4">
        <w:rPr>
          <w:rFonts w:ascii="Times New Roman" w:hAnsi="Times New Roman" w:cs="Times New Roman"/>
          <w:sz w:val="24"/>
          <w:szCs w:val="24"/>
        </w:rPr>
        <w:instrText>ADDIN CSL_CITATION { "citationItems" : [ { "id" : "ITEM-1", "itemData" : { "DOI" : "10.1111/j.1468-0262.2007.00811.x", "ISSN" : "0012-9682", "author" : [ { "dropping-particle" : "", "family" : "Phillips", "given" : "Peter C. B.", "non-dropping-particle" : "", "parse-names" : false, "suffix" : "" }, { "dropping-particle" : "", "family" : "Sul", "given" : "Donggyu", "non-dropping-particle" : "", "parse-names" : false, "suffix" : "" } ], "container-title" : "Econometrica", "id" : "ITEM-1", "issue" : "6", "issued" : { "date-parts" : [ [ "2007", "11" ] ] }, "page" : "1771-1855", "publisher" : "Blackwell Publishing Ltd", "title" : "Transition Modeling and Econometric Convergence Tests", "type" : "article-journal", "volume" : "75" }, "uris" : [ "http://www.mendeley.com/documents/?uuid=fdd5387e-1c8d-3c46-b2e6-e4653867fe7f" ] } ], "mendeley" : { "formattedCitation" : "(Phillips and Sul 2007a)", "manualFormatting" : "Phillips and Sul (2007)", "plainTextFormattedCitation" : "(Phillips and Sul 2007a)", "previouslyFormattedCitation" : "(Phillips and Sul 2007a)" }, "properties" : { "noteIndex" : 0 }, "schema" : "https://github.com/citation-style-language/schema/raw/master/csl-citation.json" }</w:instrText>
      </w:r>
      <w:r w:rsidR="006578EE" w:rsidRPr="005517C4">
        <w:rPr>
          <w:rFonts w:ascii="Times New Roman" w:hAnsi="Times New Roman" w:cs="Times New Roman"/>
          <w:sz w:val="24"/>
          <w:szCs w:val="24"/>
        </w:rPr>
        <w:fldChar w:fldCharType="separate"/>
      </w:r>
      <w:r w:rsidR="001F5C12" w:rsidRPr="005517C4">
        <w:rPr>
          <w:rFonts w:ascii="Times New Roman" w:hAnsi="Times New Roman" w:cs="Times New Roman"/>
          <w:noProof/>
          <w:sz w:val="24"/>
          <w:szCs w:val="24"/>
        </w:rPr>
        <w:t>Phillips and Sul (2007)</w:t>
      </w:r>
      <w:r w:rsidR="006578EE" w:rsidRPr="005517C4">
        <w:rPr>
          <w:rFonts w:ascii="Times New Roman" w:hAnsi="Times New Roman" w:cs="Times New Roman"/>
          <w:sz w:val="24"/>
          <w:szCs w:val="24"/>
        </w:rPr>
        <w:fldChar w:fldCharType="end"/>
      </w:r>
      <w:r w:rsidR="001F5C12" w:rsidRPr="005517C4">
        <w:rPr>
          <w:rFonts w:ascii="Times New Roman" w:hAnsi="Times New Roman" w:cs="Times New Roman"/>
          <w:sz w:val="24"/>
          <w:szCs w:val="24"/>
        </w:rPr>
        <w:t>, which considers that certain countries, states, sectors, or regions that belong to a club move from disequilibrium positions to their club-specific steady-state positions.</w:t>
      </w:r>
      <w:r w:rsidR="0038148C" w:rsidRPr="005517C4">
        <w:rPr>
          <w:rFonts w:ascii="Times New Roman" w:hAnsi="Times New Roman" w:cs="Times New Roman"/>
          <w:sz w:val="24"/>
          <w:szCs w:val="24"/>
        </w:rPr>
        <w:t xml:space="preserve"> </w:t>
      </w:r>
      <w:r w:rsidR="00697629">
        <w:rPr>
          <w:rFonts w:ascii="Times New Roman" w:hAnsi="Times New Roman" w:cs="Times New Roman"/>
          <w:sz w:val="24"/>
          <w:szCs w:val="24"/>
        </w:rPr>
        <w:t xml:space="preserve">The remaining of the </w:t>
      </w:r>
      <w:r w:rsidR="003D379B">
        <w:rPr>
          <w:rFonts w:ascii="Times New Roman" w:hAnsi="Times New Roman" w:cs="Times New Roman"/>
          <w:lang w:val="en-US"/>
        </w:rPr>
        <w:t>manuscript</w:t>
      </w:r>
      <w:r w:rsidR="003D379B" w:rsidRPr="008F332E">
        <w:rPr>
          <w:rFonts w:ascii="Times New Roman" w:hAnsi="Times New Roman" w:cs="Times New Roman"/>
          <w:lang w:val="en-US"/>
        </w:rPr>
        <w:t xml:space="preserve"> </w:t>
      </w:r>
      <w:r w:rsidR="001F5C12" w:rsidRPr="005517C4">
        <w:rPr>
          <w:rFonts w:ascii="Times New Roman" w:hAnsi="Times New Roman" w:cs="Times New Roman"/>
          <w:sz w:val="24"/>
          <w:szCs w:val="24"/>
        </w:rPr>
        <w:t xml:space="preserve">is organised as follows. Convergence </w:t>
      </w:r>
      <w:r w:rsidR="00697629">
        <w:rPr>
          <w:rFonts w:ascii="Times New Roman" w:hAnsi="Times New Roman" w:cs="Times New Roman"/>
          <w:sz w:val="24"/>
          <w:szCs w:val="24"/>
        </w:rPr>
        <w:t>issues</w:t>
      </w:r>
      <w:r w:rsidR="001F5C12" w:rsidRPr="005517C4">
        <w:rPr>
          <w:rFonts w:ascii="Times New Roman" w:hAnsi="Times New Roman" w:cs="Times New Roman"/>
          <w:sz w:val="24"/>
          <w:szCs w:val="24"/>
        </w:rPr>
        <w:t xml:space="preserve"> and </w:t>
      </w:r>
      <w:r w:rsidR="00697629">
        <w:rPr>
          <w:rFonts w:ascii="Times New Roman" w:hAnsi="Times New Roman" w:cs="Times New Roman"/>
          <w:sz w:val="24"/>
          <w:szCs w:val="24"/>
        </w:rPr>
        <w:t>their impact</w:t>
      </w:r>
      <w:r w:rsidR="001F5C12" w:rsidRPr="005517C4">
        <w:rPr>
          <w:rFonts w:ascii="Times New Roman" w:hAnsi="Times New Roman" w:cs="Times New Roman"/>
          <w:sz w:val="24"/>
          <w:szCs w:val="24"/>
        </w:rPr>
        <w:t xml:space="preserve"> on the environment are explained in </w:t>
      </w:r>
      <w:r w:rsidR="00697629">
        <w:rPr>
          <w:rFonts w:ascii="Times New Roman" w:hAnsi="Times New Roman" w:cs="Times New Roman"/>
          <w:sz w:val="24"/>
          <w:szCs w:val="24"/>
        </w:rPr>
        <w:t>S</w:t>
      </w:r>
      <w:r w:rsidR="001F5C12" w:rsidRPr="005517C4">
        <w:rPr>
          <w:rFonts w:ascii="Times New Roman" w:hAnsi="Times New Roman" w:cs="Times New Roman"/>
          <w:sz w:val="24"/>
          <w:szCs w:val="24"/>
        </w:rPr>
        <w:t>ection</w:t>
      </w:r>
      <w:r w:rsidR="00697629">
        <w:rPr>
          <w:rFonts w:ascii="Times New Roman" w:hAnsi="Times New Roman" w:cs="Times New Roman"/>
          <w:sz w:val="24"/>
          <w:szCs w:val="24"/>
        </w:rPr>
        <w:t xml:space="preserve"> 2, while a</w:t>
      </w:r>
      <w:r w:rsidR="001F5C12" w:rsidRPr="005517C4">
        <w:rPr>
          <w:rFonts w:ascii="Times New Roman" w:hAnsi="Times New Roman" w:cs="Times New Roman"/>
          <w:sz w:val="24"/>
          <w:szCs w:val="24"/>
        </w:rPr>
        <w:t xml:space="preserve"> </w:t>
      </w:r>
      <w:r w:rsidR="00697629">
        <w:rPr>
          <w:rFonts w:ascii="Times New Roman" w:hAnsi="Times New Roman" w:cs="Times New Roman"/>
          <w:sz w:val="24"/>
          <w:szCs w:val="24"/>
        </w:rPr>
        <w:t>b</w:t>
      </w:r>
      <w:r w:rsidR="00630436" w:rsidRPr="005517C4">
        <w:rPr>
          <w:rFonts w:ascii="Times New Roman" w:hAnsi="Times New Roman" w:cs="Times New Roman"/>
          <w:sz w:val="24"/>
          <w:szCs w:val="24"/>
        </w:rPr>
        <w:t>rief literature review o</w:t>
      </w:r>
      <w:r w:rsidR="00697629">
        <w:rPr>
          <w:rFonts w:ascii="Times New Roman" w:hAnsi="Times New Roman" w:cs="Times New Roman"/>
          <w:sz w:val="24"/>
          <w:szCs w:val="24"/>
        </w:rPr>
        <w:t>n</w:t>
      </w:r>
      <w:r w:rsidR="00630436" w:rsidRPr="005517C4">
        <w:rPr>
          <w:rFonts w:ascii="Times New Roman" w:hAnsi="Times New Roman" w:cs="Times New Roman"/>
          <w:sz w:val="24"/>
          <w:szCs w:val="24"/>
        </w:rPr>
        <w:t xml:space="preserve"> environmental convergence is discussed in </w:t>
      </w:r>
      <w:r w:rsidR="00697629">
        <w:rPr>
          <w:rFonts w:ascii="Times New Roman" w:hAnsi="Times New Roman" w:cs="Times New Roman"/>
          <w:sz w:val="24"/>
          <w:szCs w:val="24"/>
        </w:rPr>
        <w:t>S</w:t>
      </w:r>
      <w:r w:rsidR="00630436" w:rsidRPr="005517C4">
        <w:rPr>
          <w:rFonts w:ascii="Times New Roman" w:hAnsi="Times New Roman" w:cs="Times New Roman"/>
          <w:sz w:val="24"/>
          <w:szCs w:val="24"/>
        </w:rPr>
        <w:t xml:space="preserve">ection </w:t>
      </w:r>
      <w:r w:rsidR="00697629">
        <w:rPr>
          <w:rFonts w:ascii="Times New Roman" w:hAnsi="Times New Roman" w:cs="Times New Roman"/>
          <w:sz w:val="24"/>
          <w:szCs w:val="24"/>
        </w:rPr>
        <w:t>3</w:t>
      </w:r>
      <w:r w:rsidR="00630436" w:rsidRPr="005517C4">
        <w:rPr>
          <w:rFonts w:ascii="Times New Roman" w:hAnsi="Times New Roman" w:cs="Times New Roman"/>
          <w:sz w:val="24"/>
          <w:szCs w:val="24"/>
        </w:rPr>
        <w:t xml:space="preserve">. </w:t>
      </w:r>
      <w:r w:rsidR="00697629">
        <w:rPr>
          <w:rFonts w:ascii="Times New Roman" w:hAnsi="Times New Roman" w:cs="Times New Roman"/>
          <w:sz w:val="24"/>
          <w:szCs w:val="24"/>
        </w:rPr>
        <w:t>Section 4 describes the data set, as well as the</w:t>
      </w:r>
      <w:r w:rsidR="00630436" w:rsidRPr="005517C4">
        <w:rPr>
          <w:rFonts w:ascii="Times New Roman" w:hAnsi="Times New Roman" w:cs="Times New Roman"/>
          <w:sz w:val="24"/>
          <w:szCs w:val="24"/>
        </w:rPr>
        <w:t xml:space="preserve"> empirical methodology</w:t>
      </w:r>
      <w:r w:rsidR="00697629">
        <w:rPr>
          <w:rFonts w:ascii="Times New Roman" w:hAnsi="Times New Roman" w:cs="Times New Roman"/>
          <w:sz w:val="24"/>
          <w:szCs w:val="24"/>
        </w:rPr>
        <w:t xml:space="preserve"> used</w:t>
      </w:r>
      <w:r w:rsidR="00630436" w:rsidRPr="005517C4">
        <w:rPr>
          <w:rFonts w:ascii="Times New Roman" w:hAnsi="Times New Roman" w:cs="Times New Roman"/>
          <w:sz w:val="24"/>
          <w:szCs w:val="24"/>
        </w:rPr>
        <w:t xml:space="preserve">, </w:t>
      </w:r>
      <w:r w:rsidR="00697629">
        <w:rPr>
          <w:rFonts w:ascii="Times New Roman" w:hAnsi="Times New Roman" w:cs="Times New Roman"/>
          <w:sz w:val="24"/>
          <w:szCs w:val="24"/>
        </w:rPr>
        <w:t xml:space="preserve">while </w:t>
      </w:r>
      <w:r w:rsidR="00630436" w:rsidRPr="005517C4">
        <w:rPr>
          <w:rFonts w:ascii="Times New Roman" w:hAnsi="Times New Roman" w:cs="Times New Roman"/>
          <w:sz w:val="24"/>
          <w:szCs w:val="24"/>
        </w:rPr>
        <w:t>estimation results</w:t>
      </w:r>
      <w:r w:rsidR="00697629">
        <w:rPr>
          <w:rFonts w:ascii="Times New Roman" w:hAnsi="Times New Roman" w:cs="Times New Roman"/>
          <w:sz w:val="24"/>
          <w:szCs w:val="24"/>
        </w:rPr>
        <w:t xml:space="preserve"> are reported in Section 5. Finally, Section 6</w:t>
      </w:r>
      <w:r w:rsidR="00630436" w:rsidRPr="005517C4">
        <w:rPr>
          <w:rFonts w:ascii="Times New Roman" w:hAnsi="Times New Roman" w:cs="Times New Roman"/>
          <w:sz w:val="24"/>
          <w:szCs w:val="24"/>
        </w:rPr>
        <w:t xml:space="preserve"> conclu</w:t>
      </w:r>
      <w:r w:rsidR="00697629">
        <w:rPr>
          <w:rFonts w:ascii="Times New Roman" w:hAnsi="Times New Roman" w:cs="Times New Roman"/>
          <w:sz w:val="24"/>
          <w:szCs w:val="24"/>
        </w:rPr>
        <w:t>des</w:t>
      </w:r>
      <w:r w:rsidR="00630436" w:rsidRPr="005517C4">
        <w:rPr>
          <w:rFonts w:ascii="Times New Roman" w:hAnsi="Times New Roman" w:cs="Times New Roman"/>
          <w:sz w:val="24"/>
          <w:szCs w:val="24"/>
        </w:rPr>
        <w:t>.</w:t>
      </w:r>
    </w:p>
    <w:p w:rsidR="00CC5796" w:rsidRDefault="00CC5796" w:rsidP="00697629">
      <w:pPr>
        <w:spacing w:line="360" w:lineRule="auto"/>
        <w:ind w:firstLine="360"/>
        <w:jc w:val="both"/>
        <w:rPr>
          <w:rFonts w:ascii="Times New Roman" w:hAnsi="Times New Roman" w:cs="Times New Roman"/>
          <w:sz w:val="24"/>
          <w:szCs w:val="24"/>
        </w:rPr>
      </w:pPr>
    </w:p>
    <w:p w:rsidR="009551A5" w:rsidRPr="00697629" w:rsidRDefault="00697629" w:rsidP="00CC5796">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2. </w:t>
      </w:r>
      <w:r w:rsidR="00E27BD3" w:rsidRPr="00697629">
        <w:rPr>
          <w:rFonts w:ascii="Times New Roman" w:hAnsi="Times New Roman" w:cs="Times New Roman"/>
          <w:b/>
          <w:sz w:val="24"/>
          <w:szCs w:val="24"/>
        </w:rPr>
        <w:t>C</w:t>
      </w:r>
      <w:r w:rsidR="00E57363" w:rsidRPr="00697629">
        <w:rPr>
          <w:rFonts w:ascii="Times New Roman" w:hAnsi="Times New Roman" w:cs="Times New Roman"/>
          <w:b/>
          <w:sz w:val="24"/>
          <w:szCs w:val="24"/>
        </w:rPr>
        <w:t>onvergence</w:t>
      </w:r>
      <w:r w:rsidR="00D74742" w:rsidRPr="00697629">
        <w:rPr>
          <w:rFonts w:ascii="Times New Roman" w:hAnsi="Times New Roman" w:cs="Times New Roman"/>
          <w:b/>
          <w:sz w:val="24"/>
          <w:szCs w:val="24"/>
        </w:rPr>
        <w:t xml:space="preserve"> </w:t>
      </w:r>
      <w:r>
        <w:rPr>
          <w:rFonts w:ascii="Times New Roman" w:hAnsi="Times New Roman" w:cs="Times New Roman"/>
          <w:b/>
          <w:sz w:val="24"/>
          <w:szCs w:val="24"/>
        </w:rPr>
        <w:t>issues</w:t>
      </w:r>
    </w:p>
    <w:p w:rsidR="008A72FB" w:rsidRPr="005517C4" w:rsidRDefault="006C7F61" w:rsidP="006B3A70">
      <w:pPr>
        <w:spacing w:line="360" w:lineRule="auto"/>
        <w:jc w:val="both"/>
        <w:rPr>
          <w:rFonts w:ascii="Times New Roman" w:eastAsiaTheme="minorEastAsia" w:hAnsi="Times New Roman" w:cs="Times New Roman"/>
          <w:sz w:val="24"/>
          <w:szCs w:val="24"/>
        </w:rPr>
      </w:pPr>
      <w:r>
        <w:rPr>
          <w:rFonts w:ascii="Times New Roman" w:hAnsi="Times New Roman" w:cs="Times New Roman"/>
          <w:sz w:val="24"/>
          <w:szCs w:val="24"/>
        </w:rPr>
        <w:t>The discussion on c</w:t>
      </w:r>
      <w:r w:rsidR="00CE7761" w:rsidRPr="005517C4">
        <w:rPr>
          <w:rFonts w:ascii="Times New Roman" w:hAnsi="Times New Roman" w:cs="Times New Roman"/>
          <w:sz w:val="24"/>
          <w:szCs w:val="24"/>
        </w:rPr>
        <w:t>onvergence ha</w:t>
      </w:r>
      <w:r>
        <w:rPr>
          <w:rFonts w:ascii="Times New Roman" w:hAnsi="Times New Roman" w:cs="Times New Roman"/>
          <w:sz w:val="24"/>
          <w:szCs w:val="24"/>
        </w:rPr>
        <w:t>s been initiated</w:t>
      </w:r>
      <w:r w:rsidR="00CE7761" w:rsidRPr="005517C4">
        <w:rPr>
          <w:rFonts w:ascii="Times New Roman" w:hAnsi="Times New Roman" w:cs="Times New Roman"/>
          <w:sz w:val="24"/>
          <w:szCs w:val="24"/>
        </w:rPr>
        <w:t xml:space="preserve"> </w:t>
      </w:r>
      <w:r>
        <w:rPr>
          <w:rFonts w:ascii="Times New Roman" w:hAnsi="Times New Roman" w:cs="Times New Roman"/>
          <w:sz w:val="24"/>
          <w:szCs w:val="24"/>
        </w:rPr>
        <w:t>with that on the</w:t>
      </w:r>
      <w:r w:rsidR="00CE7761" w:rsidRPr="005517C4">
        <w:rPr>
          <w:rFonts w:ascii="Times New Roman" w:hAnsi="Times New Roman" w:cs="Times New Roman"/>
          <w:sz w:val="24"/>
          <w:szCs w:val="24"/>
        </w:rPr>
        <w:t xml:space="preserve"> </w:t>
      </w:r>
      <w:r w:rsidR="006D5CB5" w:rsidRPr="005517C4">
        <w:rPr>
          <w:rFonts w:ascii="Times New Roman" w:hAnsi="Times New Roman" w:cs="Times New Roman"/>
          <w:sz w:val="24"/>
          <w:szCs w:val="24"/>
        </w:rPr>
        <w:t>n</w:t>
      </w:r>
      <w:r w:rsidR="0013730D" w:rsidRPr="005517C4">
        <w:rPr>
          <w:rFonts w:ascii="Times New Roman" w:hAnsi="Times New Roman" w:cs="Times New Roman"/>
          <w:sz w:val="24"/>
          <w:szCs w:val="24"/>
        </w:rPr>
        <w:t>eo</w:t>
      </w:r>
      <w:r w:rsidR="006D5CB5" w:rsidRPr="005517C4">
        <w:rPr>
          <w:rFonts w:ascii="Times New Roman" w:hAnsi="Times New Roman" w:cs="Times New Roman"/>
          <w:sz w:val="24"/>
          <w:szCs w:val="24"/>
        </w:rPr>
        <w:t>-</w:t>
      </w:r>
      <w:r w:rsidR="0013730D" w:rsidRPr="005517C4">
        <w:rPr>
          <w:rFonts w:ascii="Times New Roman" w:hAnsi="Times New Roman" w:cs="Times New Roman"/>
          <w:sz w:val="24"/>
          <w:szCs w:val="24"/>
        </w:rPr>
        <w:t xml:space="preserve">classical growth theory developed by </w:t>
      </w:r>
      <w:r w:rsidR="006578EE" w:rsidRPr="005517C4">
        <w:rPr>
          <w:rFonts w:ascii="Times New Roman" w:hAnsi="Times New Roman" w:cs="Times New Roman"/>
          <w:sz w:val="24"/>
          <w:szCs w:val="24"/>
        </w:rPr>
        <w:fldChar w:fldCharType="begin" w:fldLock="1"/>
      </w:r>
      <w:r w:rsidR="00545AE8" w:rsidRPr="005517C4">
        <w:rPr>
          <w:rFonts w:ascii="Times New Roman" w:hAnsi="Times New Roman" w:cs="Times New Roman"/>
          <w:sz w:val="24"/>
          <w:szCs w:val="24"/>
        </w:rPr>
        <w:instrText>ADDIN CSL_CITATION { "citationItems" : [ { "id" : "ITEM-1", "itemData" : { "abstract" : "Each copy of any part of a JSTOR transmission must contain the same copyright notice that appears on the screen or printed page of such transmission. JSTOR is a not-for-profit service that helps scholars, researchers, and students discover, use, and build upon a wide range of content in a trusted digital archive. We use information technology and tools to increase productivity and facilitate new forms of scholarship. For more information about JSTOR, please contact support@jstor.org. I. Introduction, 65. -II. A model of long-run growth, 66. -III. Possible growth patterns, 68. -IV. Examples, 73. -V. Behavior of interest and wage rates, 78. -VI. Extensions, 85. -VIT. Qualifications, 91.", "author" : [ { "dropping-particle" : "", "family" : "Solow", "given" : "Robert M", "non-dropping-particle" : "", "parse-names" : false, "suffix" : "" } ], "container-title" : "Source: The Quarterly Journal of Economics", "id" : "ITEM-1", "issue" : "1", "issued" : { "date-parts" : [ [ "1956" ] ] }, "page" : "65-94", "publisher" : "The MIT Press", "title" : "A CONTRIBUTION TO THE THEORY OF ECONOMIC GROWTH", "type" : "article-journal", "volume" : "70" }, "uris" : [ "http://www.mendeley.com/documents/?uuid=7a68dcd5-ed5c-3d38-91b2-8f670a4226b5" ] } ], "mendeley" : { "formattedCitation" : "(Solow 1956)", "manualFormatting" : "Solow (1956)", "plainTextFormattedCitation" : "(Solow 1956)", "previouslyFormattedCitation" : "(Solow 1956)" }, "properties" : { "noteIndex" : 0 }, "schema" : "https://github.com/citation-style-language/schema/raw/master/csl-citation.json" }</w:instrText>
      </w:r>
      <w:r w:rsidR="006578EE" w:rsidRPr="005517C4">
        <w:rPr>
          <w:rFonts w:ascii="Times New Roman" w:hAnsi="Times New Roman" w:cs="Times New Roman"/>
          <w:sz w:val="24"/>
          <w:szCs w:val="24"/>
        </w:rPr>
        <w:fldChar w:fldCharType="separate"/>
      </w:r>
      <w:r w:rsidR="0013730D" w:rsidRPr="005517C4">
        <w:rPr>
          <w:rFonts w:ascii="Times New Roman" w:hAnsi="Times New Roman" w:cs="Times New Roman"/>
          <w:noProof/>
          <w:sz w:val="24"/>
          <w:szCs w:val="24"/>
        </w:rPr>
        <w:t>Solow (1956)</w:t>
      </w:r>
      <w:r w:rsidR="006578EE" w:rsidRPr="005517C4">
        <w:rPr>
          <w:rFonts w:ascii="Times New Roman" w:hAnsi="Times New Roman" w:cs="Times New Roman"/>
          <w:sz w:val="24"/>
          <w:szCs w:val="24"/>
        </w:rPr>
        <w:fldChar w:fldCharType="end"/>
      </w:r>
      <w:r w:rsidR="0013730D" w:rsidRPr="005517C4">
        <w:rPr>
          <w:rFonts w:ascii="Times New Roman" w:hAnsi="Times New Roman" w:cs="Times New Roman"/>
          <w:sz w:val="24"/>
          <w:szCs w:val="24"/>
        </w:rPr>
        <w:t xml:space="preserve">. </w:t>
      </w:r>
      <w:r w:rsidR="00151EB3" w:rsidRPr="005517C4">
        <w:rPr>
          <w:rFonts w:ascii="Times New Roman" w:hAnsi="Times New Roman" w:cs="Times New Roman"/>
          <w:sz w:val="24"/>
          <w:szCs w:val="24"/>
        </w:rPr>
        <w:t>One of the mo</w:t>
      </w:r>
      <w:r w:rsidR="00A10AB2" w:rsidRPr="005517C4">
        <w:rPr>
          <w:rFonts w:ascii="Times New Roman" w:hAnsi="Times New Roman" w:cs="Times New Roman"/>
          <w:sz w:val="24"/>
          <w:szCs w:val="24"/>
        </w:rPr>
        <w:t>st critical</w:t>
      </w:r>
      <w:r w:rsidR="0013730D" w:rsidRPr="005517C4">
        <w:rPr>
          <w:rFonts w:ascii="Times New Roman" w:hAnsi="Times New Roman" w:cs="Times New Roman"/>
          <w:sz w:val="24"/>
          <w:szCs w:val="24"/>
        </w:rPr>
        <w:t xml:space="preserve"> assumption</w:t>
      </w:r>
      <w:r>
        <w:rPr>
          <w:rFonts w:ascii="Times New Roman" w:hAnsi="Times New Roman" w:cs="Times New Roman"/>
          <w:sz w:val="24"/>
          <w:szCs w:val="24"/>
        </w:rPr>
        <w:t>s</w:t>
      </w:r>
      <w:r w:rsidR="00151EB3" w:rsidRPr="005517C4">
        <w:rPr>
          <w:rFonts w:ascii="Times New Roman" w:hAnsi="Times New Roman" w:cs="Times New Roman"/>
          <w:sz w:val="24"/>
          <w:szCs w:val="24"/>
        </w:rPr>
        <w:t xml:space="preserve"> of </w:t>
      </w:r>
      <w:r>
        <w:rPr>
          <w:rFonts w:ascii="Times New Roman" w:hAnsi="Times New Roman" w:cs="Times New Roman"/>
          <w:sz w:val="24"/>
          <w:szCs w:val="24"/>
        </w:rPr>
        <w:t xml:space="preserve">the </w:t>
      </w:r>
      <w:r w:rsidR="00151EB3" w:rsidRPr="005517C4">
        <w:rPr>
          <w:rFonts w:ascii="Times New Roman" w:hAnsi="Times New Roman" w:cs="Times New Roman"/>
          <w:sz w:val="24"/>
          <w:szCs w:val="24"/>
        </w:rPr>
        <w:t xml:space="preserve">Solow growth model is </w:t>
      </w:r>
      <w:r>
        <w:rPr>
          <w:rFonts w:ascii="Times New Roman" w:hAnsi="Times New Roman" w:cs="Times New Roman"/>
          <w:sz w:val="24"/>
          <w:szCs w:val="24"/>
        </w:rPr>
        <w:t xml:space="preserve">the presence of </w:t>
      </w:r>
      <w:r w:rsidR="00BE3333" w:rsidRPr="005517C4">
        <w:rPr>
          <w:rFonts w:ascii="Times New Roman" w:hAnsi="Times New Roman" w:cs="Times New Roman"/>
          <w:sz w:val="24"/>
          <w:szCs w:val="24"/>
        </w:rPr>
        <w:t>diminishing returns</w:t>
      </w:r>
      <w:r>
        <w:rPr>
          <w:rFonts w:ascii="Times New Roman" w:hAnsi="Times New Roman" w:cs="Times New Roman"/>
          <w:sz w:val="24"/>
          <w:szCs w:val="24"/>
        </w:rPr>
        <w:t>,</w:t>
      </w:r>
      <w:r w:rsidR="00151EB3" w:rsidRPr="005517C4">
        <w:rPr>
          <w:rFonts w:ascii="Times New Roman" w:hAnsi="Times New Roman" w:cs="Times New Roman"/>
          <w:sz w:val="24"/>
          <w:szCs w:val="24"/>
        </w:rPr>
        <w:t xml:space="preserve"> impl</w:t>
      </w:r>
      <w:r>
        <w:rPr>
          <w:rFonts w:ascii="Times New Roman" w:hAnsi="Times New Roman" w:cs="Times New Roman"/>
          <w:sz w:val="24"/>
          <w:szCs w:val="24"/>
        </w:rPr>
        <w:t>ying</w:t>
      </w:r>
      <w:r w:rsidR="00151EB3" w:rsidRPr="005517C4">
        <w:rPr>
          <w:rFonts w:ascii="Times New Roman" w:hAnsi="Times New Roman" w:cs="Times New Roman"/>
          <w:sz w:val="24"/>
          <w:szCs w:val="24"/>
        </w:rPr>
        <w:t xml:space="preserve"> that</w:t>
      </w:r>
      <w:r w:rsidR="00BE3333" w:rsidRPr="005517C4">
        <w:rPr>
          <w:rFonts w:ascii="Times New Roman" w:hAnsi="Times New Roman" w:cs="Times New Roman"/>
          <w:sz w:val="24"/>
          <w:szCs w:val="24"/>
        </w:rPr>
        <w:t xml:space="preserve"> </w:t>
      </w:r>
      <w:r>
        <w:rPr>
          <w:rFonts w:ascii="Times New Roman" w:hAnsi="Times New Roman" w:cs="Times New Roman"/>
          <w:sz w:val="24"/>
          <w:szCs w:val="24"/>
        </w:rPr>
        <w:t xml:space="preserve">the </w:t>
      </w:r>
      <w:r w:rsidR="00151EB3" w:rsidRPr="005517C4">
        <w:rPr>
          <w:rFonts w:ascii="Times New Roman" w:hAnsi="Times New Roman" w:cs="Times New Roman"/>
          <w:sz w:val="24"/>
          <w:szCs w:val="24"/>
        </w:rPr>
        <w:t>marginal product of capital is large when the capital stock is small and that it is small when the capital stock is large</w:t>
      </w:r>
      <w:r>
        <w:rPr>
          <w:rFonts w:ascii="Times New Roman" w:hAnsi="Times New Roman" w:cs="Times New Roman"/>
          <w:sz w:val="24"/>
          <w:szCs w:val="24"/>
        </w:rPr>
        <w:t xml:space="preserve"> by</w:t>
      </w:r>
      <w:r w:rsidR="004E5BF9" w:rsidRPr="005517C4">
        <w:rPr>
          <w:rFonts w:ascii="Times New Roman" w:hAnsi="Times New Roman" w:cs="Times New Roman"/>
          <w:sz w:val="24"/>
          <w:szCs w:val="24"/>
        </w:rPr>
        <w:t xml:space="preserve"> considering</w:t>
      </w:r>
      <w:r w:rsidR="00BE3333" w:rsidRPr="005517C4">
        <w:rPr>
          <w:rFonts w:ascii="Times New Roman" w:hAnsi="Times New Roman" w:cs="Times New Roman"/>
          <w:sz w:val="24"/>
          <w:szCs w:val="24"/>
        </w:rPr>
        <w:t xml:space="preserve"> </w:t>
      </w:r>
      <w:r>
        <w:rPr>
          <w:rFonts w:ascii="Times New Roman" w:hAnsi="Times New Roman" w:cs="Times New Roman"/>
          <w:sz w:val="24"/>
          <w:szCs w:val="24"/>
        </w:rPr>
        <w:t xml:space="preserve">the </w:t>
      </w:r>
      <w:r w:rsidR="006578EE" w:rsidRPr="005517C4">
        <w:rPr>
          <w:rFonts w:ascii="Times New Roman" w:hAnsi="Times New Roman" w:cs="Times New Roman"/>
          <w:sz w:val="24"/>
          <w:szCs w:val="24"/>
        </w:rPr>
        <w:fldChar w:fldCharType="begin" w:fldLock="1"/>
      </w:r>
      <w:r w:rsidR="00545AE8" w:rsidRPr="005517C4">
        <w:rPr>
          <w:rFonts w:ascii="Times New Roman" w:hAnsi="Times New Roman" w:cs="Times New Roman"/>
          <w:sz w:val="24"/>
          <w:szCs w:val="24"/>
        </w:rPr>
        <w:instrText>ADDIN CSL_CITATION { "citationItems" : [ { "id" : "ITEM-1", "itemData" : { "DOI" : "10.2307/2295809", "ISSN" : "00346527", "author" : [ { "dropping-particle" : "", "family" : "Inada", "given" : "Ken-Ichi", "non-dropping-particle" : "", "parse-names" : false, "suffix" : "" } ], "container-title" : "The Review of Economic Studies", "id" : "ITEM-1", "issue" : "2", "issued" : { "date-parts" : [ [ "1963", "6" ] ] }, "page" : "119", "publisher" : "Oxford University Press", "title" : "On a Two-Sector Model of Economic Growth: Comments and a Generalization", "type" : "article-journal", "volume" : "30" }, "uris" : [ "http://www.mendeley.com/documents/?uuid=d1eaa0c5-1c83-3e0e-b154-dbc63f785489" ] } ], "mendeley" : { "formattedCitation" : "(Inada 1963)", "manualFormatting" : "Inada (1963)", "plainTextFormattedCitation" : "(Inada 1963)", "previouslyFormattedCitation" : "(Inada 1963)" }, "properties" : { "noteIndex" : 0 }, "schema" : "https://github.com/citation-style-language/schema/raw/master/csl-citation.json" }</w:instrText>
      </w:r>
      <w:r w:rsidR="006578EE" w:rsidRPr="005517C4">
        <w:rPr>
          <w:rFonts w:ascii="Times New Roman" w:hAnsi="Times New Roman" w:cs="Times New Roman"/>
          <w:sz w:val="24"/>
          <w:szCs w:val="24"/>
        </w:rPr>
        <w:fldChar w:fldCharType="separate"/>
      </w:r>
      <w:r w:rsidR="00BE3333" w:rsidRPr="005517C4">
        <w:rPr>
          <w:rFonts w:ascii="Times New Roman" w:hAnsi="Times New Roman" w:cs="Times New Roman"/>
          <w:noProof/>
          <w:sz w:val="24"/>
          <w:szCs w:val="24"/>
        </w:rPr>
        <w:t>Inada (1963)</w:t>
      </w:r>
      <w:r w:rsidR="006578EE" w:rsidRPr="005517C4">
        <w:rPr>
          <w:rFonts w:ascii="Times New Roman" w:hAnsi="Times New Roman" w:cs="Times New Roman"/>
          <w:sz w:val="24"/>
          <w:szCs w:val="24"/>
        </w:rPr>
        <w:fldChar w:fldCharType="end"/>
      </w:r>
      <w:r w:rsidR="00BE3333" w:rsidRPr="005517C4">
        <w:rPr>
          <w:rFonts w:ascii="Times New Roman" w:hAnsi="Times New Roman" w:cs="Times New Roman"/>
          <w:sz w:val="24"/>
          <w:szCs w:val="24"/>
        </w:rPr>
        <w:t xml:space="preserve"> </w:t>
      </w:r>
      <w:r w:rsidR="00DC1D3C" w:rsidRPr="005517C4">
        <w:rPr>
          <w:rFonts w:ascii="Times New Roman" w:hAnsi="Times New Roman" w:cs="Times New Roman"/>
          <w:sz w:val="24"/>
          <w:szCs w:val="24"/>
        </w:rPr>
        <w:t>c</w:t>
      </w:r>
      <w:r w:rsidR="00BE3333" w:rsidRPr="005517C4">
        <w:rPr>
          <w:rFonts w:ascii="Times New Roman" w:hAnsi="Times New Roman" w:cs="Times New Roman"/>
          <w:sz w:val="24"/>
          <w:szCs w:val="24"/>
        </w:rPr>
        <w:t>ondition</w:t>
      </w:r>
      <w:r w:rsidR="00DC1D3C" w:rsidRPr="005517C4">
        <w:rPr>
          <w:rFonts w:ascii="Times New Roman" w:hAnsi="Times New Roman" w:cs="Times New Roman"/>
          <w:sz w:val="24"/>
          <w:szCs w:val="24"/>
        </w:rPr>
        <w:t>s</w:t>
      </w:r>
      <w:r>
        <w:rPr>
          <w:rFonts w:ascii="Times New Roman" w:hAnsi="Times New Roman" w:cs="Times New Roman"/>
          <w:sz w:val="24"/>
          <w:szCs w:val="24"/>
        </w:rPr>
        <w:t>,</w:t>
      </w:r>
      <w:r w:rsidR="006D5CB5" w:rsidRPr="005517C4">
        <w:rPr>
          <w:rFonts w:ascii="Times New Roman" w:hAnsi="Times New Roman" w:cs="Times New Roman"/>
          <w:sz w:val="24"/>
          <w:szCs w:val="24"/>
        </w:rPr>
        <w:t xml:space="preserve"> </w:t>
      </w:r>
      <w:r w:rsidR="00726CA9" w:rsidRPr="005517C4">
        <w:rPr>
          <w:rFonts w:ascii="Times New Roman" w:hAnsi="Times New Roman" w:cs="Times New Roman"/>
          <w:sz w:val="24"/>
          <w:szCs w:val="24"/>
        </w:rPr>
        <w:t>symbolised</w:t>
      </w:r>
      <w:r w:rsidR="006D5CB5" w:rsidRPr="005517C4">
        <w:rPr>
          <w:rFonts w:ascii="Times New Roman" w:hAnsi="Times New Roman" w:cs="Times New Roman"/>
          <w:sz w:val="24"/>
          <w:szCs w:val="24"/>
        </w:rPr>
        <w:t xml:space="preserve"> by </w:t>
      </w:r>
      <m:oMath>
        <m:sSub>
          <m:sSubPr>
            <m:ctrlPr>
              <w:rPr>
                <w:rFonts w:ascii="Cambria Math" w:hAnsi="Cambria Math" w:cs="Times New Roman"/>
                <w:i/>
                <w:sz w:val="24"/>
                <w:szCs w:val="24"/>
              </w:rPr>
            </m:ctrlPr>
          </m:sSubPr>
          <m:e>
            <m:r>
              <w:rPr>
                <w:rFonts w:ascii="Cambria Math" w:hAnsi="Cambria Math" w:cs="Times New Roman"/>
                <w:sz w:val="24"/>
                <w:szCs w:val="24"/>
              </w:rPr>
              <m:t>lim</m:t>
            </m:r>
          </m:e>
          <m:sub>
            <m:r>
              <w:rPr>
                <w:rFonts w:ascii="Cambria Math" w:hAnsi="Cambria Math" w:cs="Times New Roman"/>
                <w:sz w:val="24"/>
                <w:szCs w:val="24"/>
              </w:rPr>
              <m:t>k→∞</m:t>
            </m:r>
          </m:sub>
        </m:sSub>
        <m:sSup>
          <m:sSupPr>
            <m:ctrlPr>
              <w:rPr>
                <w:rFonts w:ascii="Cambria Math" w:hAnsi="Cambria Math" w:cs="Times New Roman"/>
                <w:i/>
                <w:sz w:val="24"/>
                <w:szCs w:val="24"/>
              </w:rPr>
            </m:ctrlPr>
          </m:sSupPr>
          <m:e>
            <m:r>
              <w:rPr>
                <w:rFonts w:ascii="Cambria Math" w:hAnsi="Cambria Math" w:cs="Times New Roman"/>
                <w:sz w:val="24"/>
                <w:szCs w:val="24"/>
              </w:rPr>
              <m:t>f</m:t>
            </m:r>
          </m:e>
          <m:sup>
            <m:r>
              <w:rPr>
                <w:rFonts w:ascii="Cambria Math" w:hAnsi="Cambria Math" w:cs="Times New Roman"/>
                <w:sz w:val="24"/>
                <w:szCs w:val="24"/>
              </w:rPr>
              <m:t>'</m:t>
            </m:r>
          </m:sup>
        </m:sSup>
        <m:d>
          <m:dPr>
            <m:ctrlPr>
              <w:rPr>
                <w:rFonts w:ascii="Cambria Math" w:hAnsi="Cambria Math" w:cs="Times New Roman"/>
                <w:i/>
                <w:sz w:val="24"/>
                <w:szCs w:val="24"/>
              </w:rPr>
            </m:ctrlPr>
          </m:dPr>
          <m:e>
            <m:r>
              <w:rPr>
                <w:rFonts w:ascii="Cambria Math" w:hAnsi="Cambria Math" w:cs="Times New Roman"/>
                <w:sz w:val="24"/>
                <w:szCs w:val="24"/>
              </w:rPr>
              <m:t>k</m:t>
            </m:r>
          </m:e>
        </m:d>
        <m:r>
          <w:rPr>
            <w:rFonts w:ascii="Cambria Math" w:hAnsi="Cambria Math" w:cs="Times New Roman"/>
            <w:sz w:val="24"/>
            <w:szCs w:val="24"/>
          </w:rPr>
          <m:t>=0</m:t>
        </m:r>
      </m:oMath>
      <w:r w:rsidR="00975227" w:rsidRPr="005517C4">
        <w:rPr>
          <w:rFonts w:ascii="Times New Roman" w:eastAsiaTheme="minorEastAsia" w:hAnsi="Times New Roman" w:cs="Times New Roman"/>
          <w:sz w:val="24"/>
          <w:szCs w:val="24"/>
        </w:rPr>
        <w:t xml:space="preserve"> and </w:t>
      </w:r>
      <m:oMath>
        <m:sSub>
          <m:sSubPr>
            <m:ctrlPr>
              <w:rPr>
                <w:rFonts w:ascii="Cambria Math" w:hAnsi="Cambria Math" w:cs="Times New Roman"/>
                <w:i/>
                <w:sz w:val="24"/>
                <w:szCs w:val="24"/>
              </w:rPr>
            </m:ctrlPr>
          </m:sSubPr>
          <m:e>
            <m:r>
              <w:rPr>
                <w:rFonts w:ascii="Cambria Math" w:hAnsi="Cambria Math" w:cs="Times New Roman"/>
                <w:sz w:val="24"/>
                <w:szCs w:val="24"/>
              </w:rPr>
              <m:t>lim</m:t>
            </m:r>
          </m:e>
          <m:sub>
            <m:r>
              <w:rPr>
                <w:rFonts w:ascii="Cambria Math" w:hAnsi="Cambria Math" w:cs="Times New Roman"/>
                <w:sz w:val="24"/>
                <w:szCs w:val="24"/>
              </w:rPr>
              <m:t>k→0</m:t>
            </m:r>
          </m:sub>
        </m:sSub>
        <m:sSup>
          <m:sSupPr>
            <m:ctrlPr>
              <w:rPr>
                <w:rFonts w:ascii="Cambria Math" w:hAnsi="Cambria Math" w:cs="Times New Roman"/>
                <w:i/>
                <w:sz w:val="24"/>
                <w:szCs w:val="24"/>
              </w:rPr>
            </m:ctrlPr>
          </m:sSupPr>
          <m:e>
            <m:r>
              <w:rPr>
                <w:rFonts w:ascii="Cambria Math" w:hAnsi="Cambria Math" w:cs="Times New Roman"/>
                <w:sz w:val="24"/>
                <w:szCs w:val="24"/>
              </w:rPr>
              <m:t>f</m:t>
            </m:r>
          </m:e>
          <m:sup>
            <m:r>
              <w:rPr>
                <w:rFonts w:ascii="Cambria Math" w:hAnsi="Cambria Math" w:cs="Times New Roman"/>
                <w:sz w:val="24"/>
                <w:szCs w:val="24"/>
              </w:rPr>
              <m:t>'</m:t>
            </m:r>
          </m:sup>
        </m:sSup>
        <m:d>
          <m:dPr>
            <m:ctrlPr>
              <w:rPr>
                <w:rFonts w:ascii="Cambria Math" w:hAnsi="Cambria Math" w:cs="Times New Roman"/>
                <w:i/>
                <w:sz w:val="24"/>
                <w:szCs w:val="24"/>
              </w:rPr>
            </m:ctrlPr>
          </m:dPr>
          <m:e>
            <m:r>
              <w:rPr>
                <w:rFonts w:ascii="Cambria Math" w:hAnsi="Cambria Math" w:cs="Times New Roman"/>
                <w:sz w:val="24"/>
                <w:szCs w:val="24"/>
              </w:rPr>
              <m:t>k</m:t>
            </m:r>
          </m:e>
        </m:d>
        <m:r>
          <w:rPr>
            <w:rFonts w:ascii="Cambria Math" w:hAnsi="Cambria Math" w:cs="Times New Roman"/>
            <w:sz w:val="24"/>
            <w:szCs w:val="24"/>
          </w:rPr>
          <m:t>=∞</m:t>
        </m:r>
      </m:oMath>
      <w:r w:rsidR="00975227" w:rsidRPr="005517C4">
        <w:rPr>
          <w:rFonts w:ascii="Times New Roman" w:hAnsi="Times New Roman" w:cs="Times New Roman"/>
          <w:sz w:val="24"/>
          <w:szCs w:val="24"/>
        </w:rPr>
        <w:t xml:space="preserve">. </w:t>
      </w:r>
      <w:r w:rsidR="00726CA9" w:rsidRPr="005517C4">
        <w:rPr>
          <w:rFonts w:ascii="Times New Roman" w:hAnsi="Times New Roman" w:cs="Times New Roman"/>
          <w:sz w:val="24"/>
          <w:szCs w:val="24"/>
        </w:rPr>
        <w:t>This critical assumption leads to test convergence within an economy or across econom</w:t>
      </w:r>
      <w:r w:rsidR="00E73420" w:rsidRPr="005517C4">
        <w:rPr>
          <w:rFonts w:ascii="Times New Roman" w:hAnsi="Times New Roman" w:cs="Times New Roman"/>
          <w:sz w:val="24"/>
          <w:szCs w:val="24"/>
        </w:rPr>
        <w:t>ies</w:t>
      </w:r>
      <w:r w:rsidR="00726CA9" w:rsidRPr="005517C4">
        <w:rPr>
          <w:rFonts w:ascii="Times New Roman" w:hAnsi="Times New Roman" w:cs="Times New Roman"/>
          <w:sz w:val="24"/>
          <w:szCs w:val="24"/>
        </w:rPr>
        <w:t xml:space="preserve"> by </w:t>
      </w:r>
      <w:r w:rsidR="00E73420" w:rsidRPr="005517C4">
        <w:rPr>
          <w:rFonts w:ascii="Times New Roman" w:hAnsi="Times New Roman" w:cs="Times New Roman"/>
          <w:sz w:val="24"/>
          <w:szCs w:val="24"/>
        </w:rPr>
        <w:t xml:space="preserve">modelling </w:t>
      </w:r>
      <w:r>
        <w:rPr>
          <w:rFonts w:ascii="Times New Roman" w:hAnsi="Times New Roman" w:cs="Times New Roman"/>
          <w:sz w:val="24"/>
          <w:szCs w:val="24"/>
        </w:rPr>
        <w:t>a</w:t>
      </w:r>
      <w:r w:rsidR="004F3685" w:rsidRPr="005517C4">
        <w:rPr>
          <w:rFonts w:ascii="Times New Roman" w:hAnsi="Times New Roman" w:cs="Times New Roman"/>
          <w:sz w:val="24"/>
          <w:szCs w:val="24"/>
        </w:rPr>
        <w:t xml:space="preserve"> </w:t>
      </w:r>
      <w:r w:rsidR="00E73420" w:rsidRPr="005517C4">
        <w:rPr>
          <w:rFonts w:ascii="Times New Roman" w:hAnsi="Times New Roman" w:cs="Times New Roman"/>
          <w:sz w:val="24"/>
          <w:szCs w:val="24"/>
        </w:rPr>
        <w:t xml:space="preserve">negative correlation </w:t>
      </w:r>
      <w:r w:rsidR="004F3685" w:rsidRPr="005517C4">
        <w:rPr>
          <w:rFonts w:ascii="Times New Roman" w:hAnsi="Times New Roman" w:cs="Times New Roman"/>
          <w:sz w:val="24"/>
          <w:szCs w:val="24"/>
        </w:rPr>
        <w:t>between initial income level</w:t>
      </w:r>
      <w:r>
        <w:rPr>
          <w:rFonts w:ascii="Times New Roman" w:hAnsi="Times New Roman" w:cs="Times New Roman"/>
          <w:sz w:val="24"/>
          <w:szCs w:val="24"/>
        </w:rPr>
        <w:t>s</w:t>
      </w:r>
      <w:r w:rsidR="004F3685" w:rsidRPr="005517C4">
        <w:rPr>
          <w:rFonts w:ascii="Times New Roman" w:hAnsi="Times New Roman" w:cs="Times New Roman"/>
          <w:sz w:val="24"/>
          <w:szCs w:val="24"/>
        </w:rPr>
        <w:t xml:space="preserve"> and subsequent growth rate</w:t>
      </w:r>
      <w:r>
        <w:rPr>
          <w:rFonts w:ascii="Times New Roman" w:hAnsi="Times New Roman" w:cs="Times New Roman"/>
          <w:sz w:val="24"/>
          <w:szCs w:val="24"/>
        </w:rPr>
        <w:t>s</w:t>
      </w:r>
      <w:r w:rsidR="004F3685" w:rsidRPr="005517C4">
        <w:rPr>
          <w:rFonts w:ascii="Times New Roman" w:hAnsi="Times New Roman" w:cs="Times New Roman"/>
          <w:sz w:val="24"/>
          <w:szCs w:val="24"/>
        </w:rPr>
        <w:t>. This negative correlation has been tested by growth-initial level regression</w:t>
      </w:r>
      <w:r>
        <w:rPr>
          <w:rFonts w:ascii="Times New Roman" w:hAnsi="Times New Roman" w:cs="Times New Roman"/>
          <w:sz w:val="24"/>
          <w:szCs w:val="24"/>
        </w:rPr>
        <w:t>s, i.e.</w:t>
      </w:r>
      <w:r w:rsidR="004F3685" w:rsidRPr="005517C4">
        <w:rPr>
          <w:rFonts w:ascii="Times New Roman" w:hAnsi="Times New Roman" w:cs="Times New Roman"/>
          <w:sz w:val="24"/>
          <w:szCs w:val="24"/>
        </w:rPr>
        <w:t xml:space="preserve"> </w:t>
      </w:r>
      <w:r>
        <w:rPr>
          <w:rFonts w:ascii="Times New Roman" w:hAnsi="Times New Roman" w:cs="Times New Roman"/>
          <w:sz w:val="24"/>
          <w:szCs w:val="24"/>
        </w:rPr>
        <w:t>the</w:t>
      </w:r>
      <w:r w:rsidR="004F3685" w:rsidRPr="005517C4">
        <w:rPr>
          <w:rFonts w:ascii="Times New Roman" w:hAnsi="Times New Roman" w:cs="Times New Roman"/>
          <w:sz w:val="24"/>
          <w:szCs w:val="24"/>
        </w:rPr>
        <w:t xml:space="preserve"> </w:t>
      </w:r>
      <m:oMath>
        <m:r>
          <w:rPr>
            <w:rFonts w:ascii="Cambria Math" w:hAnsi="Cambria Math" w:cs="Times New Roman"/>
            <w:sz w:val="24"/>
            <w:szCs w:val="24"/>
          </w:rPr>
          <m:t>β</m:t>
        </m:r>
      </m:oMath>
      <w:r w:rsidR="006B3A70" w:rsidRPr="005517C4">
        <w:rPr>
          <w:rFonts w:ascii="Times New Roman" w:eastAsiaTheme="minorEastAsia" w:hAnsi="Times New Roman" w:cs="Times New Roman"/>
          <w:sz w:val="24"/>
          <w:szCs w:val="24"/>
        </w:rPr>
        <w:t>-</w:t>
      </w:r>
      <w:r w:rsidR="004F3685" w:rsidRPr="005517C4">
        <w:rPr>
          <w:rFonts w:ascii="Times New Roman" w:eastAsiaTheme="minorEastAsia" w:hAnsi="Times New Roman" w:cs="Times New Roman"/>
          <w:sz w:val="24"/>
          <w:szCs w:val="24"/>
        </w:rPr>
        <w:t xml:space="preserve">convergence </w:t>
      </w:r>
      <w:r>
        <w:rPr>
          <w:rFonts w:ascii="Times New Roman" w:eastAsiaTheme="minorEastAsia" w:hAnsi="Times New Roman" w:cs="Times New Roman"/>
          <w:sz w:val="24"/>
          <w:szCs w:val="24"/>
        </w:rPr>
        <w:t>approach</w:t>
      </w:r>
      <w:r w:rsidR="00667252" w:rsidRPr="005517C4">
        <w:rPr>
          <w:rFonts w:ascii="Times New Roman" w:eastAsiaTheme="minorEastAsia" w:hAnsi="Times New Roman" w:cs="Times New Roman"/>
          <w:sz w:val="24"/>
          <w:szCs w:val="24"/>
        </w:rPr>
        <w:t>.</w:t>
      </w:r>
      <w:r w:rsidR="000560CC" w:rsidRPr="005517C4">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The presence of this n</w:t>
      </w:r>
      <w:r w:rsidR="000560CC" w:rsidRPr="005517C4">
        <w:rPr>
          <w:rFonts w:ascii="Times New Roman" w:eastAsiaTheme="minorEastAsia" w:hAnsi="Times New Roman" w:cs="Times New Roman"/>
          <w:sz w:val="24"/>
          <w:szCs w:val="24"/>
        </w:rPr>
        <w:t xml:space="preserve">egative coefficient states that </w:t>
      </w:r>
      <w:r w:rsidR="003B5145" w:rsidRPr="005517C4">
        <w:rPr>
          <w:rFonts w:ascii="Times New Roman" w:eastAsiaTheme="minorEastAsia" w:hAnsi="Times New Roman" w:cs="Times New Roman"/>
          <w:sz w:val="24"/>
          <w:szCs w:val="24"/>
        </w:rPr>
        <w:t xml:space="preserve">countries </w:t>
      </w:r>
      <w:r>
        <w:rPr>
          <w:rFonts w:ascii="Times New Roman" w:eastAsiaTheme="minorEastAsia" w:hAnsi="Times New Roman" w:cs="Times New Roman"/>
          <w:sz w:val="24"/>
          <w:szCs w:val="24"/>
        </w:rPr>
        <w:t>with</w:t>
      </w:r>
      <w:r w:rsidR="003B5145" w:rsidRPr="005517C4">
        <w:rPr>
          <w:rFonts w:ascii="Times New Roman" w:eastAsiaTheme="minorEastAsia" w:hAnsi="Times New Roman" w:cs="Times New Roman"/>
          <w:sz w:val="24"/>
          <w:szCs w:val="24"/>
        </w:rPr>
        <w:t xml:space="preserve"> less capital stock</w:t>
      </w:r>
      <w:r>
        <w:rPr>
          <w:rFonts w:ascii="Times New Roman" w:eastAsiaTheme="minorEastAsia" w:hAnsi="Times New Roman" w:cs="Times New Roman"/>
          <w:sz w:val="24"/>
          <w:szCs w:val="24"/>
        </w:rPr>
        <w:t>s</w:t>
      </w:r>
      <w:r w:rsidR="003B5145" w:rsidRPr="005517C4">
        <w:rPr>
          <w:rFonts w:ascii="Times New Roman" w:eastAsiaTheme="minorEastAsia" w:hAnsi="Times New Roman" w:cs="Times New Roman"/>
          <w:sz w:val="24"/>
          <w:szCs w:val="24"/>
        </w:rPr>
        <w:t xml:space="preserve"> tend to grow faster than </w:t>
      </w:r>
      <w:r>
        <w:rPr>
          <w:rFonts w:ascii="Times New Roman" w:eastAsiaTheme="minorEastAsia" w:hAnsi="Times New Roman" w:cs="Times New Roman"/>
          <w:sz w:val="24"/>
          <w:szCs w:val="24"/>
        </w:rPr>
        <w:t xml:space="preserve">those with more capital given that the presence of </w:t>
      </w:r>
      <w:r w:rsidR="003B5145" w:rsidRPr="005517C4">
        <w:rPr>
          <w:rFonts w:ascii="Times New Roman" w:eastAsiaTheme="minorEastAsia" w:hAnsi="Times New Roman" w:cs="Times New Roman"/>
          <w:sz w:val="24"/>
          <w:szCs w:val="24"/>
        </w:rPr>
        <w:t xml:space="preserve">diminishing returns to capital come into play as </w:t>
      </w:r>
      <w:r>
        <w:rPr>
          <w:rFonts w:ascii="Times New Roman" w:eastAsiaTheme="minorEastAsia" w:hAnsi="Times New Roman" w:cs="Times New Roman"/>
          <w:sz w:val="24"/>
          <w:szCs w:val="24"/>
        </w:rPr>
        <w:t xml:space="preserve">the </w:t>
      </w:r>
      <w:r w:rsidR="003B5145" w:rsidRPr="005517C4">
        <w:rPr>
          <w:rFonts w:ascii="Times New Roman" w:eastAsiaTheme="minorEastAsia" w:hAnsi="Times New Roman" w:cs="Times New Roman"/>
          <w:sz w:val="24"/>
          <w:szCs w:val="24"/>
        </w:rPr>
        <w:t xml:space="preserve">economy </w:t>
      </w:r>
      <w:r>
        <w:rPr>
          <w:rFonts w:ascii="Times New Roman" w:eastAsiaTheme="minorEastAsia" w:hAnsi="Times New Roman" w:cs="Times New Roman"/>
          <w:sz w:val="24"/>
          <w:szCs w:val="24"/>
        </w:rPr>
        <w:t>grows</w:t>
      </w:r>
      <w:r w:rsidR="00545AE8" w:rsidRPr="005517C4">
        <w:rPr>
          <w:rFonts w:ascii="Times New Roman" w:eastAsiaTheme="minorEastAsia" w:hAnsi="Times New Roman" w:cs="Times New Roman"/>
          <w:sz w:val="24"/>
          <w:szCs w:val="24"/>
        </w:rPr>
        <w:t xml:space="preserve"> </w:t>
      </w:r>
      <w:r w:rsidR="006578EE" w:rsidRPr="005517C4">
        <w:rPr>
          <w:rFonts w:ascii="Times New Roman" w:eastAsiaTheme="minorEastAsia" w:hAnsi="Times New Roman" w:cs="Times New Roman"/>
          <w:sz w:val="24"/>
          <w:szCs w:val="24"/>
        </w:rPr>
        <w:fldChar w:fldCharType="begin" w:fldLock="1"/>
      </w:r>
      <w:r w:rsidR="003D379B">
        <w:rPr>
          <w:rFonts w:ascii="Times New Roman" w:eastAsiaTheme="minorEastAsia" w:hAnsi="Times New Roman" w:cs="Times New Roman"/>
          <w:sz w:val="24"/>
          <w:szCs w:val="24"/>
        </w:rPr>
        <w:instrText>ADDIN CSL_CITATION { "citationItems" : [ { "id" : "ITEM-1", "itemData" : { "DOI" : "10.1086/261816", "ISSN" : "0022-3808", "author" : [ { "dropping-particle" : "", "family" : "Barro", "given" : "Robert J.", "non-dropping-particle" : "", "parse-names" : false, "suffix" : "" }, { "dropping-particle" : "", "family" : "Sala-i-Martin", "given" : "Xavier", "non-dropping-particle" : "", "parse-names" : false, "suffix" : "" } ], "container-title" : "Journal of Political Economy", "id" : "ITEM-1", "issue" : "2", "issued" : { "date-parts" : [ [ "1992", "4" ] ] }, "page" : "223-251", "title" : "Convergence", "type" : "article-journal", "volume" : "100" }, "uris" : [ "http://www.mendeley.com/documents/?uuid=096a39dd-0c47-3fb4-bfd3-05e3e15da1bd" ] } ], "mendeley" : { "formattedCitation" : "(Barro and Sala-i-Martin 1992)", "manualFormatting" : "(Barro and Sala-i-Martin, 1992)", "plainTextFormattedCitation" : "(Barro and Sala-i-Martin 1992)", "previouslyFormattedCitation" : "(Barro and Sala-i-Martin 1992)" }, "properties" : { "noteIndex" : 0 }, "schema" : "https://github.com/citation-style-language/schema/raw/master/csl-citation.json" }</w:instrText>
      </w:r>
      <w:r w:rsidR="006578EE" w:rsidRPr="005517C4">
        <w:rPr>
          <w:rFonts w:ascii="Times New Roman" w:eastAsiaTheme="minorEastAsia" w:hAnsi="Times New Roman" w:cs="Times New Roman"/>
          <w:sz w:val="24"/>
          <w:szCs w:val="24"/>
        </w:rPr>
        <w:fldChar w:fldCharType="separate"/>
      </w:r>
      <w:r w:rsidR="00545AE8" w:rsidRPr="005517C4">
        <w:rPr>
          <w:rFonts w:ascii="Times New Roman" w:eastAsiaTheme="minorEastAsia" w:hAnsi="Times New Roman" w:cs="Times New Roman"/>
          <w:noProof/>
          <w:sz w:val="24"/>
          <w:szCs w:val="24"/>
        </w:rPr>
        <w:t>(Barro and Sala-i-Martin</w:t>
      </w:r>
      <w:r>
        <w:rPr>
          <w:rFonts w:ascii="Times New Roman" w:eastAsiaTheme="minorEastAsia" w:hAnsi="Times New Roman" w:cs="Times New Roman"/>
          <w:noProof/>
          <w:sz w:val="24"/>
          <w:szCs w:val="24"/>
        </w:rPr>
        <w:t>,</w:t>
      </w:r>
      <w:r w:rsidR="00545AE8" w:rsidRPr="005517C4">
        <w:rPr>
          <w:rFonts w:ascii="Times New Roman" w:eastAsiaTheme="minorEastAsia" w:hAnsi="Times New Roman" w:cs="Times New Roman"/>
          <w:noProof/>
          <w:sz w:val="24"/>
          <w:szCs w:val="24"/>
        </w:rPr>
        <w:t xml:space="preserve"> 1992)</w:t>
      </w:r>
      <w:r w:rsidR="006578EE" w:rsidRPr="005517C4">
        <w:rPr>
          <w:rFonts w:ascii="Times New Roman" w:eastAsiaTheme="minorEastAsia" w:hAnsi="Times New Roman" w:cs="Times New Roman"/>
          <w:sz w:val="24"/>
          <w:szCs w:val="24"/>
        </w:rPr>
        <w:fldChar w:fldCharType="end"/>
      </w:r>
      <w:r w:rsidR="00545AE8" w:rsidRPr="005517C4">
        <w:rPr>
          <w:rFonts w:ascii="Times New Roman" w:eastAsiaTheme="minorEastAsia" w:hAnsi="Times New Roman" w:cs="Times New Roman"/>
          <w:sz w:val="24"/>
          <w:szCs w:val="24"/>
        </w:rPr>
        <w:t xml:space="preserve">. </w:t>
      </w:r>
      <w:r w:rsidR="00521209" w:rsidRPr="005517C4">
        <w:rPr>
          <w:rFonts w:ascii="Times New Roman" w:eastAsiaTheme="minorEastAsia" w:hAnsi="Times New Roman" w:cs="Times New Roman"/>
          <w:sz w:val="24"/>
          <w:szCs w:val="24"/>
        </w:rPr>
        <w:t xml:space="preserve">Considering </w:t>
      </w:r>
      <w:r>
        <w:rPr>
          <w:rFonts w:ascii="Times New Roman" w:eastAsiaTheme="minorEastAsia" w:hAnsi="Times New Roman" w:cs="Times New Roman"/>
          <w:sz w:val="24"/>
          <w:szCs w:val="24"/>
        </w:rPr>
        <w:t xml:space="preserve">that </w:t>
      </w:r>
      <w:r w:rsidR="00521209" w:rsidRPr="005517C4">
        <w:rPr>
          <w:rFonts w:ascii="Times New Roman" w:eastAsiaTheme="minorEastAsia" w:hAnsi="Times New Roman" w:cs="Times New Roman"/>
          <w:sz w:val="24"/>
          <w:szCs w:val="24"/>
        </w:rPr>
        <w:t xml:space="preserve">the Solow model </w:t>
      </w:r>
      <w:r>
        <w:rPr>
          <w:rFonts w:ascii="Times New Roman" w:eastAsiaTheme="minorEastAsia" w:hAnsi="Times New Roman" w:cs="Times New Roman"/>
          <w:sz w:val="24"/>
          <w:szCs w:val="24"/>
        </w:rPr>
        <w:t xml:space="preserve">is </w:t>
      </w:r>
      <w:r w:rsidR="00521209" w:rsidRPr="005517C4">
        <w:rPr>
          <w:rFonts w:ascii="Times New Roman" w:eastAsiaTheme="minorEastAsia" w:hAnsi="Times New Roman" w:cs="Times New Roman"/>
          <w:sz w:val="24"/>
          <w:szCs w:val="24"/>
        </w:rPr>
        <w:t xml:space="preserve">based on </w:t>
      </w:r>
      <w:r>
        <w:rPr>
          <w:rFonts w:ascii="Times New Roman" w:eastAsiaTheme="minorEastAsia" w:hAnsi="Times New Roman" w:cs="Times New Roman"/>
          <w:sz w:val="24"/>
          <w:szCs w:val="24"/>
        </w:rPr>
        <w:t xml:space="preserve">a </w:t>
      </w:r>
      <w:r w:rsidR="00521209" w:rsidRPr="005517C4">
        <w:rPr>
          <w:rFonts w:ascii="Times New Roman" w:eastAsiaTheme="minorEastAsia" w:hAnsi="Times New Roman" w:cs="Times New Roman"/>
          <w:sz w:val="24"/>
          <w:szCs w:val="24"/>
        </w:rPr>
        <w:t>Cobb-Douglass production function</w:t>
      </w:r>
      <w:r>
        <w:rPr>
          <w:rFonts w:ascii="Times New Roman" w:eastAsiaTheme="minorEastAsia" w:hAnsi="Times New Roman" w:cs="Times New Roman"/>
          <w:sz w:val="24"/>
          <w:szCs w:val="24"/>
        </w:rPr>
        <w:t>,</w:t>
      </w:r>
      <w:r w:rsidR="00521209" w:rsidRPr="005517C4">
        <w:rPr>
          <w:rFonts w:ascii="Times New Roman" w:eastAsiaTheme="minorEastAsia" w:hAnsi="Times New Roman" w:cs="Times New Roman"/>
          <w:sz w:val="24"/>
          <w:szCs w:val="24"/>
        </w:rPr>
        <w:t xml:space="preserve"> including capital, labor and total factor productivity</w:t>
      </w:r>
      <w:r>
        <w:rPr>
          <w:rFonts w:ascii="Times New Roman" w:eastAsiaTheme="minorEastAsia" w:hAnsi="Times New Roman" w:cs="Times New Roman"/>
          <w:sz w:val="24"/>
          <w:szCs w:val="24"/>
        </w:rPr>
        <w:t>,</w:t>
      </w:r>
      <w:r w:rsidR="0024471B" w:rsidRPr="005517C4">
        <w:rPr>
          <w:rFonts w:ascii="Times New Roman" w:eastAsiaTheme="minorEastAsia" w:hAnsi="Times New Roman" w:cs="Times New Roman"/>
          <w:sz w:val="24"/>
          <w:szCs w:val="24"/>
        </w:rPr>
        <w:t xml:space="preserve"> economic growth </w:t>
      </w:r>
      <w:r>
        <w:rPr>
          <w:rFonts w:ascii="Times New Roman" w:eastAsiaTheme="minorEastAsia" w:hAnsi="Times New Roman" w:cs="Times New Roman"/>
          <w:sz w:val="24"/>
          <w:szCs w:val="24"/>
        </w:rPr>
        <w:t>turns out to be</w:t>
      </w:r>
      <w:r w:rsidR="0024471B" w:rsidRPr="005517C4">
        <w:rPr>
          <w:rFonts w:ascii="Times New Roman" w:eastAsiaTheme="minorEastAsia" w:hAnsi="Times New Roman" w:cs="Times New Roman"/>
          <w:sz w:val="24"/>
          <w:szCs w:val="24"/>
        </w:rPr>
        <w:t xml:space="preserve"> a function of </w:t>
      </w:r>
      <w:r>
        <w:rPr>
          <w:rFonts w:ascii="Times New Roman" w:eastAsiaTheme="minorEastAsia" w:hAnsi="Times New Roman" w:cs="Times New Roman"/>
          <w:sz w:val="24"/>
          <w:szCs w:val="24"/>
        </w:rPr>
        <w:t xml:space="preserve">the </w:t>
      </w:r>
      <w:r w:rsidR="0024471B" w:rsidRPr="005517C4">
        <w:rPr>
          <w:rFonts w:ascii="Times New Roman" w:eastAsiaTheme="minorEastAsia" w:hAnsi="Times New Roman" w:cs="Times New Roman"/>
          <w:sz w:val="24"/>
          <w:szCs w:val="24"/>
        </w:rPr>
        <w:t>initial level</w:t>
      </w:r>
      <w:r>
        <w:rPr>
          <w:rFonts w:ascii="Times New Roman" w:eastAsiaTheme="minorEastAsia" w:hAnsi="Times New Roman" w:cs="Times New Roman"/>
          <w:sz w:val="24"/>
          <w:szCs w:val="24"/>
        </w:rPr>
        <w:t>s</w:t>
      </w:r>
      <w:r w:rsidR="0024471B" w:rsidRPr="005517C4">
        <w:rPr>
          <w:rFonts w:ascii="Times New Roman" w:eastAsiaTheme="minorEastAsia" w:hAnsi="Times New Roman" w:cs="Times New Roman"/>
          <w:sz w:val="24"/>
          <w:szCs w:val="24"/>
        </w:rPr>
        <w:t xml:space="preserve"> of </w:t>
      </w:r>
      <w:r>
        <w:rPr>
          <w:rFonts w:ascii="Times New Roman" w:eastAsiaTheme="minorEastAsia" w:hAnsi="Times New Roman" w:cs="Times New Roman"/>
          <w:sz w:val="24"/>
          <w:szCs w:val="24"/>
        </w:rPr>
        <w:t xml:space="preserve">the </w:t>
      </w:r>
      <w:r w:rsidR="0024471B" w:rsidRPr="005517C4">
        <w:rPr>
          <w:rFonts w:ascii="Times New Roman" w:eastAsiaTheme="minorEastAsia" w:hAnsi="Times New Roman" w:cs="Times New Roman"/>
          <w:sz w:val="24"/>
          <w:szCs w:val="24"/>
        </w:rPr>
        <w:t xml:space="preserve">capital stock, </w:t>
      </w:r>
      <w:r>
        <w:rPr>
          <w:rFonts w:ascii="Times New Roman" w:eastAsiaTheme="minorEastAsia" w:hAnsi="Times New Roman" w:cs="Times New Roman"/>
          <w:sz w:val="24"/>
          <w:szCs w:val="24"/>
        </w:rPr>
        <w:t>la</w:t>
      </w:r>
      <w:r w:rsidR="0024471B" w:rsidRPr="005517C4">
        <w:rPr>
          <w:rFonts w:ascii="Times New Roman" w:eastAsiaTheme="minorEastAsia" w:hAnsi="Times New Roman" w:cs="Times New Roman"/>
          <w:sz w:val="24"/>
          <w:szCs w:val="24"/>
        </w:rPr>
        <w:t>bur and total factor productivity</w:t>
      </w:r>
      <w:r>
        <w:rPr>
          <w:rFonts w:ascii="Times New Roman" w:eastAsiaTheme="minorEastAsia" w:hAnsi="Times New Roman" w:cs="Times New Roman"/>
          <w:sz w:val="24"/>
          <w:szCs w:val="24"/>
        </w:rPr>
        <w:t>,</w:t>
      </w:r>
      <w:r w:rsidR="0024471B" w:rsidRPr="005517C4">
        <w:rPr>
          <w:rFonts w:ascii="Times New Roman" w:eastAsiaTheme="minorEastAsia" w:hAnsi="Times New Roman" w:cs="Times New Roman"/>
          <w:sz w:val="24"/>
          <w:szCs w:val="24"/>
        </w:rPr>
        <w:t xml:space="preserve"> as well as </w:t>
      </w:r>
      <w:r>
        <w:rPr>
          <w:rFonts w:ascii="Times New Roman" w:eastAsiaTheme="minorEastAsia" w:hAnsi="Times New Roman" w:cs="Times New Roman"/>
          <w:sz w:val="24"/>
          <w:szCs w:val="24"/>
        </w:rPr>
        <w:t xml:space="preserve">the </w:t>
      </w:r>
      <w:r w:rsidR="0024471B" w:rsidRPr="005517C4">
        <w:rPr>
          <w:rFonts w:ascii="Times New Roman" w:eastAsiaTheme="minorEastAsia" w:hAnsi="Times New Roman" w:cs="Times New Roman"/>
          <w:sz w:val="24"/>
          <w:szCs w:val="24"/>
        </w:rPr>
        <w:t xml:space="preserve">saving rate, </w:t>
      </w:r>
      <w:r>
        <w:rPr>
          <w:rFonts w:ascii="Times New Roman" w:eastAsiaTheme="minorEastAsia" w:hAnsi="Times New Roman" w:cs="Times New Roman"/>
          <w:sz w:val="24"/>
          <w:szCs w:val="24"/>
        </w:rPr>
        <w:t xml:space="preserve">the </w:t>
      </w:r>
      <w:r w:rsidR="0024471B" w:rsidRPr="005517C4">
        <w:rPr>
          <w:rFonts w:ascii="Times New Roman" w:eastAsiaTheme="minorEastAsia" w:hAnsi="Times New Roman" w:cs="Times New Roman"/>
          <w:sz w:val="24"/>
          <w:szCs w:val="24"/>
        </w:rPr>
        <w:t>growth rate</w:t>
      </w:r>
      <w:r w:rsidR="000436ED" w:rsidRPr="005517C4">
        <w:rPr>
          <w:rFonts w:ascii="Times New Roman" w:eastAsiaTheme="minorEastAsia" w:hAnsi="Times New Roman" w:cs="Times New Roman"/>
          <w:sz w:val="24"/>
          <w:szCs w:val="24"/>
        </w:rPr>
        <w:t xml:space="preserve"> of population</w:t>
      </w:r>
      <w:r w:rsidR="0024471B" w:rsidRPr="005517C4">
        <w:rPr>
          <w:rFonts w:ascii="Times New Roman" w:eastAsiaTheme="minorEastAsia" w:hAnsi="Times New Roman" w:cs="Times New Roman"/>
          <w:sz w:val="24"/>
          <w:szCs w:val="24"/>
        </w:rPr>
        <w:t xml:space="preserve"> and </w:t>
      </w:r>
      <w:r>
        <w:rPr>
          <w:rFonts w:ascii="Times New Roman" w:eastAsiaTheme="minorEastAsia" w:hAnsi="Times New Roman" w:cs="Times New Roman"/>
          <w:sz w:val="24"/>
          <w:szCs w:val="24"/>
        </w:rPr>
        <w:t xml:space="preserve">the </w:t>
      </w:r>
      <w:r w:rsidR="000436ED" w:rsidRPr="005517C4">
        <w:rPr>
          <w:rFonts w:ascii="Times New Roman" w:eastAsiaTheme="minorEastAsia" w:hAnsi="Times New Roman" w:cs="Times New Roman"/>
          <w:sz w:val="24"/>
          <w:szCs w:val="24"/>
        </w:rPr>
        <w:t>growth rate o</w:t>
      </w:r>
      <w:r>
        <w:rPr>
          <w:rFonts w:ascii="Times New Roman" w:eastAsiaTheme="minorEastAsia" w:hAnsi="Times New Roman" w:cs="Times New Roman"/>
          <w:sz w:val="24"/>
          <w:szCs w:val="24"/>
        </w:rPr>
        <w:t>f</w:t>
      </w:r>
      <w:r w:rsidR="000436ED" w:rsidRPr="005517C4">
        <w:rPr>
          <w:rFonts w:ascii="Times New Roman" w:eastAsiaTheme="minorEastAsia" w:hAnsi="Times New Roman" w:cs="Times New Roman"/>
          <w:sz w:val="24"/>
          <w:szCs w:val="24"/>
        </w:rPr>
        <w:t xml:space="preserve"> technology. </w:t>
      </w:r>
      <w:r w:rsidR="001868F5" w:rsidRPr="005517C4">
        <w:rPr>
          <w:rFonts w:ascii="Times New Roman" w:eastAsiaTheme="minorEastAsia" w:hAnsi="Times New Roman" w:cs="Times New Roman"/>
          <w:sz w:val="24"/>
          <w:szCs w:val="24"/>
        </w:rPr>
        <w:t xml:space="preserve">One may emprically </w:t>
      </w:r>
      <w:r>
        <w:rPr>
          <w:rFonts w:ascii="Times New Roman" w:eastAsiaTheme="minorEastAsia" w:hAnsi="Times New Roman" w:cs="Times New Roman"/>
          <w:sz w:val="24"/>
          <w:szCs w:val="24"/>
        </w:rPr>
        <w:t>document</w:t>
      </w:r>
      <w:r w:rsidR="001868F5" w:rsidRPr="005517C4">
        <w:rPr>
          <w:rFonts w:ascii="Times New Roman" w:eastAsiaTheme="minorEastAsia" w:hAnsi="Times New Roman" w:cs="Times New Roman"/>
          <w:sz w:val="24"/>
          <w:szCs w:val="24"/>
        </w:rPr>
        <w:t xml:space="preserve"> th</w:t>
      </w:r>
      <w:r w:rsidR="00981985" w:rsidRPr="005517C4">
        <w:rPr>
          <w:rFonts w:ascii="Times New Roman" w:eastAsiaTheme="minorEastAsia" w:hAnsi="Times New Roman" w:cs="Times New Roman"/>
          <w:sz w:val="24"/>
          <w:szCs w:val="24"/>
        </w:rPr>
        <w:t xml:space="preserve">at poor countries </w:t>
      </w:r>
      <w:r>
        <w:rPr>
          <w:rFonts w:ascii="Times New Roman" w:eastAsiaTheme="minorEastAsia" w:hAnsi="Times New Roman" w:cs="Times New Roman"/>
          <w:sz w:val="24"/>
          <w:szCs w:val="24"/>
        </w:rPr>
        <w:t>are expected to</w:t>
      </w:r>
      <w:r w:rsidR="00981985" w:rsidRPr="005517C4">
        <w:rPr>
          <w:rFonts w:ascii="Times New Roman" w:eastAsiaTheme="minorEastAsia" w:hAnsi="Times New Roman" w:cs="Times New Roman"/>
          <w:sz w:val="24"/>
          <w:szCs w:val="24"/>
        </w:rPr>
        <w:t xml:space="preserve"> catch up </w:t>
      </w:r>
      <w:r>
        <w:rPr>
          <w:rFonts w:ascii="Times New Roman" w:eastAsiaTheme="minorEastAsia" w:hAnsi="Times New Roman" w:cs="Times New Roman"/>
          <w:sz w:val="24"/>
          <w:szCs w:val="24"/>
        </w:rPr>
        <w:t xml:space="preserve">the </w:t>
      </w:r>
      <w:r w:rsidR="00981985" w:rsidRPr="005517C4">
        <w:rPr>
          <w:rFonts w:ascii="Times New Roman" w:eastAsiaTheme="minorEastAsia" w:hAnsi="Times New Roman" w:cs="Times New Roman"/>
          <w:sz w:val="24"/>
          <w:szCs w:val="24"/>
        </w:rPr>
        <w:t>rich</w:t>
      </w:r>
      <w:r>
        <w:rPr>
          <w:rFonts w:ascii="Times New Roman" w:eastAsiaTheme="minorEastAsia" w:hAnsi="Times New Roman" w:cs="Times New Roman"/>
          <w:sz w:val="24"/>
          <w:szCs w:val="24"/>
        </w:rPr>
        <w:t xml:space="preserve"> countries</w:t>
      </w:r>
      <w:r w:rsidR="00981985" w:rsidRPr="005517C4">
        <w:rPr>
          <w:rFonts w:ascii="Times New Roman" w:eastAsiaTheme="minorEastAsia" w:hAnsi="Times New Roman" w:cs="Times New Roman"/>
          <w:sz w:val="24"/>
          <w:szCs w:val="24"/>
        </w:rPr>
        <w:t xml:space="preserve"> in the long run whe</w:t>
      </w:r>
      <w:r w:rsidR="001868F5" w:rsidRPr="005517C4">
        <w:rPr>
          <w:rFonts w:ascii="Times New Roman" w:eastAsiaTheme="minorEastAsia" w:hAnsi="Times New Roman" w:cs="Times New Roman"/>
          <w:sz w:val="24"/>
          <w:szCs w:val="24"/>
        </w:rPr>
        <w:t>n</w:t>
      </w:r>
      <w:r w:rsidR="00981985" w:rsidRPr="005517C4">
        <w:rPr>
          <w:rFonts w:ascii="Times New Roman" w:eastAsiaTheme="minorEastAsia" w:hAnsi="Times New Roman" w:cs="Times New Roman"/>
          <w:sz w:val="24"/>
          <w:szCs w:val="24"/>
        </w:rPr>
        <w:t xml:space="preserve"> each </w:t>
      </w:r>
      <w:r>
        <w:rPr>
          <w:rFonts w:ascii="Times New Roman" w:eastAsiaTheme="minorEastAsia" w:hAnsi="Times New Roman" w:cs="Times New Roman"/>
          <w:sz w:val="24"/>
          <w:szCs w:val="24"/>
        </w:rPr>
        <w:t xml:space="preserve">component </w:t>
      </w:r>
      <w:r w:rsidR="00981985" w:rsidRPr="005517C4">
        <w:rPr>
          <w:rFonts w:ascii="Times New Roman" w:eastAsiaTheme="minorEastAsia" w:hAnsi="Times New Roman" w:cs="Times New Roman"/>
          <w:sz w:val="24"/>
          <w:szCs w:val="24"/>
        </w:rPr>
        <w:t xml:space="preserve">of this growth </w:t>
      </w:r>
      <w:r>
        <w:rPr>
          <w:rFonts w:ascii="Times New Roman" w:eastAsiaTheme="minorEastAsia" w:hAnsi="Times New Roman" w:cs="Times New Roman"/>
          <w:sz w:val="24"/>
          <w:szCs w:val="24"/>
        </w:rPr>
        <w:t xml:space="preserve">(accounting) </w:t>
      </w:r>
      <w:r w:rsidR="00981985" w:rsidRPr="005517C4">
        <w:rPr>
          <w:rFonts w:ascii="Times New Roman" w:eastAsiaTheme="minorEastAsia" w:hAnsi="Times New Roman" w:cs="Times New Roman"/>
          <w:sz w:val="24"/>
          <w:szCs w:val="24"/>
        </w:rPr>
        <w:t xml:space="preserve">function </w:t>
      </w:r>
      <w:r>
        <w:rPr>
          <w:rFonts w:ascii="Times New Roman" w:eastAsiaTheme="minorEastAsia" w:hAnsi="Times New Roman" w:cs="Times New Roman"/>
          <w:sz w:val="24"/>
          <w:szCs w:val="24"/>
        </w:rPr>
        <w:t>shares the</w:t>
      </w:r>
      <w:r w:rsidR="00981985" w:rsidRPr="005517C4">
        <w:rPr>
          <w:rFonts w:ascii="Times New Roman" w:eastAsiaTheme="minorEastAsia" w:hAnsi="Times New Roman" w:cs="Times New Roman"/>
          <w:sz w:val="24"/>
          <w:szCs w:val="24"/>
        </w:rPr>
        <w:t xml:space="preserve"> same characteristic</w:t>
      </w:r>
      <w:r>
        <w:rPr>
          <w:rFonts w:ascii="Times New Roman" w:eastAsiaTheme="minorEastAsia" w:hAnsi="Times New Roman" w:cs="Times New Roman"/>
          <w:sz w:val="24"/>
          <w:szCs w:val="24"/>
        </w:rPr>
        <w:t>s</w:t>
      </w:r>
      <w:r w:rsidR="00981985" w:rsidRPr="005517C4">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across</w:t>
      </w:r>
      <w:r w:rsidR="00981985" w:rsidRPr="005517C4">
        <w:rPr>
          <w:rFonts w:ascii="Times New Roman" w:eastAsiaTheme="minorEastAsia" w:hAnsi="Times New Roman" w:cs="Times New Roman"/>
          <w:sz w:val="24"/>
          <w:szCs w:val="24"/>
        </w:rPr>
        <w:t xml:space="preserve"> all countries</w:t>
      </w:r>
      <w:r w:rsidR="00AE4356" w:rsidRPr="005517C4">
        <w:rPr>
          <w:rFonts w:ascii="Times New Roman" w:eastAsiaTheme="minorEastAsia" w:hAnsi="Times New Roman" w:cs="Times New Roman"/>
          <w:sz w:val="24"/>
          <w:szCs w:val="24"/>
        </w:rPr>
        <w:t xml:space="preserve"> </w:t>
      </w:r>
      <w:r w:rsidR="006578EE" w:rsidRPr="005517C4">
        <w:rPr>
          <w:rFonts w:ascii="Times New Roman" w:eastAsiaTheme="minorEastAsia" w:hAnsi="Times New Roman" w:cs="Times New Roman"/>
          <w:sz w:val="24"/>
          <w:szCs w:val="24"/>
        </w:rPr>
        <w:fldChar w:fldCharType="begin" w:fldLock="1"/>
      </w:r>
      <w:r w:rsidR="003D379B">
        <w:rPr>
          <w:rFonts w:ascii="Times New Roman" w:eastAsiaTheme="minorEastAsia" w:hAnsi="Times New Roman" w:cs="Times New Roman"/>
          <w:sz w:val="24"/>
          <w:szCs w:val="24"/>
        </w:rPr>
        <w:instrText>ADDIN CSL_CITATION { "citationItems" : [ { "id" : "ITEM-1", "itemData" : { "author" : [ { "dropping-particle" : "", "family" : "Baumol", "given" : "William J.", "non-dropping-particle" : "", "parse-names" : false, "suffix" : "" } ], "container-title" : "The American Economic Review", "id" : "ITEM-1", "issue" : "5", "issued" : { "date-parts" : [ [ "1986" ] ] }, "page" : "1072-1085", "title" : "Productivity Growth, Convergence, and Welfare: What the Long-Run Data Show?", "type" : "article-journal", "volume" : "76" }, "uris" : [ "http://www.mendeley.com/documents/?uuid=1999f211-7b21-3097-8d13-605902a4b57d" ] } ], "mendeley" : { "formattedCitation" : "(Baumol 1986)", "manualFormatting" : "(Baumol, 1986)", "plainTextFormattedCitation" : "(Baumol 1986)", "previouslyFormattedCitation" : "(Baumol 1986)" }, "properties" : { "noteIndex" : 0 }, "schema" : "https://github.com/citation-style-language/schema/raw/master/csl-citation.json" }</w:instrText>
      </w:r>
      <w:r w:rsidR="006578EE" w:rsidRPr="005517C4">
        <w:rPr>
          <w:rFonts w:ascii="Times New Roman" w:eastAsiaTheme="minorEastAsia" w:hAnsi="Times New Roman" w:cs="Times New Roman"/>
          <w:sz w:val="24"/>
          <w:szCs w:val="24"/>
        </w:rPr>
        <w:fldChar w:fldCharType="separate"/>
      </w:r>
      <w:r w:rsidR="00AE4356" w:rsidRPr="005517C4">
        <w:rPr>
          <w:rFonts w:ascii="Times New Roman" w:eastAsiaTheme="minorEastAsia" w:hAnsi="Times New Roman" w:cs="Times New Roman"/>
          <w:noProof/>
          <w:sz w:val="24"/>
          <w:szCs w:val="24"/>
        </w:rPr>
        <w:t>(Baumol</w:t>
      </w:r>
      <w:r>
        <w:rPr>
          <w:rFonts w:ascii="Times New Roman" w:eastAsiaTheme="minorEastAsia" w:hAnsi="Times New Roman" w:cs="Times New Roman"/>
          <w:noProof/>
          <w:sz w:val="24"/>
          <w:szCs w:val="24"/>
        </w:rPr>
        <w:t>,</w:t>
      </w:r>
      <w:r w:rsidR="00AE4356" w:rsidRPr="005517C4">
        <w:rPr>
          <w:rFonts w:ascii="Times New Roman" w:eastAsiaTheme="minorEastAsia" w:hAnsi="Times New Roman" w:cs="Times New Roman"/>
          <w:noProof/>
          <w:sz w:val="24"/>
          <w:szCs w:val="24"/>
        </w:rPr>
        <w:t xml:space="preserve"> 1986)</w:t>
      </w:r>
      <w:r w:rsidR="006578EE" w:rsidRPr="005517C4">
        <w:rPr>
          <w:rFonts w:ascii="Times New Roman" w:eastAsiaTheme="minorEastAsia" w:hAnsi="Times New Roman" w:cs="Times New Roman"/>
          <w:sz w:val="24"/>
          <w:szCs w:val="24"/>
        </w:rPr>
        <w:fldChar w:fldCharType="end"/>
      </w:r>
      <w:r w:rsidR="001868F5" w:rsidRPr="005517C4">
        <w:rPr>
          <w:rFonts w:ascii="Times New Roman" w:eastAsiaTheme="minorEastAsia" w:hAnsi="Times New Roman" w:cs="Times New Roman"/>
          <w:sz w:val="24"/>
          <w:szCs w:val="24"/>
        </w:rPr>
        <w:t xml:space="preserve">. </w:t>
      </w:r>
      <w:r w:rsidR="002C67BC" w:rsidRPr="005517C4">
        <w:rPr>
          <w:rFonts w:ascii="Times New Roman" w:eastAsiaTheme="minorEastAsia" w:hAnsi="Times New Roman" w:cs="Times New Roman"/>
          <w:sz w:val="24"/>
          <w:szCs w:val="24"/>
        </w:rPr>
        <w:t xml:space="preserve">However, </w:t>
      </w:r>
      <w:r w:rsidR="0036342D" w:rsidRPr="005517C4">
        <w:rPr>
          <w:rFonts w:ascii="Times New Roman" w:eastAsiaTheme="minorEastAsia" w:hAnsi="Times New Roman" w:cs="Times New Roman"/>
          <w:sz w:val="24"/>
          <w:szCs w:val="24"/>
        </w:rPr>
        <w:t>t</w:t>
      </w:r>
      <w:r w:rsidR="001868F5" w:rsidRPr="005517C4">
        <w:rPr>
          <w:rFonts w:ascii="Times New Roman" w:eastAsiaTheme="minorEastAsia" w:hAnsi="Times New Roman" w:cs="Times New Roman"/>
          <w:sz w:val="24"/>
          <w:szCs w:val="24"/>
        </w:rPr>
        <w:t xml:space="preserve">hese </w:t>
      </w:r>
      <w:r>
        <w:rPr>
          <w:rFonts w:ascii="Times New Roman" w:eastAsiaTheme="minorEastAsia" w:hAnsi="Times New Roman" w:cs="Times New Roman"/>
          <w:sz w:val="24"/>
          <w:szCs w:val="24"/>
        </w:rPr>
        <w:t>growth components</w:t>
      </w:r>
      <w:r w:rsidR="001868F5" w:rsidRPr="005517C4">
        <w:rPr>
          <w:rFonts w:ascii="Times New Roman" w:eastAsiaTheme="minorEastAsia" w:hAnsi="Times New Roman" w:cs="Times New Roman"/>
          <w:sz w:val="24"/>
          <w:szCs w:val="24"/>
        </w:rPr>
        <w:t xml:space="preserve"> </w:t>
      </w:r>
      <w:r w:rsidR="002C67BC" w:rsidRPr="005517C4">
        <w:rPr>
          <w:rFonts w:ascii="Times New Roman" w:eastAsiaTheme="minorEastAsia" w:hAnsi="Times New Roman" w:cs="Times New Roman"/>
          <w:sz w:val="24"/>
          <w:szCs w:val="24"/>
        </w:rPr>
        <w:t xml:space="preserve">are not </w:t>
      </w:r>
      <w:r>
        <w:rPr>
          <w:rFonts w:ascii="Times New Roman" w:eastAsiaTheme="minorEastAsia" w:hAnsi="Times New Roman" w:cs="Times New Roman"/>
          <w:sz w:val="24"/>
          <w:szCs w:val="24"/>
        </w:rPr>
        <w:t xml:space="preserve">the </w:t>
      </w:r>
      <w:r w:rsidR="002C67BC" w:rsidRPr="005517C4">
        <w:rPr>
          <w:rFonts w:ascii="Times New Roman" w:eastAsiaTheme="minorEastAsia" w:hAnsi="Times New Roman" w:cs="Times New Roman"/>
          <w:sz w:val="24"/>
          <w:szCs w:val="24"/>
        </w:rPr>
        <w:t xml:space="preserve">same </w:t>
      </w:r>
      <w:r>
        <w:rPr>
          <w:rFonts w:ascii="Times New Roman" w:eastAsiaTheme="minorEastAsia" w:hAnsi="Times New Roman" w:cs="Times New Roman"/>
          <w:sz w:val="24"/>
          <w:szCs w:val="24"/>
        </w:rPr>
        <w:t>across</w:t>
      </w:r>
      <w:r w:rsidR="002C67BC" w:rsidRPr="005517C4">
        <w:rPr>
          <w:rFonts w:ascii="Times New Roman" w:eastAsiaTheme="minorEastAsia" w:hAnsi="Times New Roman" w:cs="Times New Roman"/>
          <w:sz w:val="24"/>
          <w:szCs w:val="24"/>
        </w:rPr>
        <w:t xml:space="preserve"> all countries in </w:t>
      </w:r>
      <w:r>
        <w:rPr>
          <w:rFonts w:ascii="Times New Roman" w:eastAsiaTheme="minorEastAsia" w:hAnsi="Times New Roman" w:cs="Times New Roman"/>
          <w:sz w:val="24"/>
          <w:szCs w:val="24"/>
        </w:rPr>
        <w:t xml:space="preserve">the </w:t>
      </w:r>
      <w:r w:rsidR="002C67BC" w:rsidRPr="005517C4">
        <w:rPr>
          <w:rFonts w:ascii="Times New Roman" w:eastAsiaTheme="minorEastAsia" w:hAnsi="Times New Roman" w:cs="Times New Roman"/>
          <w:sz w:val="24"/>
          <w:szCs w:val="24"/>
        </w:rPr>
        <w:t xml:space="preserve">real </w:t>
      </w:r>
      <w:r w:rsidR="0036342D" w:rsidRPr="005517C4">
        <w:rPr>
          <w:rFonts w:ascii="Times New Roman" w:eastAsiaTheme="minorEastAsia" w:hAnsi="Times New Roman" w:cs="Times New Roman"/>
          <w:sz w:val="24"/>
          <w:szCs w:val="24"/>
        </w:rPr>
        <w:t xml:space="preserve">world. </w:t>
      </w:r>
      <w:r>
        <w:rPr>
          <w:rFonts w:ascii="Times New Roman" w:eastAsiaTheme="minorEastAsia" w:hAnsi="Times New Roman" w:cs="Times New Roman"/>
          <w:sz w:val="24"/>
          <w:szCs w:val="24"/>
        </w:rPr>
        <w:t>Hence</w:t>
      </w:r>
      <w:r w:rsidR="0036342D" w:rsidRPr="005517C4">
        <w:rPr>
          <w:rFonts w:ascii="Times New Roman" w:eastAsiaTheme="minorEastAsia" w:hAnsi="Times New Roman" w:cs="Times New Roman"/>
          <w:sz w:val="24"/>
          <w:szCs w:val="24"/>
        </w:rPr>
        <w:t xml:space="preserve">, convergence is </w:t>
      </w:r>
      <w:r>
        <w:rPr>
          <w:rFonts w:ascii="Times New Roman" w:eastAsiaTheme="minorEastAsia" w:hAnsi="Times New Roman" w:cs="Times New Roman"/>
          <w:sz w:val="24"/>
          <w:szCs w:val="24"/>
        </w:rPr>
        <w:t>potential</w:t>
      </w:r>
      <w:r w:rsidR="0036342D" w:rsidRPr="005517C4">
        <w:rPr>
          <w:rFonts w:ascii="Times New Roman" w:eastAsiaTheme="minorEastAsia" w:hAnsi="Times New Roman" w:cs="Times New Roman"/>
          <w:sz w:val="24"/>
          <w:szCs w:val="24"/>
        </w:rPr>
        <w:t xml:space="preserve"> across countries </w:t>
      </w:r>
      <w:r>
        <w:rPr>
          <w:rFonts w:ascii="Times New Roman" w:eastAsiaTheme="minorEastAsia" w:hAnsi="Times New Roman" w:cs="Times New Roman"/>
          <w:sz w:val="24"/>
          <w:szCs w:val="24"/>
        </w:rPr>
        <w:t>with the</w:t>
      </w:r>
      <w:r w:rsidR="0036342D" w:rsidRPr="005517C4">
        <w:rPr>
          <w:rFonts w:ascii="Times New Roman" w:eastAsiaTheme="minorEastAsia" w:hAnsi="Times New Roman" w:cs="Times New Roman"/>
          <w:sz w:val="24"/>
          <w:szCs w:val="24"/>
        </w:rPr>
        <w:t xml:space="preserve"> same conditions in terms of factors which </w:t>
      </w:r>
      <w:r>
        <w:rPr>
          <w:rFonts w:ascii="Times New Roman" w:eastAsiaTheme="minorEastAsia" w:hAnsi="Times New Roman" w:cs="Times New Roman"/>
          <w:sz w:val="24"/>
          <w:szCs w:val="24"/>
        </w:rPr>
        <w:t>a</w:t>
      </w:r>
      <w:r w:rsidR="0036342D" w:rsidRPr="005517C4">
        <w:rPr>
          <w:rFonts w:ascii="Times New Roman" w:eastAsiaTheme="minorEastAsia" w:hAnsi="Times New Roman" w:cs="Times New Roman"/>
          <w:sz w:val="24"/>
          <w:szCs w:val="24"/>
        </w:rPr>
        <w:t>ffect economic growth</w:t>
      </w:r>
      <w:r w:rsidR="005D40BE" w:rsidRPr="005517C4">
        <w:rPr>
          <w:rFonts w:ascii="Times New Roman" w:eastAsiaTheme="minorEastAsia" w:hAnsi="Times New Roman" w:cs="Times New Roman"/>
          <w:sz w:val="24"/>
          <w:szCs w:val="24"/>
        </w:rPr>
        <w:t xml:space="preserve"> </w:t>
      </w:r>
      <w:r w:rsidR="006578EE" w:rsidRPr="005517C4">
        <w:rPr>
          <w:rFonts w:ascii="Times New Roman" w:eastAsiaTheme="minorEastAsia" w:hAnsi="Times New Roman" w:cs="Times New Roman"/>
          <w:sz w:val="24"/>
          <w:szCs w:val="24"/>
        </w:rPr>
        <w:fldChar w:fldCharType="begin" w:fldLock="1"/>
      </w:r>
      <w:r w:rsidR="003D379B">
        <w:rPr>
          <w:rFonts w:ascii="Times New Roman" w:eastAsiaTheme="minorEastAsia" w:hAnsi="Times New Roman" w:cs="Times New Roman"/>
          <w:sz w:val="24"/>
          <w:szCs w:val="24"/>
        </w:rPr>
        <w:instrText>ADDIN CSL_CITATION { "citationItems" : [ { "id" : "ITEM-1", "itemData" : { "DOI" : "10.1016/0304-3932(85)90027-3", "author" : [ { "dropping-particle" : "", "family" : "Kormendi", "given" : "Roger C.", "non-dropping-particle" : "", "parse-names" : false, "suffix" : "" }, { "dropping-particle" : "", "family" : "Meguire", "given" : "Philip G.", "non-dropping-particle" : "", "parse-names" : false, "suffix" : "" } ], "container-title" : "Journal of Monetary Economics", "id" : "ITEM-1", "issue" : "2", "issued" : { "date-parts" : [ [ "1985", "9" ] ] }, "page" : "141-163", "title" : "Macroeconomic determinants of growth: Cross-country evidence", "type" : "article-journal", "volume" : "16" }, "uris" : [ "http://www.mendeley.com/documents/?uuid=674cc1fa-8ac4-3b14-8854-ce38982df380" ] } ], "mendeley" : { "formattedCitation" : "(Kormendi and Meguire 1985)", "manualFormatting" : "(Kormendi and Meguire, 1985", "plainTextFormattedCitation" : "(Kormendi and Meguire 1985)", "previouslyFormattedCitation" : "(Kormendi and Meguire 1985)" }, "properties" : { "noteIndex" : 0 }, "schema" : "https://github.com/citation-style-language/schema/raw/master/csl-citation.json" }</w:instrText>
      </w:r>
      <w:r w:rsidR="006578EE" w:rsidRPr="005517C4">
        <w:rPr>
          <w:rFonts w:ascii="Times New Roman" w:eastAsiaTheme="minorEastAsia" w:hAnsi="Times New Roman" w:cs="Times New Roman"/>
          <w:sz w:val="24"/>
          <w:szCs w:val="24"/>
        </w:rPr>
        <w:fldChar w:fldCharType="separate"/>
      </w:r>
      <w:r w:rsidR="0060006D" w:rsidRPr="005517C4">
        <w:rPr>
          <w:rFonts w:ascii="Times New Roman" w:eastAsiaTheme="minorEastAsia" w:hAnsi="Times New Roman" w:cs="Times New Roman"/>
          <w:noProof/>
          <w:sz w:val="24"/>
          <w:szCs w:val="24"/>
        </w:rPr>
        <w:t>(Kormendi and Meguire</w:t>
      </w:r>
      <w:r>
        <w:rPr>
          <w:rFonts w:ascii="Times New Roman" w:eastAsiaTheme="minorEastAsia" w:hAnsi="Times New Roman" w:cs="Times New Roman"/>
          <w:noProof/>
          <w:sz w:val="24"/>
          <w:szCs w:val="24"/>
        </w:rPr>
        <w:t>,</w:t>
      </w:r>
      <w:r w:rsidR="0060006D" w:rsidRPr="005517C4">
        <w:rPr>
          <w:rFonts w:ascii="Times New Roman" w:eastAsiaTheme="minorEastAsia" w:hAnsi="Times New Roman" w:cs="Times New Roman"/>
          <w:noProof/>
          <w:sz w:val="24"/>
          <w:szCs w:val="24"/>
        </w:rPr>
        <w:t xml:space="preserve"> 1985</w:t>
      </w:r>
      <w:r w:rsidR="006578EE" w:rsidRPr="005517C4">
        <w:rPr>
          <w:rFonts w:ascii="Times New Roman" w:eastAsiaTheme="minorEastAsia" w:hAnsi="Times New Roman" w:cs="Times New Roman"/>
          <w:sz w:val="24"/>
          <w:szCs w:val="24"/>
        </w:rPr>
        <w:fldChar w:fldCharType="end"/>
      </w:r>
      <w:r w:rsidR="0060006D" w:rsidRPr="005517C4">
        <w:rPr>
          <w:rFonts w:ascii="Times New Roman" w:eastAsiaTheme="minorEastAsia" w:hAnsi="Times New Roman" w:cs="Times New Roman"/>
          <w:sz w:val="24"/>
          <w:szCs w:val="24"/>
        </w:rPr>
        <w:t xml:space="preserve">; </w:t>
      </w:r>
      <w:r w:rsidR="006578EE" w:rsidRPr="005517C4">
        <w:rPr>
          <w:rFonts w:ascii="Times New Roman" w:eastAsiaTheme="minorEastAsia" w:hAnsi="Times New Roman" w:cs="Times New Roman"/>
          <w:sz w:val="24"/>
          <w:szCs w:val="24"/>
        </w:rPr>
        <w:fldChar w:fldCharType="begin" w:fldLock="1"/>
      </w:r>
      <w:r w:rsidR="003D379B">
        <w:rPr>
          <w:rFonts w:ascii="Times New Roman" w:eastAsiaTheme="minorEastAsia" w:hAnsi="Times New Roman" w:cs="Times New Roman"/>
          <w:sz w:val="24"/>
          <w:szCs w:val="24"/>
        </w:rPr>
        <w:instrText>ADDIN CSL_CITATION { "citationItems" : [ { "id" : "ITEM-1", "itemData" : { "author" : [ { "dropping-particle" : "", "family" : "Long", "given" : "J. Bradford", "non-dropping-particle" : "De", "parse-names" : false, "suffix" : "" } ], "container-title" : "The American Economic Review", "id" : "ITEM-1", "issue" : "5", "issued" : { "date-parts" : [ [ "1988" ] ] }, "page" : "1138-1154", "title" : "Productivity Growth, Convergence, and Welfare: Comment", "type" : "article-journal", "volume" : "78" }, "uris" : [ "http://www.mendeley.com/documents/?uuid=f0865ed8-65f0-48b2-af3e-dd77309e8ace" ] }, { "id" : "ITEM-2", "itemData" : { "DOI" : "10.1016/0304-3932(85)90027-3", "author" : [ { "dropping-particle" : "", "family" : "Kormendi", "given" : "Roger C.", "non-dropping-particle" : "", "parse-names" : false, "suffix" : "" }, { "dropping-particle" : "", "family" : "Meguire", "given" : "Philip G.", "non-dropping-particle" : "", "parse-names" : false, "suffix" : "" } ], "container-title" : "Journal of Monetary Economics", "id" : "ITEM-2", "issue" : "2", "issued" : { "date-parts" : [ [ "1985", "9" ] ] }, "page" : "141-163", "title" : "Macroeconomic determinants of growth: Cross-country evidence", "type" : "article-journal", "volume" : "16" }, "uris" : [ "http://www.mendeley.com/documents/?uuid=674cc1fa-8ac4-3b14-8854-ce38982df380" ] } ], "mendeley" : { "formattedCitation" : "(De Long 1988; Kormendi and Meguire 1985)", "manualFormatting" : "De Long, 1988; ", "plainTextFormattedCitation" : "(De Long 1988; Kormendi and Meguire 1985)", "previouslyFormattedCitation" : "(De Long 1988; Kormendi and Meguire 1985)" }, "properties" : { "noteIndex" : 0 }, "schema" : "https://github.com/citation-style-language/schema/raw/master/csl-citation.json" }</w:instrText>
      </w:r>
      <w:r w:rsidR="006578EE" w:rsidRPr="005517C4">
        <w:rPr>
          <w:rFonts w:ascii="Times New Roman" w:eastAsiaTheme="minorEastAsia" w:hAnsi="Times New Roman" w:cs="Times New Roman"/>
          <w:sz w:val="24"/>
          <w:szCs w:val="24"/>
        </w:rPr>
        <w:fldChar w:fldCharType="separate"/>
      </w:r>
      <w:r w:rsidR="005D40BE" w:rsidRPr="005517C4">
        <w:rPr>
          <w:rFonts w:ascii="Times New Roman" w:eastAsiaTheme="minorEastAsia" w:hAnsi="Times New Roman" w:cs="Times New Roman"/>
          <w:noProof/>
          <w:sz w:val="24"/>
          <w:szCs w:val="24"/>
        </w:rPr>
        <w:t>De Long</w:t>
      </w:r>
      <w:r>
        <w:rPr>
          <w:rFonts w:ascii="Times New Roman" w:eastAsiaTheme="minorEastAsia" w:hAnsi="Times New Roman" w:cs="Times New Roman"/>
          <w:noProof/>
          <w:sz w:val="24"/>
          <w:szCs w:val="24"/>
        </w:rPr>
        <w:t>,</w:t>
      </w:r>
      <w:r w:rsidR="005D40BE" w:rsidRPr="005517C4">
        <w:rPr>
          <w:rFonts w:ascii="Times New Roman" w:eastAsiaTheme="minorEastAsia" w:hAnsi="Times New Roman" w:cs="Times New Roman"/>
          <w:noProof/>
          <w:sz w:val="24"/>
          <w:szCs w:val="24"/>
        </w:rPr>
        <w:t xml:space="preserve"> 1988</w:t>
      </w:r>
      <w:r w:rsidR="0060006D" w:rsidRPr="005517C4">
        <w:rPr>
          <w:rFonts w:ascii="Times New Roman" w:eastAsiaTheme="minorEastAsia" w:hAnsi="Times New Roman" w:cs="Times New Roman"/>
          <w:noProof/>
          <w:sz w:val="24"/>
          <w:szCs w:val="24"/>
        </w:rPr>
        <w:t xml:space="preserve">; </w:t>
      </w:r>
      <w:r w:rsidR="006578EE" w:rsidRPr="005517C4">
        <w:rPr>
          <w:rFonts w:ascii="Times New Roman" w:eastAsiaTheme="minorEastAsia" w:hAnsi="Times New Roman" w:cs="Times New Roman"/>
          <w:sz w:val="24"/>
          <w:szCs w:val="24"/>
        </w:rPr>
        <w:fldChar w:fldCharType="end"/>
      </w:r>
      <w:r w:rsidR="006578EE" w:rsidRPr="005517C4">
        <w:rPr>
          <w:rFonts w:ascii="Times New Roman" w:eastAsiaTheme="minorEastAsia" w:hAnsi="Times New Roman" w:cs="Times New Roman"/>
          <w:sz w:val="24"/>
          <w:szCs w:val="24"/>
        </w:rPr>
        <w:fldChar w:fldCharType="begin" w:fldLock="1"/>
      </w:r>
      <w:r w:rsidR="003D379B">
        <w:rPr>
          <w:rFonts w:ascii="Times New Roman" w:eastAsiaTheme="minorEastAsia" w:hAnsi="Times New Roman" w:cs="Times New Roman"/>
          <w:sz w:val="24"/>
          <w:szCs w:val="24"/>
        </w:rPr>
        <w:instrText>ADDIN CSL_CITATION { "citationItems" : [ { "id" : "ITEM-1", "itemData" : { "DOI" : "10.1016/0304-3932(89)90006-8", "author" : [ { "dropping-particle" : "", "family" : "Grier", "given" : "Kevin B.", "non-dropping-particle" : "", "parse-names" : false, "suffix" : "" }, { "dropping-particle" : "", "family" : "Tullock", "given" : "Gordon", "non-dropping-particle" : "", "parse-names" : false, "suffix" : "" } ], "container-title" : "Journal of Monetary Economics", "id" : "ITEM-1", "issue" : "2", "issued" : { "date-parts" : [ [ "1989", "9" ] ] }, "page" : "259-276", "title" : "An empirical analysis of cross-national economic growth, 1951\u20131980", "type" : "article-journal", "volume" : "24" }, "uris" : [ "http://www.mendeley.com/documents/?uuid=b542c9f0-503b-3c86-ac6e-2eed9bf5bd58" ] } ], "mendeley" : { "formattedCitation" : "(Grier and Tullock 1989)", "manualFormatting" : "Grier and Tullock, 1989)", "plainTextFormattedCitation" : "(Grier and Tullock 1989)", "previouslyFormattedCitation" : "(Grier and Tullock 1989)" }, "properties" : { "noteIndex" : 0 }, "schema" : "https://github.com/citation-style-language/schema/raw/master/csl-citation.json" }</w:instrText>
      </w:r>
      <w:r w:rsidR="006578EE" w:rsidRPr="005517C4">
        <w:rPr>
          <w:rFonts w:ascii="Times New Roman" w:eastAsiaTheme="minorEastAsia" w:hAnsi="Times New Roman" w:cs="Times New Roman"/>
          <w:sz w:val="24"/>
          <w:szCs w:val="24"/>
        </w:rPr>
        <w:fldChar w:fldCharType="separate"/>
      </w:r>
      <w:r w:rsidR="0060006D" w:rsidRPr="005517C4">
        <w:rPr>
          <w:rFonts w:ascii="Times New Roman" w:eastAsiaTheme="minorEastAsia" w:hAnsi="Times New Roman" w:cs="Times New Roman"/>
          <w:noProof/>
          <w:sz w:val="24"/>
          <w:szCs w:val="24"/>
        </w:rPr>
        <w:t>Grier and Tullock</w:t>
      </w:r>
      <w:r>
        <w:rPr>
          <w:rFonts w:ascii="Times New Roman" w:eastAsiaTheme="minorEastAsia" w:hAnsi="Times New Roman" w:cs="Times New Roman"/>
          <w:noProof/>
          <w:sz w:val="24"/>
          <w:szCs w:val="24"/>
        </w:rPr>
        <w:t>,</w:t>
      </w:r>
      <w:r w:rsidR="0060006D" w:rsidRPr="005517C4">
        <w:rPr>
          <w:rFonts w:ascii="Times New Roman" w:eastAsiaTheme="minorEastAsia" w:hAnsi="Times New Roman" w:cs="Times New Roman"/>
          <w:noProof/>
          <w:sz w:val="24"/>
          <w:szCs w:val="24"/>
        </w:rPr>
        <w:t xml:space="preserve"> 1989)</w:t>
      </w:r>
      <w:r w:rsidR="006578EE" w:rsidRPr="005517C4">
        <w:rPr>
          <w:rFonts w:ascii="Times New Roman" w:eastAsiaTheme="minorEastAsia" w:hAnsi="Times New Roman" w:cs="Times New Roman"/>
          <w:sz w:val="24"/>
          <w:szCs w:val="24"/>
        </w:rPr>
        <w:fldChar w:fldCharType="end"/>
      </w:r>
      <w:r w:rsidR="0060006D" w:rsidRPr="005517C4">
        <w:rPr>
          <w:rFonts w:ascii="Times New Roman" w:eastAsiaTheme="minorEastAsia" w:hAnsi="Times New Roman" w:cs="Times New Roman"/>
          <w:sz w:val="24"/>
          <w:szCs w:val="24"/>
        </w:rPr>
        <w:t xml:space="preserve">. Moreover, due to </w:t>
      </w:r>
      <w:r>
        <w:rPr>
          <w:rFonts w:ascii="Times New Roman" w:eastAsiaTheme="minorEastAsia" w:hAnsi="Times New Roman" w:cs="Times New Roman"/>
          <w:sz w:val="24"/>
          <w:szCs w:val="24"/>
        </w:rPr>
        <w:t xml:space="preserve">the presence of </w:t>
      </w:r>
      <w:r w:rsidR="0060006D" w:rsidRPr="005517C4">
        <w:rPr>
          <w:rFonts w:ascii="Times New Roman" w:eastAsiaTheme="minorEastAsia" w:hAnsi="Times New Roman" w:cs="Times New Roman"/>
          <w:sz w:val="24"/>
          <w:szCs w:val="24"/>
        </w:rPr>
        <w:t xml:space="preserve">increasing returns </w:t>
      </w:r>
      <w:r>
        <w:rPr>
          <w:rFonts w:ascii="Times New Roman" w:eastAsiaTheme="minorEastAsia" w:hAnsi="Times New Roman" w:cs="Times New Roman"/>
          <w:sz w:val="24"/>
          <w:szCs w:val="24"/>
        </w:rPr>
        <w:t>as supported</w:t>
      </w:r>
      <w:r w:rsidR="0060006D" w:rsidRPr="005517C4">
        <w:rPr>
          <w:rFonts w:ascii="Times New Roman" w:eastAsiaTheme="minorEastAsia" w:hAnsi="Times New Roman" w:cs="Times New Roman"/>
          <w:sz w:val="24"/>
          <w:szCs w:val="24"/>
        </w:rPr>
        <w:t xml:space="preserve"> by </w:t>
      </w:r>
      <w:r>
        <w:rPr>
          <w:rFonts w:ascii="Times New Roman" w:eastAsiaTheme="minorEastAsia" w:hAnsi="Times New Roman" w:cs="Times New Roman"/>
          <w:sz w:val="24"/>
          <w:szCs w:val="24"/>
        </w:rPr>
        <w:t xml:space="preserve">the </w:t>
      </w:r>
      <w:r w:rsidR="0060006D" w:rsidRPr="005517C4">
        <w:rPr>
          <w:rFonts w:ascii="Times New Roman" w:eastAsiaTheme="minorEastAsia" w:hAnsi="Times New Roman" w:cs="Times New Roman"/>
          <w:sz w:val="24"/>
          <w:szCs w:val="24"/>
        </w:rPr>
        <w:t>endogeneous growth theories</w:t>
      </w:r>
      <w:r>
        <w:rPr>
          <w:rFonts w:ascii="Times New Roman" w:eastAsiaTheme="minorEastAsia" w:hAnsi="Times New Roman" w:cs="Times New Roman"/>
          <w:sz w:val="24"/>
          <w:szCs w:val="24"/>
        </w:rPr>
        <w:t>, the</w:t>
      </w:r>
      <w:r w:rsidR="00815644" w:rsidRPr="005517C4">
        <w:rPr>
          <w:rFonts w:ascii="Times New Roman" w:eastAsiaTheme="minorEastAsia" w:hAnsi="Times New Roman" w:cs="Times New Roman"/>
          <w:sz w:val="24"/>
          <w:szCs w:val="24"/>
        </w:rPr>
        <w:t xml:space="preserve"> income gap between poor and rich countries may widen </w:t>
      </w:r>
      <w:r w:rsidR="006578EE" w:rsidRPr="005517C4">
        <w:rPr>
          <w:rFonts w:ascii="Times New Roman" w:eastAsiaTheme="minorEastAsia" w:hAnsi="Times New Roman" w:cs="Times New Roman"/>
          <w:sz w:val="24"/>
          <w:szCs w:val="24"/>
        </w:rPr>
        <w:fldChar w:fldCharType="begin" w:fldLock="1"/>
      </w:r>
      <w:r w:rsidR="003D379B">
        <w:rPr>
          <w:rFonts w:ascii="Times New Roman" w:eastAsiaTheme="minorEastAsia" w:hAnsi="Times New Roman" w:cs="Times New Roman"/>
          <w:sz w:val="24"/>
          <w:szCs w:val="24"/>
        </w:rPr>
        <w:instrText>ADDIN CSL_CITATION { "citationItems" : [ { "id" : "ITEM-1", "itemData" : { "author" : [ { "dropping-particle" : "", "family" : "Romer", "given" : "Paul M", "non-dropping-particle" : "", "parse-names" : false, "suffix" : "" } ], "container-title" : "The Journal of Political Economy", "id" : "ITEM-1", "issue" : "5", "issued" : { "date-parts" : [ [ "1986" ] ] }, "page" : "1002-1037", "title" : "Increasing Returns and Long-Run Growth", "type" : "article-journal", "volume" : "94" }, "uris" : [ "http://www.mendeley.com/documents/?uuid=e9ea610a-3b43-37d4-baa9-bdbc59a868b0" ] } ], "mendeley" : { "formattedCitation" : "(Romer 1986)", "manualFormatting" : "(Romer, 1986)", "plainTextFormattedCitation" : "(Romer 1986)", "previouslyFormattedCitation" : "(Romer 1986)" }, "properties" : { "noteIndex" : 0 }, "schema" : "https://github.com/citation-style-language/schema/raw/master/csl-citation.json" }</w:instrText>
      </w:r>
      <w:r w:rsidR="006578EE" w:rsidRPr="005517C4">
        <w:rPr>
          <w:rFonts w:ascii="Times New Roman" w:eastAsiaTheme="minorEastAsia" w:hAnsi="Times New Roman" w:cs="Times New Roman"/>
          <w:sz w:val="24"/>
          <w:szCs w:val="24"/>
        </w:rPr>
        <w:fldChar w:fldCharType="separate"/>
      </w:r>
      <w:r w:rsidR="00815644" w:rsidRPr="005517C4">
        <w:rPr>
          <w:rFonts w:ascii="Times New Roman" w:eastAsiaTheme="minorEastAsia" w:hAnsi="Times New Roman" w:cs="Times New Roman"/>
          <w:noProof/>
          <w:sz w:val="24"/>
          <w:szCs w:val="24"/>
        </w:rPr>
        <w:t>(Romer</w:t>
      </w:r>
      <w:r>
        <w:rPr>
          <w:rFonts w:ascii="Times New Roman" w:eastAsiaTheme="minorEastAsia" w:hAnsi="Times New Roman" w:cs="Times New Roman"/>
          <w:noProof/>
          <w:sz w:val="24"/>
          <w:szCs w:val="24"/>
        </w:rPr>
        <w:t>,</w:t>
      </w:r>
      <w:r w:rsidR="00815644" w:rsidRPr="005517C4">
        <w:rPr>
          <w:rFonts w:ascii="Times New Roman" w:eastAsiaTheme="minorEastAsia" w:hAnsi="Times New Roman" w:cs="Times New Roman"/>
          <w:noProof/>
          <w:sz w:val="24"/>
          <w:szCs w:val="24"/>
        </w:rPr>
        <w:t xml:space="preserve"> 1986)</w:t>
      </w:r>
      <w:r w:rsidR="006578EE" w:rsidRPr="005517C4">
        <w:rPr>
          <w:rFonts w:ascii="Times New Roman" w:eastAsiaTheme="minorEastAsia" w:hAnsi="Times New Roman" w:cs="Times New Roman"/>
          <w:sz w:val="24"/>
          <w:szCs w:val="24"/>
        </w:rPr>
        <w:fldChar w:fldCharType="end"/>
      </w:r>
      <w:r w:rsidR="00815644" w:rsidRPr="005517C4">
        <w:rPr>
          <w:rFonts w:ascii="Times New Roman" w:eastAsiaTheme="minorEastAsia" w:hAnsi="Times New Roman" w:cs="Times New Roman"/>
          <w:sz w:val="24"/>
          <w:szCs w:val="24"/>
        </w:rPr>
        <w:t xml:space="preserve">. </w:t>
      </w:r>
      <w:r w:rsidR="00A66D19" w:rsidRPr="005517C4">
        <w:rPr>
          <w:rFonts w:ascii="Times New Roman" w:eastAsiaTheme="minorEastAsia" w:hAnsi="Times New Roman" w:cs="Times New Roman"/>
          <w:sz w:val="24"/>
          <w:szCs w:val="24"/>
        </w:rPr>
        <w:t xml:space="preserve">These arguments necessiate that </w:t>
      </w:r>
      <w:r>
        <w:rPr>
          <w:rFonts w:ascii="Times New Roman" w:eastAsiaTheme="minorEastAsia" w:hAnsi="Times New Roman" w:cs="Times New Roman"/>
          <w:sz w:val="24"/>
          <w:szCs w:val="24"/>
        </w:rPr>
        <w:t xml:space="preserve">the </w:t>
      </w:r>
      <w:r w:rsidR="00A66D19" w:rsidRPr="005517C4">
        <w:rPr>
          <w:rFonts w:ascii="Times New Roman" w:eastAsiaTheme="minorEastAsia" w:hAnsi="Times New Roman" w:cs="Times New Roman"/>
          <w:sz w:val="24"/>
          <w:szCs w:val="24"/>
        </w:rPr>
        <w:t xml:space="preserve">initial conditions and basic dynamics of economic growth should be regarded for </w:t>
      </w:r>
      <w:r>
        <w:rPr>
          <w:rFonts w:ascii="Times New Roman" w:eastAsiaTheme="minorEastAsia" w:hAnsi="Times New Roman" w:cs="Times New Roman"/>
          <w:sz w:val="24"/>
          <w:szCs w:val="24"/>
        </w:rPr>
        <w:t xml:space="preserve">the process of </w:t>
      </w:r>
      <w:r w:rsidR="00A66D19" w:rsidRPr="005517C4">
        <w:rPr>
          <w:rFonts w:ascii="Times New Roman" w:eastAsiaTheme="minorEastAsia" w:hAnsi="Times New Roman" w:cs="Times New Roman"/>
          <w:sz w:val="24"/>
          <w:szCs w:val="24"/>
        </w:rPr>
        <w:t xml:space="preserve">country selection </w:t>
      </w:r>
      <w:r w:rsidR="00FE7F39" w:rsidRPr="005517C4">
        <w:rPr>
          <w:rFonts w:ascii="Times New Roman" w:eastAsiaTheme="minorEastAsia" w:hAnsi="Times New Roman" w:cs="Times New Roman"/>
          <w:sz w:val="24"/>
          <w:szCs w:val="24"/>
        </w:rPr>
        <w:t xml:space="preserve">in </w:t>
      </w:r>
      <w:r>
        <w:rPr>
          <w:rFonts w:ascii="Times New Roman" w:eastAsiaTheme="minorEastAsia" w:hAnsi="Times New Roman" w:cs="Times New Roman"/>
          <w:sz w:val="24"/>
          <w:szCs w:val="24"/>
        </w:rPr>
        <w:t xml:space="preserve">the </w:t>
      </w:r>
      <w:r w:rsidR="00FE7F39" w:rsidRPr="005517C4">
        <w:rPr>
          <w:rFonts w:ascii="Times New Roman" w:eastAsiaTheme="minorEastAsia" w:hAnsi="Times New Roman" w:cs="Times New Roman"/>
          <w:sz w:val="24"/>
          <w:szCs w:val="24"/>
        </w:rPr>
        <w:t>convergence</w:t>
      </w:r>
      <w:r w:rsidR="00436DB9" w:rsidRPr="005517C4">
        <w:rPr>
          <w:rFonts w:ascii="Times New Roman" w:eastAsiaTheme="minorEastAsia" w:hAnsi="Times New Roman" w:cs="Times New Roman"/>
          <w:sz w:val="24"/>
          <w:szCs w:val="24"/>
        </w:rPr>
        <w:t xml:space="preserve"> analys</w:t>
      </w:r>
      <w:r>
        <w:rPr>
          <w:rFonts w:ascii="Times New Roman" w:eastAsiaTheme="minorEastAsia" w:hAnsi="Times New Roman" w:cs="Times New Roman"/>
          <w:sz w:val="24"/>
          <w:szCs w:val="24"/>
        </w:rPr>
        <w:t>i</w:t>
      </w:r>
      <w:r w:rsidR="00A66D19" w:rsidRPr="005517C4">
        <w:rPr>
          <w:rFonts w:ascii="Times New Roman" w:eastAsiaTheme="minorEastAsia" w:hAnsi="Times New Roman" w:cs="Times New Roman"/>
          <w:sz w:val="24"/>
          <w:szCs w:val="24"/>
        </w:rPr>
        <w:t>s</w:t>
      </w:r>
      <w:r w:rsidR="007519D3" w:rsidRPr="005517C4">
        <w:rPr>
          <w:rFonts w:ascii="Times New Roman" w:eastAsiaTheme="minorEastAsia" w:hAnsi="Times New Roman" w:cs="Times New Roman"/>
          <w:sz w:val="24"/>
          <w:szCs w:val="24"/>
        </w:rPr>
        <w:t xml:space="preserve"> </w:t>
      </w:r>
      <w:r w:rsidR="006578EE" w:rsidRPr="005517C4">
        <w:rPr>
          <w:rFonts w:ascii="Times New Roman" w:eastAsiaTheme="minorEastAsia" w:hAnsi="Times New Roman" w:cs="Times New Roman"/>
          <w:sz w:val="24"/>
          <w:szCs w:val="24"/>
        </w:rPr>
        <w:fldChar w:fldCharType="begin" w:fldLock="1"/>
      </w:r>
      <w:r w:rsidR="003D379B">
        <w:rPr>
          <w:rFonts w:ascii="Times New Roman" w:eastAsiaTheme="minorEastAsia" w:hAnsi="Times New Roman" w:cs="Times New Roman"/>
          <w:sz w:val="24"/>
          <w:szCs w:val="24"/>
        </w:rPr>
        <w:instrText>ADDIN CSL_CITATION { "citationItems" : [ { "id" : "ITEM-1", "itemData" : { "DOI" : "10.2307/2235378", "author" : [ { "dropping-particle" : "", "family" : "Galor", "given" : "Oded", "non-dropping-particle" : "", "parse-names" : false, "suffix" : "" } ], "container-title" : "The Economic Journal", "id" : "ITEM-1", "issue" : "437", "issued" : { "date-parts" : [ [ "1996", "7" ] ] }, "page" : "1056", "title" : "Convergence? Inferences from Theoretical Models", "type" : "article-journal", "volume" : "106" }, "uris" : [ "http://www.mendeley.com/documents/?uuid=fb29e3b4-0843-3a62-9762-9c970e42dd15" ] } ], "mendeley" : { "formattedCitation" : "(Galor 1996)", "manualFormatting" : "(Durlauf and Johnson, 1995; ", "plainTextFormattedCitation" : "(Galor 1996)", "previouslyFormattedCitation" : "(Galor 1996)" }, "properties" : { "noteIndex" : 0 }, "schema" : "https://github.com/citation-style-language/schema/raw/master/csl-citation.json" }</w:instrText>
      </w:r>
      <w:r w:rsidR="006578EE" w:rsidRPr="005517C4">
        <w:rPr>
          <w:rFonts w:ascii="Times New Roman" w:eastAsiaTheme="minorEastAsia" w:hAnsi="Times New Roman" w:cs="Times New Roman"/>
          <w:sz w:val="24"/>
          <w:szCs w:val="24"/>
        </w:rPr>
        <w:fldChar w:fldCharType="separate"/>
      </w:r>
      <w:r w:rsidR="007519D3" w:rsidRPr="005517C4">
        <w:rPr>
          <w:rFonts w:ascii="Times New Roman" w:eastAsiaTheme="minorEastAsia" w:hAnsi="Times New Roman" w:cs="Times New Roman"/>
          <w:noProof/>
          <w:sz w:val="24"/>
          <w:szCs w:val="24"/>
        </w:rPr>
        <w:t>(Durlauf and Johnson</w:t>
      </w:r>
      <w:r>
        <w:rPr>
          <w:rFonts w:ascii="Times New Roman" w:eastAsiaTheme="minorEastAsia" w:hAnsi="Times New Roman" w:cs="Times New Roman"/>
          <w:noProof/>
          <w:sz w:val="24"/>
          <w:szCs w:val="24"/>
        </w:rPr>
        <w:t>,</w:t>
      </w:r>
      <w:r w:rsidR="007519D3" w:rsidRPr="005517C4">
        <w:rPr>
          <w:rFonts w:ascii="Times New Roman" w:eastAsiaTheme="minorEastAsia" w:hAnsi="Times New Roman" w:cs="Times New Roman"/>
          <w:noProof/>
          <w:sz w:val="24"/>
          <w:szCs w:val="24"/>
        </w:rPr>
        <w:t xml:space="preserve"> 1995; </w:t>
      </w:r>
      <w:r w:rsidR="006578EE" w:rsidRPr="005517C4">
        <w:rPr>
          <w:rFonts w:ascii="Times New Roman" w:eastAsiaTheme="minorEastAsia" w:hAnsi="Times New Roman" w:cs="Times New Roman"/>
          <w:sz w:val="24"/>
          <w:szCs w:val="24"/>
        </w:rPr>
        <w:fldChar w:fldCharType="end"/>
      </w:r>
      <w:r w:rsidR="006578EE" w:rsidRPr="005517C4">
        <w:rPr>
          <w:rFonts w:ascii="Times New Roman" w:eastAsiaTheme="minorEastAsia" w:hAnsi="Times New Roman" w:cs="Times New Roman"/>
          <w:sz w:val="24"/>
          <w:szCs w:val="24"/>
        </w:rPr>
        <w:fldChar w:fldCharType="begin" w:fldLock="1"/>
      </w:r>
      <w:r w:rsidR="003D379B">
        <w:rPr>
          <w:rFonts w:ascii="Times New Roman" w:eastAsiaTheme="minorEastAsia" w:hAnsi="Times New Roman" w:cs="Times New Roman"/>
          <w:sz w:val="24"/>
          <w:szCs w:val="24"/>
        </w:rPr>
        <w:instrText>ADDIN CSL_CITATION { "citationItems" : [ { "id" : "ITEM-1", "itemData" : { "DOI" : "10.2307/2235378", "author" : [ { "dropping-particle" : "", "family" : "Galor", "given" : "Oded", "non-dropping-particle" : "", "parse-names" : false, "suffix" : "" } ], "container-title" : "The Economic Journal", "id" : "ITEM-1", "issue" : "437", "issued" : { "date-parts" : [ [ "1996", "7" ] ] }, "page" : "1056", "title" : "Convergence? Inferences from Theoretical Models", "type" : "article-journal", "volume" : "106" }, "uris" : [ "http://www.mendeley.com/documents/?uuid=fb29e3b4-0843-3a62-9762-9c970e42dd15" ] } ], "mendeley" : { "formattedCitation" : "(Galor 1996)", "manualFormatting" : "Galor, 1996)", "plainTextFormattedCitation" : "(Galor 1996)", "previouslyFormattedCitation" : "(Galor 1996)" }, "properties" : { "noteIndex" : 0 }, "schema" : "https://github.com/citation-style-language/schema/raw/master/csl-citation.json" }</w:instrText>
      </w:r>
      <w:r w:rsidR="006578EE" w:rsidRPr="005517C4">
        <w:rPr>
          <w:rFonts w:ascii="Times New Roman" w:eastAsiaTheme="minorEastAsia" w:hAnsi="Times New Roman" w:cs="Times New Roman"/>
          <w:sz w:val="24"/>
          <w:szCs w:val="24"/>
        </w:rPr>
        <w:fldChar w:fldCharType="separate"/>
      </w:r>
      <w:r w:rsidR="007519D3" w:rsidRPr="005517C4">
        <w:rPr>
          <w:rFonts w:ascii="Times New Roman" w:eastAsiaTheme="minorEastAsia" w:hAnsi="Times New Roman" w:cs="Times New Roman"/>
          <w:noProof/>
          <w:sz w:val="24"/>
          <w:szCs w:val="24"/>
        </w:rPr>
        <w:t>Galor</w:t>
      </w:r>
      <w:r>
        <w:rPr>
          <w:rFonts w:ascii="Times New Roman" w:eastAsiaTheme="minorEastAsia" w:hAnsi="Times New Roman" w:cs="Times New Roman"/>
          <w:noProof/>
          <w:sz w:val="24"/>
          <w:szCs w:val="24"/>
        </w:rPr>
        <w:t>,</w:t>
      </w:r>
      <w:r w:rsidR="007519D3" w:rsidRPr="005517C4">
        <w:rPr>
          <w:rFonts w:ascii="Times New Roman" w:eastAsiaTheme="minorEastAsia" w:hAnsi="Times New Roman" w:cs="Times New Roman"/>
          <w:noProof/>
          <w:sz w:val="24"/>
          <w:szCs w:val="24"/>
        </w:rPr>
        <w:t xml:space="preserve"> 1996)</w:t>
      </w:r>
      <w:r w:rsidR="006578EE" w:rsidRPr="005517C4">
        <w:rPr>
          <w:rFonts w:ascii="Times New Roman" w:eastAsiaTheme="minorEastAsia" w:hAnsi="Times New Roman" w:cs="Times New Roman"/>
          <w:sz w:val="24"/>
          <w:szCs w:val="24"/>
        </w:rPr>
        <w:fldChar w:fldCharType="end"/>
      </w:r>
      <w:r w:rsidR="007519D3" w:rsidRPr="005517C4">
        <w:rPr>
          <w:rFonts w:ascii="Times New Roman" w:eastAsiaTheme="minorEastAsia" w:hAnsi="Times New Roman" w:cs="Times New Roman"/>
          <w:sz w:val="24"/>
          <w:szCs w:val="24"/>
        </w:rPr>
        <w:t xml:space="preserve">. </w:t>
      </w:r>
      <w:r w:rsidR="00FE6B72" w:rsidRPr="005517C4">
        <w:rPr>
          <w:rFonts w:ascii="Times New Roman" w:eastAsiaTheme="minorEastAsia" w:hAnsi="Times New Roman" w:cs="Times New Roman"/>
          <w:sz w:val="24"/>
          <w:szCs w:val="24"/>
        </w:rPr>
        <w:t xml:space="preserve">This approach is </w:t>
      </w:r>
      <w:r>
        <w:rPr>
          <w:rFonts w:ascii="Times New Roman" w:eastAsiaTheme="minorEastAsia" w:hAnsi="Times New Roman" w:cs="Times New Roman"/>
          <w:sz w:val="24"/>
          <w:szCs w:val="24"/>
        </w:rPr>
        <w:t xml:space="preserve">the so called </w:t>
      </w:r>
      <w:r w:rsidR="00E7321B" w:rsidRPr="005517C4">
        <w:rPr>
          <w:rFonts w:ascii="Times New Roman" w:eastAsiaTheme="minorEastAsia" w:hAnsi="Times New Roman" w:cs="Times New Roman"/>
          <w:sz w:val="24"/>
          <w:szCs w:val="24"/>
        </w:rPr>
        <w:t>conditional convergence</w:t>
      </w:r>
      <w:r>
        <w:rPr>
          <w:rFonts w:ascii="Times New Roman" w:eastAsiaTheme="minorEastAsia" w:hAnsi="Times New Roman" w:cs="Times New Roman"/>
          <w:sz w:val="24"/>
          <w:szCs w:val="24"/>
        </w:rPr>
        <w:t>, with</w:t>
      </w:r>
      <w:r w:rsidR="00E7321B" w:rsidRPr="005517C4">
        <w:rPr>
          <w:rFonts w:ascii="Times New Roman" w:eastAsiaTheme="minorEastAsia" w:hAnsi="Times New Roman" w:cs="Times New Roman"/>
          <w:sz w:val="24"/>
          <w:szCs w:val="24"/>
        </w:rPr>
        <w:t xml:space="preserve"> each </w:t>
      </w:r>
      <w:r>
        <w:rPr>
          <w:rFonts w:ascii="Times New Roman" w:eastAsiaTheme="minorEastAsia" w:hAnsi="Times New Roman" w:cs="Times New Roman"/>
          <w:sz w:val="24"/>
          <w:szCs w:val="24"/>
        </w:rPr>
        <w:t>individual economy possessing</w:t>
      </w:r>
      <w:r w:rsidR="00E7321B" w:rsidRPr="005517C4">
        <w:rPr>
          <w:rFonts w:ascii="Times New Roman" w:eastAsiaTheme="minorEastAsia" w:hAnsi="Times New Roman" w:cs="Times New Roman"/>
          <w:sz w:val="24"/>
          <w:szCs w:val="24"/>
        </w:rPr>
        <w:t xml:space="preserve"> a particular steady state equ</w:t>
      </w:r>
      <w:r>
        <w:rPr>
          <w:rFonts w:ascii="Times New Roman" w:eastAsiaTheme="minorEastAsia" w:hAnsi="Times New Roman" w:cs="Times New Roman"/>
          <w:sz w:val="24"/>
          <w:szCs w:val="24"/>
        </w:rPr>
        <w:t>i</w:t>
      </w:r>
      <w:r w:rsidR="00E7321B" w:rsidRPr="005517C4">
        <w:rPr>
          <w:rFonts w:ascii="Times New Roman" w:eastAsiaTheme="minorEastAsia" w:hAnsi="Times New Roman" w:cs="Times New Roman"/>
          <w:sz w:val="24"/>
          <w:szCs w:val="24"/>
        </w:rPr>
        <w:t>libr</w:t>
      </w:r>
      <w:r w:rsidR="000B48AA" w:rsidRPr="005517C4">
        <w:rPr>
          <w:rFonts w:ascii="Times New Roman" w:eastAsiaTheme="minorEastAsia" w:hAnsi="Times New Roman" w:cs="Times New Roman"/>
          <w:sz w:val="24"/>
          <w:szCs w:val="24"/>
        </w:rPr>
        <w:t>i</w:t>
      </w:r>
      <w:r w:rsidR="00E7321B" w:rsidRPr="005517C4">
        <w:rPr>
          <w:rFonts w:ascii="Times New Roman" w:eastAsiaTheme="minorEastAsia" w:hAnsi="Times New Roman" w:cs="Times New Roman"/>
          <w:sz w:val="24"/>
          <w:szCs w:val="24"/>
        </w:rPr>
        <w:t xml:space="preserve">um </w:t>
      </w:r>
      <w:r>
        <w:rPr>
          <w:rFonts w:ascii="Times New Roman" w:eastAsiaTheme="minorEastAsia" w:hAnsi="Times New Roman" w:cs="Times New Roman"/>
          <w:sz w:val="24"/>
          <w:szCs w:val="24"/>
        </w:rPr>
        <w:t xml:space="preserve">which attempts to </w:t>
      </w:r>
      <w:r w:rsidR="00E7321B" w:rsidRPr="005517C4">
        <w:rPr>
          <w:rFonts w:ascii="Times New Roman" w:eastAsiaTheme="minorEastAsia" w:hAnsi="Times New Roman" w:cs="Times New Roman"/>
          <w:sz w:val="24"/>
          <w:szCs w:val="24"/>
        </w:rPr>
        <w:t>approach</w:t>
      </w:r>
      <w:r w:rsidR="000B48AA" w:rsidRPr="005517C4">
        <w:rPr>
          <w:rFonts w:ascii="Times New Roman" w:eastAsiaTheme="minorEastAsia" w:hAnsi="Times New Roman" w:cs="Times New Roman"/>
          <w:sz w:val="24"/>
          <w:szCs w:val="24"/>
        </w:rPr>
        <w:t xml:space="preserve">. Similarly, if economies </w:t>
      </w:r>
      <w:r w:rsidR="00A53F5C" w:rsidRPr="005517C4">
        <w:rPr>
          <w:rFonts w:ascii="Times New Roman" w:eastAsiaTheme="minorEastAsia" w:hAnsi="Times New Roman" w:cs="Times New Roman"/>
          <w:sz w:val="24"/>
          <w:szCs w:val="24"/>
        </w:rPr>
        <w:t xml:space="preserve">are grouped by common </w:t>
      </w:r>
      <w:r w:rsidR="000B48AA" w:rsidRPr="005517C4">
        <w:rPr>
          <w:rFonts w:ascii="Times New Roman" w:eastAsiaTheme="minorEastAsia" w:hAnsi="Times New Roman" w:cs="Times New Roman"/>
          <w:sz w:val="24"/>
          <w:szCs w:val="24"/>
        </w:rPr>
        <w:t xml:space="preserve">characteristics </w:t>
      </w:r>
      <w:r>
        <w:rPr>
          <w:rFonts w:ascii="Times New Roman" w:eastAsiaTheme="minorEastAsia" w:hAnsi="Times New Roman" w:cs="Times New Roman"/>
          <w:sz w:val="24"/>
          <w:szCs w:val="24"/>
        </w:rPr>
        <w:t>(</w:t>
      </w:r>
      <w:r w:rsidR="006578EE" w:rsidRPr="005517C4">
        <w:rPr>
          <w:rFonts w:ascii="Times New Roman" w:eastAsiaTheme="minorEastAsia" w:hAnsi="Times New Roman" w:cs="Times New Roman"/>
          <w:sz w:val="24"/>
          <w:szCs w:val="24"/>
        </w:rPr>
        <w:fldChar w:fldCharType="begin" w:fldLock="1"/>
      </w:r>
      <w:r w:rsidR="003D379B">
        <w:rPr>
          <w:rFonts w:ascii="Times New Roman" w:eastAsiaTheme="minorEastAsia" w:hAnsi="Times New Roman" w:cs="Times New Roman"/>
          <w:sz w:val="24"/>
          <w:szCs w:val="24"/>
        </w:rPr>
        <w:instrText>ADDIN CSL_CITATION { "citationItems" : [ { "id" : "ITEM-1", "itemData" : { "DOI" : "10.1002/jae.3950100404", "author" : [ { "dropping-particle" : "", "family" : "Durlauf", "given" : "Steven N.", "non-dropping-particle" : "", "parse-names" : false, "suffix" : "" }, { "dropping-particle" : "", "family" : "Johnson", "given" : "Paul A.", "non-dropping-particle" : "", "parse-names" : false, "suffix" : "" } ], "container-title" : "Journal of Applied Econometrics", "id" : "ITEM-1", "issue" : "4", "issued" : { "date-parts" : [ [ "1995", "10" ] ] }, "page" : "365-384", "publisher" : "Wiley Subscription Services, Inc., A Wiley Company", "title" : "Multiple regimes and cross-country growth behaviour", "type" : "article-journal", "volume" : "10" }, "uris" : [ "http://www.mendeley.com/documents/?uuid=8650be09-2edc-3b51-85ec-06f900425d1d" ] } ], "mendeley" : { "formattedCitation" : "(Durlauf and Johnson 1995)", "manualFormatting" : "Durlauf and Johnson, 1995)", "plainTextFormattedCitation" : "(Durlauf and Johnson 1995)", "previouslyFormattedCitation" : "(Durlauf and Johnson 1995)" }, "properties" : { "noteIndex" : 0 }, "schema" : "https://github.com/citation-style-language/schema/raw/master/csl-citation.json" }</w:instrText>
      </w:r>
      <w:r w:rsidR="006578EE" w:rsidRPr="005517C4">
        <w:rPr>
          <w:rFonts w:ascii="Times New Roman" w:eastAsiaTheme="minorEastAsia" w:hAnsi="Times New Roman" w:cs="Times New Roman"/>
          <w:sz w:val="24"/>
          <w:szCs w:val="24"/>
        </w:rPr>
        <w:fldChar w:fldCharType="separate"/>
      </w:r>
      <w:r w:rsidR="00A53F5C" w:rsidRPr="005517C4">
        <w:rPr>
          <w:rFonts w:ascii="Times New Roman" w:eastAsiaTheme="minorEastAsia" w:hAnsi="Times New Roman" w:cs="Times New Roman"/>
          <w:noProof/>
          <w:sz w:val="24"/>
          <w:szCs w:val="24"/>
        </w:rPr>
        <w:t>Durlauf and Johnson</w:t>
      </w:r>
      <w:r>
        <w:rPr>
          <w:rFonts w:ascii="Times New Roman" w:eastAsiaTheme="minorEastAsia" w:hAnsi="Times New Roman" w:cs="Times New Roman"/>
          <w:noProof/>
          <w:sz w:val="24"/>
          <w:szCs w:val="24"/>
        </w:rPr>
        <w:t>,</w:t>
      </w:r>
      <w:r w:rsidR="00A53F5C" w:rsidRPr="005517C4">
        <w:rPr>
          <w:rFonts w:ascii="Times New Roman" w:eastAsiaTheme="minorEastAsia" w:hAnsi="Times New Roman" w:cs="Times New Roman"/>
          <w:noProof/>
          <w:sz w:val="24"/>
          <w:szCs w:val="24"/>
        </w:rPr>
        <w:t xml:space="preserve"> 1995)</w:t>
      </w:r>
      <w:r w:rsidR="006578EE" w:rsidRPr="005517C4">
        <w:rPr>
          <w:rFonts w:ascii="Times New Roman" w:eastAsiaTheme="minorEastAsia" w:hAnsi="Times New Roman" w:cs="Times New Roman"/>
          <w:sz w:val="24"/>
          <w:szCs w:val="24"/>
        </w:rPr>
        <w:fldChar w:fldCharType="end"/>
      </w:r>
      <w:r w:rsidR="00A53F5C" w:rsidRPr="005517C4">
        <w:rPr>
          <w:rFonts w:ascii="Times New Roman" w:eastAsiaTheme="minorEastAsia" w:hAnsi="Times New Roman" w:cs="Times New Roman"/>
          <w:sz w:val="24"/>
          <w:szCs w:val="24"/>
        </w:rPr>
        <w:t>, each group</w:t>
      </w:r>
      <w:r w:rsidR="000B48AA" w:rsidRPr="005517C4">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is expected to illustrate the</w:t>
      </w:r>
      <w:r w:rsidR="000B48AA" w:rsidRPr="005517C4">
        <w:rPr>
          <w:rFonts w:ascii="Times New Roman" w:eastAsiaTheme="minorEastAsia" w:hAnsi="Times New Roman" w:cs="Times New Roman"/>
          <w:sz w:val="24"/>
          <w:szCs w:val="24"/>
        </w:rPr>
        <w:t xml:space="preserve"> same steady state equilibrium</w:t>
      </w:r>
      <w:r w:rsidR="00573E14">
        <w:rPr>
          <w:rFonts w:ascii="Times New Roman" w:eastAsiaTheme="minorEastAsia" w:hAnsi="Times New Roman" w:cs="Times New Roman"/>
          <w:sz w:val="24"/>
          <w:szCs w:val="24"/>
        </w:rPr>
        <w:t>, which also attempts to</w:t>
      </w:r>
      <w:r w:rsidR="000B48AA" w:rsidRPr="005517C4">
        <w:rPr>
          <w:rFonts w:ascii="Times New Roman" w:eastAsiaTheme="minorEastAsia" w:hAnsi="Times New Roman" w:cs="Times New Roman"/>
          <w:sz w:val="24"/>
          <w:szCs w:val="24"/>
        </w:rPr>
        <w:t xml:space="preserve"> approach</w:t>
      </w:r>
      <w:r w:rsidR="009946BF" w:rsidRPr="005517C4">
        <w:rPr>
          <w:rFonts w:ascii="Times New Roman" w:eastAsiaTheme="minorEastAsia" w:hAnsi="Times New Roman" w:cs="Times New Roman"/>
          <w:sz w:val="24"/>
          <w:szCs w:val="24"/>
        </w:rPr>
        <w:t xml:space="preserve">. </w:t>
      </w:r>
      <w:r w:rsidR="00573E14">
        <w:rPr>
          <w:rFonts w:ascii="Times New Roman" w:eastAsiaTheme="minorEastAsia" w:hAnsi="Times New Roman" w:cs="Times New Roman"/>
          <w:sz w:val="24"/>
          <w:szCs w:val="24"/>
        </w:rPr>
        <w:t xml:space="preserve">According to the </w:t>
      </w:r>
      <w:r w:rsidR="00EB348E" w:rsidRPr="005517C4">
        <w:rPr>
          <w:rFonts w:ascii="Times New Roman" w:eastAsiaTheme="minorEastAsia" w:hAnsi="Times New Roman" w:cs="Times New Roman"/>
          <w:sz w:val="24"/>
          <w:szCs w:val="24"/>
        </w:rPr>
        <w:t>sigma</w:t>
      </w:r>
      <w:r w:rsidR="006B3A70" w:rsidRPr="005517C4">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σ</m:t>
        </m:r>
      </m:oMath>
      <w:r w:rsidR="006B3A70" w:rsidRPr="005517C4">
        <w:rPr>
          <w:rFonts w:ascii="Times New Roman" w:eastAsiaTheme="minorEastAsia" w:hAnsi="Times New Roman" w:cs="Times New Roman"/>
          <w:sz w:val="24"/>
          <w:szCs w:val="24"/>
        </w:rPr>
        <w:t>-convergence</w:t>
      </w:r>
      <w:r w:rsidR="00573E14">
        <w:rPr>
          <w:rFonts w:ascii="Times New Roman" w:eastAsiaTheme="minorEastAsia" w:hAnsi="Times New Roman" w:cs="Times New Roman"/>
          <w:sz w:val="24"/>
          <w:szCs w:val="24"/>
        </w:rPr>
        <w:t>,</w:t>
      </w:r>
      <w:r w:rsidR="00EB348E" w:rsidRPr="005517C4">
        <w:rPr>
          <w:rFonts w:ascii="Times New Roman" w:eastAsiaTheme="minorEastAsia" w:hAnsi="Times New Roman" w:cs="Times New Roman"/>
          <w:sz w:val="24"/>
          <w:szCs w:val="24"/>
        </w:rPr>
        <w:t xml:space="preserve"> introduced by </w:t>
      </w:r>
      <w:r w:rsidR="006578EE" w:rsidRPr="005517C4">
        <w:rPr>
          <w:rFonts w:ascii="Times New Roman" w:eastAsiaTheme="minorEastAsia" w:hAnsi="Times New Roman" w:cs="Times New Roman"/>
          <w:sz w:val="24"/>
          <w:szCs w:val="24"/>
        </w:rPr>
        <w:fldChar w:fldCharType="begin" w:fldLock="1"/>
      </w:r>
      <w:r w:rsidR="00216FA4">
        <w:rPr>
          <w:rFonts w:ascii="Times New Roman" w:eastAsiaTheme="minorEastAsia" w:hAnsi="Times New Roman" w:cs="Times New Roman"/>
          <w:sz w:val="24"/>
          <w:szCs w:val="24"/>
        </w:rPr>
        <w:instrText>ADDIN CSL_CITATION { "citationItems" : [ { "id" : "ITEM-1", "itemData" : { "DOI" : "10.2307/3440905", "ISSN" : "03470520", "author" : [ { "dropping-particle" : "", "family" : "Quah", "given" : "Danny", "non-dropping-particle" : "", "parse-names" : false, "suffix" : "" } ], "container-title" : "The Scandinavian Journal of Economics", "id" : "ITEM-1", "issue" : "4", "issued" : { "date-parts" : [ [ "1993", "12" ] ] }, "page" : "427", "title" : "Galton's Fallacy and Tests of the Convergence Hypothesis", "type" : "article-journal", "volume" : "95" }, "uris" : [ "http://www.mendeley.com/documents/?uuid=0ba7526b-c3e9-38c6-ae2f-739cda254a93" ] }, { "id" : "ITEM-2", "itemData" : { "author" : [ { "dropping-particle" : "", "family" : "Friedman", "given" : "Milton", "non-dropping-particle" : "", "parse-names" : false, "suffix" : "" } ], "container-title" : "Journal of Economics Literature", "id" : "ITEM-2", "issue" : "30", "issued" : { "date-parts" : [ [ "1992" ] ] }, "page" : "2129-32", "title" : "Do Old Fallacies Ever Die", "type" : "article-journal" }, "uris" : [ "http://www.mendeley.com/documents/?uuid=5e18858e-7626-4054-9472-0ba1ce526583" ] } ], "mendeley" : { "formattedCitation" : "(Quah 1993; Friedman 1992)", "plainTextFormattedCitation" : "(Quah 1993; Friedman 1992)", "previouslyFormattedCitation" : "(Quah 1993; Friedman 1992)" }, "properties" : { "noteIndex" : 0 }, "schema" : "https://github.com/citation-style-language/schema/raw/master/csl-citation.json" }</w:instrText>
      </w:r>
      <w:r w:rsidR="006578EE" w:rsidRPr="005517C4">
        <w:rPr>
          <w:rFonts w:ascii="Times New Roman" w:eastAsiaTheme="minorEastAsia" w:hAnsi="Times New Roman" w:cs="Times New Roman"/>
          <w:sz w:val="24"/>
          <w:szCs w:val="24"/>
        </w:rPr>
        <w:fldChar w:fldCharType="separate"/>
      </w:r>
      <w:r w:rsidR="003D379B" w:rsidRPr="003D379B">
        <w:rPr>
          <w:rFonts w:ascii="Times New Roman" w:eastAsiaTheme="minorEastAsia" w:hAnsi="Times New Roman" w:cs="Times New Roman"/>
          <w:noProof/>
          <w:sz w:val="24"/>
          <w:szCs w:val="24"/>
        </w:rPr>
        <w:t>(Quah 1993; Friedman 1992)</w:t>
      </w:r>
      <w:r w:rsidR="006578EE" w:rsidRPr="005517C4">
        <w:rPr>
          <w:rFonts w:ascii="Times New Roman" w:eastAsiaTheme="minorEastAsia" w:hAnsi="Times New Roman" w:cs="Times New Roman"/>
          <w:sz w:val="24"/>
          <w:szCs w:val="24"/>
        </w:rPr>
        <w:fldChar w:fldCharType="end"/>
      </w:r>
      <w:r w:rsidR="00573E14">
        <w:rPr>
          <w:rFonts w:ascii="Times New Roman" w:eastAsiaTheme="minorEastAsia" w:hAnsi="Times New Roman" w:cs="Times New Roman"/>
          <w:sz w:val="24"/>
          <w:szCs w:val="24"/>
        </w:rPr>
        <w:t>,</w:t>
      </w:r>
      <w:r w:rsidR="00A83B80" w:rsidRPr="005517C4">
        <w:rPr>
          <w:rFonts w:ascii="Times New Roman" w:eastAsiaTheme="minorEastAsia" w:hAnsi="Times New Roman" w:cs="Times New Roman"/>
          <w:sz w:val="24"/>
          <w:szCs w:val="24"/>
        </w:rPr>
        <w:t xml:space="preserve"> </w:t>
      </w:r>
      <w:r w:rsidR="00EB348E" w:rsidRPr="005517C4">
        <w:rPr>
          <w:rFonts w:ascii="Times New Roman" w:eastAsiaTheme="minorEastAsia" w:hAnsi="Times New Roman" w:cs="Times New Roman"/>
          <w:sz w:val="24"/>
          <w:szCs w:val="24"/>
        </w:rPr>
        <w:t xml:space="preserve">the series </w:t>
      </w:r>
      <w:r w:rsidR="00573E14">
        <w:rPr>
          <w:rFonts w:ascii="Times New Roman" w:eastAsiaTheme="minorEastAsia" w:hAnsi="Times New Roman" w:cs="Times New Roman"/>
          <w:sz w:val="24"/>
          <w:szCs w:val="24"/>
        </w:rPr>
        <w:t xml:space="preserve">under investigation </w:t>
      </w:r>
      <w:r w:rsidR="00EB348E" w:rsidRPr="005517C4">
        <w:rPr>
          <w:rFonts w:ascii="Times New Roman" w:eastAsiaTheme="minorEastAsia" w:hAnsi="Times New Roman" w:cs="Times New Roman"/>
          <w:sz w:val="24"/>
          <w:szCs w:val="24"/>
        </w:rPr>
        <w:t>ha</w:t>
      </w:r>
      <w:r w:rsidR="00573E14">
        <w:rPr>
          <w:rFonts w:ascii="Times New Roman" w:eastAsiaTheme="minorEastAsia" w:hAnsi="Times New Roman" w:cs="Times New Roman"/>
          <w:sz w:val="24"/>
          <w:szCs w:val="24"/>
        </w:rPr>
        <w:t>ve</w:t>
      </w:r>
      <w:r w:rsidR="00EB348E" w:rsidRPr="005517C4">
        <w:rPr>
          <w:rFonts w:ascii="Times New Roman" w:eastAsiaTheme="minorEastAsia" w:hAnsi="Times New Roman" w:cs="Times New Roman"/>
          <w:sz w:val="24"/>
          <w:szCs w:val="24"/>
        </w:rPr>
        <w:t xml:space="preserve"> </w:t>
      </w:r>
      <w:r w:rsidR="00573E14">
        <w:rPr>
          <w:rFonts w:ascii="Times New Roman" w:eastAsiaTheme="minorEastAsia" w:hAnsi="Times New Roman" w:cs="Times New Roman"/>
          <w:sz w:val="24"/>
          <w:szCs w:val="24"/>
        </w:rPr>
        <w:t xml:space="preserve">a </w:t>
      </w:r>
      <w:r w:rsidR="00EB348E" w:rsidRPr="005517C4">
        <w:rPr>
          <w:rFonts w:ascii="Times New Roman" w:eastAsiaTheme="minorEastAsia" w:hAnsi="Times New Roman" w:cs="Times New Roman"/>
          <w:sz w:val="24"/>
          <w:szCs w:val="24"/>
        </w:rPr>
        <w:t>decreasing behavior in the cross-sectional variation. In other words, it</w:t>
      </w:r>
      <w:r w:rsidR="006B3A70" w:rsidRPr="005517C4">
        <w:rPr>
          <w:rFonts w:ascii="Times New Roman" w:eastAsiaTheme="minorEastAsia" w:hAnsi="Times New Roman" w:cs="Times New Roman"/>
          <w:sz w:val="24"/>
          <w:szCs w:val="24"/>
        </w:rPr>
        <w:t xml:space="preserve"> focus</w:t>
      </w:r>
      <w:r w:rsidR="00EB348E" w:rsidRPr="005517C4">
        <w:rPr>
          <w:rFonts w:ascii="Times New Roman" w:eastAsiaTheme="minorEastAsia" w:hAnsi="Times New Roman" w:cs="Times New Roman"/>
          <w:sz w:val="24"/>
          <w:szCs w:val="24"/>
        </w:rPr>
        <w:t>es</w:t>
      </w:r>
      <w:r w:rsidR="006B3A70" w:rsidRPr="005517C4">
        <w:rPr>
          <w:rFonts w:ascii="Times New Roman" w:eastAsiaTheme="minorEastAsia" w:hAnsi="Times New Roman" w:cs="Times New Roman"/>
          <w:sz w:val="24"/>
          <w:szCs w:val="24"/>
        </w:rPr>
        <w:t xml:space="preserve"> on </w:t>
      </w:r>
      <w:r w:rsidR="00573E14">
        <w:rPr>
          <w:rFonts w:ascii="Times New Roman" w:eastAsiaTheme="minorEastAsia" w:hAnsi="Times New Roman" w:cs="Times New Roman"/>
          <w:sz w:val="24"/>
          <w:szCs w:val="24"/>
        </w:rPr>
        <w:t xml:space="preserve">the </w:t>
      </w:r>
      <w:r w:rsidR="006B3A70" w:rsidRPr="005517C4">
        <w:rPr>
          <w:rFonts w:ascii="Times New Roman" w:eastAsiaTheme="minorEastAsia" w:hAnsi="Times New Roman" w:cs="Times New Roman"/>
          <w:sz w:val="24"/>
          <w:szCs w:val="24"/>
        </w:rPr>
        <w:t>dispersion of the cross</w:t>
      </w:r>
      <w:r w:rsidR="00573E14">
        <w:rPr>
          <w:rFonts w:ascii="Times New Roman" w:eastAsiaTheme="minorEastAsia" w:hAnsi="Times New Roman" w:cs="Times New Roman"/>
          <w:sz w:val="24"/>
          <w:szCs w:val="24"/>
        </w:rPr>
        <w:t>-</w:t>
      </w:r>
      <w:r w:rsidR="006B3A70" w:rsidRPr="005517C4">
        <w:rPr>
          <w:rFonts w:ascii="Times New Roman" w:eastAsiaTheme="minorEastAsia" w:hAnsi="Times New Roman" w:cs="Times New Roman"/>
          <w:sz w:val="24"/>
          <w:szCs w:val="24"/>
        </w:rPr>
        <w:t xml:space="preserve">sectional </w:t>
      </w:r>
      <w:r w:rsidR="00573E14">
        <w:rPr>
          <w:rFonts w:ascii="Times New Roman" w:eastAsiaTheme="minorEastAsia" w:hAnsi="Times New Roman" w:cs="Times New Roman"/>
          <w:sz w:val="24"/>
          <w:szCs w:val="24"/>
        </w:rPr>
        <w:t xml:space="preserve">growth </w:t>
      </w:r>
      <w:r w:rsidR="006B3A70" w:rsidRPr="005517C4">
        <w:rPr>
          <w:rFonts w:ascii="Times New Roman" w:eastAsiaTheme="minorEastAsia" w:hAnsi="Times New Roman" w:cs="Times New Roman"/>
          <w:sz w:val="24"/>
          <w:szCs w:val="24"/>
        </w:rPr>
        <w:t xml:space="preserve">distribution </w:t>
      </w:r>
      <w:r w:rsidR="006578EE" w:rsidRPr="005517C4">
        <w:rPr>
          <w:rFonts w:ascii="Times New Roman" w:eastAsiaTheme="minorEastAsia" w:hAnsi="Times New Roman" w:cs="Times New Roman"/>
          <w:sz w:val="24"/>
          <w:szCs w:val="24"/>
        </w:rPr>
        <w:fldChar w:fldCharType="begin" w:fldLock="1"/>
      </w:r>
      <w:r w:rsidR="003D379B">
        <w:rPr>
          <w:rFonts w:ascii="Times New Roman" w:eastAsiaTheme="minorEastAsia" w:hAnsi="Times New Roman" w:cs="Times New Roman"/>
          <w:sz w:val="24"/>
          <w:szCs w:val="24"/>
        </w:rPr>
        <w:instrText>ADDIN CSL_CITATION { "citationItems" : [ { "id" : "ITEM-1", "itemData" : { "DOI" : "10.1111/1467-6419.00197", "ISSN" : "0950-0804", "author" : [ { "dropping-particle" : "", "family" : "Islam", "given" : "Nazrul", "non-dropping-particle" : "", "parse-names" : false, "suffix" : "" } ], "container-title" : "Journal of Economic Surveys", "id" : "ITEM-1", "issue" : "3", "issued" : { "date-parts" : [ [ "2003", "7" ] ] }, "page" : "309-362", "publisher" : "Blackwell Publishing Ltd", "title" : "What have We Learnt from the Convergence Debate?", "type" : "article-journal", "volume" : "17" }, "uris" : [ "http://www.mendeley.com/documents/?uuid=647a68c9-36f2-336f-8067-923ed582a3a9" ] } ], "mendeley" : { "formattedCitation" : "(Islam 2003)", "manualFormatting" : "(Islam, 2003)", "plainTextFormattedCitation" : "(Islam 2003)", "previouslyFormattedCitation" : "(Islam 2003)" }, "properties" : { "noteIndex" : 0 }, "schema" : "https://github.com/citation-style-language/schema/raw/master/csl-citation.json" }</w:instrText>
      </w:r>
      <w:r w:rsidR="006578EE" w:rsidRPr="005517C4">
        <w:rPr>
          <w:rFonts w:ascii="Times New Roman" w:eastAsiaTheme="minorEastAsia" w:hAnsi="Times New Roman" w:cs="Times New Roman"/>
          <w:sz w:val="24"/>
          <w:szCs w:val="24"/>
        </w:rPr>
        <w:fldChar w:fldCharType="separate"/>
      </w:r>
      <w:r w:rsidR="006B3A70" w:rsidRPr="005517C4">
        <w:rPr>
          <w:rFonts w:ascii="Times New Roman" w:eastAsiaTheme="minorEastAsia" w:hAnsi="Times New Roman" w:cs="Times New Roman"/>
          <w:noProof/>
          <w:sz w:val="24"/>
          <w:szCs w:val="24"/>
        </w:rPr>
        <w:t>(Islam</w:t>
      </w:r>
      <w:r w:rsidR="00573E14">
        <w:rPr>
          <w:rFonts w:ascii="Times New Roman" w:eastAsiaTheme="minorEastAsia" w:hAnsi="Times New Roman" w:cs="Times New Roman"/>
          <w:noProof/>
          <w:sz w:val="24"/>
          <w:szCs w:val="24"/>
        </w:rPr>
        <w:t>,</w:t>
      </w:r>
      <w:r w:rsidR="006B3A70" w:rsidRPr="005517C4">
        <w:rPr>
          <w:rFonts w:ascii="Times New Roman" w:eastAsiaTheme="minorEastAsia" w:hAnsi="Times New Roman" w:cs="Times New Roman"/>
          <w:noProof/>
          <w:sz w:val="24"/>
          <w:szCs w:val="24"/>
        </w:rPr>
        <w:t xml:space="preserve"> 2003)</w:t>
      </w:r>
      <w:r w:rsidR="006578EE" w:rsidRPr="005517C4">
        <w:rPr>
          <w:rFonts w:ascii="Times New Roman" w:eastAsiaTheme="minorEastAsia" w:hAnsi="Times New Roman" w:cs="Times New Roman"/>
          <w:sz w:val="24"/>
          <w:szCs w:val="24"/>
        </w:rPr>
        <w:fldChar w:fldCharType="end"/>
      </w:r>
      <w:r w:rsidR="006B3A70" w:rsidRPr="005517C4">
        <w:rPr>
          <w:rFonts w:ascii="Times New Roman" w:eastAsiaTheme="minorEastAsia" w:hAnsi="Times New Roman" w:cs="Times New Roman"/>
          <w:sz w:val="24"/>
          <w:szCs w:val="24"/>
        </w:rPr>
        <w:t>.</w:t>
      </w:r>
    </w:p>
    <w:p w:rsidR="00B43B70" w:rsidRPr="005517C4" w:rsidRDefault="00573E14" w:rsidP="00CC5796">
      <w:pPr>
        <w:spacing w:after="120" w:line="360" w:lineRule="auto"/>
        <w:ind w:firstLine="709"/>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A great number of </w:t>
      </w:r>
      <w:r w:rsidR="00D74742" w:rsidRPr="005517C4">
        <w:rPr>
          <w:rFonts w:ascii="Times New Roman" w:eastAsiaTheme="minorEastAsia" w:hAnsi="Times New Roman" w:cs="Times New Roman"/>
          <w:sz w:val="24"/>
          <w:szCs w:val="24"/>
        </w:rPr>
        <w:t xml:space="preserve">papers </w:t>
      </w:r>
      <w:r>
        <w:rPr>
          <w:rFonts w:ascii="Times New Roman" w:eastAsiaTheme="minorEastAsia" w:hAnsi="Times New Roman" w:cs="Times New Roman"/>
          <w:sz w:val="24"/>
          <w:szCs w:val="24"/>
        </w:rPr>
        <w:t xml:space="preserve">have </w:t>
      </w:r>
      <w:r w:rsidR="00D74742" w:rsidRPr="005517C4">
        <w:rPr>
          <w:rFonts w:ascii="Times New Roman" w:eastAsiaTheme="minorEastAsia" w:hAnsi="Times New Roman" w:cs="Times New Roman"/>
          <w:sz w:val="24"/>
          <w:szCs w:val="24"/>
        </w:rPr>
        <w:t>use</w:t>
      </w:r>
      <w:r>
        <w:rPr>
          <w:rFonts w:ascii="Times New Roman" w:eastAsiaTheme="minorEastAsia" w:hAnsi="Times New Roman" w:cs="Times New Roman"/>
          <w:sz w:val="24"/>
          <w:szCs w:val="24"/>
        </w:rPr>
        <w:t>d</w:t>
      </w:r>
      <w:r w:rsidR="00D74742" w:rsidRPr="005517C4">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various </w:t>
      </w:r>
      <w:r w:rsidR="00D74742" w:rsidRPr="005517C4">
        <w:rPr>
          <w:rFonts w:ascii="Times New Roman" w:eastAsiaTheme="minorEastAsia" w:hAnsi="Times New Roman" w:cs="Times New Roman"/>
          <w:sz w:val="24"/>
          <w:szCs w:val="24"/>
        </w:rPr>
        <w:t xml:space="preserve">unit root tests </w:t>
      </w:r>
      <w:r>
        <w:rPr>
          <w:rFonts w:ascii="Times New Roman" w:eastAsiaTheme="minorEastAsia" w:hAnsi="Times New Roman" w:cs="Times New Roman"/>
          <w:sz w:val="24"/>
          <w:szCs w:val="24"/>
        </w:rPr>
        <w:t>to</w:t>
      </w:r>
      <w:r w:rsidR="00D74742" w:rsidRPr="005517C4">
        <w:rPr>
          <w:rFonts w:ascii="Times New Roman" w:eastAsiaTheme="minorEastAsia" w:hAnsi="Times New Roman" w:cs="Times New Roman"/>
          <w:sz w:val="24"/>
          <w:szCs w:val="24"/>
        </w:rPr>
        <w:t xml:space="preserve"> provide evidence </w:t>
      </w:r>
      <w:r>
        <w:rPr>
          <w:rFonts w:ascii="Times New Roman" w:eastAsiaTheme="minorEastAsia" w:hAnsi="Times New Roman" w:cs="Times New Roman"/>
          <w:sz w:val="24"/>
          <w:szCs w:val="24"/>
        </w:rPr>
        <w:t>on</w:t>
      </w:r>
      <w:r w:rsidR="00D74742" w:rsidRPr="005517C4">
        <w:rPr>
          <w:rFonts w:ascii="Times New Roman" w:eastAsiaTheme="minorEastAsia" w:hAnsi="Times New Roman" w:cs="Times New Roman"/>
          <w:sz w:val="24"/>
          <w:szCs w:val="24"/>
        </w:rPr>
        <w:t xml:space="preserve"> convergence. </w:t>
      </w:r>
      <w:r w:rsidR="006578EE" w:rsidRPr="005517C4">
        <w:rPr>
          <w:rFonts w:ascii="Times New Roman" w:eastAsiaTheme="minorEastAsia" w:hAnsi="Times New Roman" w:cs="Times New Roman"/>
          <w:sz w:val="24"/>
          <w:szCs w:val="24"/>
        </w:rPr>
        <w:fldChar w:fldCharType="begin" w:fldLock="1"/>
      </w:r>
      <w:r w:rsidR="00D74742" w:rsidRPr="005517C4">
        <w:rPr>
          <w:rFonts w:ascii="Times New Roman" w:eastAsiaTheme="minorEastAsia" w:hAnsi="Times New Roman" w:cs="Times New Roman"/>
          <w:sz w:val="24"/>
          <w:szCs w:val="24"/>
        </w:rPr>
        <w:instrText>ADDIN CSL_CITATION { "citationItems" : [ { "id" : "ITEM-1", "itemData" : { "DOI" : "10.1007/s10887-010-9051-0", "ISSN" : "1381-4338", "author" : [ { "dropping-particle" : "", "family" : "Brock", "given" : "William A.", "non-dropping-particle" : "", "parse-names" : false, "suffix" : "" }, { "dropping-particle" : "", "family" : "Taylor", "given" : "M. Scott", "non-dropping-particle" : "", "parse-names" : false, "suffix" : "" } ], "container-title" : "Journal of Economic Growth", "id" : "ITEM-1", "issue" : "2", "issued" : { "date-parts" : [ [ "2010", "6", "16" ] ] }, "page" : "127-153", "publisher" : "Springer US", "title" : "The Green Solow model", "type" : "article-journal", "volume" : "15" }, "uris" : [ "http://www.mendeley.com/documents/?uuid=80cd12cb-77c3-3864-802a-93b638af1ac1" ] } ], "mendeley" : { "formattedCitation" : "(Brock and Taylor 2010)", "manualFormatting" : "Brock and Taylor (2010)", "plainTextFormattedCitation" : "(Brock and Taylor 2010)", "previouslyFormattedCitation" : "(Brock and Taylor 2010)" }, "properties" : { "noteIndex" : 0 }, "schema" : "https://github.com/citation-style-language/schema/raw/master/csl-citation.json" }</w:instrText>
      </w:r>
      <w:r w:rsidR="006578EE" w:rsidRPr="005517C4">
        <w:rPr>
          <w:rFonts w:ascii="Times New Roman" w:eastAsiaTheme="minorEastAsia" w:hAnsi="Times New Roman" w:cs="Times New Roman"/>
          <w:sz w:val="24"/>
          <w:szCs w:val="24"/>
        </w:rPr>
        <w:fldChar w:fldCharType="separate"/>
      </w:r>
      <w:r w:rsidR="00D74742" w:rsidRPr="005517C4">
        <w:rPr>
          <w:rFonts w:ascii="Times New Roman" w:eastAsiaTheme="minorEastAsia" w:hAnsi="Times New Roman" w:cs="Times New Roman"/>
          <w:noProof/>
          <w:sz w:val="24"/>
          <w:szCs w:val="24"/>
        </w:rPr>
        <w:t>Brock and Taylor (2010)</w:t>
      </w:r>
      <w:r w:rsidR="006578EE" w:rsidRPr="005517C4">
        <w:rPr>
          <w:rFonts w:ascii="Times New Roman" w:eastAsiaTheme="minorEastAsia" w:hAnsi="Times New Roman" w:cs="Times New Roman"/>
          <w:sz w:val="24"/>
          <w:szCs w:val="24"/>
        </w:rPr>
        <w:fldChar w:fldCharType="end"/>
      </w:r>
      <w:r w:rsidR="00D74742" w:rsidRPr="005517C4">
        <w:rPr>
          <w:rFonts w:ascii="Times New Roman" w:eastAsiaTheme="minorEastAsia" w:hAnsi="Times New Roman" w:cs="Times New Roman"/>
          <w:sz w:val="24"/>
          <w:szCs w:val="24"/>
        </w:rPr>
        <w:t xml:space="preserve"> transformed </w:t>
      </w:r>
      <w:r>
        <w:rPr>
          <w:rFonts w:ascii="Times New Roman" w:eastAsiaTheme="minorEastAsia" w:hAnsi="Times New Roman" w:cs="Times New Roman"/>
          <w:sz w:val="24"/>
          <w:szCs w:val="24"/>
        </w:rPr>
        <w:t xml:space="preserve">the </w:t>
      </w:r>
      <w:r w:rsidR="00D74742" w:rsidRPr="005517C4">
        <w:rPr>
          <w:rFonts w:ascii="Times New Roman" w:eastAsiaTheme="minorEastAsia" w:hAnsi="Times New Roman" w:cs="Times New Roman"/>
          <w:sz w:val="24"/>
          <w:szCs w:val="24"/>
        </w:rPr>
        <w:t xml:space="preserve">Solow (1956) model into an environmental </w:t>
      </w:r>
      <w:r w:rsidR="00D74742" w:rsidRPr="005517C4">
        <w:rPr>
          <w:rFonts w:ascii="Times New Roman" w:eastAsiaTheme="minorEastAsia" w:hAnsi="Times New Roman" w:cs="Times New Roman"/>
          <w:sz w:val="24"/>
          <w:szCs w:val="24"/>
        </w:rPr>
        <w:lastRenderedPageBreak/>
        <w:t xml:space="preserve">growth model by amending </w:t>
      </w:r>
      <w:r>
        <w:rPr>
          <w:rFonts w:ascii="Times New Roman" w:eastAsiaTheme="minorEastAsia" w:hAnsi="Times New Roman" w:cs="Times New Roman"/>
          <w:sz w:val="24"/>
          <w:szCs w:val="24"/>
        </w:rPr>
        <w:t xml:space="preserve">it </w:t>
      </w:r>
      <w:r w:rsidR="00D74742" w:rsidRPr="005517C4">
        <w:rPr>
          <w:rFonts w:ascii="Times New Roman" w:eastAsiaTheme="minorEastAsia" w:hAnsi="Times New Roman" w:cs="Times New Roman"/>
          <w:sz w:val="24"/>
          <w:szCs w:val="24"/>
        </w:rPr>
        <w:t xml:space="preserve">with carbon emissions and </w:t>
      </w:r>
      <w:r>
        <w:rPr>
          <w:rFonts w:ascii="Times New Roman" w:eastAsiaTheme="minorEastAsia" w:hAnsi="Times New Roman" w:cs="Times New Roman"/>
          <w:sz w:val="24"/>
          <w:szCs w:val="24"/>
        </w:rPr>
        <w:t>showed</w:t>
      </w:r>
      <w:r w:rsidR="00D74742" w:rsidRPr="005517C4">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the presence of </w:t>
      </w:r>
      <w:r w:rsidR="00D74742" w:rsidRPr="005517C4">
        <w:rPr>
          <w:rFonts w:ascii="Times New Roman" w:eastAsiaTheme="minorEastAsia" w:hAnsi="Times New Roman" w:cs="Times New Roman"/>
          <w:sz w:val="24"/>
          <w:szCs w:val="24"/>
        </w:rPr>
        <w:t xml:space="preserve">convergence in the frame of growth equations. </w:t>
      </w:r>
      <w:r w:rsidR="00217809">
        <w:rPr>
          <w:rFonts w:ascii="Times New Roman" w:eastAsiaTheme="minorEastAsia" w:hAnsi="Times New Roman" w:cs="Times New Roman"/>
          <w:sz w:val="24"/>
          <w:szCs w:val="24"/>
        </w:rPr>
        <w:t>Thei</w:t>
      </w:r>
      <w:r>
        <w:rPr>
          <w:rFonts w:ascii="Times New Roman" w:eastAsiaTheme="minorEastAsia" w:hAnsi="Times New Roman" w:cs="Times New Roman"/>
          <w:sz w:val="24"/>
          <w:szCs w:val="24"/>
        </w:rPr>
        <w:t>r</w:t>
      </w:r>
      <w:r w:rsidR="00D74742" w:rsidRPr="005517C4">
        <w:rPr>
          <w:rFonts w:ascii="Times New Roman" w:eastAsiaTheme="minorEastAsia" w:hAnsi="Times New Roman" w:cs="Times New Roman"/>
          <w:sz w:val="24"/>
          <w:szCs w:val="24"/>
        </w:rPr>
        <w:t xml:space="preserve"> study has an important place </w:t>
      </w:r>
      <w:r>
        <w:rPr>
          <w:rFonts w:ascii="Times New Roman" w:eastAsiaTheme="minorEastAsia" w:hAnsi="Times New Roman" w:cs="Times New Roman"/>
          <w:sz w:val="24"/>
          <w:szCs w:val="24"/>
        </w:rPr>
        <w:t>with</w:t>
      </w:r>
      <w:r w:rsidR="00D74742" w:rsidRPr="005517C4">
        <w:rPr>
          <w:rFonts w:ascii="Times New Roman" w:eastAsiaTheme="minorEastAsia" w:hAnsi="Times New Roman" w:cs="Times New Roman"/>
          <w:sz w:val="24"/>
          <w:szCs w:val="24"/>
        </w:rPr>
        <w:t xml:space="preserve">in </w:t>
      </w:r>
      <w:r>
        <w:rPr>
          <w:rFonts w:ascii="Times New Roman" w:eastAsiaTheme="minorEastAsia" w:hAnsi="Times New Roman" w:cs="Times New Roman"/>
          <w:sz w:val="24"/>
          <w:szCs w:val="24"/>
        </w:rPr>
        <w:t xml:space="preserve">the </w:t>
      </w:r>
      <w:r w:rsidR="00D74742" w:rsidRPr="005517C4">
        <w:rPr>
          <w:rFonts w:ascii="Times New Roman" w:eastAsiaTheme="minorEastAsia" w:hAnsi="Times New Roman" w:cs="Times New Roman"/>
          <w:sz w:val="24"/>
          <w:szCs w:val="24"/>
        </w:rPr>
        <w:t>environmental convergence literature. In their study,</w:t>
      </w:r>
      <w:r w:rsidR="00141991" w:rsidRPr="005517C4">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the </w:t>
      </w:r>
      <w:r w:rsidR="007B481B" w:rsidRPr="005517C4">
        <w:rPr>
          <w:rFonts w:ascii="Times New Roman" w:eastAsiaTheme="minorEastAsia" w:hAnsi="Times New Roman" w:cs="Times New Roman"/>
          <w:sz w:val="24"/>
          <w:szCs w:val="24"/>
        </w:rPr>
        <w:t>motion equation of e</w:t>
      </w:r>
      <w:r w:rsidR="00B43B70" w:rsidRPr="005517C4">
        <w:rPr>
          <w:rFonts w:ascii="Times New Roman" w:eastAsiaTheme="minorEastAsia" w:hAnsi="Times New Roman" w:cs="Times New Roman"/>
          <w:sz w:val="24"/>
          <w:szCs w:val="24"/>
        </w:rPr>
        <w:t>mission</w:t>
      </w:r>
      <w:r w:rsidR="007B481B" w:rsidRPr="005517C4">
        <w:rPr>
          <w:rFonts w:ascii="Times New Roman" w:eastAsiaTheme="minorEastAsia" w:hAnsi="Times New Roman" w:cs="Times New Roman"/>
          <w:sz w:val="24"/>
          <w:szCs w:val="24"/>
        </w:rPr>
        <w:t>s</w:t>
      </w:r>
      <w:r w:rsidR="00B43B70" w:rsidRPr="005517C4">
        <w:rPr>
          <w:rFonts w:ascii="Times New Roman" w:eastAsiaTheme="minorEastAsia" w:hAnsi="Times New Roman" w:cs="Times New Roman"/>
          <w:sz w:val="24"/>
          <w:szCs w:val="24"/>
        </w:rPr>
        <w:t xml:space="preserve"> is defined</w:t>
      </w:r>
      <w:r w:rsidR="003B66B6" w:rsidRPr="005517C4">
        <w:rPr>
          <w:rFonts w:ascii="Times New Roman" w:eastAsiaTheme="minorEastAsia" w:hAnsi="Times New Roman" w:cs="Times New Roman"/>
          <w:sz w:val="24"/>
          <w:szCs w:val="24"/>
        </w:rPr>
        <w:t xml:space="preserve"> as: </w:t>
      </w:r>
      <m:oMath>
        <m:r>
          <w:rPr>
            <w:rFonts w:ascii="Cambria Math" w:hAnsi="Cambria Math"/>
            <w:sz w:val="24"/>
            <w:szCs w:val="24"/>
          </w:rPr>
          <m:t>E=</m:t>
        </m:r>
        <m:r>
          <m:rPr>
            <m:sty m:val="p"/>
          </m:rPr>
          <w:rPr>
            <w:rFonts w:ascii="Cambria Math" w:hAnsi="Cambria Math"/>
            <w:sz w:val="24"/>
            <w:szCs w:val="24"/>
          </w:rPr>
          <m:t>Ω</m:t>
        </m:r>
        <m:r>
          <w:rPr>
            <w:rFonts w:ascii="Cambria Math" w:hAnsi="Cambria Math"/>
            <w:sz w:val="24"/>
            <w:szCs w:val="24"/>
          </w:rPr>
          <m:t>F-</m:t>
        </m:r>
        <m:r>
          <m:rPr>
            <m:sty m:val="p"/>
          </m:rPr>
          <w:rPr>
            <w:rFonts w:ascii="Cambria Math" w:hAnsi="Cambria Math"/>
            <w:sz w:val="24"/>
            <w:szCs w:val="24"/>
          </w:rPr>
          <m:t>ΩA</m:t>
        </m:r>
        <m:r>
          <w:rPr>
            <w:rFonts w:ascii="Cambria Math" w:hAnsi="Cambria Math"/>
            <w:sz w:val="24"/>
            <w:szCs w:val="24"/>
          </w:rPr>
          <m:t>(F,</m:t>
        </m:r>
        <m:sSup>
          <m:sSupPr>
            <m:ctrlPr>
              <w:rPr>
                <w:rFonts w:ascii="Cambria Math" w:hAnsi="Cambria Math"/>
                <w:i/>
                <w:sz w:val="24"/>
                <w:szCs w:val="24"/>
              </w:rPr>
            </m:ctrlPr>
          </m:sSupPr>
          <m:e>
            <m:r>
              <w:rPr>
                <w:rFonts w:ascii="Cambria Math" w:hAnsi="Cambria Math"/>
                <w:sz w:val="24"/>
                <w:szCs w:val="24"/>
              </w:rPr>
              <m:t>F</m:t>
            </m:r>
          </m:e>
          <m:sup>
            <m:r>
              <w:rPr>
                <w:rFonts w:ascii="Cambria Math" w:hAnsi="Cambria Math"/>
                <w:sz w:val="24"/>
                <w:szCs w:val="24"/>
              </w:rPr>
              <m:t>A</m:t>
            </m:r>
          </m:sup>
        </m:sSup>
        <m:r>
          <w:rPr>
            <w:rFonts w:ascii="Cambria Math" w:hAnsi="Cambria Math"/>
            <w:sz w:val="24"/>
            <w:szCs w:val="24"/>
          </w:rPr>
          <m:t>)</m:t>
        </m:r>
      </m:oMath>
      <w:r>
        <w:rPr>
          <w:rFonts w:ascii="Times New Roman" w:eastAsiaTheme="minorEastAsia" w:hAnsi="Times New Roman" w:cs="Times New Roman"/>
          <w:sz w:val="24"/>
          <w:szCs w:val="24"/>
        </w:rPr>
        <w:t>, where</w:t>
      </w:r>
      <w:r w:rsidR="003B66B6" w:rsidRPr="005517C4">
        <w:rPr>
          <w:rFonts w:ascii="Times New Roman" w:eastAsiaTheme="minorEastAsia" w:hAnsi="Times New Roman" w:cs="Times New Roman"/>
          <w:sz w:val="24"/>
          <w:szCs w:val="24"/>
        </w:rPr>
        <w:t xml:space="preserve"> it is asssumed that every economic activity</w:t>
      </w:r>
      <w:r w:rsidR="00EC684A" w:rsidRPr="005517C4">
        <w:rPr>
          <w:rFonts w:ascii="Times New Roman" w:eastAsiaTheme="minorEastAsia" w:hAnsi="Times New Roman" w:cs="Times New Roman"/>
          <w:sz w:val="24"/>
          <w:szCs w:val="24"/>
        </w:rPr>
        <w:t>,</w:t>
      </w:r>
      <w:r w:rsidR="003B66B6" w:rsidRPr="005517C4">
        <w:rPr>
          <w:rFonts w:ascii="Times New Roman" w:eastAsiaTheme="minorEastAsia" w:hAnsi="Times New Roman" w:cs="Times New Roman"/>
          <w:sz w:val="24"/>
          <w:szCs w:val="24"/>
        </w:rPr>
        <w:t xml:space="preserve"> </w:t>
      </w:r>
      <w:r w:rsidR="003B66B6" w:rsidRPr="005517C4">
        <w:rPr>
          <w:rFonts w:ascii="Times New Roman" w:eastAsiaTheme="minorEastAsia" w:hAnsi="Times New Roman" w:cs="Times New Roman"/>
          <w:i/>
          <w:sz w:val="24"/>
          <w:szCs w:val="24"/>
        </w:rPr>
        <w:t>F</w:t>
      </w:r>
      <w:r w:rsidR="00EC684A" w:rsidRPr="005517C4">
        <w:rPr>
          <w:rFonts w:ascii="Times New Roman" w:eastAsiaTheme="minorEastAsia" w:hAnsi="Times New Roman" w:cs="Times New Roman"/>
          <w:i/>
          <w:sz w:val="24"/>
          <w:szCs w:val="24"/>
        </w:rPr>
        <w:t>,</w:t>
      </w:r>
      <w:r w:rsidR="003B66B6" w:rsidRPr="005517C4">
        <w:rPr>
          <w:rFonts w:ascii="Times New Roman" w:eastAsiaTheme="minorEastAsia" w:hAnsi="Times New Roman" w:cs="Times New Roman"/>
          <w:sz w:val="24"/>
          <w:szCs w:val="24"/>
        </w:rPr>
        <w:t xml:space="preserve"> produces </w:t>
      </w:r>
      <m:oMath>
        <m:r>
          <m:rPr>
            <m:sty m:val="p"/>
          </m:rPr>
          <w:rPr>
            <w:rFonts w:ascii="Cambria Math" w:hAnsi="Cambria Math"/>
            <w:sz w:val="24"/>
            <w:szCs w:val="24"/>
          </w:rPr>
          <m:t>Ω</m:t>
        </m:r>
      </m:oMath>
      <w:r w:rsidR="003B66B6" w:rsidRPr="005517C4">
        <w:rPr>
          <w:rFonts w:ascii="Times New Roman" w:eastAsiaTheme="minorEastAsia" w:hAnsi="Times New Roman" w:cs="Times New Roman"/>
          <w:sz w:val="24"/>
          <w:szCs w:val="24"/>
        </w:rPr>
        <w:t xml:space="preserve"> unit of pollution</w:t>
      </w:r>
      <w:r>
        <w:rPr>
          <w:rFonts w:ascii="Times New Roman" w:eastAsiaTheme="minorEastAsia" w:hAnsi="Times New Roman" w:cs="Times New Roman"/>
          <w:sz w:val="24"/>
          <w:szCs w:val="24"/>
        </w:rPr>
        <w:t>, while</w:t>
      </w:r>
      <w:r w:rsidR="003B66B6" w:rsidRPr="005517C4">
        <w:rPr>
          <w:rFonts w:ascii="Times New Roman" w:eastAsiaTheme="minorEastAsia" w:hAnsi="Times New Roman" w:cs="Times New Roman"/>
          <w:sz w:val="24"/>
          <w:szCs w:val="24"/>
        </w:rPr>
        <w:t xml:space="preserve"> th</w:t>
      </w:r>
      <w:r>
        <w:rPr>
          <w:rFonts w:ascii="Times New Roman" w:eastAsiaTheme="minorEastAsia" w:hAnsi="Times New Roman" w:cs="Times New Roman"/>
          <w:sz w:val="24"/>
          <w:szCs w:val="24"/>
        </w:rPr>
        <w:t>e</w:t>
      </w:r>
      <w:r w:rsidR="00C02961" w:rsidRPr="005517C4">
        <w:rPr>
          <w:rFonts w:ascii="Times New Roman" w:eastAsiaTheme="minorEastAsia" w:hAnsi="Times New Roman" w:cs="Times New Roman"/>
          <w:sz w:val="24"/>
          <w:szCs w:val="24"/>
        </w:rPr>
        <w:t xml:space="preserve"> pollution abatement</w:t>
      </w:r>
      <w:r w:rsidR="008645E2" w:rsidRPr="005517C4">
        <w:rPr>
          <w:rFonts w:ascii="Times New Roman" w:eastAsiaTheme="minorEastAsia" w:hAnsi="Times New Roman" w:cs="Times New Roman"/>
          <w:sz w:val="24"/>
          <w:szCs w:val="24"/>
        </w:rPr>
        <w:t>,</w:t>
      </w:r>
      <w:r w:rsidR="00C02961" w:rsidRPr="005517C4">
        <w:rPr>
          <w:rFonts w:ascii="Times New Roman" w:eastAsiaTheme="minorEastAsia" w:hAnsi="Times New Roman" w:cs="Times New Roman"/>
          <w:sz w:val="24"/>
          <w:szCs w:val="24"/>
        </w:rPr>
        <w:t xml:space="preserve"> </w:t>
      </w:r>
      <m:oMath>
        <m:r>
          <m:rPr>
            <m:sty m:val="p"/>
          </m:rPr>
          <w:rPr>
            <w:rFonts w:ascii="Cambria Math" w:hAnsi="Cambria Math"/>
            <w:sz w:val="24"/>
            <w:szCs w:val="24"/>
          </w:rPr>
          <m:t>ΩA</m:t>
        </m:r>
      </m:oMath>
      <w:r w:rsidR="008645E2" w:rsidRPr="005517C4">
        <w:rPr>
          <w:rFonts w:ascii="Times New Roman" w:eastAsiaTheme="minorEastAsia" w:hAnsi="Times New Roman" w:cs="Times New Roman"/>
          <w:sz w:val="24"/>
          <w:szCs w:val="24"/>
        </w:rPr>
        <w:t>,</w:t>
      </w:r>
      <w:r w:rsidR="00C02961" w:rsidRPr="005517C4">
        <w:rPr>
          <w:rFonts w:ascii="Times New Roman" w:eastAsiaTheme="minorEastAsia" w:hAnsi="Times New Roman" w:cs="Times New Roman"/>
          <w:sz w:val="24"/>
          <w:szCs w:val="24"/>
        </w:rPr>
        <w:t xml:space="preserve"> is a strictly concave function of total economic activity</w:t>
      </w:r>
      <w:r w:rsidR="00EC684A" w:rsidRPr="005517C4">
        <w:rPr>
          <w:rFonts w:ascii="Times New Roman" w:eastAsiaTheme="minorEastAsia" w:hAnsi="Times New Roman" w:cs="Times New Roman"/>
          <w:sz w:val="24"/>
          <w:szCs w:val="24"/>
        </w:rPr>
        <w:t>,</w:t>
      </w:r>
      <w:r w:rsidR="00C02961" w:rsidRPr="005517C4">
        <w:rPr>
          <w:rFonts w:ascii="Times New Roman" w:eastAsiaTheme="minorEastAsia" w:hAnsi="Times New Roman" w:cs="Times New Roman"/>
          <w:sz w:val="24"/>
          <w:szCs w:val="24"/>
        </w:rPr>
        <w:t xml:space="preserve"> </w:t>
      </w:r>
      <w:r w:rsidR="00C02961" w:rsidRPr="005517C4">
        <w:rPr>
          <w:rFonts w:ascii="Times New Roman" w:eastAsiaTheme="minorEastAsia" w:hAnsi="Times New Roman" w:cs="Times New Roman"/>
          <w:i/>
          <w:sz w:val="24"/>
          <w:szCs w:val="24"/>
        </w:rPr>
        <w:t>F</w:t>
      </w:r>
      <w:r w:rsidR="00EC684A" w:rsidRPr="005517C4">
        <w:rPr>
          <w:rFonts w:ascii="Times New Roman" w:eastAsiaTheme="minorEastAsia" w:hAnsi="Times New Roman" w:cs="Times New Roman"/>
          <w:i/>
          <w:sz w:val="24"/>
          <w:szCs w:val="24"/>
        </w:rPr>
        <w:t>,</w:t>
      </w:r>
      <w:r w:rsidR="00C02961" w:rsidRPr="005517C4">
        <w:rPr>
          <w:rFonts w:ascii="Times New Roman" w:eastAsiaTheme="minorEastAsia" w:hAnsi="Times New Roman" w:cs="Times New Roman"/>
          <w:sz w:val="24"/>
          <w:szCs w:val="24"/>
        </w:rPr>
        <w:t xml:space="preserve"> and </w:t>
      </w:r>
      <w:r w:rsidR="00EC684A" w:rsidRPr="005517C4">
        <w:rPr>
          <w:rFonts w:ascii="Times New Roman" w:eastAsiaTheme="minorEastAsia" w:hAnsi="Times New Roman" w:cs="Times New Roman"/>
          <w:sz w:val="24"/>
          <w:szCs w:val="24"/>
        </w:rPr>
        <w:t xml:space="preserve">the economy’s efforts at abatement, </w:t>
      </w:r>
      <w:r w:rsidR="00EC684A" w:rsidRPr="005517C4">
        <w:rPr>
          <w:rFonts w:ascii="Times New Roman" w:eastAsiaTheme="minorEastAsia" w:hAnsi="Times New Roman" w:cs="Times New Roman"/>
          <w:i/>
          <w:sz w:val="24"/>
          <w:szCs w:val="24"/>
        </w:rPr>
        <w:t>F</w:t>
      </w:r>
      <w:r w:rsidR="00EC684A" w:rsidRPr="005517C4">
        <w:rPr>
          <w:rFonts w:ascii="Times New Roman" w:eastAsiaTheme="minorEastAsia" w:hAnsi="Times New Roman" w:cs="Times New Roman"/>
          <w:i/>
          <w:sz w:val="24"/>
          <w:szCs w:val="24"/>
          <w:vertAlign w:val="superscript"/>
        </w:rPr>
        <w:t>A</w:t>
      </w:r>
      <w:r w:rsidR="00EC684A" w:rsidRPr="005517C4">
        <w:rPr>
          <w:rFonts w:ascii="Times New Roman" w:eastAsiaTheme="minorEastAsia" w:hAnsi="Times New Roman" w:cs="Times New Roman"/>
          <w:sz w:val="24"/>
          <w:szCs w:val="24"/>
        </w:rPr>
        <w:t>. Th</w:t>
      </w:r>
      <w:r>
        <w:rPr>
          <w:rFonts w:ascii="Times New Roman" w:eastAsiaTheme="minorEastAsia" w:hAnsi="Times New Roman" w:cs="Times New Roman"/>
          <w:sz w:val="24"/>
          <w:szCs w:val="24"/>
        </w:rPr>
        <w:t>e above</w:t>
      </w:r>
      <w:r w:rsidR="00EC684A" w:rsidRPr="005517C4">
        <w:rPr>
          <w:rFonts w:ascii="Times New Roman" w:eastAsiaTheme="minorEastAsia" w:hAnsi="Times New Roman" w:cs="Times New Roman"/>
          <w:sz w:val="24"/>
          <w:szCs w:val="24"/>
        </w:rPr>
        <w:t xml:space="preserve"> equation</w:t>
      </w:r>
      <w:r w:rsidR="008645E2" w:rsidRPr="005517C4">
        <w:rPr>
          <w:rFonts w:ascii="Times New Roman" w:eastAsiaTheme="minorEastAsia" w:hAnsi="Times New Roman" w:cs="Times New Roman"/>
          <w:sz w:val="24"/>
          <w:szCs w:val="24"/>
        </w:rPr>
        <w:t xml:space="preserve"> is rearranged with </w:t>
      </w:r>
      <w:r>
        <w:rPr>
          <w:rFonts w:ascii="Times New Roman" w:eastAsiaTheme="minorEastAsia" w:hAnsi="Times New Roman" w:cs="Times New Roman"/>
          <w:sz w:val="24"/>
          <w:szCs w:val="24"/>
        </w:rPr>
        <w:t xml:space="preserve">a </w:t>
      </w:r>
      <w:r w:rsidR="008645E2" w:rsidRPr="005517C4">
        <w:rPr>
          <w:rFonts w:ascii="Times New Roman" w:eastAsiaTheme="minorEastAsia" w:hAnsi="Times New Roman" w:cs="Times New Roman"/>
          <w:sz w:val="24"/>
          <w:szCs w:val="24"/>
        </w:rPr>
        <w:t xml:space="preserve">common factor, </w:t>
      </w:r>
      <m:oMath>
        <m:r>
          <m:rPr>
            <m:sty m:val="p"/>
          </m:rPr>
          <w:rPr>
            <w:rFonts w:ascii="Cambria Math" w:hAnsi="Cambria Math"/>
            <w:sz w:val="24"/>
            <w:szCs w:val="24"/>
          </w:rPr>
          <m:t>Ω</m:t>
        </m:r>
        <m:r>
          <w:rPr>
            <w:rFonts w:ascii="Cambria Math" w:hAnsi="Cambria Math"/>
            <w:sz w:val="24"/>
            <w:szCs w:val="24"/>
          </w:rPr>
          <m:t>F</m:t>
        </m:r>
      </m:oMath>
      <w:r w:rsidR="008645E2" w:rsidRPr="005517C4">
        <w:rPr>
          <w:rFonts w:ascii="Times New Roman" w:eastAsiaTheme="minorEastAsia" w:hAnsi="Times New Roman" w:cs="Times New Roman"/>
          <w:sz w:val="24"/>
          <w:szCs w:val="24"/>
        </w:rPr>
        <w:t xml:space="preserve">, and </w:t>
      </w:r>
      <w:r w:rsidR="00A11A48" w:rsidRPr="005517C4">
        <w:rPr>
          <w:rFonts w:ascii="Times New Roman" w:eastAsiaTheme="minorEastAsia" w:hAnsi="Times New Roman" w:cs="Times New Roman"/>
          <w:sz w:val="24"/>
          <w:szCs w:val="24"/>
        </w:rPr>
        <w:t xml:space="preserve">rewritten </w:t>
      </w:r>
      <w:r>
        <w:rPr>
          <w:rFonts w:ascii="Times New Roman" w:eastAsiaTheme="minorEastAsia" w:hAnsi="Times New Roman" w:cs="Times New Roman"/>
          <w:sz w:val="24"/>
          <w:szCs w:val="24"/>
        </w:rPr>
        <w:t xml:space="preserve">as: </w:t>
      </w:r>
      <m:oMath>
        <m:r>
          <w:rPr>
            <w:rFonts w:ascii="Cambria Math" w:hAnsi="Cambria Math"/>
            <w:sz w:val="24"/>
            <w:szCs w:val="24"/>
          </w:rPr>
          <m:t>E=</m:t>
        </m:r>
        <m:r>
          <m:rPr>
            <m:sty m:val="p"/>
          </m:rPr>
          <w:rPr>
            <w:rFonts w:ascii="Cambria Math" w:hAnsi="Cambria Math"/>
            <w:sz w:val="24"/>
            <w:szCs w:val="24"/>
          </w:rPr>
          <m:t>Ω</m:t>
        </m:r>
        <m:r>
          <w:rPr>
            <w:rFonts w:ascii="Cambria Math" w:hAnsi="Cambria Math"/>
            <w:sz w:val="24"/>
            <w:szCs w:val="24"/>
          </w:rPr>
          <m:t>F[1-A</m:t>
        </m:r>
        <m:d>
          <m:dPr>
            <m:ctrlPr>
              <w:rPr>
                <w:rFonts w:ascii="Cambria Math" w:hAnsi="Cambria Math"/>
                <w:i/>
                <w:sz w:val="24"/>
                <w:szCs w:val="24"/>
              </w:rPr>
            </m:ctrlPr>
          </m:dPr>
          <m:e>
            <m:r>
              <w:rPr>
                <w:rFonts w:ascii="Cambria Math" w:hAnsi="Cambria Math"/>
                <w:sz w:val="24"/>
                <w:szCs w:val="24"/>
              </w:rPr>
              <m:t>1,</m:t>
            </m:r>
            <m:f>
              <m:fPr>
                <m:type m:val="lin"/>
                <m:ctrlPr>
                  <w:rPr>
                    <w:rFonts w:ascii="Cambria Math" w:hAnsi="Cambria Math"/>
                    <w:i/>
                    <w:sz w:val="24"/>
                    <w:szCs w:val="24"/>
                  </w:rPr>
                </m:ctrlPr>
              </m:fPr>
              <m:num>
                <m:sSup>
                  <m:sSupPr>
                    <m:ctrlPr>
                      <w:rPr>
                        <w:rFonts w:ascii="Cambria Math" w:hAnsi="Cambria Math"/>
                        <w:i/>
                        <w:sz w:val="24"/>
                        <w:szCs w:val="24"/>
                      </w:rPr>
                    </m:ctrlPr>
                  </m:sSupPr>
                  <m:e>
                    <m:r>
                      <w:rPr>
                        <w:rFonts w:ascii="Cambria Math" w:hAnsi="Cambria Math"/>
                        <w:sz w:val="24"/>
                        <w:szCs w:val="24"/>
                      </w:rPr>
                      <m:t>F</m:t>
                    </m:r>
                  </m:e>
                  <m:sup>
                    <m:r>
                      <w:rPr>
                        <w:rFonts w:ascii="Cambria Math" w:hAnsi="Cambria Math"/>
                        <w:sz w:val="24"/>
                        <w:szCs w:val="24"/>
                      </w:rPr>
                      <m:t>A</m:t>
                    </m:r>
                  </m:sup>
                </m:sSup>
              </m:num>
              <m:den>
                <m:r>
                  <w:rPr>
                    <w:rFonts w:ascii="Cambria Math" w:hAnsi="Cambria Math"/>
                    <w:sz w:val="24"/>
                    <w:szCs w:val="24"/>
                  </w:rPr>
                  <m:t>F</m:t>
                </m:r>
              </m:den>
            </m:f>
          </m:e>
        </m:d>
        <m:r>
          <w:rPr>
            <w:rFonts w:ascii="Cambria Math" w:hAnsi="Cambria Math"/>
            <w:sz w:val="24"/>
            <w:szCs w:val="24"/>
          </w:rPr>
          <m:t>]</m:t>
        </m:r>
      </m:oMath>
      <w:r w:rsidR="00A11A48" w:rsidRPr="005517C4">
        <w:rPr>
          <w:rFonts w:ascii="Times New Roman" w:eastAsiaTheme="minorEastAsia" w:hAnsi="Times New Roman" w:cs="Times New Roman"/>
          <w:sz w:val="24"/>
          <w:szCs w:val="24"/>
        </w:rPr>
        <w:t xml:space="preserve">. When </w:t>
      </w:r>
      <m:oMath>
        <m:r>
          <w:rPr>
            <w:rFonts w:ascii="Cambria Math" w:eastAsiaTheme="minorEastAsia" w:hAnsi="Cambria Math" w:cs="Times New Roman"/>
            <w:sz w:val="24"/>
            <w:szCs w:val="24"/>
          </w:rPr>
          <m:t>θ</m:t>
        </m:r>
      </m:oMath>
      <w:r w:rsidR="007F4B00" w:rsidRPr="005517C4">
        <w:rPr>
          <w:rFonts w:ascii="Times New Roman" w:eastAsiaTheme="minorEastAsia" w:hAnsi="Times New Roman" w:cs="Times New Roman"/>
          <w:sz w:val="24"/>
          <w:szCs w:val="24"/>
        </w:rPr>
        <w:t xml:space="preserve"> is used instead of </w:t>
      </w:r>
      <m:oMath>
        <m:f>
          <m:fPr>
            <m:type m:val="lin"/>
            <m:ctrlPr>
              <w:rPr>
                <w:rFonts w:ascii="Cambria Math" w:hAnsi="Cambria Math"/>
                <w:i/>
                <w:sz w:val="24"/>
                <w:szCs w:val="24"/>
              </w:rPr>
            </m:ctrlPr>
          </m:fPr>
          <m:num>
            <m:sSup>
              <m:sSupPr>
                <m:ctrlPr>
                  <w:rPr>
                    <w:rFonts w:ascii="Cambria Math" w:hAnsi="Cambria Math"/>
                    <w:i/>
                    <w:sz w:val="24"/>
                    <w:szCs w:val="24"/>
                  </w:rPr>
                </m:ctrlPr>
              </m:sSupPr>
              <m:e>
                <m:r>
                  <w:rPr>
                    <w:rFonts w:ascii="Cambria Math" w:hAnsi="Cambria Math"/>
                    <w:sz w:val="24"/>
                    <w:szCs w:val="24"/>
                  </w:rPr>
                  <m:t>F</m:t>
                </m:r>
              </m:e>
              <m:sup>
                <m:r>
                  <w:rPr>
                    <w:rFonts w:ascii="Cambria Math" w:hAnsi="Cambria Math"/>
                    <w:sz w:val="24"/>
                    <w:szCs w:val="24"/>
                  </w:rPr>
                  <m:t>A</m:t>
                </m:r>
              </m:sup>
            </m:sSup>
          </m:num>
          <m:den>
            <m:r>
              <w:rPr>
                <w:rFonts w:ascii="Cambria Math" w:hAnsi="Cambria Math"/>
                <w:sz w:val="24"/>
                <w:szCs w:val="24"/>
              </w:rPr>
              <m:t>F</m:t>
            </m:r>
          </m:den>
        </m:f>
      </m:oMath>
      <w:r w:rsidR="007F4B00" w:rsidRPr="005517C4">
        <w:rPr>
          <w:rFonts w:ascii="Times New Roman" w:eastAsiaTheme="minorEastAsia" w:hAnsi="Times New Roman" w:cs="Times New Roman"/>
          <w:sz w:val="24"/>
          <w:szCs w:val="24"/>
        </w:rPr>
        <w:t xml:space="preserve"> and combined with the Solow model, </w:t>
      </w:r>
      <w:r>
        <w:rPr>
          <w:rFonts w:ascii="Times New Roman" w:eastAsiaTheme="minorEastAsia" w:hAnsi="Times New Roman" w:cs="Times New Roman"/>
          <w:sz w:val="24"/>
          <w:szCs w:val="24"/>
        </w:rPr>
        <w:t xml:space="preserve">the </w:t>
      </w:r>
      <w:r w:rsidR="007F4B00" w:rsidRPr="005517C4">
        <w:rPr>
          <w:rFonts w:ascii="Times New Roman" w:eastAsiaTheme="minorEastAsia" w:hAnsi="Times New Roman" w:cs="Times New Roman"/>
          <w:sz w:val="24"/>
          <w:szCs w:val="24"/>
        </w:rPr>
        <w:t xml:space="preserve">output equation </w:t>
      </w:r>
      <w:r>
        <w:rPr>
          <w:rFonts w:ascii="Times New Roman" w:eastAsiaTheme="minorEastAsia" w:hAnsi="Times New Roman" w:cs="Times New Roman"/>
          <w:sz w:val="24"/>
          <w:szCs w:val="24"/>
        </w:rPr>
        <w:t>yields:</w:t>
      </w:r>
      <w:r w:rsidR="007F4B00" w:rsidRPr="005517C4">
        <w:rPr>
          <w:rFonts w:ascii="Times New Roman" w:eastAsiaTheme="minorEastAsia" w:hAnsi="Times New Roman" w:cs="Times New Roman"/>
          <w:sz w:val="24"/>
          <w:szCs w:val="24"/>
        </w:rPr>
        <w:t xml:space="preserve"> </w:t>
      </w:r>
      <w:r w:rsidR="007F4B00" w:rsidRPr="005517C4">
        <w:rPr>
          <w:rFonts w:ascii="Times New Roman" w:eastAsiaTheme="minorEastAsia" w:hAnsi="Times New Roman" w:cs="Times New Roman"/>
          <w:i/>
          <w:sz w:val="24"/>
          <w:szCs w:val="24"/>
        </w:rPr>
        <w:t>Y = [1-</w:t>
      </w:r>
      <m:oMath>
        <m:r>
          <w:rPr>
            <w:rFonts w:ascii="Cambria Math" w:eastAsiaTheme="minorEastAsia" w:hAnsi="Cambria Math" w:cs="Times New Roman"/>
            <w:sz w:val="24"/>
            <w:szCs w:val="24"/>
          </w:rPr>
          <m:t xml:space="preserve"> θ</m:t>
        </m:r>
      </m:oMath>
      <w:r w:rsidR="007F4B00" w:rsidRPr="005517C4">
        <w:rPr>
          <w:rFonts w:ascii="Times New Roman" w:eastAsiaTheme="minorEastAsia" w:hAnsi="Times New Roman" w:cs="Times New Roman"/>
          <w:i/>
          <w:sz w:val="24"/>
          <w:szCs w:val="24"/>
        </w:rPr>
        <w:t>]F.</w:t>
      </w:r>
      <w:r w:rsidR="007F4B00" w:rsidRPr="005517C4">
        <w:rPr>
          <w:rFonts w:ascii="Times New Roman" w:eastAsiaTheme="minorEastAsia" w:hAnsi="Times New Roman" w:cs="Times New Roman"/>
          <w:sz w:val="24"/>
          <w:szCs w:val="24"/>
        </w:rPr>
        <w:t xml:space="preserve"> Then, </w:t>
      </w:r>
      <w:r>
        <w:rPr>
          <w:rFonts w:ascii="Times New Roman" w:eastAsiaTheme="minorEastAsia" w:hAnsi="Times New Roman" w:cs="Times New Roman"/>
          <w:sz w:val="24"/>
          <w:szCs w:val="24"/>
        </w:rPr>
        <w:t xml:space="preserve">the </w:t>
      </w:r>
      <w:r w:rsidR="007F4B00" w:rsidRPr="005517C4">
        <w:rPr>
          <w:rFonts w:ascii="Times New Roman" w:eastAsiaTheme="minorEastAsia" w:hAnsi="Times New Roman" w:cs="Times New Roman"/>
          <w:sz w:val="24"/>
          <w:szCs w:val="24"/>
        </w:rPr>
        <w:t xml:space="preserve">Solow model is transformed into </w:t>
      </w:r>
      <w:r>
        <w:rPr>
          <w:rFonts w:ascii="Times New Roman" w:eastAsiaTheme="minorEastAsia" w:hAnsi="Times New Roman" w:cs="Times New Roman"/>
          <w:sz w:val="24"/>
          <w:szCs w:val="24"/>
        </w:rPr>
        <w:t>a ‘</w:t>
      </w:r>
      <w:r w:rsidR="007F4B00" w:rsidRPr="005517C4">
        <w:rPr>
          <w:rFonts w:ascii="Times New Roman" w:eastAsiaTheme="minorEastAsia" w:hAnsi="Times New Roman" w:cs="Times New Roman"/>
          <w:sz w:val="24"/>
          <w:szCs w:val="24"/>
        </w:rPr>
        <w:t>green</w:t>
      </w:r>
      <w:r>
        <w:rPr>
          <w:rFonts w:ascii="Times New Roman" w:eastAsiaTheme="minorEastAsia" w:hAnsi="Times New Roman" w:cs="Times New Roman"/>
          <w:sz w:val="24"/>
          <w:szCs w:val="24"/>
        </w:rPr>
        <w:t>’</w:t>
      </w:r>
      <w:r w:rsidR="007F4B00" w:rsidRPr="005517C4">
        <w:rPr>
          <w:rFonts w:ascii="Times New Roman" w:eastAsiaTheme="minorEastAsia" w:hAnsi="Times New Roman" w:cs="Times New Roman"/>
          <w:sz w:val="24"/>
          <w:szCs w:val="24"/>
        </w:rPr>
        <w:t xml:space="preserve"> Solow model as follows</w:t>
      </w:r>
      <w:r>
        <w:rPr>
          <w:rFonts w:ascii="Times New Roman" w:eastAsiaTheme="minorEastAsia" w:hAnsi="Times New Roman" w:cs="Times New Roman"/>
          <w:sz w:val="24"/>
          <w:szCs w:val="24"/>
        </w:rPr>
        <w:t>:</w:t>
      </w:r>
    </w:p>
    <w:p w:rsidR="00A54422" w:rsidRPr="005517C4" w:rsidRDefault="00A54422" w:rsidP="00A54422">
      <w:pPr>
        <w:spacing w:line="360" w:lineRule="auto"/>
        <w:ind w:left="2124" w:firstLine="708"/>
        <w:jc w:val="center"/>
        <w:rPr>
          <w:rFonts w:ascii="Times New Roman" w:eastAsiaTheme="minorEastAsia" w:hAnsi="Times New Roman" w:cs="Times New Roman"/>
        </w:rPr>
      </w:pPr>
      <m:oMath>
        <m:r>
          <w:rPr>
            <w:rFonts w:ascii="Cambria Math" w:eastAsiaTheme="minorEastAsia" w:hAnsi="Cambria Math" w:cs="Times New Roman"/>
          </w:rPr>
          <m:t>y=f</m:t>
        </m:r>
        <m:d>
          <m:dPr>
            <m:ctrlPr>
              <w:rPr>
                <w:rFonts w:ascii="Cambria Math" w:eastAsiaTheme="minorEastAsia" w:hAnsi="Cambria Math" w:cs="Times New Roman"/>
                <w:i/>
              </w:rPr>
            </m:ctrlPr>
          </m:dPr>
          <m:e>
            <m:r>
              <w:rPr>
                <w:rFonts w:ascii="Cambria Math" w:eastAsiaTheme="minorEastAsia" w:hAnsi="Cambria Math" w:cs="Times New Roman"/>
              </w:rPr>
              <m:t>k</m:t>
            </m:r>
          </m:e>
        </m:d>
        <m:r>
          <w:rPr>
            <w:rFonts w:ascii="Cambria Math" w:eastAsiaTheme="minorEastAsia" w:hAnsi="Cambria Math" w:cs="Times New Roman"/>
          </w:rPr>
          <m:t>[1-θ]</m:t>
        </m:r>
      </m:oMath>
      <w:r w:rsidRPr="005517C4">
        <w:rPr>
          <w:rFonts w:ascii="Times New Roman" w:eastAsiaTheme="minorEastAsia" w:hAnsi="Times New Roman" w:cs="Times New Roman"/>
        </w:rPr>
        <w:t xml:space="preserve"> </w:t>
      </w:r>
      <w:r w:rsidRPr="005517C4">
        <w:rPr>
          <w:rFonts w:ascii="Times New Roman" w:eastAsiaTheme="minorEastAsia" w:hAnsi="Times New Roman" w:cs="Times New Roman"/>
        </w:rPr>
        <w:tab/>
      </w:r>
      <w:r w:rsidRPr="005517C4">
        <w:rPr>
          <w:rFonts w:ascii="Times New Roman" w:eastAsiaTheme="minorEastAsia" w:hAnsi="Times New Roman" w:cs="Times New Roman"/>
        </w:rPr>
        <w:tab/>
      </w:r>
      <w:r w:rsidRPr="005517C4">
        <w:rPr>
          <w:rFonts w:ascii="Times New Roman" w:eastAsiaTheme="minorEastAsia" w:hAnsi="Times New Roman" w:cs="Times New Roman"/>
        </w:rPr>
        <w:tab/>
      </w:r>
      <w:r w:rsidRPr="005517C4">
        <w:rPr>
          <w:rFonts w:ascii="Times New Roman" w:eastAsiaTheme="minorEastAsia" w:hAnsi="Times New Roman" w:cs="Times New Roman"/>
        </w:rPr>
        <w:tab/>
      </w:r>
      <w:r w:rsidRPr="005517C4">
        <w:rPr>
          <w:rFonts w:ascii="Times New Roman" w:eastAsiaTheme="minorEastAsia" w:hAnsi="Times New Roman" w:cs="Times New Roman"/>
        </w:rPr>
        <w:tab/>
      </w:r>
      <w:r w:rsidRPr="005517C4">
        <w:rPr>
          <w:rFonts w:ascii="Times New Roman" w:eastAsiaTheme="minorEastAsia" w:hAnsi="Times New Roman" w:cs="Times New Roman"/>
        </w:rPr>
        <w:tab/>
        <w:t>(1)</w:t>
      </w:r>
    </w:p>
    <w:p w:rsidR="00A54422" w:rsidRPr="005517C4" w:rsidRDefault="006578EE" w:rsidP="00A54422">
      <w:pPr>
        <w:spacing w:line="360" w:lineRule="auto"/>
        <w:ind w:left="2124" w:firstLine="708"/>
        <w:jc w:val="center"/>
        <w:rPr>
          <w:rFonts w:ascii="Times New Roman" w:eastAsiaTheme="minorEastAsia" w:hAnsi="Times New Roman" w:cs="Times New Roman"/>
        </w:rPr>
      </w:pPr>
      <m:oMath>
        <m:acc>
          <m:accPr>
            <m:chr m:val="̇"/>
            <m:ctrlPr>
              <w:rPr>
                <w:rFonts w:ascii="Cambria Math" w:eastAsiaTheme="minorEastAsia" w:hAnsi="Cambria Math"/>
                <w:i/>
              </w:rPr>
            </m:ctrlPr>
          </m:accPr>
          <m:e>
            <m:r>
              <w:rPr>
                <w:rFonts w:ascii="Cambria Math" w:eastAsiaTheme="minorEastAsia" w:hAnsi="Cambria Math"/>
              </w:rPr>
              <m:t>k</m:t>
            </m:r>
          </m:e>
        </m:acc>
        <m:r>
          <w:rPr>
            <w:rFonts w:ascii="Cambria Math" w:eastAsiaTheme="minorEastAsia" w:hAnsi="Cambria Math"/>
          </w:rPr>
          <m:t>=sf</m:t>
        </m:r>
        <m:d>
          <m:dPr>
            <m:ctrlPr>
              <w:rPr>
                <w:rFonts w:ascii="Cambria Math" w:eastAsiaTheme="minorEastAsia" w:hAnsi="Cambria Math"/>
                <w:i/>
              </w:rPr>
            </m:ctrlPr>
          </m:dPr>
          <m:e>
            <m:r>
              <w:rPr>
                <w:rFonts w:ascii="Cambria Math" w:eastAsiaTheme="minorEastAsia" w:hAnsi="Cambria Math"/>
              </w:rPr>
              <m:t>k</m:t>
            </m:r>
          </m:e>
        </m:d>
        <m:d>
          <m:dPr>
            <m:begChr m:val="["/>
            <m:endChr m:val="]"/>
            <m:ctrlPr>
              <w:rPr>
                <w:rFonts w:ascii="Cambria Math" w:eastAsiaTheme="minorEastAsia" w:hAnsi="Cambria Math"/>
                <w:i/>
              </w:rPr>
            </m:ctrlPr>
          </m:dPr>
          <m:e>
            <m:r>
              <w:rPr>
                <w:rFonts w:ascii="Cambria Math" w:eastAsiaTheme="minorEastAsia" w:hAnsi="Cambria Math"/>
              </w:rPr>
              <m:t>1-θ</m:t>
            </m:r>
          </m:e>
        </m:d>
        <m:r>
          <w:rPr>
            <w:rFonts w:ascii="Cambria Math" w:eastAsiaTheme="minorEastAsia" w:hAnsi="Cambria Math"/>
          </w:rPr>
          <m:t>-</m:t>
        </m:r>
        <m:d>
          <m:dPr>
            <m:ctrlPr>
              <w:rPr>
                <w:rFonts w:ascii="Cambria Math" w:eastAsiaTheme="minorEastAsia" w:hAnsi="Cambria Math"/>
                <w:i/>
              </w:rPr>
            </m:ctrlPr>
          </m:dPr>
          <m:e>
            <m:r>
              <w:rPr>
                <w:rFonts w:ascii="Cambria Math" w:eastAsiaTheme="minorEastAsia" w:hAnsi="Cambria Math"/>
              </w:rPr>
              <m:t>n+g+δ</m:t>
            </m:r>
          </m:e>
        </m:d>
        <m:r>
          <w:rPr>
            <w:rFonts w:ascii="Cambria Math" w:eastAsiaTheme="minorEastAsia" w:hAnsi="Cambria Math"/>
          </w:rPr>
          <m:t>k</m:t>
        </m:r>
      </m:oMath>
      <w:r w:rsidR="00A54422" w:rsidRPr="005517C4">
        <w:rPr>
          <w:rFonts w:ascii="Times New Roman" w:eastAsiaTheme="minorEastAsia" w:hAnsi="Times New Roman" w:cs="Times New Roman"/>
        </w:rPr>
        <w:t xml:space="preserve"> </w:t>
      </w:r>
      <w:r w:rsidR="00A54422" w:rsidRPr="005517C4">
        <w:rPr>
          <w:rFonts w:ascii="Times New Roman" w:eastAsiaTheme="minorEastAsia" w:hAnsi="Times New Roman" w:cs="Times New Roman"/>
        </w:rPr>
        <w:tab/>
      </w:r>
      <w:r w:rsidR="00A54422" w:rsidRPr="005517C4">
        <w:rPr>
          <w:rFonts w:ascii="Times New Roman" w:eastAsiaTheme="minorEastAsia" w:hAnsi="Times New Roman" w:cs="Times New Roman"/>
        </w:rPr>
        <w:tab/>
      </w:r>
      <w:r w:rsidR="00A54422" w:rsidRPr="005517C4">
        <w:rPr>
          <w:rFonts w:ascii="Times New Roman" w:eastAsiaTheme="minorEastAsia" w:hAnsi="Times New Roman" w:cs="Times New Roman"/>
        </w:rPr>
        <w:tab/>
      </w:r>
      <w:r w:rsidR="00A54422" w:rsidRPr="005517C4">
        <w:rPr>
          <w:rFonts w:ascii="Times New Roman" w:eastAsiaTheme="minorEastAsia" w:hAnsi="Times New Roman" w:cs="Times New Roman"/>
        </w:rPr>
        <w:tab/>
        <w:t>(2)</w:t>
      </w:r>
    </w:p>
    <w:p w:rsidR="002E7CB0" w:rsidRPr="005517C4" w:rsidRDefault="00573E14" w:rsidP="0024471B">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Next, they</w:t>
      </w:r>
      <w:r w:rsidR="00141991" w:rsidRPr="005517C4">
        <w:rPr>
          <w:rFonts w:ascii="Times New Roman" w:eastAsiaTheme="minorEastAsia" w:hAnsi="Times New Roman" w:cs="Times New Roman"/>
          <w:sz w:val="24"/>
          <w:szCs w:val="24"/>
        </w:rPr>
        <w:t xml:space="preserve"> </w:t>
      </w:r>
      <w:r w:rsidR="00F3136A" w:rsidRPr="005517C4">
        <w:rPr>
          <w:rFonts w:ascii="Times New Roman" w:eastAsiaTheme="minorEastAsia" w:hAnsi="Times New Roman" w:cs="Times New Roman"/>
          <w:sz w:val="24"/>
          <w:szCs w:val="24"/>
        </w:rPr>
        <w:t xml:space="preserve">use </w:t>
      </w:r>
      <w:r>
        <w:rPr>
          <w:rFonts w:ascii="Times New Roman" w:eastAsiaTheme="minorEastAsia" w:hAnsi="Times New Roman" w:cs="Times New Roman"/>
          <w:sz w:val="24"/>
          <w:szCs w:val="24"/>
        </w:rPr>
        <w:t>E</w:t>
      </w:r>
      <w:r w:rsidR="00F3136A" w:rsidRPr="005517C4">
        <w:rPr>
          <w:rFonts w:ascii="Times New Roman" w:eastAsiaTheme="minorEastAsia" w:hAnsi="Times New Roman" w:cs="Times New Roman"/>
          <w:sz w:val="24"/>
          <w:szCs w:val="24"/>
        </w:rPr>
        <w:t xml:space="preserve">quation 3 to </w:t>
      </w:r>
      <w:r w:rsidR="00141991" w:rsidRPr="005517C4">
        <w:rPr>
          <w:rFonts w:ascii="Times New Roman" w:eastAsiaTheme="minorEastAsia" w:hAnsi="Times New Roman" w:cs="Times New Roman"/>
          <w:sz w:val="24"/>
          <w:szCs w:val="24"/>
        </w:rPr>
        <w:t xml:space="preserve">define </w:t>
      </w:r>
      <w:r>
        <w:rPr>
          <w:rFonts w:ascii="Times New Roman" w:eastAsiaTheme="minorEastAsia" w:hAnsi="Times New Roman" w:cs="Times New Roman"/>
          <w:sz w:val="24"/>
          <w:szCs w:val="24"/>
        </w:rPr>
        <w:t xml:space="preserve">the </w:t>
      </w:r>
      <w:r w:rsidR="00141991" w:rsidRPr="005517C4">
        <w:rPr>
          <w:rFonts w:ascii="Times New Roman" w:eastAsiaTheme="minorEastAsia" w:hAnsi="Times New Roman" w:cs="Times New Roman"/>
          <w:sz w:val="24"/>
          <w:szCs w:val="24"/>
        </w:rPr>
        <w:t xml:space="preserve">growth </w:t>
      </w:r>
      <w:r>
        <w:rPr>
          <w:rFonts w:ascii="Times New Roman" w:eastAsiaTheme="minorEastAsia" w:hAnsi="Times New Roman" w:cs="Times New Roman"/>
          <w:sz w:val="24"/>
          <w:szCs w:val="24"/>
        </w:rPr>
        <w:t>of</w:t>
      </w:r>
      <w:r w:rsidR="00141991" w:rsidRPr="005517C4">
        <w:rPr>
          <w:rFonts w:ascii="Times New Roman" w:eastAsiaTheme="minorEastAsia" w:hAnsi="Times New Roman" w:cs="Times New Roman"/>
          <w:sz w:val="24"/>
          <w:szCs w:val="24"/>
        </w:rPr>
        <w:t xml:space="preserve"> emission</w:t>
      </w:r>
      <w:r>
        <w:rPr>
          <w:rFonts w:ascii="Times New Roman" w:eastAsiaTheme="minorEastAsia" w:hAnsi="Times New Roman" w:cs="Times New Roman"/>
          <w:sz w:val="24"/>
          <w:szCs w:val="24"/>
        </w:rPr>
        <w:t>s</w:t>
      </w:r>
      <w:r w:rsidR="00141991" w:rsidRPr="005517C4">
        <w:rPr>
          <w:rFonts w:ascii="Times New Roman" w:eastAsiaTheme="minorEastAsia" w:hAnsi="Times New Roman" w:cs="Times New Roman"/>
          <w:sz w:val="24"/>
          <w:szCs w:val="24"/>
        </w:rPr>
        <w:t xml:space="preserve"> per capita as a negative function of </w:t>
      </w:r>
      <w:r>
        <w:rPr>
          <w:rFonts w:ascii="Times New Roman" w:eastAsiaTheme="minorEastAsia" w:hAnsi="Times New Roman" w:cs="Times New Roman"/>
          <w:sz w:val="24"/>
          <w:szCs w:val="24"/>
        </w:rPr>
        <w:t xml:space="preserve">the </w:t>
      </w:r>
      <w:r w:rsidR="00141991" w:rsidRPr="005517C4">
        <w:rPr>
          <w:rFonts w:ascii="Times New Roman" w:eastAsiaTheme="minorEastAsia" w:hAnsi="Times New Roman" w:cs="Times New Roman"/>
          <w:sz w:val="24"/>
          <w:szCs w:val="24"/>
        </w:rPr>
        <w:t xml:space="preserve">technological progress in abatement </w:t>
      </w:r>
      <w:r w:rsidR="005C1F35" w:rsidRPr="005517C4">
        <w:rPr>
          <w:rFonts w:ascii="Times New Roman" w:eastAsiaTheme="minorEastAsia" w:hAnsi="Times New Roman" w:cs="Times New Roman"/>
          <w:sz w:val="24"/>
          <w:szCs w:val="24"/>
        </w:rPr>
        <w:t>(</w:t>
      </w:r>
      <m:oMath>
        <m:r>
          <m:rPr>
            <m:sty m:val="p"/>
          </m:rPr>
          <w:rPr>
            <w:rFonts w:ascii="Cambria Math" w:eastAsiaTheme="minorEastAsia" w:hAnsi="Cambria Math" w:cs="Times New Roman"/>
            <w:sz w:val="24"/>
            <w:szCs w:val="24"/>
          </w:rPr>
          <m:t>Ω</m:t>
        </m:r>
      </m:oMath>
      <w:r w:rsidR="005C1F35" w:rsidRPr="005517C4">
        <w:rPr>
          <w:rFonts w:ascii="Times New Roman" w:eastAsiaTheme="minorEastAsia" w:hAnsi="Times New Roman" w:cs="Times New Roman"/>
          <w:sz w:val="24"/>
          <w:szCs w:val="24"/>
        </w:rPr>
        <w:t xml:space="preserve">) </w:t>
      </w:r>
      <w:r w:rsidR="00141991" w:rsidRPr="005517C4">
        <w:rPr>
          <w:rFonts w:ascii="Times New Roman" w:eastAsiaTheme="minorEastAsia" w:hAnsi="Times New Roman" w:cs="Times New Roman"/>
          <w:sz w:val="24"/>
          <w:szCs w:val="24"/>
        </w:rPr>
        <w:t xml:space="preserve">and </w:t>
      </w:r>
      <w:r>
        <w:rPr>
          <w:rFonts w:ascii="Times New Roman" w:eastAsiaTheme="minorEastAsia" w:hAnsi="Times New Roman" w:cs="Times New Roman"/>
          <w:sz w:val="24"/>
          <w:szCs w:val="24"/>
        </w:rPr>
        <w:t xml:space="preserve">a </w:t>
      </w:r>
      <w:r w:rsidR="00141991" w:rsidRPr="005517C4">
        <w:rPr>
          <w:rFonts w:ascii="Times New Roman" w:eastAsiaTheme="minorEastAsia" w:hAnsi="Times New Roman" w:cs="Times New Roman"/>
          <w:sz w:val="24"/>
          <w:szCs w:val="24"/>
        </w:rPr>
        <w:t>positive function of growth in per capita income</w:t>
      </w:r>
      <w:r w:rsidR="00A54422" w:rsidRPr="005517C4">
        <w:rPr>
          <w:rFonts w:ascii="Times New Roman" w:eastAsiaTheme="minorEastAsia" w:hAnsi="Times New Roman" w:cs="Times New Roman"/>
          <w:sz w:val="24"/>
          <w:szCs w:val="24"/>
        </w:rPr>
        <w:t xml:space="preserve"> in order to derivate </w:t>
      </w:r>
      <w:r>
        <w:rPr>
          <w:rFonts w:ascii="Times New Roman" w:eastAsiaTheme="minorEastAsia" w:hAnsi="Times New Roman" w:cs="Times New Roman"/>
          <w:sz w:val="24"/>
          <w:szCs w:val="24"/>
        </w:rPr>
        <w:t xml:space="preserve">the </w:t>
      </w:r>
      <w:r w:rsidR="002E0F40" w:rsidRPr="005517C4">
        <w:rPr>
          <w:rFonts w:ascii="Times New Roman" w:eastAsiaTheme="minorEastAsia" w:hAnsi="Times New Roman" w:cs="Times New Roman"/>
          <w:sz w:val="24"/>
          <w:szCs w:val="24"/>
        </w:rPr>
        <w:t>emission</w:t>
      </w:r>
      <w:r>
        <w:rPr>
          <w:rFonts w:ascii="Times New Roman" w:eastAsiaTheme="minorEastAsia" w:hAnsi="Times New Roman" w:cs="Times New Roman"/>
          <w:sz w:val="24"/>
          <w:szCs w:val="24"/>
        </w:rPr>
        <w:t>s</w:t>
      </w:r>
      <w:r w:rsidR="002E0F40" w:rsidRPr="005517C4">
        <w:rPr>
          <w:rFonts w:ascii="Times New Roman" w:eastAsiaTheme="minorEastAsia" w:hAnsi="Times New Roman" w:cs="Times New Roman"/>
          <w:sz w:val="24"/>
          <w:szCs w:val="24"/>
        </w:rPr>
        <w:t xml:space="preserve"> </w:t>
      </w:r>
      <w:r w:rsidR="00A54422" w:rsidRPr="005517C4">
        <w:rPr>
          <w:rFonts w:ascii="Times New Roman" w:eastAsiaTheme="minorEastAsia" w:hAnsi="Times New Roman" w:cs="Times New Roman"/>
          <w:sz w:val="24"/>
          <w:szCs w:val="24"/>
        </w:rPr>
        <w:t>convergence</w:t>
      </w:r>
      <w:r w:rsidR="002E0F40" w:rsidRPr="005517C4">
        <w:rPr>
          <w:rFonts w:ascii="Times New Roman" w:eastAsiaTheme="minorEastAsia" w:hAnsi="Times New Roman" w:cs="Times New Roman"/>
          <w:sz w:val="24"/>
          <w:szCs w:val="24"/>
        </w:rPr>
        <w:t xml:space="preserve"> equation</w:t>
      </w:r>
      <w:r>
        <w:rPr>
          <w:rFonts w:ascii="Times New Roman" w:eastAsiaTheme="minorEastAsia" w:hAnsi="Times New Roman" w:cs="Times New Roman"/>
          <w:sz w:val="24"/>
          <w:szCs w:val="24"/>
        </w:rPr>
        <w:t>:</w:t>
      </w:r>
      <w:r w:rsidR="00141991" w:rsidRPr="005517C4">
        <w:rPr>
          <w:rFonts w:ascii="Times New Roman" w:eastAsiaTheme="minorEastAsia" w:hAnsi="Times New Roman" w:cs="Times New Roman"/>
          <w:sz w:val="24"/>
          <w:szCs w:val="24"/>
        </w:rPr>
        <w:t xml:space="preserve"> </w:t>
      </w:r>
    </w:p>
    <w:p w:rsidR="005C1F35" w:rsidRPr="005517C4" w:rsidRDefault="006578EE" w:rsidP="00A54422">
      <w:pPr>
        <w:spacing w:line="360" w:lineRule="auto"/>
        <w:ind w:left="2124" w:firstLine="708"/>
        <w:jc w:val="center"/>
        <w:rPr>
          <w:rFonts w:ascii="Times New Roman" w:eastAsiaTheme="minorEastAsia" w:hAnsi="Times New Roman" w:cs="Times New Roman"/>
          <w:sz w:val="24"/>
          <w:szCs w:val="24"/>
        </w:rPr>
      </w:pP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e</m:t>
            </m:r>
          </m:e>
          <m:sup>
            <m:r>
              <w:rPr>
                <w:rFonts w:ascii="Cambria Math" w:eastAsiaTheme="minorEastAsia" w:hAnsi="Cambria Math" w:cs="Times New Roman"/>
                <w:sz w:val="24"/>
                <w:szCs w:val="24"/>
              </w:rPr>
              <m:t>c</m:t>
            </m:r>
          </m:sup>
        </m:sSup>
        <m:r>
          <w:rPr>
            <w:rFonts w:ascii="Cambria Math" w:eastAsiaTheme="minorEastAsia" w:hAnsi="Cambria Math" w:cs="Times New Roman"/>
            <w:sz w:val="24"/>
            <w:szCs w:val="24"/>
          </w:rPr>
          <m:t>(t)=</m:t>
        </m:r>
        <m:r>
          <m:rPr>
            <m:sty m:val="p"/>
          </m:rPr>
          <w:rPr>
            <w:rFonts w:ascii="Cambria Math" w:eastAsiaTheme="minorEastAsia" w:hAnsi="Cambria Math" w:cs="Times New Roman"/>
            <w:sz w:val="24"/>
            <w:szCs w:val="24"/>
          </w:rPr>
          <m:t>Ω</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t</m:t>
            </m:r>
          </m:e>
        </m:d>
        <m:r>
          <w:rPr>
            <w:rFonts w:ascii="Cambria Math" w:eastAsiaTheme="minorEastAsia" w:hAnsi="Cambria Math" w:cs="Times New Roman"/>
            <w:sz w:val="24"/>
            <w:szCs w:val="24"/>
          </w:rPr>
          <m:t>a(θ)</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y</m:t>
            </m:r>
          </m:e>
          <m:sup>
            <m:r>
              <w:rPr>
                <w:rFonts w:ascii="Cambria Math" w:eastAsiaTheme="minorEastAsia" w:hAnsi="Cambria Math" w:cs="Times New Roman"/>
                <w:sz w:val="24"/>
                <w:szCs w:val="24"/>
              </w:rPr>
              <m:t>c</m:t>
            </m:r>
          </m:sup>
        </m:sSup>
        <m:r>
          <w:rPr>
            <w:rFonts w:ascii="Cambria Math" w:eastAsiaTheme="minorEastAsia" w:hAnsi="Cambria Math" w:cs="Times New Roman"/>
            <w:sz w:val="24"/>
            <w:szCs w:val="24"/>
          </w:rPr>
          <m:t>(t)</m:t>
        </m:r>
      </m:oMath>
      <w:r w:rsidR="005C1F35" w:rsidRPr="005517C4">
        <w:rPr>
          <w:rFonts w:ascii="Times New Roman" w:eastAsiaTheme="minorEastAsia" w:hAnsi="Times New Roman" w:cs="Times New Roman"/>
          <w:sz w:val="24"/>
          <w:szCs w:val="24"/>
        </w:rPr>
        <w:tab/>
      </w:r>
      <w:r w:rsidR="005C1F35" w:rsidRPr="005517C4">
        <w:rPr>
          <w:rFonts w:ascii="Times New Roman" w:eastAsiaTheme="minorEastAsia" w:hAnsi="Times New Roman" w:cs="Times New Roman"/>
          <w:sz w:val="24"/>
          <w:szCs w:val="24"/>
        </w:rPr>
        <w:tab/>
      </w:r>
      <w:r w:rsidR="005C1F35" w:rsidRPr="005517C4">
        <w:rPr>
          <w:rFonts w:ascii="Times New Roman" w:eastAsiaTheme="minorEastAsia" w:hAnsi="Times New Roman" w:cs="Times New Roman"/>
          <w:sz w:val="24"/>
          <w:szCs w:val="24"/>
        </w:rPr>
        <w:tab/>
      </w:r>
      <w:r w:rsidR="005C1F35" w:rsidRPr="005517C4">
        <w:rPr>
          <w:rFonts w:ascii="Times New Roman" w:eastAsiaTheme="minorEastAsia" w:hAnsi="Times New Roman" w:cs="Times New Roman"/>
          <w:sz w:val="24"/>
          <w:szCs w:val="24"/>
        </w:rPr>
        <w:tab/>
      </w:r>
      <w:r w:rsidR="005C1F35" w:rsidRPr="005517C4">
        <w:rPr>
          <w:rFonts w:ascii="Times New Roman" w:eastAsiaTheme="minorEastAsia" w:hAnsi="Times New Roman" w:cs="Times New Roman"/>
          <w:sz w:val="24"/>
          <w:szCs w:val="24"/>
        </w:rPr>
        <w:tab/>
      </w:r>
      <w:r w:rsidR="00573E14">
        <w:rPr>
          <w:rFonts w:ascii="Times New Roman" w:eastAsiaTheme="minorEastAsia" w:hAnsi="Times New Roman" w:cs="Times New Roman"/>
          <w:sz w:val="24"/>
          <w:szCs w:val="24"/>
        </w:rPr>
        <w:t xml:space="preserve">   </w:t>
      </w:r>
      <w:r w:rsidR="005C1F35" w:rsidRPr="005517C4">
        <w:rPr>
          <w:rFonts w:ascii="Times New Roman" w:eastAsiaTheme="minorEastAsia" w:hAnsi="Times New Roman" w:cs="Times New Roman"/>
          <w:sz w:val="24"/>
          <w:szCs w:val="24"/>
        </w:rPr>
        <w:t>(</w:t>
      </w:r>
      <w:r w:rsidR="00A54422" w:rsidRPr="005517C4">
        <w:rPr>
          <w:rFonts w:ascii="Times New Roman" w:eastAsiaTheme="minorEastAsia" w:hAnsi="Times New Roman" w:cs="Times New Roman"/>
          <w:sz w:val="24"/>
          <w:szCs w:val="24"/>
        </w:rPr>
        <w:t>3</w:t>
      </w:r>
      <w:r w:rsidR="005C1F35" w:rsidRPr="005517C4">
        <w:rPr>
          <w:rFonts w:ascii="Times New Roman" w:eastAsiaTheme="minorEastAsia" w:hAnsi="Times New Roman" w:cs="Times New Roman"/>
          <w:sz w:val="24"/>
          <w:szCs w:val="24"/>
        </w:rPr>
        <w:t>)</w:t>
      </w:r>
    </w:p>
    <w:p w:rsidR="005C1F35" w:rsidRPr="005517C4" w:rsidRDefault="00573E14" w:rsidP="00F3136A">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In the following step</w:t>
      </w:r>
      <w:r w:rsidR="002E0F40" w:rsidRPr="005517C4">
        <w:rPr>
          <w:rFonts w:ascii="Times New Roman" w:eastAsiaTheme="minorEastAsia" w:hAnsi="Times New Roman" w:cs="Times New Roman"/>
          <w:sz w:val="24"/>
          <w:szCs w:val="24"/>
        </w:rPr>
        <w:t xml:space="preserve">, three </w:t>
      </w:r>
      <w:r>
        <w:rPr>
          <w:rFonts w:ascii="Times New Roman" w:eastAsiaTheme="minorEastAsia" w:hAnsi="Times New Roman" w:cs="Times New Roman"/>
          <w:sz w:val="24"/>
          <w:szCs w:val="24"/>
        </w:rPr>
        <w:t>applications</w:t>
      </w:r>
      <w:r w:rsidR="002E0F40" w:rsidRPr="005517C4">
        <w:rPr>
          <w:rFonts w:ascii="Times New Roman" w:eastAsiaTheme="minorEastAsia" w:hAnsi="Times New Roman" w:cs="Times New Roman"/>
          <w:sz w:val="24"/>
          <w:szCs w:val="24"/>
        </w:rPr>
        <w:t xml:space="preserve"> are applied to transform </w:t>
      </w:r>
      <w:r>
        <w:rPr>
          <w:rFonts w:ascii="Times New Roman" w:eastAsiaTheme="minorEastAsia" w:hAnsi="Times New Roman" w:cs="Times New Roman"/>
          <w:sz w:val="24"/>
          <w:szCs w:val="24"/>
        </w:rPr>
        <w:t xml:space="preserve">the </w:t>
      </w:r>
      <w:r w:rsidR="002E0F40" w:rsidRPr="005517C4">
        <w:rPr>
          <w:rFonts w:ascii="Times New Roman" w:eastAsiaTheme="minorEastAsia" w:hAnsi="Times New Roman" w:cs="Times New Roman"/>
          <w:sz w:val="24"/>
          <w:szCs w:val="24"/>
        </w:rPr>
        <w:t>e</w:t>
      </w:r>
      <w:r w:rsidR="00A54422" w:rsidRPr="005517C4">
        <w:rPr>
          <w:rFonts w:ascii="Times New Roman" w:eastAsiaTheme="minorEastAsia" w:hAnsi="Times New Roman" w:cs="Times New Roman"/>
          <w:sz w:val="24"/>
          <w:szCs w:val="24"/>
        </w:rPr>
        <w:t>mission</w:t>
      </w:r>
      <w:r>
        <w:rPr>
          <w:rFonts w:ascii="Times New Roman" w:eastAsiaTheme="minorEastAsia" w:hAnsi="Times New Roman" w:cs="Times New Roman"/>
          <w:sz w:val="24"/>
          <w:szCs w:val="24"/>
        </w:rPr>
        <w:t>s</w:t>
      </w:r>
      <w:r w:rsidR="00A54422" w:rsidRPr="005517C4">
        <w:rPr>
          <w:rFonts w:ascii="Times New Roman" w:eastAsiaTheme="minorEastAsia" w:hAnsi="Times New Roman" w:cs="Times New Roman"/>
          <w:sz w:val="24"/>
          <w:szCs w:val="24"/>
        </w:rPr>
        <w:t xml:space="preserve"> per capita equation </w:t>
      </w:r>
      <w:r w:rsidR="00F3136A" w:rsidRPr="005517C4">
        <w:rPr>
          <w:rFonts w:ascii="Times New Roman" w:eastAsiaTheme="minorEastAsia" w:hAnsi="Times New Roman" w:cs="Times New Roman"/>
          <w:sz w:val="24"/>
          <w:szCs w:val="24"/>
        </w:rPr>
        <w:t xml:space="preserve">into </w:t>
      </w:r>
      <w:r>
        <w:rPr>
          <w:rFonts w:ascii="Times New Roman" w:eastAsiaTheme="minorEastAsia" w:hAnsi="Times New Roman" w:cs="Times New Roman"/>
          <w:sz w:val="24"/>
          <w:szCs w:val="24"/>
        </w:rPr>
        <w:t xml:space="preserve">a </w:t>
      </w:r>
      <w:r w:rsidR="00F3136A" w:rsidRPr="005517C4">
        <w:rPr>
          <w:rFonts w:ascii="Times New Roman" w:eastAsiaTheme="minorEastAsia" w:hAnsi="Times New Roman" w:cs="Times New Roman"/>
          <w:sz w:val="24"/>
          <w:szCs w:val="24"/>
        </w:rPr>
        <w:t>convergence equation. First</w:t>
      </w:r>
      <w:r>
        <w:rPr>
          <w:rFonts w:ascii="Times New Roman" w:eastAsiaTheme="minorEastAsia" w:hAnsi="Times New Roman" w:cs="Times New Roman"/>
          <w:sz w:val="24"/>
          <w:szCs w:val="24"/>
        </w:rPr>
        <w:t>,</w:t>
      </w:r>
      <w:r w:rsidR="00F3136A" w:rsidRPr="005517C4">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both </w:t>
      </w:r>
      <w:r w:rsidR="00F3136A" w:rsidRPr="005517C4">
        <w:rPr>
          <w:rFonts w:ascii="Times New Roman" w:eastAsiaTheme="minorEastAsia" w:hAnsi="Times New Roman" w:cs="Times New Roman"/>
          <w:sz w:val="24"/>
          <w:szCs w:val="24"/>
        </w:rPr>
        <w:t xml:space="preserve">the </w:t>
      </w:r>
      <w:r w:rsidR="00BB6967" w:rsidRPr="005517C4">
        <w:rPr>
          <w:rFonts w:ascii="Times New Roman" w:eastAsiaTheme="minorEastAsia" w:hAnsi="Times New Roman" w:cs="Times New Roman"/>
          <w:sz w:val="24"/>
          <w:szCs w:val="24"/>
        </w:rPr>
        <w:t xml:space="preserve">emissions per capita, </w:t>
      </w:r>
      <m:oMath>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e</m:t>
            </m:r>
          </m:e>
          <m:sub>
            <m:r>
              <w:rPr>
                <w:rFonts w:ascii="Cambria Math" w:eastAsiaTheme="minorEastAsia" w:hAnsi="Cambria Math" w:cs="Times New Roman"/>
                <w:sz w:val="24"/>
                <w:szCs w:val="24"/>
              </w:rPr>
              <m:t>t</m:t>
            </m:r>
          </m:sub>
          <m:sup>
            <m:r>
              <w:rPr>
                <w:rFonts w:ascii="Cambria Math" w:eastAsiaTheme="minorEastAsia" w:hAnsi="Cambria Math" w:cs="Times New Roman"/>
                <w:sz w:val="24"/>
                <w:szCs w:val="24"/>
              </w:rPr>
              <m:t>c</m:t>
            </m:r>
          </m:sup>
        </m:sSubSup>
      </m:oMath>
      <w:r>
        <w:rPr>
          <w:rFonts w:ascii="Times New Roman" w:eastAsiaTheme="minorEastAsia" w:hAnsi="Times New Roman" w:cs="Times New Roman"/>
          <w:sz w:val="24"/>
          <w:szCs w:val="24"/>
        </w:rPr>
        <w:t xml:space="preserve"> a</w:t>
      </w:r>
      <w:r w:rsidR="00BB6967" w:rsidRPr="005517C4">
        <w:rPr>
          <w:rFonts w:ascii="Times New Roman" w:eastAsiaTheme="minorEastAsia" w:hAnsi="Times New Roman" w:cs="Times New Roman"/>
          <w:sz w:val="24"/>
          <w:szCs w:val="24"/>
        </w:rPr>
        <w:t xml:space="preserve">nd </w:t>
      </w:r>
      <w:r>
        <w:rPr>
          <w:rFonts w:ascii="Times New Roman" w:eastAsiaTheme="minorEastAsia" w:hAnsi="Times New Roman" w:cs="Times New Roman"/>
          <w:sz w:val="24"/>
          <w:szCs w:val="24"/>
        </w:rPr>
        <w:t xml:space="preserve">the </w:t>
      </w:r>
      <w:r w:rsidR="00F3136A" w:rsidRPr="005517C4">
        <w:rPr>
          <w:rFonts w:ascii="Times New Roman" w:eastAsiaTheme="minorEastAsia" w:hAnsi="Times New Roman" w:cs="Times New Roman"/>
          <w:sz w:val="24"/>
          <w:szCs w:val="24"/>
        </w:rPr>
        <w:t>growth rate of income per capita</w:t>
      </w:r>
      <w:r w:rsidR="001B0EF1" w:rsidRPr="005517C4">
        <w:rPr>
          <w:rFonts w:ascii="Times New Roman" w:eastAsiaTheme="minorEastAsia" w:hAnsi="Times New Roman" w:cs="Times New Roman"/>
          <w:sz w:val="24"/>
          <w:szCs w:val="24"/>
        </w:rPr>
        <w:t xml:space="preserve">, </w:t>
      </w:r>
      <m:oMath>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y</m:t>
            </m:r>
          </m:e>
          <m:sub>
            <m:r>
              <w:rPr>
                <w:rFonts w:ascii="Cambria Math" w:eastAsiaTheme="minorEastAsia" w:hAnsi="Cambria Math" w:cs="Times New Roman"/>
                <w:sz w:val="24"/>
                <w:szCs w:val="24"/>
              </w:rPr>
              <m:t>t</m:t>
            </m:r>
          </m:sub>
          <m:sup>
            <m:r>
              <w:rPr>
                <w:rFonts w:ascii="Cambria Math" w:eastAsiaTheme="minorEastAsia" w:hAnsi="Cambria Math" w:cs="Times New Roman"/>
                <w:sz w:val="24"/>
                <w:szCs w:val="24"/>
              </w:rPr>
              <m:t>c</m:t>
            </m:r>
          </m:sup>
        </m:sSubSup>
      </m:oMath>
      <w:r>
        <w:rPr>
          <w:rFonts w:ascii="Times New Roman" w:eastAsiaTheme="minorEastAsia" w:hAnsi="Times New Roman" w:cs="Times New Roman"/>
          <w:sz w:val="24"/>
          <w:szCs w:val="24"/>
        </w:rPr>
        <w:t xml:space="preserve"> are determined</w:t>
      </w:r>
      <w:r w:rsidR="00F3136A" w:rsidRPr="005517C4">
        <w:rPr>
          <w:rFonts w:ascii="Times New Roman" w:eastAsiaTheme="minorEastAsia" w:hAnsi="Times New Roman" w:cs="Times New Roman"/>
          <w:sz w:val="24"/>
          <w:szCs w:val="24"/>
        </w:rPr>
        <w:t xml:space="preserve"> over a discrete time period of size </w:t>
      </w:r>
      <w:r w:rsidR="00F3136A" w:rsidRPr="005517C4">
        <w:rPr>
          <w:rFonts w:ascii="Times New Roman" w:eastAsiaTheme="minorEastAsia" w:hAnsi="Times New Roman" w:cs="Times New Roman"/>
          <w:i/>
          <w:sz w:val="24"/>
          <w:szCs w:val="24"/>
        </w:rPr>
        <w:t>N</w:t>
      </w:r>
      <w:r w:rsidR="00F3136A" w:rsidRPr="005517C4">
        <w:rPr>
          <w:rFonts w:ascii="Times New Roman" w:eastAsiaTheme="minorEastAsia" w:hAnsi="Times New Roman" w:cs="Times New Roman"/>
          <w:sz w:val="24"/>
          <w:szCs w:val="24"/>
        </w:rPr>
        <w:t xml:space="preserve"> by their average log changes</w:t>
      </w:r>
      <w:r>
        <w:rPr>
          <w:rFonts w:ascii="Times New Roman" w:eastAsiaTheme="minorEastAsia" w:hAnsi="Times New Roman" w:cs="Times New Roman"/>
          <w:sz w:val="24"/>
          <w:szCs w:val="24"/>
        </w:rPr>
        <w:t>. In that sense, E</w:t>
      </w:r>
      <w:r w:rsidR="00F3136A" w:rsidRPr="005517C4">
        <w:rPr>
          <w:rFonts w:ascii="Times New Roman" w:eastAsiaTheme="minorEastAsia" w:hAnsi="Times New Roman" w:cs="Times New Roman"/>
          <w:sz w:val="24"/>
          <w:szCs w:val="24"/>
        </w:rPr>
        <w:t>quation</w:t>
      </w:r>
      <w:r w:rsidR="001B6EC3" w:rsidRPr="005517C4">
        <w:rPr>
          <w:rFonts w:ascii="Times New Roman" w:eastAsiaTheme="minorEastAsia" w:hAnsi="Times New Roman" w:cs="Times New Roman"/>
          <w:sz w:val="24"/>
          <w:szCs w:val="24"/>
        </w:rPr>
        <w:t xml:space="preserve"> 3</w:t>
      </w:r>
      <w:r w:rsidR="00F3136A" w:rsidRPr="005517C4">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turns to be</w:t>
      </w:r>
      <w:r w:rsidR="00F3136A" w:rsidRPr="005517C4">
        <w:rPr>
          <w:rFonts w:ascii="Times New Roman" w:eastAsiaTheme="minorEastAsia" w:hAnsi="Times New Roman" w:cs="Times New Roman"/>
          <w:sz w:val="24"/>
          <w:szCs w:val="24"/>
        </w:rPr>
        <w:t>:</w:t>
      </w:r>
    </w:p>
    <w:p w:rsidR="002E7CB0" w:rsidRPr="005517C4" w:rsidRDefault="0056273F" w:rsidP="00A54422">
      <w:pPr>
        <w:spacing w:line="360" w:lineRule="auto"/>
        <w:ind w:left="1416" w:firstLine="708"/>
        <w:jc w:val="both"/>
        <w:rPr>
          <w:rFonts w:ascii="Times New Roman" w:eastAsiaTheme="minorEastAsia" w:hAnsi="Times New Roman" w:cs="Times New Roman"/>
          <w:sz w:val="24"/>
          <w:szCs w:val="24"/>
        </w:rPr>
      </w:pPr>
      <m:oMath>
        <m:r>
          <w:rPr>
            <w:rFonts w:ascii="Cambria Math" w:eastAsiaTheme="minorEastAsia" w:hAnsi="Cambria Math" w:cs="Times New Roman"/>
            <w:sz w:val="24"/>
            <w:szCs w:val="24"/>
          </w:rPr>
          <m:t>[</m:t>
        </m:r>
        <m:f>
          <m:fPr>
            <m:type m:val="lin"/>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N</m:t>
            </m:r>
          </m:den>
        </m:f>
        <m:r>
          <w:rPr>
            <w:rFonts w:ascii="Cambria Math" w:eastAsiaTheme="minorEastAsia" w:hAnsi="Cambria Math" w:cs="Times New Roman"/>
            <w:sz w:val="24"/>
            <w:szCs w:val="24"/>
          </w:rPr>
          <m:t>]</m:t>
        </m:r>
        <m:r>
          <m:rPr>
            <m:sty m:val="p"/>
          </m:rPr>
          <w:rPr>
            <w:rFonts w:ascii="Cambria Math" w:eastAsiaTheme="minorEastAsia" w:hAnsi="Cambria Math" w:cs="Times New Roman"/>
            <w:sz w:val="24"/>
            <w:szCs w:val="24"/>
          </w:rPr>
          <m:t>log⁡</m:t>
        </m:r>
        <m:r>
          <w:rPr>
            <w:rFonts w:ascii="Cambria Math" w:eastAsiaTheme="minorEastAsia" w:hAnsi="Cambria Math" w:cs="Times New Roman"/>
            <w:sz w:val="24"/>
            <w:szCs w:val="24"/>
          </w:rPr>
          <m:t>(</m:t>
        </m:r>
        <m:f>
          <m:fPr>
            <m:type m:val="lin"/>
            <m:ctrlPr>
              <w:rPr>
                <w:rFonts w:ascii="Cambria Math" w:eastAsiaTheme="minorEastAsia" w:hAnsi="Cambria Math" w:cs="Times New Roman"/>
                <w:i/>
                <w:sz w:val="24"/>
                <w:szCs w:val="24"/>
              </w:rPr>
            </m:ctrlPr>
          </m:fPr>
          <m:num>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e</m:t>
                </m:r>
              </m:e>
              <m:sub>
                <m:r>
                  <w:rPr>
                    <w:rFonts w:ascii="Cambria Math" w:eastAsiaTheme="minorEastAsia" w:hAnsi="Cambria Math" w:cs="Times New Roman"/>
                    <w:sz w:val="24"/>
                    <w:szCs w:val="24"/>
                  </w:rPr>
                  <m:t>t</m:t>
                </m:r>
              </m:sub>
              <m:sup>
                <m:r>
                  <w:rPr>
                    <w:rFonts w:ascii="Cambria Math" w:eastAsiaTheme="minorEastAsia" w:hAnsi="Cambria Math" w:cs="Times New Roman"/>
                    <w:sz w:val="24"/>
                    <w:szCs w:val="24"/>
                  </w:rPr>
                  <m:t>c</m:t>
                </m:r>
              </m:sup>
            </m:sSubSup>
          </m:num>
          <m:den>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e</m:t>
                </m:r>
              </m:e>
              <m:sub>
                <m:r>
                  <w:rPr>
                    <w:rFonts w:ascii="Cambria Math" w:eastAsiaTheme="minorEastAsia" w:hAnsi="Cambria Math" w:cs="Times New Roman"/>
                    <w:sz w:val="24"/>
                    <w:szCs w:val="24"/>
                  </w:rPr>
                  <m:t>t-N</m:t>
                </m:r>
              </m:sub>
              <m:sup>
                <m:r>
                  <w:rPr>
                    <w:rFonts w:ascii="Cambria Math" w:eastAsiaTheme="minorEastAsia" w:hAnsi="Cambria Math" w:cs="Times New Roman"/>
                    <w:sz w:val="24"/>
                    <w:szCs w:val="24"/>
                  </w:rPr>
                  <m:t>c</m:t>
                </m:r>
              </m:sup>
            </m:sSubSup>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g</m:t>
                </m:r>
              </m:e>
              <m:sub>
                <m:r>
                  <w:rPr>
                    <w:rFonts w:ascii="Cambria Math" w:eastAsiaTheme="minorEastAsia" w:hAnsi="Cambria Math" w:cs="Times New Roman"/>
                    <w:sz w:val="24"/>
                    <w:szCs w:val="24"/>
                  </w:rPr>
                  <m:t>A</m:t>
                </m:r>
              </m:sub>
            </m:sSub>
            <m:r>
              <w:rPr>
                <w:rFonts w:ascii="Cambria Math" w:eastAsiaTheme="minorEastAsia" w:hAnsi="Cambria Math" w:cs="Times New Roman"/>
                <w:sz w:val="24"/>
                <w:szCs w:val="24"/>
              </w:rPr>
              <m:t>+[</m:t>
            </m:r>
            <m:f>
              <m:fPr>
                <m:type m:val="lin"/>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N</m:t>
                </m:r>
              </m:den>
            </m:f>
            <m:r>
              <w:rPr>
                <w:rFonts w:ascii="Cambria Math" w:eastAsiaTheme="minorEastAsia" w:hAnsi="Cambria Math" w:cs="Times New Roman"/>
                <w:sz w:val="24"/>
                <w:szCs w:val="24"/>
              </w:rPr>
              <m:t>]log</m:t>
            </m:r>
            <m:f>
              <m:fPr>
                <m:type m:val="lin"/>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m:t>
                </m:r>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y</m:t>
                    </m:r>
                  </m:e>
                  <m:sub>
                    <m:r>
                      <w:rPr>
                        <w:rFonts w:ascii="Cambria Math" w:eastAsiaTheme="minorEastAsia" w:hAnsi="Cambria Math" w:cs="Times New Roman"/>
                        <w:sz w:val="24"/>
                        <w:szCs w:val="24"/>
                      </w:rPr>
                      <m:t>t</m:t>
                    </m:r>
                  </m:sub>
                  <m:sup>
                    <m:r>
                      <w:rPr>
                        <w:rFonts w:ascii="Cambria Math" w:eastAsiaTheme="minorEastAsia" w:hAnsi="Cambria Math" w:cs="Times New Roman"/>
                        <w:sz w:val="24"/>
                        <w:szCs w:val="24"/>
                      </w:rPr>
                      <m:t>c</m:t>
                    </m:r>
                  </m:sup>
                </m:sSubSup>
              </m:num>
              <m:den>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y</m:t>
                    </m:r>
                  </m:e>
                  <m:sub>
                    <m:r>
                      <w:rPr>
                        <w:rFonts w:ascii="Cambria Math" w:eastAsiaTheme="minorEastAsia" w:hAnsi="Cambria Math" w:cs="Times New Roman"/>
                        <w:sz w:val="24"/>
                        <w:szCs w:val="24"/>
                      </w:rPr>
                      <m:t>t-N</m:t>
                    </m:r>
                  </m:sub>
                  <m:sup>
                    <m:r>
                      <w:rPr>
                        <w:rFonts w:ascii="Cambria Math" w:eastAsiaTheme="minorEastAsia" w:hAnsi="Cambria Math" w:cs="Times New Roman"/>
                        <w:sz w:val="24"/>
                        <w:szCs w:val="24"/>
                      </w:rPr>
                      <m:t>c</m:t>
                    </m:r>
                  </m:sup>
                </m:sSubSup>
              </m:den>
            </m:f>
            <m:r>
              <w:rPr>
                <w:rFonts w:ascii="Cambria Math" w:eastAsiaTheme="minorEastAsia" w:hAnsi="Cambria Math" w:cs="Times New Roman"/>
                <w:sz w:val="24"/>
                <w:szCs w:val="24"/>
              </w:rPr>
              <m:t>)</m:t>
            </m:r>
          </m:den>
        </m:f>
      </m:oMath>
      <w:r w:rsidR="00A54422" w:rsidRPr="005517C4">
        <w:rPr>
          <w:rFonts w:ascii="Times New Roman" w:eastAsiaTheme="minorEastAsia" w:hAnsi="Times New Roman" w:cs="Times New Roman"/>
          <w:sz w:val="24"/>
          <w:szCs w:val="24"/>
        </w:rPr>
        <w:t xml:space="preserve"> </w:t>
      </w:r>
      <w:r w:rsidRPr="005517C4">
        <w:rPr>
          <w:rFonts w:ascii="Times New Roman" w:eastAsiaTheme="minorEastAsia" w:hAnsi="Times New Roman" w:cs="Times New Roman"/>
          <w:sz w:val="24"/>
          <w:szCs w:val="24"/>
        </w:rPr>
        <w:tab/>
      </w:r>
      <w:r w:rsidRPr="005517C4">
        <w:rPr>
          <w:rFonts w:ascii="Times New Roman" w:eastAsiaTheme="minorEastAsia" w:hAnsi="Times New Roman" w:cs="Times New Roman"/>
          <w:sz w:val="24"/>
          <w:szCs w:val="24"/>
        </w:rPr>
        <w:tab/>
      </w:r>
      <w:r w:rsidR="00573E14">
        <w:rPr>
          <w:rFonts w:ascii="Times New Roman" w:eastAsiaTheme="minorEastAsia" w:hAnsi="Times New Roman" w:cs="Times New Roman"/>
          <w:sz w:val="24"/>
          <w:szCs w:val="24"/>
        </w:rPr>
        <w:tab/>
      </w:r>
      <w:r w:rsidRPr="005517C4">
        <w:rPr>
          <w:rFonts w:ascii="Times New Roman" w:eastAsiaTheme="minorEastAsia" w:hAnsi="Times New Roman" w:cs="Times New Roman"/>
          <w:sz w:val="24"/>
          <w:szCs w:val="24"/>
        </w:rPr>
        <w:t>(</w:t>
      </w:r>
      <w:r w:rsidR="00A54422" w:rsidRPr="005517C4">
        <w:rPr>
          <w:rFonts w:ascii="Times New Roman" w:eastAsiaTheme="minorEastAsia" w:hAnsi="Times New Roman" w:cs="Times New Roman"/>
          <w:sz w:val="24"/>
          <w:szCs w:val="24"/>
        </w:rPr>
        <w:t>4</w:t>
      </w:r>
      <w:r w:rsidRPr="005517C4">
        <w:rPr>
          <w:rFonts w:ascii="Times New Roman" w:eastAsiaTheme="minorEastAsia" w:hAnsi="Times New Roman" w:cs="Times New Roman"/>
          <w:sz w:val="24"/>
          <w:szCs w:val="24"/>
        </w:rPr>
        <w:t>)</w:t>
      </w:r>
    </w:p>
    <w:p w:rsidR="00573E14" w:rsidRDefault="001B0EF1" w:rsidP="0056273F">
      <w:pPr>
        <w:spacing w:line="360" w:lineRule="auto"/>
        <w:jc w:val="both"/>
        <w:rPr>
          <w:rFonts w:ascii="Times New Roman" w:eastAsiaTheme="minorEastAsia" w:hAnsi="Times New Roman" w:cs="Times New Roman"/>
          <w:sz w:val="24"/>
          <w:szCs w:val="24"/>
        </w:rPr>
      </w:pPr>
      <w:r w:rsidRPr="005517C4">
        <w:rPr>
          <w:rFonts w:ascii="Times New Roman" w:eastAsiaTheme="minorEastAsia" w:hAnsi="Times New Roman" w:cs="Times New Roman"/>
          <w:sz w:val="24"/>
          <w:szCs w:val="24"/>
        </w:rPr>
        <w:t>where</w:t>
      </w:r>
      <w:r w:rsidRPr="005517C4">
        <w:rPr>
          <w:rFonts w:ascii="Times New Roman" w:eastAsiaTheme="minorEastAsia" w:hAnsi="Times New Roman" w:cs="Times New Roman"/>
          <w:i/>
          <w:sz w:val="24"/>
          <w:szCs w:val="24"/>
        </w:rPr>
        <w:t xml:space="preserv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g</m:t>
            </m:r>
          </m:e>
          <m:sub>
            <m:r>
              <w:rPr>
                <w:rFonts w:ascii="Cambria Math" w:eastAsiaTheme="minorEastAsia" w:hAnsi="Cambria Math" w:cs="Times New Roman"/>
                <w:sz w:val="24"/>
                <w:szCs w:val="24"/>
              </w:rPr>
              <m:t>A</m:t>
            </m:r>
          </m:sub>
        </m:sSub>
      </m:oMath>
      <w:r w:rsidRPr="005517C4">
        <w:rPr>
          <w:rFonts w:ascii="Times New Roman" w:eastAsiaTheme="minorEastAsia" w:hAnsi="Times New Roman" w:cs="Times New Roman"/>
          <w:sz w:val="24"/>
          <w:szCs w:val="24"/>
        </w:rPr>
        <w:t xml:space="preserve"> is </w:t>
      </w:r>
      <w:r w:rsidR="00573E14">
        <w:rPr>
          <w:rFonts w:ascii="Times New Roman" w:eastAsiaTheme="minorEastAsia" w:hAnsi="Times New Roman" w:cs="Times New Roman"/>
          <w:sz w:val="24"/>
          <w:szCs w:val="24"/>
        </w:rPr>
        <w:t xml:space="preserve">the </w:t>
      </w:r>
      <w:r w:rsidRPr="005517C4">
        <w:rPr>
          <w:rFonts w:ascii="Times New Roman" w:eastAsiaTheme="minorEastAsia" w:hAnsi="Times New Roman" w:cs="Times New Roman"/>
          <w:sz w:val="24"/>
          <w:szCs w:val="24"/>
        </w:rPr>
        <w:t>growth rate of technological progress in abatement.</w:t>
      </w:r>
      <w:r w:rsidR="00492E1C" w:rsidRPr="005517C4">
        <w:rPr>
          <w:rFonts w:ascii="Times New Roman" w:eastAsiaTheme="minorEastAsia" w:hAnsi="Times New Roman" w:cs="Times New Roman"/>
          <w:sz w:val="24"/>
          <w:szCs w:val="24"/>
        </w:rPr>
        <w:t xml:space="preserve"> </w:t>
      </w:r>
    </w:p>
    <w:p w:rsidR="002E7CB0" w:rsidRPr="005517C4" w:rsidRDefault="00573E14" w:rsidP="0056273F">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In the following application, t</w:t>
      </w:r>
      <w:r w:rsidR="00492E1C" w:rsidRPr="005517C4">
        <w:rPr>
          <w:rFonts w:ascii="Times New Roman" w:eastAsiaTheme="minorEastAsia" w:hAnsi="Times New Roman" w:cs="Times New Roman"/>
          <w:sz w:val="24"/>
          <w:szCs w:val="24"/>
        </w:rPr>
        <w:t xml:space="preserve">he discrete </w:t>
      </w:r>
      <w:r w:rsidR="00492E1C" w:rsidRPr="005517C4">
        <w:rPr>
          <w:rFonts w:ascii="Times New Roman" w:eastAsiaTheme="minorEastAsia" w:hAnsi="Times New Roman" w:cs="Times New Roman"/>
          <w:i/>
          <w:sz w:val="24"/>
          <w:szCs w:val="24"/>
        </w:rPr>
        <w:t>N</w:t>
      </w:r>
      <w:r w:rsidR="00492E1C" w:rsidRPr="005517C4">
        <w:rPr>
          <w:rFonts w:ascii="Times New Roman" w:eastAsiaTheme="minorEastAsia" w:hAnsi="Times New Roman" w:cs="Times New Roman"/>
          <w:sz w:val="24"/>
          <w:szCs w:val="24"/>
        </w:rPr>
        <w:t xml:space="preserve"> period growth rate of income per capita near the model’s steady state </w:t>
      </w:r>
      <w:r>
        <w:rPr>
          <w:rFonts w:ascii="Times New Roman" w:eastAsiaTheme="minorEastAsia" w:hAnsi="Times New Roman" w:cs="Times New Roman"/>
          <w:sz w:val="24"/>
          <w:szCs w:val="24"/>
        </w:rPr>
        <w:t xml:space="preserve">is determined </w:t>
      </w:r>
      <w:r w:rsidR="00856BF2">
        <w:rPr>
          <w:rFonts w:ascii="Times New Roman" w:eastAsiaTheme="minorEastAsia" w:hAnsi="Times New Roman" w:cs="Times New Roman"/>
          <w:sz w:val="24"/>
          <w:szCs w:val="24"/>
        </w:rPr>
        <w:t>(</w:t>
      </w:r>
      <w:r w:rsidR="006578EE" w:rsidRPr="005517C4">
        <w:rPr>
          <w:rFonts w:ascii="Times New Roman" w:eastAsiaTheme="minorEastAsia" w:hAnsi="Times New Roman" w:cs="Times New Roman"/>
          <w:sz w:val="24"/>
          <w:szCs w:val="24"/>
        </w:rPr>
        <w:fldChar w:fldCharType="begin" w:fldLock="1"/>
      </w:r>
      <w:r w:rsidR="003D379B">
        <w:rPr>
          <w:rFonts w:ascii="Times New Roman" w:eastAsiaTheme="minorEastAsia" w:hAnsi="Times New Roman" w:cs="Times New Roman"/>
          <w:sz w:val="24"/>
          <w:szCs w:val="24"/>
        </w:rPr>
        <w:instrText>ADDIN CSL_CITATION { "citationItems" : [ { "id" : "ITEM-1", "itemData" : { "DOI" : "10.2307/2118477", "ISSN" : "0033-5533", "author" : [ { "dropping-particle" : "", "family" : "Mankiw", "given" : "N. G.", "non-dropping-particle" : "", "parse-names" : false, "suffix" : "" }, { "dropping-particle" : "", "family" : "Romer", "given" : "D.", "non-dropping-particle" : "", "parse-names" : false, "suffix" : "" }, { "dropping-particle" : "", "family" : "Weil", "given" : "D. N.", "non-dropping-particle" : "", "parse-names" : false, "suffix" : "" } ], "container-title" : "The Quarterly Journal of Economics", "id" : "ITEM-1", "issue" : "2", "issued" : { "date-parts" : [ [ "1992", "5", "1" ] ] }, "page" : "407-437", "publisher" : "Oxford University Press", "title" : "A Contribution to the Empirics of Economic Growth", "type" : "article-journal", "volume" : "107" }, "uris" : [ "http://www.mendeley.com/documents/?uuid=6f482630-bb22-3de4-98c7-11d8246eba26" ] } ], "mendeley" : { "formattedCitation" : "(Mankiw, Romer, and Weil 1992)", "manualFormatting" : "Mankiw et al., 1992", "plainTextFormattedCitation" : "(Mankiw, Romer, and Weil 1992)", "previouslyFormattedCitation" : "(Mankiw, Romer, and Weil 1992)" }, "properties" : { "noteIndex" : 0 }, "schema" : "https://github.com/citation-style-language/schema/raw/master/csl-citation.json" }</w:instrText>
      </w:r>
      <w:r w:rsidR="006578EE" w:rsidRPr="005517C4">
        <w:rPr>
          <w:rFonts w:ascii="Times New Roman" w:eastAsiaTheme="minorEastAsia" w:hAnsi="Times New Roman" w:cs="Times New Roman"/>
          <w:sz w:val="24"/>
          <w:szCs w:val="24"/>
        </w:rPr>
        <w:fldChar w:fldCharType="separate"/>
      </w:r>
      <w:r w:rsidR="00492E1C" w:rsidRPr="005517C4">
        <w:rPr>
          <w:rFonts w:ascii="Times New Roman" w:eastAsiaTheme="minorEastAsia" w:hAnsi="Times New Roman" w:cs="Times New Roman"/>
          <w:noProof/>
          <w:sz w:val="24"/>
          <w:szCs w:val="24"/>
        </w:rPr>
        <w:t>Mankiw</w:t>
      </w:r>
      <w:r w:rsidR="00856BF2">
        <w:rPr>
          <w:rFonts w:ascii="Times New Roman" w:eastAsiaTheme="minorEastAsia" w:hAnsi="Times New Roman" w:cs="Times New Roman"/>
          <w:noProof/>
          <w:sz w:val="24"/>
          <w:szCs w:val="24"/>
        </w:rPr>
        <w:t xml:space="preserve"> et al.,</w:t>
      </w:r>
      <w:r w:rsidR="00492E1C" w:rsidRPr="005517C4">
        <w:rPr>
          <w:rFonts w:ascii="Times New Roman" w:eastAsiaTheme="minorEastAsia" w:hAnsi="Times New Roman" w:cs="Times New Roman"/>
          <w:noProof/>
          <w:sz w:val="24"/>
          <w:szCs w:val="24"/>
        </w:rPr>
        <w:t xml:space="preserve"> 1992</w:t>
      </w:r>
      <w:r w:rsidR="006578EE" w:rsidRPr="005517C4">
        <w:rPr>
          <w:rFonts w:ascii="Times New Roman" w:eastAsiaTheme="minorEastAsia" w:hAnsi="Times New Roman" w:cs="Times New Roman"/>
          <w:sz w:val="24"/>
          <w:szCs w:val="24"/>
        </w:rPr>
        <w:fldChar w:fldCharType="end"/>
      </w:r>
      <w:r w:rsidR="00856BF2">
        <w:rPr>
          <w:rFonts w:ascii="Times New Roman" w:eastAsiaTheme="minorEastAsia" w:hAnsi="Times New Roman" w:cs="Times New Roman"/>
          <w:sz w:val="24"/>
          <w:szCs w:val="24"/>
        </w:rPr>
        <w:t>;</w:t>
      </w:r>
      <w:r w:rsidR="00492E1C" w:rsidRPr="005517C4">
        <w:rPr>
          <w:rFonts w:ascii="Times New Roman" w:eastAsiaTheme="minorEastAsia" w:hAnsi="Times New Roman" w:cs="Times New Roman"/>
          <w:sz w:val="24"/>
          <w:szCs w:val="24"/>
        </w:rPr>
        <w:t xml:space="preserve"> </w:t>
      </w:r>
      <w:r w:rsidR="006578EE" w:rsidRPr="005517C4">
        <w:rPr>
          <w:rFonts w:ascii="Times New Roman" w:eastAsiaTheme="minorEastAsia" w:hAnsi="Times New Roman" w:cs="Times New Roman"/>
          <w:sz w:val="24"/>
          <w:szCs w:val="24"/>
        </w:rPr>
        <w:fldChar w:fldCharType="begin" w:fldLock="1"/>
      </w:r>
      <w:r w:rsidR="003D379B">
        <w:rPr>
          <w:rFonts w:ascii="Times New Roman" w:eastAsiaTheme="minorEastAsia" w:hAnsi="Times New Roman" w:cs="Times New Roman"/>
          <w:sz w:val="24"/>
          <w:szCs w:val="24"/>
        </w:rPr>
        <w:instrText>ADDIN CSL_CITATION { "citationItems" : [ { "id" : "ITEM-1", "itemData" : { "abstract" : "For 98 countries in the period 1960-1985, the growth rate of real per capita GDP is positively related to initial human capital (proxied by 1960 school-enrollment rates) and negatively related to the initial (1960) level of real per capita GDP Countries with higher human capital also have lower fertility rates and higher ratios of physical investment to GDP. Growth is inversely related to the share of government consumption in GDP, but insignificantly related to the share of public investment. Growth rates are positively related to measures of political stability and inversely related to a proxy for market distortions.", "author" : [ { "dropping-particle" : "", "family" : "Barro", "given" : "Robert J", "non-dropping-particle" : "", "parse-names" : false, "suffix" : "" } ], "container-title" : "Quarterly Journal of Economics", "id" : "ITEM-1", "issue" : "2", "issued" : { "date-parts" : [ [ "1991" ] ] }, "page" : "407", "title" : "Economic growth in a cross section of countries.", "type" : "article-journal", "volume" : "106" }, "uris" : [ "http://www.mendeley.com/documents/?uuid=9aaef606-894c-4db4-bf43-07d287611a16" ] } ], "mendeley" : { "formattedCitation" : "(Barro 1991)", "manualFormatting" : "Barro, 1991)", "plainTextFormattedCitation" : "(Barro 1991)", "previouslyFormattedCitation" : "(Barro 1991)" }, "properties" : { "noteIndex" : 0 }, "schema" : "https://github.com/citation-style-language/schema/raw/master/csl-citation.json" }</w:instrText>
      </w:r>
      <w:r w:rsidR="006578EE" w:rsidRPr="005517C4">
        <w:rPr>
          <w:rFonts w:ascii="Times New Roman" w:eastAsiaTheme="minorEastAsia" w:hAnsi="Times New Roman" w:cs="Times New Roman"/>
          <w:sz w:val="24"/>
          <w:szCs w:val="24"/>
        </w:rPr>
        <w:fldChar w:fldCharType="separate"/>
      </w:r>
      <w:r w:rsidR="00492E1C" w:rsidRPr="005517C4">
        <w:rPr>
          <w:rFonts w:ascii="Times New Roman" w:eastAsiaTheme="minorEastAsia" w:hAnsi="Times New Roman" w:cs="Times New Roman"/>
          <w:noProof/>
          <w:sz w:val="24"/>
          <w:szCs w:val="24"/>
        </w:rPr>
        <w:t>Barro</w:t>
      </w:r>
      <w:r w:rsidR="00856BF2">
        <w:rPr>
          <w:rFonts w:ascii="Times New Roman" w:eastAsiaTheme="minorEastAsia" w:hAnsi="Times New Roman" w:cs="Times New Roman"/>
          <w:noProof/>
          <w:sz w:val="24"/>
          <w:szCs w:val="24"/>
        </w:rPr>
        <w:t>,</w:t>
      </w:r>
      <w:r w:rsidR="00492E1C" w:rsidRPr="005517C4">
        <w:rPr>
          <w:rFonts w:ascii="Times New Roman" w:eastAsiaTheme="minorEastAsia" w:hAnsi="Times New Roman" w:cs="Times New Roman"/>
          <w:noProof/>
          <w:sz w:val="24"/>
          <w:szCs w:val="24"/>
        </w:rPr>
        <w:t xml:space="preserve"> 1991)</w:t>
      </w:r>
      <w:r w:rsidR="006578EE" w:rsidRPr="005517C4">
        <w:rPr>
          <w:rFonts w:ascii="Times New Roman" w:eastAsiaTheme="minorEastAsia" w:hAnsi="Times New Roman" w:cs="Times New Roman"/>
          <w:sz w:val="24"/>
          <w:szCs w:val="24"/>
        </w:rPr>
        <w:fldChar w:fldCharType="end"/>
      </w:r>
      <w:r w:rsidR="00BB6967" w:rsidRPr="005517C4">
        <w:rPr>
          <w:rFonts w:ascii="Times New Roman" w:eastAsiaTheme="minorEastAsia" w:hAnsi="Times New Roman" w:cs="Times New Roman"/>
          <w:sz w:val="24"/>
          <w:szCs w:val="24"/>
        </w:rPr>
        <w:t xml:space="preserve"> in order to</w:t>
      </w:r>
      <w:r w:rsidR="0056273F" w:rsidRPr="005517C4">
        <w:rPr>
          <w:rFonts w:ascii="Times New Roman" w:eastAsiaTheme="minorEastAsia" w:hAnsi="Times New Roman" w:cs="Times New Roman"/>
          <w:sz w:val="24"/>
          <w:szCs w:val="24"/>
        </w:rPr>
        <w:t xml:space="preserve"> eliminate income growth</w:t>
      </w:r>
      <w:r w:rsidR="00856BF2">
        <w:rPr>
          <w:rFonts w:ascii="Times New Roman" w:eastAsiaTheme="minorEastAsia" w:hAnsi="Times New Roman" w:cs="Times New Roman"/>
          <w:sz w:val="24"/>
          <w:szCs w:val="24"/>
        </w:rPr>
        <w:t>:</w:t>
      </w:r>
      <w:r w:rsidR="0056273F" w:rsidRPr="005517C4">
        <w:rPr>
          <w:rFonts w:ascii="Times New Roman" w:eastAsiaTheme="minorEastAsia" w:hAnsi="Times New Roman" w:cs="Times New Roman"/>
          <w:sz w:val="24"/>
          <w:szCs w:val="24"/>
        </w:rPr>
        <w:t xml:space="preserve"> </w:t>
      </w:r>
    </w:p>
    <w:tbl>
      <w:tblPr>
        <w:tblStyle w:val="a8"/>
        <w:tblW w:w="0" w:type="auto"/>
        <w:tblBorders>
          <w:top w:val="none" w:sz="0" w:space="0" w:color="auto"/>
          <w:left w:val="none" w:sz="0" w:space="0" w:color="auto"/>
          <w:bottom w:val="none" w:sz="0" w:space="0" w:color="auto"/>
          <w:right w:val="none" w:sz="0" w:space="0" w:color="auto"/>
          <w:insideV w:val="none" w:sz="0" w:space="0" w:color="auto"/>
        </w:tblBorders>
        <w:tblLook w:val="04A0"/>
      </w:tblPr>
      <w:tblGrid>
        <w:gridCol w:w="7479"/>
        <w:gridCol w:w="1560"/>
      </w:tblGrid>
      <w:tr w:rsidR="005517C4" w:rsidRPr="005517C4" w:rsidTr="000805DA">
        <w:tc>
          <w:tcPr>
            <w:tcW w:w="7479" w:type="dxa"/>
            <w:vAlign w:val="center"/>
          </w:tcPr>
          <w:p w:rsidR="001B6EC3" w:rsidRPr="005517C4" w:rsidRDefault="006578EE" w:rsidP="001B6EC3">
            <w:pPr>
              <w:spacing w:line="360" w:lineRule="auto"/>
              <w:rPr>
                <w:rFonts w:ascii="Times New Roman" w:eastAsiaTheme="minorEastAsia" w:hAnsi="Times New Roman" w:cs="Times New Roman"/>
                <w:sz w:val="24"/>
                <w:szCs w:val="24"/>
              </w:rPr>
            </w:pPr>
            <m:oMathPara>
              <m:oMathParaPr>
                <m:jc m:val="right"/>
              </m:oMathParaPr>
              <m:oMath>
                <m:d>
                  <m:dPr>
                    <m:begChr m:val="["/>
                    <m:endChr m:val="]"/>
                    <m:ctrlPr>
                      <w:rPr>
                        <w:rFonts w:ascii="Cambria Math" w:eastAsiaTheme="minorEastAsia" w:hAnsi="Cambria Math" w:cs="Times New Roman"/>
                        <w:i/>
                        <w:sz w:val="24"/>
                        <w:szCs w:val="24"/>
                      </w:rPr>
                    </m:ctrlPr>
                  </m:dPr>
                  <m:e>
                    <m:f>
                      <m:fPr>
                        <m:type m:val="lin"/>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N</m:t>
                        </m:r>
                      </m:den>
                    </m:f>
                  </m:e>
                </m:d>
                <m:func>
                  <m:funcPr>
                    <m:ctrlPr>
                      <w:rPr>
                        <w:rFonts w:ascii="Cambria Math" w:eastAsiaTheme="minorEastAsia" w:hAnsi="Cambria Math" w:cs="Times New Roman"/>
                        <w:sz w:val="24"/>
                        <w:szCs w:val="24"/>
                      </w:rPr>
                    </m:ctrlPr>
                  </m:funcPr>
                  <m:fName>
                    <m:r>
                      <m:rPr>
                        <m:sty m:val="p"/>
                      </m:rPr>
                      <w:rPr>
                        <w:rFonts w:ascii="Cambria Math" w:eastAsiaTheme="minorEastAsia" w:hAnsi="Cambria Math" w:cs="Times New Roman"/>
                        <w:sz w:val="24"/>
                        <w:szCs w:val="24"/>
                      </w:rPr>
                      <m:t>log</m:t>
                    </m:r>
                  </m:fName>
                  <m:e>
                    <m:d>
                      <m:dPr>
                        <m:begChr m:val="["/>
                        <m:endChr m:val="]"/>
                        <m:ctrlPr>
                          <w:rPr>
                            <w:rFonts w:ascii="Cambria Math" w:eastAsiaTheme="minorEastAsia" w:hAnsi="Cambria Math" w:cs="Times New Roman"/>
                            <w:i/>
                            <w:sz w:val="24"/>
                            <w:szCs w:val="24"/>
                          </w:rPr>
                        </m:ctrlPr>
                      </m:dPr>
                      <m:e>
                        <m:f>
                          <m:fPr>
                            <m:type m:val="lin"/>
                            <m:ctrlPr>
                              <w:rPr>
                                <w:rFonts w:ascii="Cambria Math" w:eastAsiaTheme="minorEastAsia" w:hAnsi="Cambria Math" w:cs="Times New Roman"/>
                                <w:i/>
                                <w:sz w:val="24"/>
                                <w:szCs w:val="24"/>
                              </w:rPr>
                            </m:ctrlPr>
                          </m:fPr>
                          <m:num>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y</m:t>
                                </m:r>
                              </m:e>
                              <m:sub>
                                <m:r>
                                  <w:rPr>
                                    <w:rFonts w:ascii="Cambria Math" w:eastAsiaTheme="minorEastAsia" w:hAnsi="Cambria Math" w:cs="Times New Roman"/>
                                    <w:sz w:val="24"/>
                                    <w:szCs w:val="24"/>
                                  </w:rPr>
                                  <m:t>t</m:t>
                                </m:r>
                              </m:sub>
                              <m:sup>
                                <m:r>
                                  <w:rPr>
                                    <w:rFonts w:ascii="Cambria Math" w:eastAsiaTheme="minorEastAsia" w:hAnsi="Cambria Math" w:cs="Times New Roman"/>
                                    <w:sz w:val="24"/>
                                    <w:szCs w:val="24"/>
                                  </w:rPr>
                                  <m:t>c</m:t>
                                </m:r>
                              </m:sup>
                            </m:sSubSup>
                          </m:num>
                          <m:den>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y</m:t>
                                </m:r>
                              </m:e>
                              <m:sub>
                                <m:r>
                                  <w:rPr>
                                    <w:rFonts w:ascii="Cambria Math" w:eastAsiaTheme="minorEastAsia" w:hAnsi="Cambria Math" w:cs="Times New Roman"/>
                                    <w:sz w:val="24"/>
                                    <w:szCs w:val="24"/>
                                  </w:rPr>
                                  <m:t>t-N</m:t>
                                </m:r>
                              </m:sub>
                              <m:sup>
                                <m:r>
                                  <w:rPr>
                                    <w:rFonts w:ascii="Cambria Math" w:eastAsiaTheme="minorEastAsia" w:hAnsi="Cambria Math" w:cs="Times New Roman"/>
                                    <w:sz w:val="24"/>
                                    <w:szCs w:val="24"/>
                                  </w:rPr>
                                  <m:t>c</m:t>
                                </m:r>
                              </m:sup>
                            </m:sSubSup>
                          </m:den>
                        </m:f>
                      </m:e>
                    </m:d>
                  </m:e>
                </m:func>
                <m:r>
                  <w:rPr>
                    <w:rFonts w:ascii="Cambria Math" w:eastAsiaTheme="minorEastAsia" w:hAnsi="Cambria Math" w:cs="Times New Roman"/>
                    <w:sz w:val="24"/>
                    <w:szCs w:val="24"/>
                  </w:rPr>
                  <m:t>=b-</m:t>
                </m:r>
                <m:f>
                  <m:fPr>
                    <m:ctrlPr>
                      <w:rPr>
                        <w:rFonts w:ascii="Cambria Math" w:eastAsiaTheme="minorEastAsia" w:hAnsi="Cambria Math" w:cs="Times New Roman"/>
                        <w:i/>
                        <w:sz w:val="24"/>
                        <w:szCs w:val="24"/>
                      </w:rPr>
                    </m:ctrlPr>
                  </m:fPr>
                  <m:num>
                    <m:d>
                      <m:dPr>
                        <m:begChr m:val="["/>
                        <m:endChr m:val="]"/>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1-</m:t>
                        </m:r>
                        <m:func>
                          <m:funcPr>
                            <m:ctrlPr>
                              <w:rPr>
                                <w:rFonts w:ascii="Cambria Math" w:eastAsiaTheme="minorEastAsia" w:hAnsi="Cambria Math" w:cs="Times New Roman"/>
                                <w:sz w:val="24"/>
                                <w:szCs w:val="24"/>
                              </w:rPr>
                            </m:ctrlPr>
                          </m:funcPr>
                          <m:fName>
                            <m:r>
                              <m:rPr>
                                <m:sty m:val="p"/>
                              </m:rPr>
                              <w:rPr>
                                <w:rFonts w:ascii="Cambria Math" w:eastAsiaTheme="minorEastAsia" w:hAnsi="Cambria Math" w:cs="Times New Roman"/>
                                <w:sz w:val="24"/>
                                <w:szCs w:val="24"/>
                              </w:rPr>
                              <m:t>exp</m:t>
                            </m:r>
                            <m:ctrlPr>
                              <w:rPr>
                                <w:rFonts w:ascii="Cambria Math" w:eastAsiaTheme="minorEastAsia" w:hAnsi="Cambria Math" w:cs="Times New Roman"/>
                                <w:i/>
                                <w:sz w:val="24"/>
                                <w:szCs w:val="24"/>
                              </w:rPr>
                            </m:ctrlPr>
                          </m:fName>
                          <m:e>
                            <m:d>
                              <m:dPr>
                                <m:begChr m:val="["/>
                                <m:endChr m:val="]"/>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-λN</m:t>
                                </m:r>
                              </m:e>
                            </m:d>
                          </m:e>
                        </m:func>
                      </m:e>
                    </m:d>
                  </m:num>
                  <m:den>
                    <m:r>
                      <w:rPr>
                        <w:rFonts w:ascii="Cambria Math" w:eastAsiaTheme="minorEastAsia" w:hAnsi="Cambria Math" w:cs="Times New Roman"/>
                        <w:sz w:val="24"/>
                        <w:szCs w:val="24"/>
                      </w:rPr>
                      <m:t>N</m:t>
                    </m:r>
                  </m:den>
                </m:f>
                <m:r>
                  <m:rPr>
                    <m:sty m:val="p"/>
                  </m:rPr>
                  <w:rPr>
                    <w:rFonts w:ascii="Cambria Math" w:eastAsiaTheme="minorEastAsia" w:hAnsi="Cambria Math" w:cs="Times New Roman"/>
                    <w:sz w:val="24"/>
                    <w:szCs w:val="24"/>
                  </w:rPr>
                  <m:t>log⁡</m:t>
                </m:r>
                <m:r>
                  <w:rPr>
                    <w:rFonts w:ascii="Cambria Math" w:eastAsiaTheme="minorEastAsia" w:hAnsi="Cambria Math" w:cs="Times New Roman"/>
                    <w:sz w:val="24"/>
                    <w:szCs w:val="24"/>
                  </w:rPr>
                  <m:t>[</m:t>
                </m:r>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y</m:t>
                    </m:r>
                  </m:e>
                  <m:sub>
                    <m:r>
                      <w:rPr>
                        <w:rFonts w:ascii="Cambria Math" w:eastAsiaTheme="minorEastAsia" w:hAnsi="Cambria Math" w:cs="Times New Roman"/>
                        <w:sz w:val="24"/>
                        <w:szCs w:val="24"/>
                      </w:rPr>
                      <m:t>t-N</m:t>
                    </m:r>
                  </m:sub>
                  <m:sup>
                    <m:r>
                      <w:rPr>
                        <w:rFonts w:ascii="Cambria Math" w:eastAsiaTheme="minorEastAsia" w:hAnsi="Cambria Math" w:cs="Times New Roman"/>
                        <w:sz w:val="24"/>
                        <w:szCs w:val="24"/>
                      </w:rPr>
                      <m:t>c</m:t>
                    </m:r>
                  </m:sup>
                </m:sSubSup>
                <m:r>
                  <w:rPr>
                    <w:rFonts w:ascii="Cambria Math" w:eastAsiaTheme="minorEastAsia" w:hAnsi="Cambria Math" w:cs="Times New Roman"/>
                    <w:sz w:val="24"/>
                    <w:szCs w:val="24"/>
                  </w:rPr>
                  <m:t>]</m:t>
                </m:r>
              </m:oMath>
            </m:oMathPara>
          </w:p>
        </w:tc>
        <w:tc>
          <w:tcPr>
            <w:tcW w:w="1560" w:type="dxa"/>
            <w:vAlign w:val="center"/>
          </w:tcPr>
          <w:p w:rsidR="001B6EC3" w:rsidRPr="005517C4" w:rsidRDefault="00856BF2" w:rsidP="001B6EC3">
            <w:pPr>
              <w:spacing w:line="360" w:lineRule="auto"/>
              <w:jc w:val="right"/>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r w:rsidR="001B6EC3" w:rsidRPr="005517C4">
              <w:rPr>
                <w:rFonts w:ascii="Times New Roman" w:eastAsiaTheme="minorEastAsia" w:hAnsi="Times New Roman" w:cs="Times New Roman"/>
                <w:sz w:val="24"/>
                <w:szCs w:val="24"/>
              </w:rPr>
              <w:t>(5)</w:t>
            </w:r>
          </w:p>
        </w:tc>
      </w:tr>
    </w:tbl>
    <w:p w:rsidR="00EE1B56" w:rsidRPr="005517C4" w:rsidRDefault="00CD13DF" w:rsidP="00856BF2">
      <w:pPr>
        <w:autoSpaceDE w:val="0"/>
        <w:autoSpaceDN w:val="0"/>
        <w:adjustRightInd w:val="0"/>
        <w:spacing w:after="0" w:line="360" w:lineRule="auto"/>
        <w:jc w:val="both"/>
        <w:rPr>
          <w:rFonts w:ascii="Times-Roman" w:hAnsi="Times-Roman" w:cs="Times-Roman"/>
          <w:sz w:val="24"/>
          <w:szCs w:val="24"/>
          <w:lang w:val="en-US"/>
        </w:rPr>
      </w:pPr>
      <w:proofErr w:type="gramStart"/>
      <w:r w:rsidRPr="005517C4">
        <w:rPr>
          <w:rFonts w:ascii="Times-Roman" w:hAnsi="Times-Roman" w:cs="Times-Roman"/>
          <w:sz w:val="24"/>
          <w:szCs w:val="24"/>
          <w:lang w:val="en-US"/>
        </w:rPr>
        <w:t>where</w:t>
      </w:r>
      <w:proofErr w:type="gramEnd"/>
      <w:r w:rsidRPr="005517C4">
        <w:rPr>
          <w:rFonts w:ascii="Times-Roman" w:hAnsi="Times-Roman" w:cs="Times-Roman"/>
          <w:sz w:val="24"/>
          <w:szCs w:val="24"/>
          <w:lang w:val="en-US"/>
        </w:rPr>
        <w:t xml:space="preserve"> </w:t>
      </w:r>
      <w:r w:rsidRPr="005517C4">
        <w:rPr>
          <w:rFonts w:ascii="Times-Italic" w:hAnsi="Times-Italic" w:cs="Times-Italic"/>
          <w:i/>
          <w:iCs/>
          <w:sz w:val="24"/>
          <w:szCs w:val="24"/>
          <w:lang w:val="en-US"/>
        </w:rPr>
        <w:t xml:space="preserve">b </w:t>
      </w:r>
      <w:r w:rsidRPr="005517C4">
        <w:rPr>
          <w:rFonts w:ascii="Times-Roman" w:hAnsi="Times-Roman" w:cs="Times-Roman"/>
          <w:sz w:val="24"/>
          <w:szCs w:val="24"/>
          <w:lang w:val="en-US"/>
        </w:rPr>
        <w:t xml:space="preserve">is </w:t>
      </w:r>
      <w:r w:rsidR="00856BF2">
        <w:rPr>
          <w:rFonts w:ascii="Times-Roman" w:hAnsi="Times-Roman" w:cs="Times-Roman"/>
          <w:sz w:val="24"/>
          <w:szCs w:val="24"/>
          <w:lang w:val="en-US"/>
        </w:rPr>
        <w:t xml:space="preserve">a </w:t>
      </w:r>
      <w:r w:rsidRPr="005517C4">
        <w:rPr>
          <w:rFonts w:ascii="Times-Roman" w:hAnsi="Times-Roman" w:cs="Times-Roman"/>
          <w:sz w:val="24"/>
          <w:szCs w:val="24"/>
          <w:lang w:val="en-US"/>
        </w:rPr>
        <w:t>constant term and</w:t>
      </w:r>
      <w:r w:rsidR="00EE1B56" w:rsidRPr="005517C4">
        <w:rPr>
          <w:rFonts w:ascii="Times-Roman" w:hAnsi="Times-Roman" w:cs="Times-Roman"/>
          <w:sz w:val="24"/>
          <w:szCs w:val="24"/>
          <w:lang w:val="en-US"/>
        </w:rPr>
        <w:t xml:space="preserve"> </w:t>
      </w:r>
      <m:oMath>
        <m:r>
          <w:rPr>
            <w:rFonts w:ascii="Cambria Math" w:hAnsi="Cambria Math" w:cs="Times-Roman"/>
            <w:sz w:val="24"/>
            <w:szCs w:val="24"/>
            <w:lang w:val="en-US"/>
          </w:rPr>
          <m:t>λ</m:t>
        </m:r>
      </m:oMath>
      <w:r w:rsidR="00EE1B56" w:rsidRPr="005517C4">
        <w:rPr>
          <w:rFonts w:ascii="Times-Roman" w:eastAsiaTheme="minorEastAsia" w:hAnsi="Times-Roman" w:cs="Times-Roman"/>
          <w:sz w:val="24"/>
          <w:szCs w:val="24"/>
          <w:lang w:val="en-US"/>
        </w:rPr>
        <w:t xml:space="preserve"> is </w:t>
      </w:r>
      <w:r w:rsidR="00856BF2">
        <w:rPr>
          <w:rFonts w:ascii="Times-Roman" w:eastAsiaTheme="minorEastAsia" w:hAnsi="Times-Roman" w:cs="Times-Roman"/>
          <w:sz w:val="24"/>
          <w:szCs w:val="24"/>
          <w:lang w:val="en-US"/>
        </w:rPr>
        <w:t xml:space="preserve">the </w:t>
      </w:r>
      <w:r w:rsidR="00EE1B56" w:rsidRPr="005517C4">
        <w:rPr>
          <w:rFonts w:ascii="Times-Roman" w:eastAsiaTheme="minorEastAsia" w:hAnsi="Times-Roman" w:cs="Times-Roman"/>
          <w:sz w:val="24"/>
          <w:szCs w:val="24"/>
          <w:lang w:val="en-US"/>
        </w:rPr>
        <w:t xml:space="preserve">speed of convergence in </w:t>
      </w:r>
      <w:r w:rsidR="00856BF2">
        <w:rPr>
          <w:rFonts w:ascii="Times-Roman" w:eastAsiaTheme="minorEastAsia" w:hAnsi="Times-Roman" w:cs="Times-Roman"/>
          <w:sz w:val="24"/>
          <w:szCs w:val="24"/>
          <w:lang w:val="en-US"/>
        </w:rPr>
        <w:t xml:space="preserve">the </w:t>
      </w:r>
      <w:r w:rsidR="00EE1B56" w:rsidRPr="005517C4">
        <w:rPr>
          <w:rFonts w:ascii="Times-Roman" w:eastAsiaTheme="minorEastAsia" w:hAnsi="Times-Roman" w:cs="Times-Roman"/>
          <w:sz w:val="24"/>
          <w:szCs w:val="24"/>
          <w:lang w:val="en-US"/>
        </w:rPr>
        <w:t xml:space="preserve">Solow growth model. </w:t>
      </w:r>
      <w:r w:rsidR="00856BF2">
        <w:rPr>
          <w:rFonts w:ascii="Times-Roman" w:eastAsiaTheme="minorEastAsia" w:hAnsi="Times-Roman" w:cs="Times-Roman"/>
          <w:sz w:val="24"/>
          <w:szCs w:val="24"/>
          <w:lang w:val="en-US"/>
        </w:rPr>
        <w:t>The s</w:t>
      </w:r>
      <w:r w:rsidR="00EE1B56" w:rsidRPr="005517C4">
        <w:rPr>
          <w:rFonts w:ascii="Times-Roman" w:eastAsiaTheme="minorEastAsia" w:hAnsi="Times-Roman" w:cs="Times-Roman"/>
          <w:sz w:val="24"/>
          <w:szCs w:val="24"/>
          <w:lang w:val="en-US"/>
        </w:rPr>
        <w:t xml:space="preserve">peed of convergence is determined </w:t>
      </w:r>
      <w:r w:rsidR="00856BF2">
        <w:rPr>
          <w:rFonts w:ascii="Times-Roman" w:eastAsiaTheme="minorEastAsia" w:hAnsi="Times-Roman" w:cs="Times-Roman"/>
          <w:sz w:val="24"/>
          <w:szCs w:val="24"/>
          <w:lang w:val="en-US"/>
        </w:rPr>
        <w:t>as</w:t>
      </w:r>
      <w:proofErr w:type="gramStart"/>
      <w:r w:rsidR="00856BF2">
        <w:rPr>
          <w:rFonts w:ascii="Times-Roman" w:eastAsiaTheme="minorEastAsia" w:hAnsi="Times-Roman" w:cs="Times-Roman"/>
          <w:sz w:val="24"/>
          <w:szCs w:val="24"/>
          <w:lang w:val="en-US"/>
        </w:rPr>
        <w:t>:</w:t>
      </w:r>
      <w:r w:rsidRPr="005517C4">
        <w:rPr>
          <w:rFonts w:ascii="Times-Roman" w:hAnsi="Times-Roman" w:cs="Times-Roman"/>
          <w:sz w:val="24"/>
          <w:szCs w:val="24"/>
          <w:lang w:val="en-US"/>
        </w:rPr>
        <w:t xml:space="preserve"> </w:t>
      </w:r>
      <m:oMath>
        <w:proofErr w:type="gramEnd"/>
        <m:r>
          <w:rPr>
            <w:rFonts w:ascii="Cambria Math" w:hAnsi="Cambria Math" w:cs="Times-Roman"/>
            <w:sz w:val="24"/>
            <w:szCs w:val="24"/>
            <w:lang w:val="en-US"/>
          </w:rPr>
          <m:t>λ=</m:t>
        </m:r>
        <m:d>
          <m:dPr>
            <m:begChr m:val="["/>
            <m:endChr m:val="]"/>
            <m:ctrlPr>
              <w:rPr>
                <w:rFonts w:ascii="Cambria Math" w:hAnsi="Cambria Math" w:cs="Times-Roman"/>
                <w:i/>
                <w:sz w:val="24"/>
                <w:szCs w:val="24"/>
                <w:lang w:val="en-US"/>
              </w:rPr>
            </m:ctrlPr>
          </m:dPr>
          <m:e>
            <m:r>
              <w:rPr>
                <w:rFonts w:ascii="Cambria Math" w:hAnsi="Cambria Math" w:cs="Times-Roman"/>
                <w:sz w:val="24"/>
                <w:szCs w:val="24"/>
                <w:lang w:val="en-US"/>
              </w:rPr>
              <m:t>1-a</m:t>
            </m:r>
          </m:e>
        </m:d>
        <m:r>
          <w:rPr>
            <w:rFonts w:ascii="Cambria Math" w:hAnsi="Cambria Math" w:cs="Times-Roman"/>
            <w:sz w:val="24"/>
            <w:szCs w:val="24"/>
            <w:lang w:val="en-US"/>
          </w:rPr>
          <m:t>[n+g+δ]</m:t>
        </m:r>
      </m:oMath>
      <w:r w:rsidR="00856BF2">
        <w:rPr>
          <w:rFonts w:ascii="Times-Roman" w:eastAsiaTheme="minorEastAsia" w:hAnsi="Times-Roman" w:cs="Times-Roman"/>
          <w:sz w:val="24"/>
          <w:szCs w:val="24"/>
          <w:lang w:val="en-US"/>
        </w:rPr>
        <w:t>, where</w:t>
      </w:r>
      <w:r w:rsidR="00A56206" w:rsidRPr="005517C4">
        <w:rPr>
          <w:rFonts w:ascii="Times-Roman" w:eastAsiaTheme="minorEastAsia" w:hAnsi="Times-Roman" w:cs="Times-Roman"/>
          <w:sz w:val="24"/>
          <w:szCs w:val="24"/>
          <w:lang w:val="en-US"/>
        </w:rPr>
        <w:t xml:space="preserve">  </w:t>
      </w:r>
      <m:oMath>
        <m:r>
          <w:rPr>
            <w:rFonts w:ascii="Cambria Math" w:hAnsi="Cambria Math" w:cs="Times-Roman"/>
            <w:sz w:val="24"/>
            <w:szCs w:val="24"/>
            <w:lang w:val="en-US"/>
          </w:rPr>
          <m:t>a</m:t>
        </m:r>
      </m:oMath>
      <w:r w:rsidR="00A56206" w:rsidRPr="005517C4">
        <w:rPr>
          <w:rFonts w:ascii="Times-Roman" w:eastAsiaTheme="minorEastAsia" w:hAnsi="Times-Roman" w:cs="Times-Roman"/>
          <w:sz w:val="24"/>
          <w:szCs w:val="24"/>
          <w:lang w:val="en-US"/>
        </w:rPr>
        <w:t xml:space="preserve"> is </w:t>
      </w:r>
      <w:r w:rsidR="00856BF2">
        <w:rPr>
          <w:rFonts w:ascii="Times-Roman" w:eastAsiaTheme="minorEastAsia" w:hAnsi="Times-Roman" w:cs="Times-Roman"/>
          <w:sz w:val="24"/>
          <w:szCs w:val="24"/>
          <w:lang w:val="en-US"/>
        </w:rPr>
        <w:t xml:space="preserve">the </w:t>
      </w:r>
      <w:r w:rsidR="00A56206" w:rsidRPr="005517C4">
        <w:rPr>
          <w:rFonts w:ascii="Times-Roman" w:eastAsiaTheme="minorEastAsia" w:hAnsi="Times-Roman" w:cs="Times-Roman"/>
          <w:sz w:val="24"/>
          <w:szCs w:val="24"/>
          <w:lang w:val="en-US"/>
        </w:rPr>
        <w:t xml:space="preserve">output elasticity of capital, </w:t>
      </w:r>
      <m:oMath>
        <m:r>
          <w:rPr>
            <w:rFonts w:ascii="Cambria Math" w:hAnsi="Cambria Math" w:cs="Times-Roman"/>
            <w:sz w:val="24"/>
            <w:szCs w:val="24"/>
            <w:lang w:val="en-US"/>
          </w:rPr>
          <m:t>n</m:t>
        </m:r>
      </m:oMath>
      <w:r w:rsidR="00E74C22" w:rsidRPr="005517C4">
        <w:rPr>
          <w:rFonts w:ascii="Times-Roman" w:eastAsiaTheme="minorEastAsia" w:hAnsi="Times-Roman" w:cs="Times-Roman"/>
          <w:sz w:val="24"/>
          <w:szCs w:val="24"/>
          <w:lang w:val="en-US"/>
        </w:rPr>
        <w:t xml:space="preserve"> is </w:t>
      </w:r>
      <w:r w:rsidR="00856BF2">
        <w:rPr>
          <w:rFonts w:ascii="Times-Roman" w:eastAsiaTheme="minorEastAsia" w:hAnsi="Times-Roman" w:cs="Times-Roman"/>
          <w:sz w:val="24"/>
          <w:szCs w:val="24"/>
          <w:lang w:val="en-US"/>
        </w:rPr>
        <w:t xml:space="preserve">the </w:t>
      </w:r>
      <w:r w:rsidR="00E74C22" w:rsidRPr="005517C4">
        <w:rPr>
          <w:rFonts w:ascii="Times-Roman" w:eastAsiaTheme="minorEastAsia" w:hAnsi="Times-Roman" w:cs="Times-Roman"/>
          <w:sz w:val="24"/>
          <w:szCs w:val="24"/>
          <w:lang w:val="en-US"/>
        </w:rPr>
        <w:t>growth rate of labor,</w:t>
      </w:r>
      <w:r w:rsidR="00A56206" w:rsidRPr="005517C4">
        <w:rPr>
          <w:rFonts w:ascii="Times-Roman" w:eastAsiaTheme="minorEastAsia" w:hAnsi="Times-Roman" w:cs="Times-Roman"/>
          <w:sz w:val="24"/>
          <w:szCs w:val="24"/>
          <w:lang w:val="en-US"/>
        </w:rPr>
        <w:t xml:space="preserve"> </w:t>
      </w:r>
      <m:oMath>
        <m:r>
          <w:rPr>
            <w:rFonts w:ascii="Cambria Math" w:hAnsi="Cambria Math" w:cs="Times-Roman"/>
            <w:sz w:val="24"/>
            <w:szCs w:val="24"/>
            <w:lang w:val="en-US"/>
          </w:rPr>
          <m:t>g</m:t>
        </m:r>
      </m:oMath>
      <w:r w:rsidR="00E74C22" w:rsidRPr="005517C4">
        <w:rPr>
          <w:rFonts w:ascii="Times-Roman" w:eastAsiaTheme="minorEastAsia" w:hAnsi="Times-Roman" w:cs="Times-Roman"/>
          <w:sz w:val="24"/>
          <w:szCs w:val="24"/>
          <w:lang w:val="en-US"/>
        </w:rPr>
        <w:t xml:space="preserve"> is </w:t>
      </w:r>
      <w:r w:rsidR="00856BF2">
        <w:rPr>
          <w:rFonts w:ascii="Times-Roman" w:eastAsiaTheme="minorEastAsia" w:hAnsi="Times-Roman" w:cs="Times-Roman"/>
          <w:sz w:val="24"/>
          <w:szCs w:val="24"/>
          <w:lang w:val="en-US"/>
        </w:rPr>
        <w:t xml:space="preserve">the </w:t>
      </w:r>
      <w:r w:rsidR="00E74C22" w:rsidRPr="005517C4">
        <w:rPr>
          <w:rFonts w:ascii="Times-Roman" w:eastAsiaTheme="minorEastAsia" w:hAnsi="Times-Roman" w:cs="Times-Roman"/>
          <w:sz w:val="24"/>
          <w:szCs w:val="24"/>
          <w:lang w:val="en-US"/>
        </w:rPr>
        <w:t>growth rate of technology</w:t>
      </w:r>
      <w:r w:rsidR="00856BF2">
        <w:rPr>
          <w:rFonts w:ascii="Times-Roman" w:eastAsiaTheme="minorEastAsia" w:hAnsi="Times-Roman" w:cs="Times-Roman"/>
          <w:sz w:val="24"/>
          <w:szCs w:val="24"/>
          <w:lang w:val="en-US"/>
        </w:rPr>
        <w:t>,</w:t>
      </w:r>
      <w:r w:rsidR="00E74C22" w:rsidRPr="005517C4">
        <w:rPr>
          <w:rFonts w:ascii="Times-Roman" w:eastAsiaTheme="minorEastAsia" w:hAnsi="Times-Roman" w:cs="Times-Roman"/>
          <w:sz w:val="24"/>
          <w:szCs w:val="24"/>
          <w:lang w:val="en-US"/>
        </w:rPr>
        <w:t xml:space="preserve"> and</w:t>
      </w:r>
      <w:r w:rsidR="00A56206" w:rsidRPr="005517C4">
        <w:rPr>
          <w:rFonts w:ascii="Times-Roman" w:eastAsiaTheme="minorEastAsia" w:hAnsi="Times-Roman" w:cs="Times-Roman"/>
          <w:sz w:val="24"/>
          <w:szCs w:val="24"/>
          <w:lang w:val="en-US"/>
        </w:rPr>
        <w:t xml:space="preserve"> </w:t>
      </w:r>
      <m:oMath>
        <m:r>
          <w:rPr>
            <w:rFonts w:ascii="Cambria Math" w:hAnsi="Cambria Math" w:cs="Times-Roman"/>
            <w:sz w:val="24"/>
            <w:szCs w:val="24"/>
            <w:lang w:val="en-US"/>
          </w:rPr>
          <m:t>δ</m:t>
        </m:r>
      </m:oMath>
      <w:r w:rsidR="00856BF2">
        <w:rPr>
          <w:rFonts w:ascii="Times-Roman" w:eastAsiaTheme="minorEastAsia" w:hAnsi="Times-Roman" w:cs="Times-Roman"/>
          <w:sz w:val="24"/>
          <w:szCs w:val="24"/>
          <w:lang w:val="en-US"/>
        </w:rPr>
        <w:t xml:space="preserve"> denotes the</w:t>
      </w:r>
      <w:r w:rsidR="00A56206" w:rsidRPr="005517C4">
        <w:rPr>
          <w:rFonts w:ascii="Times-Roman" w:eastAsiaTheme="minorEastAsia" w:hAnsi="Times-Roman" w:cs="Times-Roman"/>
          <w:sz w:val="24"/>
          <w:szCs w:val="24"/>
          <w:lang w:val="en-US"/>
        </w:rPr>
        <w:t xml:space="preserve"> </w:t>
      </w:r>
      <w:r w:rsidR="00E74C22" w:rsidRPr="005517C4">
        <w:rPr>
          <w:rFonts w:ascii="Times-Roman" w:eastAsiaTheme="minorEastAsia" w:hAnsi="Times-Roman" w:cs="Times-Roman"/>
          <w:sz w:val="24"/>
          <w:szCs w:val="24"/>
          <w:lang w:val="en-US"/>
        </w:rPr>
        <w:t>depreciation rate.</w:t>
      </w:r>
      <w:r w:rsidR="00A56206" w:rsidRPr="005517C4">
        <w:rPr>
          <w:rFonts w:ascii="Times-Roman" w:eastAsiaTheme="minorEastAsia" w:hAnsi="Times-Roman" w:cs="Times-Roman"/>
          <w:sz w:val="24"/>
          <w:szCs w:val="24"/>
          <w:lang w:val="en-US"/>
        </w:rPr>
        <w:t xml:space="preserve"> </w:t>
      </w:r>
    </w:p>
    <w:p w:rsidR="004F6180" w:rsidRPr="004F6180" w:rsidRDefault="004F6180" w:rsidP="004F6180">
      <w:pPr>
        <w:spacing w:line="240" w:lineRule="auto"/>
        <w:jc w:val="both"/>
        <w:rPr>
          <w:rFonts w:ascii="Times New Roman" w:eastAsiaTheme="minorEastAsia" w:hAnsi="Times New Roman" w:cs="Times New Roman"/>
          <w:sz w:val="8"/>
          <w:szCs w:val="24"/>
        </w:rPr>
      </w:pPr>
    </w:p>
    <w:p w:rsidR="001B6EC3" w:rsidRPr="005517C4" w:rsidRDefault="00856BF2" w:rsidP="00314D6D">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Next,</w:t>
      </w:r>
      <w:r w:rsidR="00A925AC" w:rsidRPr="005517C4">
        <w:rPr>
          <w:rFonts w:ascii="Times New Roman" w:eastAsiaTheme="minorEastAsia" w:hAnsi="Times New Roman" w:cs="Times New Roman"/>
          <w:sz w:val="24"/>
          <w:szCs w:val="24"/>
        </w:rPr>
        <w:t xml:space="preserve"> income growth in </w:t>
      </w:r>
      <w:r>
        <w:rPr>
          <w:rFonts w:ascii="Times New Roman" w:eastAsiaTheme="minorEastAsia" w:hAnsi="Times New Roman" w:cs="Times New Roman"/>
          <w:sz w:val="24"/>
          <w:szCs w:val="24"/>
        </w:rPr>
        <w:t>E</w:t>
      </w:r>
      <w:r w:rsidR="00A925AC" w:rsidRPr="005517C4">
        <w:rPr>
          <w:rFonts w:ascii="Times New Roman" w:eastAsiaTheme="minorEastAsia" w:hAnsi="Times New Roman" w:cs="Times New Roman"/>
          <w:sz w:val="24"/>
          <w:szCs w:val="24"/>
        </w:rPr>
        <w:t xml:space="preserve">quation 4 </w:t>
      </w:r>
      <w:r>
        <w:rPr>
          <w:rFonts w:ascii="Times New Roman" w:eastAsiaTheme="minorEastAsia" w:hAnsi="Times New Roman" w:cs="Times New Roman"/>
          <w:sz w:val="24"/>
          <w:szCs w:val="24"/>
        </w:rPr>
        <w:t>is replaced by</w:t>
      </w:r>
      <w:r w:rsidR="00A925AC" w:rsidRPr="005517C4">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E</w:t>
      </w:r>
      <w:r w:rsidR="00A925AC" w:rsidRPr="005517C4">
        <w:rPr>
          <w:rFonts w:ascii="Times New Roman" w:eastAsiaTheme="minorEastAsia" w:hAnsi="Times New Roman" w:cs="Times New Roman"/>
          <w:sz w:val="24"/>
          <w:szCs w:val="24"/>
        </w:rPr>
        <w:t xml:space="preserve">quation 5 </w:t>
      </w:r>
      <w:r>
        <w:rPr>
          <w:rFonts w:ascii="Times New Roman" w:eastAsiaTheme="minorEastAsia" w:hAnsi="Times New Roman" w:cs="Times New Roman"/>
          <w:sz w:val="24"/>
          <w:szCs w:val="24"/>
        </w:rPr>
        <w:t>through</w:t>
      </w:r>
      <w:r w:rsidR="00A925AC" w:rsidRPr="005517C4">
        <w:rPr>
          <w:rFonts w:ascii="Times New Roman" w:eastAsiaTheme="minorEastAsia" w:hAnsi="Times New Roman" w:cs="Times New Roman"/>
          <w:sz w:val="24"/>
          <w:szCs w:val="24"/>
        </w:rPr>
        <w:t xml:space="preserve"> considering</w:t>
      </w:r>
      <w:r>
        <w:rPr>
          <w:rFonts w:ascii="Times New Roman" w:eastAsiaTheme="minorEastAsia" w:hAnsi="Times New Roman" w:cs="Times New Roman"/>
          <w:sz w:val="24"/>
          <w:szCs w:val="24"/>
        </w:rPr>
        <w:t>:</w:t>
      </w:r>
      <w:r w:rsidR="00A925AC" w:rsidRPr="005517C4">
        <w:rPr>
          <w:rFonts w:ascii="Times New Roman" w:eastAsiaTheme="minorEastAsia" w:hAnsi="Times New Roman" w:cs="Times New Roman"/>
          <w:sz w:val="24"/>
          <w:szCs w:val="24"/>
        </w:rPr>
        <w:t xml:space="preserve"> </w:t>
      </w:r>
      <m:oMath>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y</m:t>
            </m:r>
          </m:e>
          <m:sub>
            <m:r>
              <w:rPr>
                <w:rFonts w:ascii="Cambria Math" w:eastAsiaTheme="minorEastAsia" w:hAnsi="Cambria Math" w:cs="Times New Roman"/>
                <w:sz w:val="24"/>
                <w:szCs w:val="24"/>
              </w:rPr>
              <m:t>t-N</m:t>
            </m:r>
          </m:sub>
          <m:sup>
            <m:r>
              <w:rPr>
                <w:rFonts w:ascii="Cambria Math" w:eastAsiaTheme="minorEastAsia" w:hAnsi="Cambria Math" w:cs="Times New Roman"/>
                <w:sz w:val="24"/>
                <w:szCs w:val="24"/>
              </w:rPr>
              <m:t>c</m:t>
            </m:r>
          </m:sup>
        </m:sSubSup>
        <m:r>
          <w:rPr>
            <w:rFonts w:ascii="Cambria Math" w:eastAsiaTheme="minorEastAsia" w:hAnsi="Cambria Math" w:cs="Times New Roman"/>
            <w:sz w:val="24"/>
            <w:szCs w:val="24"/>
          </w:rPr>
          <m:t>=</m:t>
        </m:r>
        <m:f>
          <m:fPr>
            <m:type m:val="lin"/>
            <m:ctrlPr>
              <w:rPr>
                <w:rFonts w:ascii="Cambria Math" w:eastAsiaTheme="minorEastAsia" w:hAnsi="Cambria Math" w:cs="Times New Roman"/>
                <w:i/>
                <w:sz w:val="24"/>
                <w:szCs w:val="24"/>
              </w:rPr>
            </m:ctrlPr>
          </m:fPr>
          <m:num>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e</m:t>
                </m:r>
              </m:e>
              <m:sub>
                <m:r>
                  <w:rPr>
                    <w:rFonts w:ascii="Cambria Math" w:eastAsiaTheme="minorEastAsia" w:hAnsi="Cambria Math" w:cs="Times New Roman"/>
                    <w:sz w:val="24"/>
                    <w:szCs w:val="24"/>
                  </w:rPr>
                  <m:t>t-N</m:t>
                </m:r>
              </m:sub>
              <m:sup>
                <m:r>
                  <w:rPr>
                    <w:rFonts w:ascii="Cambria Math" w:eastAsiaTheme="minorEastAsia" w:hAnsi="Cambria Math" w:cs="Times New Roman"/>
                    <w:sz w:val="24"/>
                    <w:szCs w:val="24"/>
                  </w:rPr>
                  <m:t>c</m:t>
                </m:r>
              </m:sup>
            </m:sSubSup>
          </m:num>
          <m:den>
            <m:sSub>
              <m:sSubPr>
                <m:ctrlPr>
                  <w:rPr>
                    <w:rFonts w:ascii="Cambria Math" w:eastAsiaTheme="minorEastAsia" w:hAnsi="Cambria Math" w:cs="Times New Roman"/>
                    <w:i/>
                    <w:sz w:val="24"/>
                    <w:szCs w:val="24"/>
                  </w:rPr>
                </m:ctrlPr>
              </m:sSubPr>
              <m:e>
                <m:r>
                  <m:rPr>
                    <m:sty m:val="p"/>
                  </m:rPr>
                  <w:rPr>
                    <w:rFonts w:ascii="Cambria Math" w:eastAsiaTheme="minorEastAsia" w:hAnsi="Cambria Math" w:cs="Times New Roman"/>
                    <w:sz w:val="24"/>
                    <w:szCs w:val="24"/>
                  </w:rPr>
                  <m:t>Ω</m:t>
                </m:r>
              </m:e>
              <m:sub>
                <m:r>
                  <w:rPr>
                    <w:rFonts w:ascii="Cambria Math" w:eastAsiaTheme="minorEastAsia" w:hAnsi="Cambria Math" w:cs="Times New Roman"/>
                    <w:sz w:val="24"/>
                    <w:szCs w:val="24"/>
                  </w:rPr>
                  <m:t>t-N</m:t>
                </m:r>
              </m:sub>
            </m:sSub>
            <m:r>
              <w:rPr>
                <w:rFonts w:ascii="Cambria Math" w:eastAsiaTheme="minorEastAsia" w:hAnsi="Cambria Math" w:cs="Times New Roman"/>
                <w:sz w:val="24"/>
                <w:szCs w:val="24"/>
              </w:rPr>
              <m:t>a(θ)</m:t>
            </m:r>
          </m:den>
        </m:f>
      </m:oMath>
      <w:r>
        <w:rPr>
          <w:rFonts w:ascii="Times New Roman" w:eastAsiaTheme="minorEastAsia" w:hAnsi="Times New Roman" w:cs="Times New Roman"/>
          <w:sz w:val="24"/>
          <w:szCs w:val="24"/>
        </w:rPr>
        <w:t xml:space="preserve"> from E</w:t>
      </w:r>
      <w:r w:rsidR="00314D6D" w:rsidRPr="005517C4">
        <w:rPr>
          <w:rFonts w:ascii="Times New Roman" w:eastAsiaTheme="minorEastAsia" w:hAnsi="Times New Roman" w:cs="Times New Roman"/>
          <w:sz w:val="24"/>
          <w:szCs w:val="24"/>
        </w:rPr>
        <w:t xml:space="preserve">quation 3 and a convergence equation of emissions per capita </w:t>
      </w:r>
      <w:r>
        <w:rPr>
          <w:rFonts w:ascii="Times New Roman" w:eastAsiaTheme="minorEastAsia" w:hAnsi="Times New Roman" w:cs="Times New Roman"/>
          <w:sz w:val="24"/>
          <w:szCs w:val="24"/>
        </w:rPr>
        <w:t xml:space="preserve">is generated </w:t>
      </w:r>
      <w:r w:rsidR="00314D6D" w:rsidRPr="005517C4">
        <w:rPr>
          <w:rFonts w:ascii="Times New Roman" w:eastAsiaTheme="minorEastAsia" w:hAnsi="Times New Roman" w:cs="Times New Roman"/>
          <w:sz w:val="24"/>
          <w:szCs w:val="24"/>
        </w:rPr>
        <w:t xml:space="preserve">across </w:t>
      </w:r>
      <w:r w:rsidR="00314D6D" w:rsidRPr="005517C4">
        <w:rPr>
          <w:rFonts w:ascii="Times New Roman" w:eastAsiaTheme="minorEastAsia" w:hAnsi="Times New Roman" w:cs="Times New Roman"/>
          <w:i/>
          <w:sz w:val="24"/>
          <w:szCs w:val="24"/>
        </w:rPr>
        <w:t>i</w:t>
      </w:r>
      <w:r w:rsidR="00314D6D" w:rsidRPr="005517C4">
        <w:rPr>
          <w:rFonts w:ascii="Times New Roman" w:eastAsiaTheme="minorEastAsia" w:hAnsi="Times New Roman" w:cs="Times New Roman"/>
          <w:sz w:val="24"/>
          <w:szCs w:val="24"/>
        </w:rPr>
        <w:t xml:space="preserve"> countries to a constant</w:t>
      </w:r>
      <w:r w:rsidR="000805DA" w:rsidRPr="005517C4">
        <w:rPr>
          <w:rFonts w:ascii="Times New Roman" w:eastAsiaTheme="minorEastAsia" w:hAnsi="Times New Roman" w:cs="Times New Roman"/>
          <w:sz w:val="24"/>
          <w:szCs w:val="24"/>
        </w:rPr>
        <w:t>,</w:t>
      </w:r>
      <w:r w:rsidR="00314D6D" w:rsidRPr="005517C4">
        <w:rPr>
          <w:rFonts w:ascii="Times New Roman" w:eastAsiaTheme="minorEastAsia" w:hAnsi="Times New Roman" w:cs="Times New Roman"/>
          <w:sz w:val="24"/>
          <w:szCs w:val="24"/>
        </w:rPr>
        <w:t xml:space="preserv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β</m:t>
            </m:r>
          </m:e>
          <m:sub>
            <m:r>
              <w:rPr>
                <w:rFonts w:ascii="Cambria Math" w:eastAsiaTheme="minorEastAsia" w:hAnsi="Cambria Math" w:cs="Times New Roman"/>
                <w:sz w:val="24"/>
                <w:szCs w:val="24"/>
              </w:rPr>
              <m:t>0</m:t>
            </m:r>
          </m:sub>
        </m:sSub>
      </m:oMath>
      <w:r w:rsidR="000805DA" w:rsidRPr="005517C4">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while the</w:t>
      </w:r>
      <w:r w:rsidR="00314D6D" w:rsidRPr="005517C4">
        <w:rPr>
          <w:rFonts w:ascii="Times New Roman" w:eastAsiaTheme="minorEastAsia" w:hAnsi="Times New Roman" w:cs="Times New Roman"/>
          <w:sz w:val="24"/>
          <w:szCs w:val="24"/>
        </w:rPr>
        <w:t xml:space="preserve"> initial period</w:t>
      </w:r>
      <w:r w:rsidR="000805DA" w:rsidRPr="005517C4">
        <w:rPr>
          <w:rFonts w:ascii="Times New Roman" w:eastAsiaTheme="minorEastAsia" w:hAnsi="Times New Roman" w:cs="Times New Roman"/>
          <w:sz w:val="24"/>
          <w:szCs w:val="24"/>
        </w:rPr>
        <w:t xml:space="preserve"> of</w:t>
      </w:r>
      <w:r w:rsidR="001510C7" w:rsidRPr="005517C4">
        <w:rPr>
          <w:rFonts w:ascii="Times New Roman" w:eastAsiaTheme="minorEastAsia" w:hAnsi="Times New Roman" w:cs="Times New Roman"/>
          <w:sz w:val="24"/>
          <w:szCs w:val="24"/>
        </w:rPr>
        <w:t xml:space="preserve"> emissions per capita in </w:t>
      </w:r>
      <w:r>
        <w:rPr>
          <w:rFonts w:ascii="Times New Roman" w:eastAsiaTheme="minorEastAsia" w:hAnsi="Times New Roman" w:cs="Times New Roman"/>
          <w:sz w:val="24"/>
          <w:szCs w:val="24"/>
        </w:rPr>
        <w:t xml:space="preserve">the </w:t>
      </w:r>
      <w:r w:rsidR="001510C7" w:rsidRPr="005517C4">
        <w:rPr>
          <w:rFonts w:ascii="Times New Roman" w:eastAsiaTheme="minorEastAsia" w:hAnsi="Times New Roman" w:cs="Times New Roman"/>
          <w:sz w:val="24"/>
          <w:szCs w:val="24"/>
        </w:rPr>
        <w:t xml:space="preserve">panel regression form with </w:t>
      </w:r>
      <w:r w:rsidR="000727AF" w:rsidRPr="005517C4">
        <w:rPr>
          <w:rFonts w:ascii="Times New Roman" w:eastAsiaTheme="minorEastAsia" w:hAnsi="Times New Roman" w:cs="Times New Roman"/>
          <w:sz w:val="24"/>
          <w:szCs w:val="24"/>
        </w:rPr>
        <w:t xml:space="preserve">an </w:t>
      </w:r>
      <w:r w:rsidR="001510C7" w:rsidRPr="005517C4">
        <w:rPr>
          <w:rFonts w:ascii="Times New Roman" w:eastAsiaTheme="minorEastAsia" w:hAnsi="Times New Roman" w:cs="Times New Roman"/>
          <w:sz w:val="24"/>
          <w:szCs w:val="24"/>
        </w:rPr>
        <w:t>error term</w:t>
      </w:r>
      <w:r w:rsidR="000727AF" w:rsidRPr="005517C4">
        <w:rPr>
          <w:rFonts w:ascii="Times New Roman" w:eastAsiaTheme="minorEastAsia" w:hAnsi="Times New Roman" w:cs="Times New Roman"/>
          <w:sz w:val="24"/>
          <w:szCs w:val="24"/>
        </w:rPr>
        <w:t xml:space="preserv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μ</m:t>
            </m:r>
          </m:e>
          <m:sub>
            <m:r>
              <w:rPr>
                <w:rFonts w:ascii="Cambria Math" w:eastAsiaTheme="minorEastAsia" w:hAnsi="Cambria Math" w:cs="Times New Roman"/>
                <w:sz w:val="24"/>
                <w:szCs w:val="24"/>
              </w:rPr>
              <m:t>it</m:t>
            </m:r>
          </m:sub>
        </m:sSub>
        <m:r>
          <w:rPr>
            <w:rFonts w:ascii="Cambria Math" w:eastAsiaTheme="minorEastAsia" w:hAnsi="Cambria Math" w:cs="Times New Roman"/>
            <w:sz w:val="24"/>
            <w:szCs w:val="24"/>
          </w:rPr>
          <m:t xml:space="preserve"> </m:t>
        </m:r>
        <m:r>
          <m:rPr>
            <m:sty m:val="p"/>
          </m:rPr>
          <w:rPr>
            <w:rFonts w:ascii="Cambria Math" w:eastAsiaTheme="minorEastAsia" w:hAnsi="Cambria Math" w:cs="Times New Roman"/>
            <w:sz w:val="24"/>
            <w:szCs w:val="24"/>
          </w:rPr>
          <m:t>yields:</m:t>
        </m:r>
      </m:oMath>
    </w:p>
    <w:p w:rsidR="000805DA" w:rsidRPr="005517C4" w:rsidRDefault="000805DA" w:rsidP="000805DA">
      <w:pPr>
        <w:spacing w:line="360" w:lineRule="auto"/>
        <w:ind w:left="1416" w:firstLine="708"/>
        <w:jc w:val="center"/>
        <w:rPr>
          <w:rFonts w:ascii="Times New Roman" w:eastAsiaTheme="minorEastAsia" w:hAnsi="Times New Roman" w:cs="Times New Roman"/>
          <w:sz w:val="24"/>
          <w:szCs w:val="24"/>
        </w:rPr>
      </w:pPr>
      <m:oMath>
        <m:r>
          <w:rPr>
            <w:rFonts w:ascii="Cambria Math" w:eastAsiaTheme="minorEastAsia" w:hAnsi="Cambria Math" w:cs="Times New Roman"/>
            <w:sz w:val="24"/>
            <w:szCs w:val="24"/>
          </w:rPr>
          <m:t>[</m:t>
        </m:r>
        <m:f>
          <m:fPr>
            <m:type m:val="lin"/>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N</m:t>
            </m:r>
          </m:den>
        </m:f>
        <m:r>
          <w:rPr>
            <w:rFonts w:ascii="Cambria Math" w:eastAsiaTheme="minorEastAsia" w:hAnsi="Cambria Math" w:cs="Times New Roman"/>
            <w:sz w:val="24"/>
            <w:szCs w:val="24"/>
          </w:rPr>
          <m:t>]</m:t>
        </m:r>
        <m:r>
          <m:rPr>
            <m:sty m:val="p"/>
          </m:rPr>
          <w:rPr>
            <w:rFonts w:ascii="Cambria Math" w:eastAsiaTheme="minorEastAsia" w:hAnsi="Cambria Math" w:cs="Times New Roman"/>
            <w:sz w:val="24"/>
            <w:szCs w:val="24"/>
          </w:rPr>
          <m:t>log⁡</m:t>
        </m:r>
        <m:r>
          <w:rPr>
            <w:rFonts w:ascii="Cambria Math" w:eastAsiaTheme="minorEastAsia" w:hAnsi="Cambria Math" w:cs="Times New Roman"/>
            <w:sz w:val="24"/>
            <w:szCs w:val="24"/>
          </w:rPr>
          <m:t>[</m:t>
        </m:r>
        <m:f>
          <m:fPr>
            <m:type m:val="lin"/>
            <m:ctrlPr>
              <w:rPr>
                <w:rFonts w:ascii="Cambria Math" w:eastAsiaTheme="minorEastAsia" w:hAnsi="Cambria Math" w:cs="Times New Roman"/>
                <w:i/>
                <w:sz w:val="24"/>
                <w:szCs w:val="24"/>
              </w:rPr>
            </m:ctrlPr>
          </m:fPr>
          <m:num>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e</m:t>
                </m:r>
              </m:e>
              <m:sub>
                <m:r>
                  <w:rPr>
                    <w:rFonts w:ascii="Cambria Math" w:eastAsiaTheme="minorEastAsia" w:hAnsi="Cambria Math" w:cs="Times New Roman"/>
                    <w:sz w:val="24"/>
                    <w:szCs w:val="24"/>
                  </w:rPr>
                  <m:t>it</m:t>
                </m:r>
              </m:sub>
              <m:sup>
                <m:r>
                  <w:rPr>
                    <w:rFonts w:ascii="Cambria Math" w:eastAsiaTheme="minorEastAsia" w:hAnsi="Cambria Math" w:cs="Times New Roman"/>
                    <w:sz w:val="24"/>
                    <w:szCs w:val="24"/>
                  </w:rPr>
                  <m:t>c</m:t>
                </m:r>
              </m:sup>
            </m:sSubSup>
          </m:num>
          <m:den>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e</m:t>
                </m:r>
              </m:e>
              <m:sub>
                <m:r>
                  <w:rPr>
                    <w:rFonts w:ascii="Cambria Math" w:eastAsiaTheme="minorEastAsia" w:hAnsi="Cambria Math" w:cs="Times New Roman"/>
                    <w:sz w:val="24"/>
                    <w:szCs w:val="24"/>
                  </w:rPr>
                  <m:t>it-N</m:t>
                </m:r>
              </m:sub>
              <m:sup>
                <m:r>
                  <w:rPr>
                    <w:rFonts w:ascii="Cambria Math" w:eastAsiaTheme="minorEastAsia" w:hAnsi="Cambria Math" w:cs="Times New Roman"/>
                    <w:sz w:val="24"/>
                    <w:szCs w:val="24"/>
                  </w:rPr>
                  <m:t>c</m:t>
                </m:r>
              </m:sup>
            </m:sSubSup>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β</m:t>
                </m:r>
              </m:e>
              <m:sub>
                <m:r>
                  <w:rPr>
                    <w:rFonts w:ascii="Cambria Math" w:eastAsiaTheme="minorEastAsia" w:hAnsi="Cambria Math" w:cs="Times New Roman"/>
                    <w:sz w:val="24"/>
                    <w:szCs w:val="24"/>
                  </w:rPr>
                  <m:t>0</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β</m:t>
                </m:r>
              </m:e>
              <m:sub>
                <m:r>
                  <w:rPr>
                    <w:rFonts w:ascii="Cambria Math" w:eastAsiaTheme="minorEastAsia" w:hAnsi="Cambria Math" w:cs="Times New Roman"/>
                    <w:sz w:val="24"/>
                    <w:szCs w:val="24"/>
                  </w:rPr>
                  <m:t>1</m:t>
                </m:r>
              </m:sub>
            </m:sSub>
            <m:func>
              <m:funcPr>
                <m:ctrlPr>
                  <w:rPr>
                    <w:rFonts w:ascii="Cambria Math" w:eastAsiaTheme="minorEastAsia" w:hAnsi="Cambria Math" w:cs="Times New Roman"/>
                    <w:sz w:val="24"/>
                    <w:szCs w:val="24"/>
                  </w:rPr>
                </m:ctrlPr>
              </m:funcPr>
              <m:fName>
                <m:r>
                  <m:rPr>
                    <m:sty m:val="p"/>
                  </m:rPr>
                  <w:rPr>
                    <w:rFonts w:ascii="Cambria Math" w:eastAsiaTheme="minorEastAsia" w:hAnsi="Cambria Math" w:cs="Times New Roman"/>
                    <w:sz w:val="24"/>
                    <w:szCs w:val="24"/>
                  </w:rPr>
                  <m:t>log</m:t>
                </m:r>
              </m:fName>
              <m:e>
                <m:d>
                  <m:dPr>
                    <m:begChr m:val="["/>
                    <m:endChr m:val="]"/>
                    <m:ctrlPr>
                      <w:rPr>
                        <w:rFonts w:ascii="Cambria Math" w:eastAsiaTheme="minorEastAsia" w:hAnsi="Cambria Math" w:cs="Times New Roman"/>
                        <w:i/>
                        <w:sz w:val="24"/>
                        <w:szCs w:val="24"/>
                      </w:rPr>
                    </m:ctrlPr>
                  </m:dPr>
                  <m:e>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e</m:t>
                        </m:r>
                      </m:e>
                      <m:sub>
                        <m:r>
                          <w:rPr>
                            <w:rFonts w:ascii="Cambria Math" w:eastAsiaTheme="minorEastAsia" w:hAnsi="Cambria Math" w:cs="Times New Roman"/>
                            <w:sz w:val="24"/>
                            <w:szCs w:val="24"/>
                          </w:rPr>
                          <m:t>it-N</m:t>
                        </m:r>
                      </m:sub>
                      <m:sup>
                        <m:r>
                          <w:rPr>
                            <w:rFonts w:ascii="Cambria Math" w:eastAsiaTheme="minorEastAsia" w:hAnsi="Cambria Math" w:cs="Times New Roman"/>
                            <w:sz w:val="24"/>
                            <w:szCs w:val="24"/>
                          </w:rPr>
                          <m:t>c</m:t>
                        </m:r>
                      </m:sup>
                    </m:sSubSup>
                  </m:e>
                </m:d>
              </m:e>
            </m:func>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μ</m:t>
                </m:r>
              </m:e>
              <m:sub>
                <m:r>
                  <w:rPr>
                    <w:rFonts w:ascii="Cambria Math" w:eastAsiaTheme="minorEastAsia" w:hAnsi="Cambria Math" w:cs="Times New Roman"/>
                    <w:sz w:val="24"/>
                    <w:szCs w:val="24"/>
                  </w:rPr>
                  <m:t>it</m:t>
                </m:r>
              </m:sub>
            </m:sSub>
          </m:den>
        </m:f>
      </m:oMath>
      <w:r w:rsidRPr="005517C4">
        <w:rPr>
          <w:rFonts w:ascii="Times New Roman" w:eastAsiaTheme="minorEastAsia" w:hAnsi="Times New Roman" w:cs="Times New Roman"/>
          <w:sz w:val="24"/>
          <w:szCs w:val="24"/>
        </w:rPr>
        <w:t xml:space="preserve"> </w:t>
      </w:r>
      <w:r w:rsidRPr="005517C4">
        <w:rPr>
          <w:rFonts w:ascii="Times New Roman" w:eastAsiaTheme="minorEastAsia" w:hAnsi="Times New Roman" w:cs="Times New Roman"/>
          <w:sz w:val="24"/>
          <w:szCs w:val="24"/>
        </w:rPr>
        <w:tab/>
      </w:r>
      <w:r w:rsidRPr="005517C4">
        <w:rPr>
          <w:rFonts w:ascii="Times New Roman" w:eastAsiaTheme="minorEastAsia" w:hAnsi="Times New Roman" w:cs="Times New Roman"/>
          <w:sz w:val="24"/>
          <w:szCs w:val="24"/>
        </w:rPr>
        <w:tab/>
      </w:r>
      <w:r w:rsidRPr="005517C4">
        <w:rPr>
          <w:rFonts w:ascii="Times New Roman" w:eastAsiaTheme="minorEastAsia" w:hAnsi="Times New Roman" w:cs="Times New Roman"/>
          <w:sz w:val="24"/>
          <w:szCs w:val="24"/>
        </w:rPr>
        <w:tab/>
        <w:t>(6)</w:t>
      </w:r>
    </w:p>
    <w:p w:rsidR="007519D3" w:rsidRPr="00856BF2" w:rsidRDefault="00856BF2" w:rsidP="00CC5796">
      <w:pPr>
        <w:spacing w:after="0" w:line="360" w:lineRule="auto"/>
        <w:jc w:val="both"/>
        <w:rPr>
          <w:rFonts w:ascii="Times New Roman" w:hAnsi="Times New Roman" w:cs="Times New Roman"/>
          <w:b/>
          <w:noProof/>
          <w:sz w:val="24"/>
          <w:szCs w:val="24"/>
          <w:lang w:val="en-US"/>
        </w:rPr>
      </w:pPr>
      <w:r>
        <w:rPr>
          <w:rFonts w:ascii="Times New Roman" w:hAnsi="Times New Roman" w:cs="Times New Roman"/>
          <w:b/>
          <w:noProof/>
          <w:sz w:val="24"/>
          <w:szCs w:val="24"/>
          <w:lang w:val="en-US"/>
        </w:rPr>
        <w:t xml:space="preserve">3. </w:t>
      </w:r>
      <w:r w:rsidR="00FC6718" w:rsidRPr="00856BF2">
        <w:rPr>
          <w:rFonts w:ascii="Times New Roman" w:hAnsi="Times New Roman" w:cs="Times New Roman"/>
          <w:b/>
          <w:noProof/>
          <w:sz w:val="24"/>
          <w:szCs w:val="24"/>
          <w:lang w:val="en-US"/>
        </w:rPr>
        <w:t xml:space="preserve">Literature </w:t>
      </w:r>
      <w:r>
        <w:rPr>
          <w:rFonts w:ascii="Times New Roman" w:hAnsi="Times New Roman" w:cs="Times New Roman"/>
          <w:b/>
          <w:noProof/>
          <w:sz w:val="24"/>
          <w:szCs w:val="24"/>
          <w:lang w:val="en-US"/>
        </w:rPr>
        <w:t>r</w:t>
      </w:r>
      <w:r w:rsidR="00FC6718" w:rsidRPr="00856BF2">
        <w:rPr>
          <w:rFonts w:ascii="Times New Roman" w:hAnsi="Times New Roman" w:cs="Times New Roman"/>
          <w:b/>
          <w:noProof/>
          <w:sz w:val="24"/>
          <w:szCs w:val="24"/>
          <w:lang w:val="en-US"/>
        </w:rPr>
        <w:t>eview</w:t>
      </w:r>
    </w:p>
    <w:p w:rsidR="00CD5A4F" w:rsidRPr="005517C4" w:rsidRDefault="00856BF2" w:rsidP="00A442F5">
      <w:pPr>
        <w:spacing w:after="0" w:line="360" w:lineRule="auto"/>
        <w:jc w:val="both"/>
        <w:rPr>
          <w:rFonts w:ascii="Times New Roman" w:eastAsiaTheme="minorEastAsia" w:hAnsi="Times New Roman" w:cs="Times New Roman"/>
          <w:sz w:val="24"/>
          <w:szCs w:val="24"/>
        </w:rPr>
      </w:pPr>
      <w:r>
        <w:rPr>
          <w:rFonts w:ascii="Times New Roman" w:hAnsi="Times New Roman" w:cs="Times New Roman"/>
          <w:noProof/>
          <w:sz w:val="24"/>
          <w:szCs w:val="24"/>
          <w:lang w:val="en-US"/>
        </w:rPr>
        <w:t>The research on e</w:t>
      </w:r>
      <w:r w:rsidR="00274483" w:rsidRPr="005517C4">
        <w:rPr>
          <w:rFonts w:ascii="Times New Roman" w:hAnsi="Times New Roman" w:cs="Times New Roman"/>
          <w:noProof/>
          <w:sz w:val="24"/>
          <w:szCs w:val="24"/>
          <w:lang w:val="en-US"/>
        </w:rPr>
        <w:t xml:space="preserve">nvironmental convergence </w:t>
      </w:r>
      <w:r w:rsidR="006B3A70" w:rsidRPr="005517C4">
        <w:rPr>
          <w:rFonts w:ascii="Times New Roman" w:hAnsi="Times New Roman" w:cs="Times New Roman"/>
          <w:noProof/>
          <w:sz w:val="24"/>
          <w:szCs w:val="24"/>
          <w:lang w:val="en-US"/>
        </w:rPr>
        <w:t xml:space="preserve">has been a </w:t>
      </w:r>
      <w:r w:rsidR="0024208F" w:rsidRPr="005517C4">
        <w:rPr>
          <w:rFonts w:ascii="Times New Roman" w:hAnsi="Times New Roman" w:cs="Times New Roman"/>
          <w:noProof/>
          <w:sz w:val="24"/>
          <w:szCs w:val="24"/>
          <w:lang w:val="en-US"/>
        </w:rPr>
        <w:t>widespread</w:t>
      </w:r>
      <w:r w:rsidR="006B3A70" w:rsidRPr="005517C4">
        <w:rPr>
          <w:rFonts w:ascii="Times New Roman" w:hAnsi="Times New Roman" w:cs="Times New Roman"/>
          <w:noProof/>
          <w:sz w:val="24"/>
          <w:szCs w:val="24"/>
          <w:lang w:val="en-US"/>
        </w:rPr>
        <w:t xml:space="preserve"> subject of </w:t>
      </w:r>
      <w:r>
        <w:rPr>
          <w:rFonts w:ascii="Times New Roman" w:hAnsi="Times New Roman" w:cs="Times New Roman"/>
          <w:noProof/>
          <w:sz w:val="24"/>
          <w:szCs w:val="24"/>
          <w:lang w:val="en-US"/>
        </w:rPr>
        <w:t xml:space="preserve">many </w:t>
      </w:r>
      <w:r w:rsidR="006B3A70" w:rsidRPr="005517C4">
        <w:rPr>
          <w:rFonts w:ascii="Times New Roman" w:hAnsi="Times New Roman" w:cs="Times New Roman"/>
          <w:noProof/>
          <w:sz w:val="24"/>
          <w:szCs w:val="24"/>
          <w:lang w:val="en-US"/>
        </w:rPr>
        <w:t xml:space="preserve">empirical studies </w:t>
      </w:r>
      <w:r>
        <w:rPr>
          <w:rFonts w:ascii="Times New Roman" w:hAnsi="Times New Roman" w:cs="Times New Roman"/>
          <w:noProof/>
          <w:sz w:val="24"/>
          <w:szCs w:val="24"/>
          <w:lang w:val="en-US"/>
        </w:rPr>
        <w:t xml:space="preserve">that have </w:t>
      </w:r>
      <w:r w:rsidR="006B3A70" w:rsidRPr="005517C4">
        <w:rPr>
          <w:rFonts w:ascii="Times New Roman" w:hAnsi="Times New Roman" w:cs="Times New Roman"/>
          <w:noProof/>
          <w:sz w:val="24"/>
          <w:szCs w:val="24"/>
          <w:lang w:val="en-US"/>
        </w:rPr>
        <w:t>follow</w:t>
      </w:r>
      <w:r>
        <w:rPr>
          <w:rFonts w:ascii="Times New Roman" w:hAnsi="Times New Roman" w:cs="Times New Roman"/>
          <w:noProof/>
          <w:sz w:val="24"/>
          <w:szCs w:val="24"/>
          <w:lang w:val="en-US"/>
        </w:rPr>
        <w:t>ed</w:t>
      </w:r>
      <w:r w:rsidR="006B3A70" w:rsidRPr="005517C4">
        <w:rPr>
          <w:rFonts w:ascii="Times New Roman" w:hAnsi="Times New Roman" w:cs="Times New Roman"/>
          <w:noProof/>
          <w:sz w:val="24"/>
          <w:szCs w:val="24"/>
          <w:lang w:val="en-US"/>
        </w:rPr>
        <w:t xml:space="preserve"> different methodologies used in </w:t>
      </w:r>
      <w:r>
        <w:rPr>
          <w:rFonts w:ascii="Times New Roman" w:hAnsi="Times New Roman" w:cs="Times New Roman"/>
          <w:noProof/>
          <w:sz w:val="24"/>
          <w:szCs w:val="24"/>
          <w:lang w:val="en-US"/>
        </w:rPr>
        <w:t>the relevant</w:t>
      </w:r>
      <w:r w:rsidR="006B3A70" w:rsidRPr="005517C4">
        <w:rPr>
          <w:rFonts w:ascii="Times New Roman" w:hAnsi="Times New Roman" w:cs="Times New Roman"/>
          <w:noProof/>
          <w:sz w:val="24"/>
          <w:szCs w:val="24"/>
          <w:lang w:val="en-US"/>
        </w:rPr>
        <w:t xml:space="preserve"> literature.</w:t>
      </w:r>
      <w:r w:rsidR="0024208F" w:rsidRPr="005517C4">
        <w:rPr>
          <w:rFonts w:ascii="Times New Roman" w:hAnsi="Times New Roman" w:cs="Times New Roman"/>
          <w:noProof/>
          <w:sz w:val="24"/>
          <w:szCs w:val="24"/>
          <w:lang w:val="en-US"/>
        </w:rPr>
        <w:t xml:space="preserve"> </w:t>
      </w:r>
      <w:r>
        <w:rPr>
          <w:rFonts w:ascii="Times New Roman" w:hAnsi="Times New Roman" w:cs="Times New Roman"/>
          <w:noProof/>
          <w:sz w:val="24"/>
          <w:szCs w:val="24"/>
          <w:lang w:val="en-US"/>
        </w:rPr>
        <w:t>Certain e</w:t>
      </w:r>
      <w:r w:rsidR="007F54FD" w:rsidRPr="005517C4">
        <w:rPr>
          <w:rFonts w:ascii="Times New Roman" w:hAnsi="Times New Roman" w:cs="Times New Roman"/>
          <w:noProof/>
          <w:sz w:val="24"/>
          <w:szCs w:val="24"/>
          <w:lang w:val="en-US"/>
        </w:rPr>
        <w:t xml:space="preserve">stimation </w:t>
      </w:r>
      <w:r>
        <w:rPr>
          <w:rFonts w:ascii="Times New Roman" w:hAnsi="Times New Roman" w:cs="Times New Roman"/>
          <w:noProof/>
          <w:sz w:val="24"/>
          <w:szCs w:val="24"/>
          <w:lang w:val="en-US"/>
        </w:rPr>
        <w:t>methodologies</w:t>
      </w:r>
      <w:r w:rsidR="007F54FD" w:rsidRPr="005517C4">
        <w:rPr>
          <w:rFonts w:ascii="Times New Roman" w:hAnsi="Times New Roman" w:cs="Times New Roman"/>
          <w:noProof/>
          <w:sz w:val="24"/>
          <w:szCs w:val="24"/>
          <w:lang w:val="en-US"/>
        </w:rPr>
        <w:t xml:space="preserve"> </w:t>
      </w:r>
      <w:r>
        <w:rPr>
          <w:rFonts w:ascii="Times New Roman" w:hAnsi="Times New Roman" w:cs="Times New Roman"/>
          <w:noProof/>
          <w:sz w:val="24"/>
          <w:szCs w:val="24"/>
          <w:lang w:val="en-US"/>
        </w:rPr>
        <w:t>range</w:t>
      </w:r>
      <w:r w:rsidR="00436DB9" w:rsidRPr="005517C4">
        <w:rPr>
          <w:rFonts w:ascii="Times New Roman" w:hAnsi="Times New Roman" w:cs="Times New Roman"/>
          <w:noProof/>
          <w:sz w:val="24"/>
          <w:szCs w:val="24"/>
          <w:lang w:val="en-US"/>
        </w:rPr>
        <w:t xml:space="preserve"> from time series analyse</w:t>
      </w:r>
      <w:r w:rsidR="0024208F" w:rsidRPr="005517C4">
        <w:rPr>
          <w:rFonts w:ascii="Times New Roman" w:hAnsi="Times New Roman" w:cs="Times New Roman"/>
          <w:noProof/>
          <w:sz w:val="24"/>
          <w:szCs w:val="24"/>
          <w:lang w:val="en-US"/>
        </w:rPr>
        <w:t>s</w:t>
      </w:r>
      <w:r w:rsidR="00E05EF5" w:rsidRPr="005517C4">
        <w:rPr>
          <w:rFonts w:ascii="Times New Roman" w:hAnsi="Times New Roman" w:cs="Times New Roman"/>
          <w:noProof/>
          <w:sz w:val="24"/>
          <w:szCs w:val="24"/>
          <w:lang w:val="en-US"/>
        </w:rPr>
        <w:t xml:space="preserve"> </w:t>
      </w:r>
      <w:r w:rsidR="007F54FD" w:rsidRPr="005517C4">
        <w:rPr>
          <w:rFonts w:ascii="Times New Roman" w:hAnsi="Times New Roman" w:cs="Times New Roman"/>
          <w:noProof/>
          <w:sz w:val="24"/>
          <w:szCs w:val="24"/>
          <w:lang w:val="en-US"/>
        </w:rPr>
        <w:t>t</w:t>
      </w:r>
      <w:r w:rsidR="0024208F" w:rsidRPr="005517C4">
        <w:rPr>
          <w:rFonts w:ascii="Times New Roman" w:hAnsi="Times New Roman" w:cs="Times New Roman"/>
          <w:noProof/>
          <w:sz w:val="24"/>
          <w:szCs w:val="24"/>
          <w:lang w:val="en-US"/>
        </w:rPr>
        <w:t xml:space="preserve">o panel data </w:t>
      </w:r>
      <w:r w:rsidR="007F54FD" w:rsidRPr="005517C4">
        <w:rPr>
          <w:rFonts w:ascii="Times New Roman" w:hAnsi="Times New Roman" w:cs="Times New Roman"/>
          <w:noProof/>
          <w:sz w:val="24"/>
          <w:szCs w:val="24"/>
          <w:lang w:val="en-US"/>
        </w:rPr>
        <w:t>or</w:t>
      </w:r>
      <w:r w:rsidR="003223B7" w:rsidRPr="005517C4">
        <w:rPr>
          <w:rFonts w:ascii="Times New Roman" w:hAnsi="Times New Roman" w:cs="Times New Roman"/>
          <w:noProof/>
          <w:sz w:val="24"/>
          <w:szCs w:val="24"/>
          <w:lang w:val="en-US"/>
        </w:rPr>
        <w:t xml:space="preserve"> cross section analys</w:t>
      </w:r>
      <w:r w:rsidR="00436DB9" w:rsidRPr="005517C4">
        <w:rPr>
          <w:rFonts w:ascii="Times New Roman" w:hAnsi="Times New Roman" w:cs="Times New Roman"/>
          <w:noProof/>
          <w:sz w:val="24"/>
          <w:szCs w:val="24"/>
          <w:lang w:val="en-US"/>
        </w:rPr>
        <w:t>e</w:t>
      </w:r>
      <w:r w:rsidR="003223B7" w:rsidRPr="005517C4">
        <w:rPr>
          <w:rFonts w:ascii="Times New Roman" w:hAnsi="Times New Roman" w:cs="Times New Roman"/>
          <w:noProof/>
          <w:sz w:val="24"/>
          <w:szCs w:val="24"/>
          <w:lang w:val="en-US"/>
        </w:rPr>
        <w:t xml:space="preserve">s, as well as  </w:t>
      </w:r>
      <w:r w:rsidR="00905E89" w:rsidRPr="005517C4">
        <w:rPr>
          <w:rFonts w:ascii="Times New Roman" w:hAnsi="Times New Roman" w:cs="Times New Roman"/>
          <w:noProof/>
          <w:sz w:val="24"/>
          <w:szCs w:val="24"/>
          <w:lang w:val="en-US"/>
        </w:rPr>
        <w:t xml:space="preserve">different notations of convergence </w:t>
      </w:r>
      <w:r>
        <w:rPr>
          <w:rFonts w:ascii="Times New Roman" w:hAnsi="Times New Roman" w:cs="Times New Roman"/>
          <w:noProof/>
          <w:sz w:val="24"/>
          <w:szCs w:val="24"/>
          <w:lang w:val="en-US"/>
        </w:rPr>
        <w:t>have been also</w:t>
      </w:r>
      <w:r w:rsidR="00905E89" w:rsidRPr="005517C4">
        <w:rPr>
          <w:rFonts w:ascii="Times New Roman" w:hAnsi="Times New Roman" w:cs="Times New Roman"/>
          <w:noProof/>
          <w:sz w:val="24"/>
          <w:szCs w:val="24"/>
          <w:lang w:val="en-US"/>
        </w:rPr>
        <w:t xml:space="preserve"> analysed</w:t>
      </w:r>
      <w:r w:rsidR="003223B7" w:rsidRPr="005517C4">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The r</w:t>
      </w:r>
      <w:r w:rsidR="007F54FD" w:rsidRPr="005517C4">
        <w:rPr>
          <w:rFonts w:ascii="Times New Roman" w:hAnsi="Times New Roman" w:cs="Times New Roman"/>
          <w:noProof/>
          <w:sz w:val="24"/>
          <w:szCs w:val="24"/>
          <w:lang w:val="en-US"/>
        </w:rPr>
        <w:t xml:space="preserve">esults </w:t>
      </w:r>
      <w:r w:rsidR="00905E89" w:rsidRPr="005517C4">
        <w:rPr>
          <w:rFonts w:ascii="Times New Roman" w:hAnsi="Times New Roman" w:cs="Times New Roman"/>
          <w:noProof/>
          <w:sz w:val="24"/>
          <w:szCs w:val="24"/>
          <w:lang w:val="en-US"/>
        </w:rPr>
        <w:t>support different conclusions</w:t>
      </w:r>
      <w:r>
        <w:rPr>
          <w:rFonts w:ascii="Times New Roman" w:hAnsi="Times New Roman" w:cs="Times New Roman"/>
          <w:noProof/>
          <w:sz w:val="24"/>
          <w:szCs w:val="24"/>
          <w:lang w:val="en-US"/>
        </w:rPr>
        <w:t xml:space="preserve"> on</w:t>
      </w:r>
      <w:r w:rsidR="003223B7" w:rsidRPr="005517C4">
        <w:rPr>
          <w:rFonts w:ascii="Times New Roman" w:hAnsi="Times New Roman" w:cs="Times New Roman"/>
          <w:noProof/>
          <w:sz w:val="24"/>
          <w:szCs w:val="24"/>
          <w:lang w:val="en-US"/>
        </w:rPr>
        <w:t xml:space="preserve"> whether emissions emitted by countries converge or not</w:t>
      </w:r>
      <w:r w:rsidR="008221B2" w:rsidRPr="005517C4">
        <w:rPr>
          <w:rFonts w:ascii="Times New Roman" w:hAnsi="Times New Roman" w:cs="Times New Roman"/>
          <w:noProof/>
          <w:sz w:val="24"/>
          <w:szCs w:val="24"/>
          <w:lang w:val="en-US"/>
        </w:rPr>
        <w:t xml:space="preserve">. </w:t>
      </w:r>
      <w:r>
        <w:rPr>
          <w:rFonts w:ascii="Times New Roman" w:hAnsi="Times New Roman" w:cs="Times New Roman"/>
          <w:noProof/>
          <w:sz w:val="24"/>
          <w:szCs w:val="24"/>
          <w:lang w:val="en-US"/>
        </w:rPr>
        <w:t xml:space="preserve">The findings seem to be in </w:t>
      </w:r>
      <w:r w:rsidR="00234B23" w:rsidRPr="005517C4">
        <w:rPr>
          <w:rFonts w:ascii="Times New Roman" w:hAnsi="Times New Roman" w:cs="Times New Roman"/>
          <w:noProof/>
          <w:sz w:val="24"/>
          <w:szCs w:val="24"/>
          <w:lang w:val="en-US"/>
        </w:rPr>
        <w:t>favor of convergence</w:t>
      </w:r>
      <w:r>
        <w:rPr>
          <w:rFonts w:ascii="Times New Roman" w:hAnsi="Times New Roman" w:cs="Times New Roman"/>
          <w:noProof/>
          <w:sz w:val="24"/>
          <w:szCs w:val="24"/>
          <w:lang w:val="en-US"/>
        </w:rPr>
        <w:t>,</w:t>
      </w:r>
      <w:r w:rsidR="00234B23" w:rsidRPr="005517C4">
        <w:rPr>
          <w:rFonts w:ascii="Times New Roman" w:hAnsi="Times New Roman" w:cs="Times New Roman"/>
          <w:noProof/>
          <w:sz w:val="24"/>
          <w:szCs w:val="24"/>
          <w:lang w:val="en-US"/>
        </w:rPr>
        <w:t xml:space="preserve"> imply</w:t>
      </w:r>
      <w:r>
        <w:rPr>
          <w:rFonts w:ascii="Times New Roman" w:hAnsi="Times New Roman" w:cs="Times New Roman"/>
          <w:noProof/>
          <w:sz w:val="24"/>
          <w:szCs w:val="24"/>
          <w:lang w:val="en-US"/>
        </w:rPr>
        <w:t>ing</w:t>
      </w:r>
      <w:r w:rsidR="00234B23" w:rsidRPr="005517C4">
        <w:rPr>
          <w:rFonts w:ascii="Times New Roman" w:hAnsi="Times New Roman" w:cs="Times New Roman"/>
          <w:noProof/>
          <w:sz w:val="24"/>
          <w:szCs w:val="24"/>
          <w:lang w:val="en-US"/>
        </w:rPr>
        <w:t xml:space="preserve"> that emissions </w:t>
      </w:r>
      <w:r>
        <w:rPr>
          <w:rFonts w:ascii="Times New Roman" w:hAnsi="Times New Roman" w:cs="Times New Roman"/>
          <w:noProof/>
          <w:sz w:val="24"/>
          <w:szCs w:val="24"/>
          <w:lang w:val="en-US"/>
        </w:rPr>
        <w:t>are expected to</w:t>
      </w:r>
      <w:r w:rsidR="00234B23" w:rsidRPr="005517C4">
        <w:rPr>
          <w:rFonts w:ascii="Times New Roman" w:hAnsi="Times New Roman" w:cs="Times New Roman"/>
          <w:noProof/>
          <w:sz w:val="24"/>
          <w:szCs w:val="24"/>
          <w:lang w:val="en-US"/>
        </w:rPr>
        <w:t xml:space="preserve"> reach the same size a</w:t>
      </w:r>
      <w:r>
        <w:rPr>
          <w:rFonts w:ascii="Times New Roman" w:hAnsi="Times New Roman" w:cs="Times New Roman"/>
          <w:noProof/>
          <w:sz w:val="24"/>
          <w:szCs w:val="24"/>
          <w:lang w:val="en-US"/>
        </w:rPr>
        <w:t>cross</w:t>
      </w:r>
      <w:r w:rsidR="00234B23" w:rsidRPr="005517C4">
        <w:rPr>
          <w:rFonts w:ascii="Times New Roman" w:hAnsi="Times New Roman" w:cs="Times New Roman"/>
          <w:noProof/>
          <w:sz w:val="24"/>
          <w:szCs w:val="24"/>
          <w:lang w:val="en-US"/>
        </w:rPr>
        <w:t xml:space="preserve"> countries. </w:t>
      </w:r>
      <w:r>
        <w:rPr>
          <w:rFonts w:ascii="Times New Roman" w:hAnsi="Times New Roman" w:cs="Times New Roman"/>
          <w:noProof/>
          <w:sz w:val="24"/>
          <w:szCs w:val="24"/>
          <w:lang w:val="en-US"/>
        </w:rPr>
        <w:t>A number of</w:t>
      </w:r>
      <w:r w:rsidR="00716727" w:rsidRPr="005517C4">
        <w:rPr>
          <w:rFonts w:ascii="Times New Roman" w:hAnsi="Times New Roman" w:cs="Times New Roman"/>
          <w:noProof/>
          <w:sz w:val="24"/>
          <w:szCs w:val="24"/>
          <w:lang w:val="en-US"/>
        </w:rPr>
        <w:t xml:space="preserve"> </w:t>
      </w:r>
      <w:r w:rsidR="00975A43" w:rsidRPr="005517C4">
        <w:rPr>
          <w:rFonts w:ascii="Times New Roman" w:hAnsi="Times New Roman" w:cs="Times New Roman"/>
          <w:noProof/>
          <w:sz w:val="24"/>
          <w:szCs w:val="24"/>
          <w:lang w:val="en-US"/>
        </w:rPr>
        <w:t xml:space="preserve">novel </w:t>
      </w:r>
      <w:r w:rsidR="00716727" w:rsidRPr="005517C4">
        <w:rPr>
          <w:rFonts w:ascii="Times New Roman" w:hAnsi="Times New Roman" w:cs="Times New Roman"/>
          <w:noProof/>
          <w:sz w:val="24"/>
          <w:szCs w:val="24"/>
          <w:lang w:val="en-US"/>
        </w:rPr>
        <w:t xml:space="preserve">studies </w:t>
      </w:r>
      <w:r w:rsidR="00975A43" w:rsidRPr="005517C4">
        <w:rPr>
          <w:rFonts w:ascii="Times New Roman" w:hAnsi="Times New Roman" w:cs="Times New Roman"/>
          <w:noProof/>
          <w:sz w:val="24"/>
          <w:szCs w:val="24"/>
          <w:lang w:val="en-US"/>
        </w:rPr>
        <w:t xml:space="preserve">focusing on the convergence issue are </w:t>
      </w:r>
      <w:r>
        <w:rPr>
          <w:rFonts w:ascii="Times New Roman" w:hAnsi="Times New Roman" w:cs="Times New Roman"/>
          <w:noProof/>
          <w:sz w:val="24"/>
          <w:szCs w:val="24"/>
          <w:lang w:val="en-US"/>
        </w:rPr>
        <w:t>shown in Table 1, which</w:t>
      </w:r>
      <w:r w:rsidR="00880F26" w:rsidRPr="005517C4">
        <w:rPr>
          <w:rFonts w:ascii="Times New Roman" w:hAnsi="Times New Roman" w:cs="Times New Roman"/>
          <w:noProof/>
          <w:sz w:val="24"/>
          <w:szCs w:val="24"/>
          <w:lang w:val="en-US"/>
        </w:rPr>
        <w:t xml:space="preserve"> </w:t>
      </w:r>
      <w:r w:rsidR="00A442F5" w:rsidRPr="005517C4">
        <w:rPr>
          <w:rFonts w:ascii="Times New Roman" w:eastAsiaTheme="minorEastAsia" w:hAnsi="Times New Roman" w:cs="Times New Roman"/>
          <w:sz w:val="24"/>
          <w:szCs w:val="24"/>
        </w:rPr>
        <w:t>briefly summurizes the</w:t>
      </w:r>
      <w:r>
        <w:rPr>
          <w:rFonts w:ascii="Times New Roman" w:eastAsiaTheme="minorEastAsia" w:hAnsi="Times New Roman" w:cs="Times New Roman"/>
          <w:sz w:val="24"/>
          <w:szCs w:val="24"/>
        </w:rPr>
        <w:t>m</w:t>
      </w:r>
      <w:r w:rsidR="00A442F5" w:rsidRPr="005517C4">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based on certain criteria, such as the</w:t>
      </w:r>
      <w:r w:rsidR="00A442F5" w:rsidRPr="005517C4">
        <w:rPr>
          <w:rFonts w:ascii="Times New Roman" w:eastAsiaTheme="minorEastAsia" w:hAnsi="Times New Roman" w:cs="Times New Roman"/>
          <w:sz w:val="24"/>
          <w:szCs w:val="24"/>
        </w:rPr>
        <w:t xml:space="preserve"> sample period, </w:t>
      </w:r>
      <w:r>
        <w:rPr>
          <w:rFonts w:ascii="Times New Roman" w:eastAsiaTheme="minorEastAsia" w:hAnsi="Times New Roman" w:cs="Times New Roman"/>
          <w:sz w:val="24"/>
          <w:szCs w:val="24"/>
        </w:rPr>
        <w:t xml:space="preserve">the </w:t>
      </w:r>
      <w:r w:rsidR="00A442F5" w:rsidRPr="005517C4">
        <w:rPr>
          <w:rFonts w:ascii="Times New Roman" w:eastAsiaTheme="minorEastAsia" w:hAnsi="Times New Roman" w:cs="Times New Roman"/>
          <w:sz w:val="24"/>
          <w:szCs w:val="24"/>
        </w:rPr>
        <w:t>country</w:t>
      </w:r>
      <w:r>
        <w:rPr>
          <w:rFonts w:ascii="Times New Roman" w:eastAsiaTheme="minorEastAsia" w:hAnsi="Times New Roman" w:cs="Times New Roman"/>
          <w:sz w:val="24"/>
          <w:szCs w:val="24"/>
        </w:rPr>
        <w:t xml:space="preserve"> invlolved</w:t>
      </w:r>
      <w:r w:rsidR="00A442F5" w:rsidRPr="005517C4">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the </w:t>
      </w:r>
      <w:r w:rsidR="00A442F5" w:rsidRPr="005517C4">
        <w:rPr>
          <w:rFonts w:ascii="Times New Roman" w:eastAsiaTheme="minorEastAsia" w:hAnsi="Times New Roman" w:cs="Times New Roman"/>
          <w:sz w:val="24"/>
          <w:szCs w:val="24"/>
        </w:rPr>
        <w:t>methodology</w:t>
      </w:r>
      <w:r>
        <w:rPr>
          <w:rFonts w:ascii="Times New Roman" w:eastAsiaTheme="minorEastAsia" w:hAnsi="Times New Roman" w:cs="Times New Roman"/>
          <w:sz w:val="24"/>
          <w:szCs w:val="24"/>
        </w:rPr>
        <w:t xml:space="preserve"> followed</w:t>
      </w:r>
      <w:r w:rsidR="00A442F5" w:rsidRPr="005517C4">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and the type of </w:t>
      </w:r>
      <w:r w:rsidR="00A442F5" w:rsidRPr="005517C4">
        <w:rPr>
          <w:rFonts w:ascii="Times New Roman" w:eastAsiaTheme="minorEastAsia" w:hAnsi="Times New Roman" w:cs="Times New Roman"/>
          <w:sz w:val="24"/>
          <w:szCs w:val="24"/>
        </w:rPr>
        <w:t>variable</w:t>
      </w:r>
      <w:r>
        <w:rPr>
          <w:rFonts w:ascii="Times New Roman" w:eastAsiaTheme="minorEastAsia" w:hAnsi="Times New Roman" w:cs="Times New Roman"/>
          <w:sz w:val="24"/>
          <w:szCs w:val="24"/>
        </w:rPr>
        <w:t>s included</w:t>
      </w:r>
      <w:r w:rsidR="00A442F5" w:rsidRPr="005517C4">
        <w:rPr>
          <w:rFonts w:ascii="Times New Roman" w:eastAsiaTheme="minorEastAsia" w:hAnsi="Times New Roman" w:cs="Times New Roman"/>
          <w:sz w:val="24"/>
          <w:szCs w:val="24"/>
        </w:rPr>
        <w:t>.</w:t>
      </w:r>
    </w:p>
    <w:tbl>
      <w:tblPr>
        <w:tblStyle w:val="a8"/>
        <w:tblpPr w:leftFromText="180" w:rightFromText="180" w:vertAnchor="text" w:horzAnchor="margin" w:tblpXSpec="center" w:tblpY="458"/>
        <w:tblW w:w="10442" w:type="dxa"/>
        <w:tblLayout w:type="fixed"/>
        <w:tblLook w:val="04A0"/>
      </w:tblPr>
      <w:tblGrid>
        <w:gridCol w:w="1667"/>
        <w:gridCol w:w="805"/>
        <w:gridCol w:w="1308"/>
        <w:gridCol w:w="2835"/>
        <w:gridCol w:w="959"/>
        <w:gridCol w:w="2868"/>
      </w:tblGrid>
      <w:tr w:rsidR="005517C4" w:rsidRPr="005517C4" w:rsidTr="006C6A16">
        <w:trPr>
          <w:trHeight w:val="251"/>
          <w:tblHeader/>
        </w:trPr>
        <w:tc>
          <w:tcPr>
            <w:tcW w:w="10442" w:type="dxa"/>
            <w:gridSpan w:val="6"/>
            <w:tcBorders>
              <w:top w:val="nil"/>
              <w:left w:val="nil"/>
              <w:right w:val="nil"/>
            </w:tcBorders>
            <w:vAlign w:val="center"/>
          </w:tcPr>
          <w:p w:rsidR="00671631" w:rsidRPr="005517C4" w:rsidRDefault="00856BF2" w:rsidP="00856BF2">
            <w:pPr>
              <w:autoSpaceDE w:val="0"/>
              <w:autoSpaceDN w:val="0"/>
              <w:adjustRightInd w:val="0"/>
              <w:rPr>
                <w:rFonts w:ascii="Times New Roman" w:hAnsi="Times New Roman" w:cs="Times New Roman"/>
                <w:b/>
                <w:sz w:val="18"/>
                <w:szCs w:val="18"/>
              </w:rPr>
            </w:pPr>
            <w:r>
              <w:rPr>
                <w:rFonts w:ascii="Times New Roman" w:hAnsi="Times New Roman" w:cs="Times New Roman"/>
                <w:b/>
                <w:noProof/>
                <w:sz w:val="24"/>
                <w:szCs w:val="24"/>
                <w:lang w:val="en-US"/>
              </w:rPr>
              <w:t>Table 1.</w:t>
            </w:r>
            <w:r w:rsidR="00671631" w:rsidRPr="005517C4">
              <w:rPr>
                <w:rFonts w:ascii="Times New Roman" w:hAnsi="Times New Roman" w:cs="Times New Roman"/>
                <w:b/>
                <w:noProof/>
                <w:sz w:val="24"/>
                <w:szCs w:val="24"/>
                <w:lang w:val="en-US"/>
              </w:rPr>
              <w:t xml:space="preserve"> </w:t>
            </w:r>
            <w:r w:rsidRPr="00856BF2">
              <w:rPr>
                <w:rFonts w:ascii="Times New Roman" w:hAnsi="Times New Roman" w:cs="Times New Roman"/>
                <w:noProof/>
                <w:sz w:val="24"/>
                <w:szCs w:val="24"/>
                <w:lang w:val="en-US"/>
              </w:rPr>
              <w:t>L</w:t>
            </w:r>
            <w:r w:rsidR="00671631" w:rsidRPr="00856BF2">
              <w:rPr>
                <w:rFonts w:ascii="Times New Roman" w:hAnsi="Times New Roman" w:cs="Times New Roman"/>
                <w:noProof/>
                <w:sz w:val="24"/>
                <w:szCs w:val="24"/>
                <w:lang w:val="en-US"/>
              </w:rPr>
              <w:t xml:space="preserve">iterature </w:t>
            </w:r>
            <w:r w:rsidRPr="00856BF2">
              <w:rPr>
                <w:rFonts w:ascii="Times New Roman" w:hAnsi="Times New Roman" w:cs="Times New Roman"/>
                <w:noProof/>
                <w:sz w:val="24"/>
                <w:szCs w:val="24"/>
                <w:lang w:val="en-US"/>
              </w:rPr>
              <w:t>r</w:t>
            </w:r>
            <w:r w:rsidR="00671631" w:rsidRPr="00856BF2">
              <w:rPr>
                <w:rFonts w:ascii="Times New Roman" w:hAnsi="Times New Roman" w:cs="Times New Roman"/>
                <w:noProof/>
                <w:sz w:val="24"/>
                <w:szCs w:val="24"/>
                <w:lang w:val="en-US"/>
              </w:rPr>
              <w:t>eview</w:t>
            </w:r>
            <w:r w:rsidRPr="00856BF2">
              <w:rPr>
                <w:rFonts w:ascii="Times New Roman" w:hAnsi="Times New Roman" w:cs="Times New Roman"/>
                <w:noProof/>
                <w:sz w:val="24"/>
                <w:szCs w:val="24"/>
                <w:lang w:val="en-US"/>
              </w:rPr>
              <w:t xml:space="preserve"> on environmental convergence</w:t>
            </w:r>
          </w:p>
        </w:tc>
      </w:tr>
      <w:tr w:rsidR="005517C4" w:rsidRPr="005517C4" w:rsidTr="006C6A16">
        <w:trPr>
          <w:trHeight w:val="251"/>
          <w:tblHeader/>
        </w:trPr>
        <w:tc>
          <w:tcPr>
            <w:tcW w:w="1667" w:type="dxa"/>
            <w:vAlign w:val="center"/>
          </w:tcPr>
          <w:p w:rsidR="00A442F5" w:rsidRPr="005517C4" w:rsidRDefault="00A442F5" w:rsidP="00A442F5">
            <w:pPr>
              <w:autoSpaceDE w:val="0"/>
              <w:autoSpaceDN w:val="0"/>
              <w:adjustRightInd w:val="0"/>
              <w:rPr>
                <w:rFonts w:ascii="Times New Roman" w:hAnsi="Times New Roman" w:cs="Times New Roman"/>
                <w:b/>
                <w:sz w:val="18"/>
                <w:szCs w:val="18"/>
              </w:rPr>
            </w:pPr>
            <w:r w:rsidRPr="005517C4">
              <w:rPr>
                <w:rFonts w:ascii="Times New Roman" w:hAnsi="Times New Roman" w:cs="Times New Roman"/>
                <w:b/>
                <w:sz w:val="18"/>
                <w:szCs w:val="18"/>
              </w:rPr>
              <w:t>Author/s</w:t>
            </w:r>
          </w:p>
        </w:tc>
        <w:tc>
          <w:tcPr>
            <w:tcW w:w="805" w:type="dxa"/>
            <w:vAlign w:val="center"/>
          </w:tcPr>
          <w:p w:rsidR="00A442F5" w:rsidRPr="005517C4" w:rsidRDefault="00A442F5" w:rsidP="00A442F5">
            <w:pPr>
              <w:autoSpaceDE w:val="0"/>
              <w:autoSpaceDN w:val="0"/>
              <w:adjustRightInd w:val="0"/>
              <w:rPr>
                <w:rFonts w:ascii="Times New Roman" w:hAnsi="Times New Roman" w:cs="Times New Roman"/>
                <w:b/>
                <w:sz w:val="18"/>
                <w:szCs w:val="18"/>
              </w:rPr>
            </w:pPr>
            <w:r w:rsidRPr="005517C4">
              <w:rPr>
                <w:rFonts w:ascii="Times New Roman" w:hAnsi="Times New Roman" w:cs="Times New Roman"/>
                <w:b/>
                <w:sz w:val="18"/>
                <w:szCs w:val="18"/>
              </w:rPr>
              <w:t>Period</w:t>
            </w:r>
          </w:p>
        </w:tc>
        <w:tc>
          <w:tcPr>
            <w:tcW w:w="1308" w:type="dxa"/>
            <w:vAlign w:val="center"/>
          </w:tcPr>
          <w:p w:rsidR="00A442F5" w:rsidRPr="005517C4" w:rsidRDefault="00A442F5" w:rsidP="00A442F5">
            <w:pPr>
              <w:autoSpaceDE w:val="0"/>
              <w:autoSpaceDN w:val="0"/>
              <w:adjustRightInd w:val="0"/>
              <w:rPr>
                <w:rFonts w:ascii="Times New Roman" w:hAnsi="Times New Roman" w:cs="Times New Roman"/>
                <w:b/>
                <w:sz w:val="18"/>
                <w:szCs w:val="18"/>
              </w:rPr>
            </w:pPr>
            <w:r w:rsidRPr="005517C4">
              <w:rPr>
                <w:rFonts w:ascii="Times New Roman" w:hAnsi="Times New Roman" w:cs="Times New Roman"/>
                <w:b/>
                <w:sz w:val="18"/>
                <w:szCs w:val="18"/>
              </w:rPr>
              <w:t>Country</w:t>
            </w:r>
          </w:p>
        </w:tc>
        <w:tc>
          <w:tcPr>
            <w:tcW w:w="2835" w:type="dxa"/>
            <w:vAlign w:val="center"/>
          </w:tcPr>
          <w:p w:rsidR="00A442F5" w:rsidRPr="005517C4" w:rsidRDefault="00A442F5" w:rsidP="00A442F5">
            <w:pPr>
              <w:autoSpaceDE w:val="0"/>
              <w:autoSpaceDN w:val="0"/>
              <w:adjustRightInd w:val="0"/>
              <w:rPr>
                <w:rFonts w:ascii="Times New Roman" w:hAnsi="Times New Roman" w:cs="Times New Roman"/>
                <w:b/>
                <w:sz w:val="18"/>
                <w:szCs w:val="18"/>
              </w:rPr>
            </w:pPr>
            <w:r w:rsidRPr="005517C4">
              <w:rPr>
                <w:rFonts w:ascii="Times New Roman" w:hAnsi="Times New Roman" w:cs="Times New Roman"/>
                <w:b/>
                <w:sz w:val="18"/>
                <w:szCs w:val="18"/>
              </w:rPr>
              <w:t>Methodology</w:t>
            </w:r>
          </w:p>
        </w:tc>
        <w:tc>
          <w:tcPr>
            <w:tcW w:w="959" w:type="dxa"/>
            <w:vAlign w:val="center"/>
          </w:tcPr>
          <w:p w:rsidR="00A442F5" w:rsidRPr="005517C4" w:rsidRDefault="00A442F5" w:rsidP="00A442F5">
            <w:pPr>
              <w:autoSpaceDE w:val="0"/>
              <w:autoSpaceDN w:val="0"/>
              <w:adjustRightInd w:val="0"/>
              <w:rPr>
                <w:rFonts w:ascii="Times New Roman" w:hAnsi="Times New Roman" w:cs="Times New Roman"/>
                <w:b/>
                <w:sz w:val="18"/>
                <w:szCs w:val="18"/>
              </w:rPr>
            </w:pPr>
            <w:r w:rsidRPr="005517C4">
              <w:rPr>
                <w:rFonts w:ascii="Times New Roman" w:hAnsi="Times New Roman" w:cs="Times New Roman"/>
                <w:b/>
                <w:sz w:val="18"/>
                <w:szCs w:val="18"/>
              </w:rPr>
              <w:t>Variable</w:t>
            </w:r>
          </w:p>
        </w:tc>
        <w:tc>
          <w:tcPr>
            <w:tcW w:w="2868" w:type="dxa"/>
            <w:vAlign w:val="center"/>
          </w:tcPr>
          <w:p w:rsidR="00A442F5" w:rsidRPr="005517C4" w:rsidRDefault="00A442F5" w:rsidP="00A442F5">
            <w:pPr>
              <w:autoSpaceDE w:val="0"/>
              <w:autoSpaceDN w:val="0"/>
              <w:adjustRightInd w:val="0"/>
              <w:rPr>
                <w:rFonts w:ascii="Times New Roman" w:hAnsi="Times New Roman" w:cs="Times New Roman"/>
                <w:b/>
                <w:sz w:val="18"/>
                <w:szCs w:val="18"/>
              </w:rPr>
            </w:pPr>
            <w:r w:rsidRPr="005517C4">
              <w:rPr>
                <w:rFonts w:ascii="Times New Roman" w:hAnsi="Times New Roman" w:cs="Times New Roman"/>
                <w:b/>
                <w:sz w:val="18"/>
                <w:szCs w:val="18"/>
              </w:rPr>
              <w:t>Emprical Findings</w:t>
            </w:r>
          </w:p>
        </w:tc>
      </w:tr>
      <w:tr w:rsidR="00217809" w:rsidRPr="005517C4" w:rsidTr="006C6A16">
        <w:trPr>
          <w:trHeight w:val="366"/>
        </w:trPr>
        <w:tc>
          <w:tcPr>
            <w:tcW w:w="1667" w:type="dxa"/>
            <w:vAlign w:val="center"/>
          </w:tcPr>
          <w:p w:rsidR="00217809" w:rsidRPr="005517C4" w:rsidRDefault="006578EE" w:rsidP="00217809">
            <w:pPr>
              <w:rPr>
                <w:rFonts w:ascii="Times New Roman" w:hAnsi="Times New Roman" w:cs="Times New Roman"/>
                <w:noProof/>
                <w:sz w:val="18"/>
                <w:szCs w:val="18"/>
                <w:lang w:val="en-US"/>
              </w:rPr>
            </w:pPr>
            <w:r w:rsidRPr="005517C4">
              <w:rPr>
                <w:rFonts w:ascii="Times New Roman" w:hAnsi="Times New Roman" w:cs="Times New Roman"/>
                <w:noProof/>
                <w:sz w:val="18"/>
                <w:szCs w:val="18"/>
                <w:lang w:val="en-US"/>
              </w:rPr>
              <w:fldChar w:fldCharType="begin" w:fldLock="1"/>
            </w:r>
            <w:r w:rsidR="00216FA4">
              <w:rPr>
                <w:rFonts w:ascii="Times New Roman" w:hAnsi="Times New Roman" w:cs="Times New Roman"/>
                <w:noProof/>
                <w:sz w:val="18"/>
                <w:szCs w:val="18"/>
                <w:lang w:val="en-US"/>
              </w:rPr>
              <w:instrText>ADDIN CSL_CITATION { "citationItems" : [ { "id" : "ITEM-1", "itemData" : { "DOI" : "10.2307/1060840", "ISSN" : "00384038", "author" : [ { "dropping-particle" : "", "family" : "List", "given" : "John A.", "non-dropping-particle" : "", "parse-names" : false, "suffix" : "" } ], "container-title" : "Southern Economic Journal", "id" : "ITEM-1", "issue" : "1", "issued" : { "date-parts" : [ [ "1999", "7" ] ] }, "page" : "144", "title" : "Have Air Pollutant Emissions Converged among U. S. Regions? Evidence from Unit Root Tests", "type" : "article-journal", "volume" : "66" }, "uris" : [ "http://www.mendeley.com/documents/?uuid=3ad99ab4-62d1-34eb-b651-efa80f8356cc" ] } ], "mendeley" : { "formattedCitation" : "(List 1999)", "manualFormatting" : "List (1999)", "plainTextFormattedCitation" : "(List 1999)", "previouslyFormattedCitation" : "(List 1999)" }, "properties" : { "noteIndex" : 0 }, "schema" : "https://github.com/citation-style-language/schema/raw/master/csl-citation.json" }</w:instrText>
            </w:r>
            <w:r w:rsidRPr="005517C4">
              <w:rPr>
                <w:rFonts w:ascii="Times New Roman" w:hAnsi="Times New Roman" w:cs="Times New Roman"/>
                <w:noProof/>
                <w:sz w:val="18"/>
                <w:szCs w:val="18"/>
                <w:lang w:val="en-US"/>
              </w:rPr>
              <w:fldChar w:fldCharType="separate"/>
            </w:r>
            <w:r w:rsidR="00217809" w:rsidRPr="005517C4">
              <w:rPr>
                <w:rFonts w:ascii="Times New Roman" w:hAnsi="Times New Roman" w:cs="Times New Roman"/>
                <w:noProof/>
                <w:sz w:val="18"/>
                <w:szCs w:val="18"/>
                <w:lang w:val="en-US"/>
              </w:rPr>
              <w:t>List (1999)</w:t>
            </w:r>
            <w:r w:rsidRPr="005517C4">
              <w:rPr>
                <w:rFonts w:ascii="Times New Roman" w:hAnsi="Times New Roman" w:cs="Times New Roman"/>
                <w:noProof/>
                <w:sz w:val="18"/>
                <w:szCs w:val="18"/>
                <w:lang w:val="en-US"/>
              </w:rPr>
              <w:fldChar w:fldCharType="end"/>
            </w:r>
          </w:p>
        </w:tc>
        <w:tc>
          <w:tcPr>
            <w:tcW w:w="805" w:type="dxa"/>
            <w:vAlign w:val="center"/>
          </w:tcPr>
          <w:p w:rsidR="00217809" w:rsidRPr="005517C4" w:rsidRDefault="00217809" w:rsidP="00217809">
            <w:pPr>
              <w:rPr>
                <w:rFonts w:ascii="Times New Roman" w:hAnsi="Times New Roman" w:cs="Times New Roman"/>
                <w:noProof/>
                <w:sz w:val="18"/>
                <w:szCs w:val="18"/>
                <w:lang w:val="en-US"/>
              </w:rPr>
            </w:pPr>
            <w:r w:rsidRPr="005517C4">
              <w:rPr>
                <w:rFonts w:ascii="Times New Roman" w:hAnsi="Times New Roman" w:cs="Times New Roman"/>
                <w:noProof/>
                <w:sz w:val="18"/>
                <w:szCs w:val="18"/>
                <w:lang w:val="en-US"/>
              </w:rPr>
              <w:t>1929-1994</w:t>
            </w:r>
          </w:p>
        </w:tc>
        <w:tc>
          <w:tcPr>
            <w:tcW w:w="1308" w:type="dxa"/>
            <w:vAlign w:val="center"/>
          </w:tcPr>
          <w:p w:rsidR="00217809" w:rsidRPr="005517C4" w:rsidRDefault="00217809" w:rsidP="00217809">
            <w:pPr>
              <w:rPr>
                <w:rFonts w:ascii="Times New Roman" w:hAnsi="Times New Roman" w:cs="Times New Roman"/>
                <w:noProof/>
                <w:sz w:val="18"/>
                <w:szCs w:val="18"/>
                <w:lang w:val="en-US"/>
              </w:rPr>
            </w:pPr>
            <w:r w:rsidRPr="005517C4">
              <w:rPr>
                <w:rFonts w:ascii="Times New Roman" w:hAnsi="Times New Roman" w:cs="Times New Roman"/>
                <w:noProof/>
                <w:sz w:val="18"/>
                <w:szCs w:val="18"/>
                <w:lang w:val="en-US"/>
              </w:rPr>
              <w:t>U.S. States</w:t>
            </w:r>
          </w:p>
        </w:tc>
        <w:tc>
          <w:tcPr>
            <w:tcW w:w="2835" w:type="dxa"/>
            <w:vAlign w:val="center"/>
          </w:tcPr>
          <w:p w:rsidR="00217809" w:rsidRPr="005517C4" w:rsidRDefault="00217809" w:rsidP="00217809">
            <w:pPr>
              <w:rPr>
                <w:rFonts w:ascii="Times New Roman" w:hAnsi="Times New Roman" w:cs="Times New Roman"/>
                <w:noProof/>
                <w:sz w:val="18"/>
                <w:szCs w:val="18"/>
                <w:lang w:val="en-US"/>
              </w:rPr>
            </w:pPr>
            <w:r>
              <w:rPr>
                <w:rFonts w:ascii="Times New Roman" w:hAnsi="Times New Roman" w:cs="Times New Roman"/>
                <w:noProof/>
                <w:sz w:val="18"/>
                <w:szCs w:val="18"/>
                <w:lang w:val="en-US"/>
              </w:rPr>
              <w:t>Time series unit root</w:t>
            </w:r>
          </w:p>
        </w:tc>
        <w:tc>
          <w:tcPr>
            <w:tcW w:w="959" w:type="dxa"/>
            <w:vAlign w:val="center"/>
          </w:tcPr>
          <w:p w:rsidR="00217809" w:rsidRPr="005517C4" w:rsidRDefault="00217809" w:rsidP="00217809">
            <w:pPr>
              <w:rPr>
                <w:rFonts w:ascii="Times New Roman" w:hAnsi="Times New Roman" w:cs="Times New Roman"/>
                <w:noProof/>
                <w:sz w:val="18"/>
                <w:szCs w:val="18"/>
                <w:lang w:val="en-US"/>
              </w:rPr>
            </w:pPr>
            <w:r w:rsidRPr="005517C4">
              <w:rPr>
                <w:sz w:val="18"/>
                <w:szCs w:val="18"/>
              </w:rPr>
              <w:t>SO</w:t>
            </w:r>
            <w:r w:rsidRPr="005517C4">
              <w:rPr>
                <w:sz w:val="18"/>
                <w:szCs w:val="18"/>
                <w:vertAlign w:val="subscript"/>
              </w:rPr>
              <w:t>2</w:t>
            </w:r>
            <w:r w:rsidRPr="005517C4">
              <w:rPr>
                <w:sz w:val="18"/>
                <w:szCs w:val="18"/>
              </w:rPr>
              <w:t>, NO</w:t>
            </w:r>
            <w:r w:rsidRPr="005517C4">
              <w:rPr>
                <w:sz w:val="18"/>
                <w:szCs w:val="18"/>
                <w:vertAlign w:val="subscript"/>
              </w:rPr>
              <w:t>2</w:t>
            </w:r>
          </w:p>
        </w:tc>
        <w:tc>
          <w:tcPr>
            <w:tcW w:w="2868" w:type="dxa"/>
            <w:vAlign w:val="center"/>
          </w:tcPr>
          <w:p w:rsidR="00217809" w:rsidRPr="005517C4" w:rsidRDefault="00217809" w:rsidP="00217809">
            <w:pPr>
              <w:rPr>
                <w:rFonts w:ascii="Times New Roman" w:hAnsi="Times New Roman" w:cs="Times New Roman"/>
                <w:noProof/>
                <w:sz w:val="18"/>
                <w:szCs w:val="18"/>
                <w:lang w:val="en-US"/>
              </w:rPr>
            </w:pPr>
            <w:r>
              <w:rPr>
                <w:rFonts w:ascii="Times New Roman" w:hAnsi="Times New Roman" w:cs="Times New Roman"/>
                <w:noProof/>
                <w:sz w:val="18"/>
                <w:szCs w:val="18"/>
                <w:lang w:val="en-US"/>
              </w:rPr>
              <w:t>Some evidence for convergence</w:t>
            </w:r>
          </w:p>
        </w:tc>
      </w:tr>
      <w:tr w:rsidR="00217809" w:rsidRPr="005517C4" w:rsidTr="006C6A16">
        <w:trPr>
          <w:trHeight w:val="385"/>
        </w:trPr>
        <w:tc>
          <w:tcPr>
            <w:tcW w:w="1667" w:type="dxa"/>
            <w:vAlign w:val="center"/>
          </w:tcPr>
          <w:p w:rsidR="00217809" w:rsidRPr="005517C4" w:rsidRDefault="006578EE" w:rsidP="00217809">
            <w:pPr>
              <w:rPr>
                <w:rFonts w:ascii="Times New Roman" w:hAnsi="Times New Roman" w:cs="Times New Roman"/>
                <w:noProof/>
                <w:sz w:val="18"/>
                <w:szCs w:val="18"/>
                <w:lang w:val="en-US"/>
              </w:rPr>
            </w:pPr>
            <w:r w:rsidRPr="005517C4">
              <w:rPr>
                <w:rFonts w:ascii="Times New Roman" w:hAnsi="Times New Roman" w:cs="Times New Roman"/>
                <w:noProof/>
                <w:sz w:val="18"/>
                <w:szCs w:val="18"/>
                <w:lang w:val="en-US"/>
              </w:rPr>
              <w:fldChar w:fldCharType="begin" w:fldLock="1"/>
            </w:r>
            <w:r w:rsidR="00216FA4">
              <w:rPr>
                <w:rFonts w:ascii="Times New Roman" w:hAnsi="Times New Roman" w:cs="Times New Roman"/>
                <w:noProof/>
                <w:sz w:val="18"/>
                <w:szCs w:val="18"/>
                <w:lang w:val="en-US"/>
              </w:rPr>
              <w:instrText>ADDIN CSL_CITATION { "citationItems" : [ { "id" : "ITEM-1", "itemData" : { "DOI" : "10.5547/ISSN0195-6574-EJ-Vol25-No4-3", "ISSN" : "01956574", "author" : [ { "dropping-particle" : "", "family" : "Lanne", "given" : "Markku", "non-dropping-particle" : "", "parse-names" : false, "suffix" : "" }, { "dropping-particle" : "", "family" : "Liski", "given" : "Matti", "non-dropping-particle" : "", "parse-names" : false, "suffix" : "" } ], "container-title" : "The Energy Journal", "id" : "ITEM-1", "issue" : "4", "issued" : { "date-parts" : [ [ "2004", "10", "1" ] ] }, "publisher" : "International Association for Energy Economics", "title" : "Trends and Breaks in Per-Capita Carbon Dioxide Emissions, 1870-2028", "type" : "article-journal", "volume" : "25" }, "uris" : [ "http://www.mendeley.com/documents/?uuid=768db683-1ac0-3793-8b62-80c0e6a1183e" ] } ], "mendeley" : { "formattedCitation" : "(Lanne and Liski 2004)", "manualFormatting" : "Lanne and Liski (2004)", "plainTextFormattedCitation" : "(Lanne and Liski 2004)", "previouslyFormattedCitation" : "(Lanne and Liski 2004)" }, "properties" : { "noteIndex" : 0 }, "schema" : "https://github.com/citation-style-language/schema/raw/master/csl-citation.json" }</w:instrText>
            </w:r>
            <w:r w:rsidRPr="005517C4">
              <w:rPr>
                <w:rFonts w:ascii="Times New Roman" w:hAnsi="Times New Roman" w:cs="Times New Roman"/>
                <w:noProof/>
                <w:sz w:val="18"/>
                <w:szCs w:val="18"/>
                <w:lang w:val="en-US"/>
              </w:rPr>
              <w:fldChar w:fldCharType="separate"/>
            </w:r>
            <w:r w:rsidR="00217809" w:rsidRPr="005517C4">
              <w:rPr>
                <w:rFonts w:ascii="Times New Roman" w:hAnsi="Times New Roman" w:cs="Times New Roman"/>
                <w:noProof/>
                <w:sz w:val="18"/>
                <w:szCs w:val="18"/>
                <w:lang w:val="en-US"/>
              </w:rPr>
              <w:t>Lanne and Liski (2004)</w:t>
            </w:r>
            <w:r w:rsidRPr="005517C4">
              <w:rPr>
                <w:rFonts w:ascii="Times New Roman" w:hAnsi="Times New Roman" w:cs="Times New Roman"/>
                <w:noProof/>
                <w:sz w:val="18"/>
                <w:szCs w:val="18"/>
                <w:lang w:val="en-US"/>
              </w:rPr>
              <w:fldChar w:fldCharType="end"/>
            </w:r>
          </w:p>
        </w:tc>
        <w:tc>
          <w:tcPr>
            <w:tcW w:w="805" w:type="dxa"/>
            <w:vAlign w:val="center"/>
          </w:tcPr>
          <w:p w:rsidR="00217809" w:rsidRPr="005517C4" w:rsidRDefault="00217809" w:rsidP="00217809">
            <w:pPr>
              <w:rPr>
                <w:rFonts w:ascii="Times New Roman" w:hAnsi="Times New Roman" w:cs="Times New Roman"/>
                <w:noProof/>
                <w:sz w:val="18"/>
                <w:szCs w:val="18"/>
                <w:lang w:val="en-US"/>
              </w:rPr>
            </w:pPr>
            <w:r w:rsidRPr="005517C4">
              <w:rPr>
                <w:rFonts w:ascii="Times New Roman" w:hAnsi="Times New Roman" w:cs="Times New Roman"/>
                <w:noProof/>
                <w:sz w:val="18"/>
                <w:szCs w:val="18"/>
                <w:lang w:val="en-US"/>
              </w:rPr>
              <w:t>1870-2028</w:t>
            </w:r>
          </w:p>
        </w:tc>
        <w:tc>
          <w:tcPr>
            <w:tcW w:w="1308" w:type="dxa"/>
            <w:vAlign w:val="center"/>
          </w:tcPr>
          <w:p w:rsidR="00217809" w:rsidRPr="005517C4" w:rsidRDefault="00217809" w:rsidP="00217809">
            <w:pPr>
              <w:rPr>
                <w:rFonts w:ascii="Times New Roman" w:hAnsi="Times New Roman" w:cs="Times New Roman"/>
                <w:noProof/>
                <w:sz w:val="18"/>
                <w:szCs w:val="18"/>
                <w:lang w:val="en-US"/>
              </w:rPr>
            </w:pPr>
            <w:r w:rsidRPr="005517C4">
              <w:rPr>
                <w:rFonts w:ascii="Times New Roman" w:hAnsi="Times New Roman" w:cs="Times New Roman"/>
                <w:noProof/>
                <w:sz w:val="18"/>
                <w:szCs w:val="18"/>
                <w:lang w:val="en-US"/>
              </w:rPr>
              <w:t>16 countries</w:t>
            </w:r>
          </w:p>
        </w:tc>
        <w:tc>
          <w:tcPr>
            <w:tcW w:w="2835" w:type="dxa"/>
            <w:vAlign w:val="center"/>
          </w:tcPr>
          <w:p w:rsidR="00217809" w:rsidRPr="005517C4" w:rsidRDefault="00217809" w:rsidP="00217809">
            <w:pPr>
              <w:rPr>
                <w:rFonts w:ascii="Times New Roman" w:hAnsi="Times New Roman" w:cs="Times New Roman"/>
                <w:noProof/>
                <w:sz w:val="18"/>
                <w:szCs w:val="18"/>
                <w:lang w:val="en-US"/>
              </w:rPr>
            </w:pPr>
            <w:r>
              <w:rPr>
                <w:rFonts w:ascii="Times New Roman" w:hAnsi="Times New Roman" w:cs="Times New Roman"/>
                <w:noProof/>
                <w:sz w:val="18"/>
                <w:szCs w:val="18"/>
                <w:lang w:val="en-US"/>
              </w:rPr>
              <w:t>Panel unit root with structural breaks</w:t>
            </w:r>
          </w:p>
        </w:tc>
        <w:tc>
          <w:tcPr>
            <w:tcW w:w="959" w:type="dxa"/>
            <w:vAlign w:val="center"/>
          </w:tcPr>
          <w:p w:rsidR="00217809" w:rsidRPr="005517C4" w:rsidRDefault="00217809" w:rsidP="00217809">
            <w:pPr>
              <w:rPr>
                <w:rFonts w:ascii="Times New Roman" w:hAnsi="Times New Roman" w:cs="Times New Roman"/>
                <w:noProof/>
                <w:sz w:val="18"/>
                <w:szCs w:val="18"/>
                <w:lang w:val="en-US"/>
              </w:rPr>
            </w:pPr>
            <w:r w:rsidRPr="005517C4">
              <w:rPr>
                <w:sz w:val="18"/>
                <w:szCs w:val="18"/>
              </w:rPr>
              <w:t>CO</w:t>
            </w:r>
            <w:r w:rsidRPr="005517C4">
              <w:rPr>
                <w:sz w:val="18"/>
                <w:szCs w:val="18"/>
                <w:vertAlign w:val="subscript"/>
              </w:rPr>
              <w:t xml:space="preserve">2 </w:t>
            </w:r>
          </w:p>
        </w:tc>
        <w:tc>
          <w:tcPr>
            <w:tcW w:w="2868" w:type="dxa"/>
            <w:vAlign w:val="center"/>
          </w:tcPr>
          <w:p w:rsidR="00217809" w:rsidRPr="005517C4" w:rsidRDefault="00217809" w:rsidP="00217809">
            <w:pPr>
              <w:rPr>
                <w:rFonts w:ascii="Times New Roman" w:hAnsi="Times New Roman" w:cs="Times New Roman"/>
                <w:noProof/>
                <w:sz w:val="18"/>
                <w:szCs w:val="18"/>
                <w:lang w:val="en-US"/>
              </w:rPr>
            </w:pPr>
            <w:r>
              <w:rPr>
                <w:rFonts w:ascii="Times New Roman" w:hAnsi="Times New Roman" w:cs="Times New Roman"/>
                <w:noProof/>
                <w:sz w:val="18"/>
                <w:szCs w:val="18"/>
                <w:lang w:val="en-US"/>
              </w:rPr>
              <w:t>No evidence</w:t>
            </w:r>
          </w:p>
        </w:tc>
      </w:tr>
      <w:tr w:rsidR="00217809" w:rsidRPr="005517C4" w:rsidTr="006C6A16">
        <w:trPr>
          <w:trHeight w:val="385"/>
        </w:trPr>
        <w:tc>
          <w:tcPr>
            <w:tcW w:w="1667" w:type="dxa"/>
            <w:vAlign w:val="center"/>
          </w:tcPr>
          <w:p w:rsidR="00217809" w:rsidRPr="005517C4" w:rsidRDefault="006578EE" w:rsidP="00217809">
            <w:pPr>
              <w:rPr>
                <w:rFonts w:ascii="Times New Roman" w:hAnsi="Times New Roman" w:cs="Times New Roman"/>
                <w:noProof/>
                <w:sz w:val="18"/>
                <w:szCs w:val="18"/>
                <w:lang w:val="en-US"/>
              </w:rPr>
            </w:pPr>
            <w:r w:rsidRPr="005517C4">
              <w:rPr>
                <w:rFonts w:ascii="Times New Roman" w:hAnsi="Times New Roman" w:cs="Times New Roman"/>
                <w:noProof/>
                <w:sz w:val="18"/>
                <w:szCs w:val="18"/>
                <w:lang w:val="en-US"/>
              </w:rPr>
              <w:fldChar w:fldCharType="begin" w:fldLock="1"/>
            </w:r>
            <w:r w:rsidR="00217809" w:rsidRPr="005517C4">
              <w:rPr>
                <w:rFonts w:ascii="Times New Roman" w:hAnsi="Times New Roman" w:cs="Times New Roman"/>
                <w:noProof/>
                <w:sz w:val="18"/>
                <w:szCs w:val="18"/>
                <w:lang w:val="en-US"/>
              </w:rPr>
              <w:instrText>ADDIN CSL_CITATION { "citationItems" : [ { "id" : "ITEM-1", "itemData" : { "DOI" : "10.1023/A:1022910701857", "ISSN" : "09246460", "author" : [ { "dropping-particle" : "", "family" : "Strazicich", "given" : "Mark C.", "non-dropping-particle" : "", "parse-names" : false, "suffix" : "" }, { "dropping-particle" : "", "family" : "List", "given" : "John A.", "non-dropping-particle" : "", "parse-names" : false, "suffix" : "" } ], "container-title" : "Environmental and Resource Economics", "id" : "ITEM-1", "issue" : "3", "issued" : { "date-parts" : [ [ "2003" ] ] }, "page" : "263-271", "publisher" : "Kluwer Academic Publishers", "title" : "Are CO2 Emission Levels Converging Among Industrial Countries?", "type" : "article-journal", "volume" : "24" }, "uris" : [ "http://www.mendeley.com/documents/?uuid=78aeb247-d986-3138-882c-497b6d3d268f" ] } ], "mendeley" : { "formattedCitation" : "(Strazicich and List 2003)", "manualFormatting" : "Strazicich and List (2003)", "plainTextFormattedCitation" : "(Strazicich and List 2003)", "previouslyFormattedCitation" : "(Strazicich and List 2003)" }, "properties" : { "noteIndex" : 0 }, "schema" : "https://github.com/citation-style-language/schema/raw/master/csl-citation.json" }</w:instrText>
            </w:r>
            <w:r w:rsidRPr="005517C4">
              <w:rPr>
                <w:rFonts w:ascii="Times New Roman" w:hAnsi="Times New Roman" w:cs="Times New Roman"/>
                <w:noProof/>
                <w:sz w:val="18"/>
                <w:szCs w:val="18"/>
                <w:lang w:val="en-US"/>
              </w:rPr>
              <w:fldChar w:fldCharType="separate"/>
            </w:r>
            <w:r w:rsidR="00217809" w:rsidRPr="005517C4">
              <w:rPr>
                <w:rFonts w:ascii="Times New Roman" w:hAnsi="Times New Roman" w:cs="Times New Roman"/>
                <w:noProof/>
                <w:sz w:val="18"/>
                <w:szCs w:val="18"/>
                <w:lang w:val="en-US"/>
              </w:rPr>
              <w:t>Strazicich and List (2003)</w:t>
            </w:r>
            <w:r w:rsidRPr="005517C4">
              <w:rPr>
                <w:rFonts w:ascii="Times New Roman" w:hAnsi="Times New Roman" w:cs="Times New Roman"/>
                <w:noProof/>
                <w:sz w:val="18"/>
                <w:szCs w:val="18"/>
                <w:lang w:val="en-US"/>
              </w:rPr>
              <w:fldChar w:fldCharType="end"/>
            </w:r>
          </w:p>
        </w:tc>
        <w:tc>
          <w:tcPr>
            <w:tcW w:w="805" w:type="dxa"/>
            <w:vAlign w:val="center"/>
          </w:tcPr>
          <w:p w:rsidR="00217809" w:rsidRPr="005517C4" w:rsidRDefault="00217809" w:rsidP="00217809">
            <w:pPr>
              <w:rPr>
                <w:rFonts w:ascii="Times New Roman" w:hAnsi="Times New Roman" w:cs="Times New Roman"/>
                <w:noProof/>
                <w:sz w:val="18"/>
                <w:szCs w:val="18"/>
                <w:lang w:val="en-US"/>
              </w:rPr>
            </w:pPr>
            <w:r w:rsidRPr="005517C4">
              <w:rPr>
                <w:rFonts w:ascii="Times New Roman" w:hAnsi="Times New Roman" w:cs="Times New Roman"/>
                <w:noProof/>
                <w:sz w:val="18"/>
                <w:szCs w:val="18"/>
                <w:lang w:val="en-US"/>
              </w:rPr>
              <w:t>1960-1997</w:t>
            </w:r>
          </w:p>
        </w:tc>
        <w:tc>
          <w:tcPr>
            <w:tcW w:w="1308" w:type="dxa"/>
            <w:vAlign w:val="center"/>
          </w:tcPr>
          <w:p w:rsidR="00217809" w:rsidRPr="005517C4" w:rsidRDefault="00217809" w:rsidP="00217809">
            <w:pPr>
              <w:rPr>
                <w:rFonts w:ascii="Times New Roman" w:hAnsi="Times New Roman" w:cs="Times New Roman"/>
                <w:noProof/>
                <w:sz w:val="18"/>
                <w:szCs w:val="18"/>
                <w:lang w:val="en-US"/>
              </w:rPr>
            </w:pPr>
            <w:r w:rsidRPr="005517C4">
              <w:rPr>
                <w:rFonts w:ascii="Times New Roman" w:hAnsi="Times New Roman" w:cs="Times New Roman"/>
                <w:noProof/>
                <w:sz w:val="18"/>
                <w:szCs w:val="18"/>
                <w:lang w:val="en-US"/>
              </w:rPr>
              <w:t>21 countries</w:t>
            </w:r>
          </w:p>
        </w:tc>
        <w:tc>
          <w:tcPr>
            <w:tcW w:w="2835" w:type="dxa"/>
            <w:vAlign w:val="center"/>
          </w:tcPr>
          <w:p w:rsidR="00217809" w:rsidRPr="005517C4" w:rsidRDefault="00217809" w:rsidP="00217809">
            <w:pPr>
              <w:rPr>
                <w:rFonts w:ascii="Times New Roman" w:hAnsi="Times New Roman" w:cs="Times New Roman"/>
                <w:noProof/>
                <w:sz w:val="18"/>
                <w:szCs w:val="18"/>
                <w:lang w:val="en-US"/>
              </w:rPr>
            </w:pPr>
            <w:r w:rsidRPr="005517C4">
              <w:rPr>
                <w:rFonts w:ascii="Times New Roman" w:hAnsi="Times New Roman" w:cs="Times New Roman"/>
                <w:noProof/>
                <w:sz w:val="18"/>
                <w:szCs w:val="18"/>
                <w:lang w:val="en-US"/>
              </w:rPr>
              <w:t xml:space="preserve">cross section and  Panel unit root proposed by </w:t>
            </w:r>
            <w:r w:rsidR="006578EE" w:rsidRPr="005517C4">
              <w:rPr>
                <w:rFonts w:ascii="Times New Roman" w:hAnsi="Times New Roman" w:cs="Times New Roman"/>
                <w:noProof/>
                <w:sz w:val="18"/>
                <w:szCs w:val="18"/>
                <w:lang w:val="en-US"/>
              </w:rPr>
              <w:fldChar w:fldCharType="begin" w:fldLock="1"/>
            </w:r>
            <w:r w:rsidRPr="005517C4">
              <w:rPr>
                <w:rFonts w:ascii="Times New Roman" w:hAnsi="Times New Roman" w:cs="Times New Roman"/>
                <w:noProof/>
                <w:sz w:val="18"/>
                <w:szCs w:val="18"/>
                <w:lang w:val="en-US"/>
              </w:rPr>
              <w:instrText>ADDIN CSL_CITATION { "citationItems" : [ { "id" : "ITEM-1", "itemData" : { "DOI" : "10.1016/S0304-4076(03)00092-7", "ISSN" : "03044076", "abstract" : "This paper proposes unit root tests for dynamic heterogeneous panels based on the mean of individual unit root statistics. In particular it proposes a standardized t-bar test statistic based on the (augmented) Dickey\u2013Fuller statistics averaged across the groups. Under a general setting this statistic is shown to converge in probability to a standard normal variate sequentially with T (the time series dimension) \u2192\u221e, followed by N (the cross sectional dimension) \u2192\u221e. A diagonal convergence result with T and N\u2192\u221e while N/T\u2192k,k being a finite non-negative constant, is also conjectured. In the special case where errors in individual Dickey\u2013Fuller (DF) regressions are serially uncorrelated a modified version of the standardized t-bar statistic is shown to be distributed as standard normal as N\u2192\u221e for a fixed T, so long as T&gt;5 in the case of DF regressions with intercepts and T&gt;6 in the case of DF regressions with intercepts and linear time trends. An exact fixed N and T test is also developed using the simple average of the DF statistics. Monte Carlo results show that if a large enough lag order is selected for the underlying ADF regressions, then the small sample performances of the t-bar test is reasonably satisfactory and generally better than the test proposed by Levin and Lin (Unpublished manuscript, University of California, San Diego, 1993).", "author" : [ { "dropping-particle" : "", "family" : "Im", "given" : "Kyung So", "non-dropping-particle" : "", "parse-names" : false, "suffix" : "" }, { "dropping-particle" : "", "family" : "Pesaran", "given" : "M.Hashem", "non-dropping-particle" : "", "parse-names" : false, "suffix" : "" }, { "dropping-particle" : "", "family" : "Shin", "given" : "Yongcheol", "non-dropping-particle" : "", "parse-names" : false, "suffix" : "" } ], "container-title" : "Journal of Econometrics", "id" : "ITEM-1", "issue" : "1", "issued" : { "date-parts" : [ [ "2003" ] ] }, "page" : "53-74", "title" : "Testing for unit roots in heterogeneous panels", "type" : "article-journal", "volume" : "115" }, "uris" : [ "http://www.mendeley.com/documents/?uuid=1556e660-3d91-3575-97b3-edda5cd54a50" ] } ], "mendeley" : { "formattedCitation" : "(Im, Pesaran, and Shin 2003)", "manualFormatting" : "Im et al ( 2003)", "plainTextFormattedCitation" : "(Im, Pesaran, and Shin 2003)", "previouslyFormattedCitation" : "(Im, Pesaran, and Shin 2003)" }, "properties" : { "noteIndex" : 0 }, "schema" : "https://github.com/citation-style-language/schema/raw/master/csl-citation.json" }</w:instrText>
            </w:r>
            <w:r w:rsidR="006578EE" w:rsidRPr="005517C4">
              <w:rPr>
                <w:rFonts w:ascii="Times New Roman" w:hAnsi="Times New Roman" w:cs="Times New Roman"/>
                <w:noProof/>
                <w:sz w:val="18"/>
                <w:szCs w:val="18"/>
                <w:lang w:val="en-US"/>
              </w:rPr>
              <w:fldChar w:fldCharType="separate"/>
            </w:r>
            <w:r w:rsidRPr="005517C4">
              <w:rPr>
                <w:rFonts w:ascii="Times New Roman" w:hAnsi="Times New Roman" w:cs="Times New Roman"/>
                <w:noProof/>
                <w:sz w:val="18"/>
                <w:szCs w:val="18"/>
                <w:lang w:val="en-US"/>
              </w:rPr>
              <w:t>Im et al ( 2003)</w:t>
            </w:r>
            <w:r w:rsidR="006578EE" w:rsidRPr="005517C4">
              <w:rPr>
                <w:rFonts w:ascii="Times New Roman" w:hAnsi="Times New Roman" w:cs="Times New Roman"/>
                <w:noProof/>
                <w:sz w:val="18"/>
                <w:szCs w:val="18"/>
                <w:lang w:val="en-US"/>
              </w:rPr>
              <w:fldChar w:fldCharType="end"/>
            </w:r>
          </w:p>
        </w:tc>
        <w:tc>
          <w:tcPr>
            <w:tcW w:w="959" w:type="dxa"/>
            <w:vAlign w:val="center"/>
          </w:tcPr>
          <w:p w:rsidR="00217809" w:rsidRPr="005517C4" w:rsidRDefault="00217809" w:rsidP="00217809">
            <w:pPr>
              <w:rPr>
                <w:rFonts w:ascii="Times New Roman" w:hAnsi="Times New Roman" w:cs="Times New Roman"/>
                <w:noProof/>
                <w:sz w:val="18"/>
                <w:szCs w:val="18"/>
                <w:lang w:val="en-US"/>
              </w:rPr>
            </w:pPr>
            <w:r w:rsidRPr="005517C4">
              <w:rPr>
                <w:rFonts w:ascii="Times New Roman" w:hAnsi="Times New Roman" w:cs="Times New Roman"/>
                <w:noProof/>
                <w:sz w:val="18"/>
                <w:szCs w:val="18"/>
                <w:lang w:val="en-US"/>
              </w:rPr>
              <w:t>CO</w:t>
            </w:r>
            <w:r w:rsidRPr="005517C4">
              <w:rPr>
                <w:rFonts w:ascii="Times New Roman" w:hAnsi="Times New Roman" w:cs="Times New Roman"/>
                <w:noProof/>
                <w:sz w:val="18"/>
                <w:szCs w:val="18"/>
                <w:vertAlign w:val="subscript"/>
                <w:lang w:val="en-US"/>
              </w:rPr>
              <w:t>2</w:t>
            </w:r>
            <w:r w:rsidRPr="005517C4">
              <w:rPr>
                <w:rFonts w:ascii="Times New Roman" w:hAnsi="Times New Roman" w:cs="Times New Roman"/>
                <w:noProof/>
                <w:sz w:val="18"/>
                <w:szCs w:val="18"/>
                <w:lang w:val="en-US"/>
              </w:rPr>
              <w:t xml:space="preserve"> </w:t>
            </w:r>
          </w:p>
        </w:tc>
        <w:tc>
          <w:tcPr>
            <w:tcW w:w="2868" w:type="dxa"/>
            <w:vAlign w:val="center"/>
          </w:tcPr>
          <w:p w:rsidR="00217809" w:rsidRPr="005517C4" w:rsidRDefault="00217809" w:rsidP="00217809">
            <w:pPr>
              <w:rPr>
                <w:rFonts w:ascii="Times New Roman" w:hAnsi="Times New Roman" w:cs="Times New Roman"/>
                <w:noProof/>
                <w:sz w:val="18"/>
                <w:szCs w:val="18"/>
                <w:lang w:val="en-US"/>
              </w:rPr>
            </w:pPr>
            <w:r w:rsidRPr="005517C4">
              <w:rPr>
                <w:rFonts w:ascii="Times New Roman" w:hAnsi="Times New Roman" w:cs="Times New Roman"/>
                <w:noProof/>
                <w:sz w:val="18"/>
                <w:szCs w:val="18"/>
                <w:lang w:val="en-US"/>
              </w:rPr>
              <w:t>Stochastic conditinaol convergence</w:t>
            </w:r>
          </w:p>
        </w:tc>
      </w:tr>
      <w:tr w:rsidR="00217809" w:rsidRPr="005517C4" w:rsidTr="006C6A16">
        <w:trPr>
          <w:trHeight w:val="385"/>
        </w:trPr>
        <w:tc>
          <w:tcPr>
            <w:tcW w:w="1667" w:type="dxa"/>
            <w:vAlign w:val="center"/>
          </w:tcPr>
          <w:p w:rsidR="00217809" w:rsidRPr="005517C4" w:rsidRDefault="006578EE" w:rsidP="00217809">
            <w:pPr>
              <w:rPr>
                <w:rFonts w:ascii="Times New Roman" w:hAnsi="Times New Roman" w:cs="Times New Roman"/>
                <w:noProof/>
                <w:sz w:val="18"/>
                <w:szCs w:val="18"/>
                <w:lang w:val="en-US"/>
              </w:rPr>
            </w:pPr>
            <w:r w:rsidRPr="005517C4">
              <w:rPr>
                <w:rFonts w:ascii="Times New Roman" w:hAnsi="Times New Roman" w:cs="Times New Roman"/>
                <w:noProof/>
                <w:sz w:val="18"/>
                <w:szCs w:val="18"/>
                <w:lang w:val="en-US"/>
              </w:rPr>
              <w:fldChar w:fldCharType="begin" w:fldLock="1"/>
            </w:r>
            <w:r w:rsidR="00216FA4">
              <w:rPr>
                <w:rFonts w:ascii="Times New Roman" w:hAnsi="Times New Roman" w:cs="Times New Roman"/>
                <w:noProof/>
                <w:sz w:val="18"/>
                <w:szCs w:val="18"/>
                <w:lang w:val="en-US"/>
              </w:rPr>
              <w:instrText>ADDIN CSL_CITATION { "citationItems" : [ { "id" : "ITEM-1", "itemData" : { "DOI" : "10.1007/s10640-005-7687-6", "ISSN" : "0924-6460", "author" : [ { "dropping-particle" : "", "family" : "Nguyen Van", "given" : "Phu", "non-dropping-particle" : "", "parse-names" : false, "suffix" : "" } ], "container-title" : "Environmental &amp; Resource Economics", "id" : "ITEM-1", "issue" : "4", "issued" : { "date-parts" : [ [ "2005", "12" ] ] }, "page" : "495-508", "publisher" : "Kluwer Academic Publishers", "title" : "Distribution Dynamics of CO2 Emissions", "type" : "article-journal", "volume" : "32" }, "uris" : [ "http://www.mendeley.com/documents/?uuid=b6f88d85-b767-34cf-8874-3bc38e242754" ] } ], "mendeley" : { "formattedCitation" : "(Nguyen Van 2005)", "manualFormatting" : "Nguyen Van (2005)", "plainTextFormattedCitation" : "(Nguyen Van 2005)", "previouslyFormattedCitation" : "(Nguyen Van 2005)" }, "properties" : { "noteIndex" : 0 }, "schema" : "https://github.com/citation-style-language/schema/raw/master/csl-citation.json" }</w:instrText>
            </w:r>
            <w:r w:rsidRPr="005517C4">
              <w:rPr>
                <w:rFonts w:ascii="Times New Roman" w:hAnsi="Times New Roman" w:cs="Times New Roman"/>
                <w:noProof/>
                <w:sz w:val="18"/>
                <w:szCs w:val="18"/>
                <w:lang w:val="en-US"/>
              </w:rPr>
              <w:fldChar w:fldCharType="separate"/>
            </w:r>
            <w:r w:rsidR="00217809" w:rsidRPr="005517C4">
              <w:rPr>
                <w:rFonts w:ascii="Times New Roman" w:hAnsi="Times New Roman" w:cs="Times New Roman"/>
                <w:noProof/>
                <w:sz w:val="18"/>
                <w:szCs w:val="18"/>
                <w:lang w:val="en-US"/>
              </w:rPr>
              <w:t>Nguyen Van (2005)</w:t>
            </w:r>
            <w:r w:rsidRPr="005517C4">
              <w:rPr>
                <w:rFonts w:ascii="Times New Roman" w:hAnsi="Times New Roman" w:cs="Times New Roman"/>
                <w:noProof/>
                <w:sz w:val="18"/>
                <w:szCs w:val="18"/>
                <w:lang w:val="en-US"/>
              </w:rPr>
              <w:fldChar w:fldCharType="end"/>
            </w:r>
          </w:p>
        </w:tc>
        <w:tc>
          <w:tcPr>
            <w:tcW w:w="805" w:type="dxa"/>
            <w:vAlign w:val="center"/>
          </w:tcPr>
          <w:p w:rsidR="00217809" w:rsidRPr="005517C4" w:rsidRDefault="00217809" w:rsidP="00217809">
            <w:pPr>
              <w:rPr>
                <w:rFonts w:ascii="Times New Roman" w:hAnsi="Times New Roman" w:cs="Times New Roman"/>
                <w:noProof/>
                <w:sz w:val="18"/>
                <w:szCs w:val="18"/>
                <w:lang w:val="en-US"/>
              </w:rPr>
            </w:pPr>
            <w:r w:rsidRPr="005517C4">
              <w:rPr>
                <w:rFonts w:ascii="Times New Roman" w:hAnsi="Times New Roman" w:cs="Times New Roman"/>
                <w:noProof/>
                <w:sz w:val="18"/>
                <w:szCs w:val="18"/>
                <w:lang w:val="en-US"/>
              </w:rPr>
              <w:t>1966-1996</w:t>
            </w:r>
          </w:p>
        </w:tc>
        <w:tc>
          <w:tcPr>
            <w:tcW w:w="1308" w:type="dxa"/>
            <w:vAlign w:val="center"/>
          </w:tcPr>
          <w:p w:rsidR="00217809" w:rsidRPr="005517C4" w:rsidRDefault="00217809" w:rsidP="00217809">
            <w:pPr>
              <w:rPr>
                <w:rFonts w:ascii="Times New Roman" w:hAnsi="Times New Roman" w:cs="Times New Roman"/>
                <w:noProof/>
                <w:sz w:val="18"/>
                <w:szCs w:val="18"/>
                <w:lang w:val="en-US"/>
              </w:rPr>
            </w:pPr>
            <w:r w:rsidRPr="005517C4">
              <w:rPr>
                <w:rFonts w:ascii="Times New Roman" w:hAnsi="Times New Roman" w:cs="Times New Roman"/>
                <w:noProof/>
                <w:sz w:val="18"/>
                <w:szCs w:val="18"/>
                <w:lang w:val="en-US"/>
              </w:rPr>
              <w:t>100 countries</w:t>
            </w:r>
          </w:p>
        </w:tc>
        <w:tc>
          <w:tcPr>
            <w:tcW w:w="2835" w:type="dxa"/>
            <w:vAlign w:val="center"/>
          </w:tcPr>
          <w:p w:rsidR="00217809" w:rsidRPr="005517C4" w:rsidRDefault="00217809" w:rsidP="00217809">
            <w:pPr>
              <w:rPr>
                <w:rFonts w:ascii="Times New Roman" w:hAnsi="Times New Roman" w:cs="Times New Roman"/>
                <w:noProof/>
                <w:sz w:val="18"/>
                <w:szCs w:val="18"/>
                <w:lang w:val="en-US"/>
              </w:rPr>
            </w:pPr>
            <w:r w:rsidRPr="005517C4">
              <w:rPr>
                <w:rFonts w:ascii="Times New Roman" w:hAnsi="Times New Roman" w:cs="Times New Roman"/>
                <w:noProof/>
                <w:sz w:val="18"/>
                <w:szCs w:val="18"/>
                <w:lang w:val="en-US"/>
              </w:rPr>
              <w:t xml:space="preserve">non-parametric approach based on distribution analysis </w:t>
            </w:r>
          </w:p>
        </w:tc>
        <w:tc>
          <w:tcPr>
            <w:tcW w:w="959" w:type="dxa"/>
            <w:vAlign w:val="center"/>
          </w:tcPr>
          <w:p w:rsidR="00217809" w:rsidRPr="005517C4" w:rsidRDefault="00217809" w:rsidP="00217809">
            <w:pPr>
              <w:rPr>
                <w:rFonts w:ascii="Times New Roman" w:hAnsi="Times New Roman" w:cs="Times New Roman"/>
                <w:noProof/>
                <w:sz w:val="18"/>
                <w:szCs w:val="18"/>
                <w:lang w:val="en-US"/>
              </w:rPr>
            </w:pPr>
            <w:r w:rsidRPr="005517C4">
              <w:rPr>
                <w:rFonts w:ascii="Times New Roman" w:hAnsi="Times New Roman" w:cs="Times New Roman"/>
                <w:noProof/>
                <w:sz w:val="18"/>
                <w:szCs w:val="18"/>
                <w:lang w:val="en-US"/>
              </w:rPr>
              <w:t>CO</w:t>
            </w:r>
            <w:r w:rsidRPr="005517C4">
              <w:rPr>
                <w:rFonts w:ascii="Times New Roman" w:hAnsi="Times New Roman" w:cs="Times New Roman"/>
                <w:noProof/>
                <w:sz w:val="18"/>
                <w:szCs w:val="18"/>
                <w:vertAlign w:val="subscript"/>
                <w:lang w:val="en-US"/>
              </w:rPr>
              <w:t>2</w:t>
            </w:r>
          </w:p>
        </w:tc>
        <w:tc>
          <w:tcPr>
            <w:tcW w:w="2868" w:type="dxa"/>
            <w:vAlign w:val="center"/>
          </w:tcPr>
          <w:p w:rsidR="00217809" w:rsidRPr="005517C4" w:rsidRDefault="00217809" w:rsidP="00217809">
            <w:pPr>
              <w:rPr>
                <w:rFonts w:ascii="Times New Roman" w:hAnsi="Times New Roman" w:cs="Times New Roman"/>
                <w:noProof/>
                <w:sz w:val="18"/>
                <w:szCs w:val="18"/>
                <w:lang w:val="en-US"/>
              </w:rPr>
            </w:pPr>
            <w:r w:rsidRPr="005517C4">
              <w:rPr>
                <w:rFonts w:ascii="Times New Roman" w:hAnsi="Times New Roman" w:cs="Times New Roman"/>
                <w:noProof/>
                <w:sz w:val="18"/>
                <w:szCs w:val="18"/>
                <w:lang w:val="en-US"/>
              </w:rPr>
              <w:t>Convergence for industrialized ones but divergence for full samples</w:t>
            </w:r>
          </w:p>
        </w:tc>
      </w:tr>
      <w:tr w:rsidR="00217809" w:rsidRPr="005517C4" w:rsidTr="006C6A16">
        <w:trPr>
          <w:trHeight w:val="369"/>
        </w:trPr>
        <w:tc>
          <w:tcPr>
            <w:tcW w:w="1667" w:type="dxa"/>
            <w:vAlign w:val="center"/>
          </w:tcPr>
          <w:p w:rsidR="00217809" w:rsidRPr="005517C4" w:rsidRDefault="006578EE" w:rsidP="00217809">
            <w:pPr>
              <w:rPr>
                <w:rFonts w:ascii="Times New Roman" w:hAnsi="Times New Roman" w:cs="Times New Roman"/>
                <w:noProof/>
                <w:sz w:val="18"/>
                <w:szCs w:val="18"/>
                <w:lang w:val="en-US"/>
              </w:rPr>
            </w:pPr>
            <w:r w:rsidRPr="005517C4">
              <w:rPr>
                <w:rFonts w:ascii="Times New Roman" w:hAnsi="Times New Roman" w:cs="Times New Roman"/>
                <w:noProof/>
                <w:sz w:val="18"/>
                <w:szCs w:val="18"/>
                <w:lang w:val="en-US"/>
              </w:rPr>
              <w:fldChar w:fldCharType="begin" w:fldLock="1"/>
            </w:r>
            <w:r w:rsidR="00217809" w:rsidRPr="005517C4">
              <w:rPr>
                <w:rFonts w:ascii="Times New Roman" w:hAnsi="Times New Roman" w:cs="Times New Roman"/>
                <w:noProof/>
                <w:sz w:val="18"/>
                <w:szCs w:val="18"/>
                <w:lang w:val="en-US"/>
              </w:rPr>
              <w:instrText>ADDIN CSL_CITATION { "citationItems" : [ { "id" : "ITEM-1", "itemData" : { "DOI" : "10.1007/s10640-005-6160-x", "abstract" : "Understanding and considering the distribution of per capita carbon dioxide (CO 2) emissions is important in designing international climate change proposals and incentives for participation. I evaluate historic international emissions distributions and forecast future distributions to assess whether per capita emissions have been converging or will converge. I find evidence of convergence among 23 member countries of the Organisation for Economic Co-operation and Development (OECD), whereas emissions appear to be diverging for an 88-country global sample over 1960\u20132000. Forecasts based on a Markov chain transition matrix provide little evidence of future emissions convergence and indicate that emissions may diverge in the near term. I also review the shortcomings of environmental Kuznets curve regressions and structural models in characterizing future emissions distributions.", "author" : [ { "dropping-particle" : "", "family" : "Aldy", "given" : "Joseph E", "non-dropping-particle" : "", "parse-names" : false, "suffix" : "" } ], "container-title" : "Environmental &amp; Resource Economics", "id" : "ITEM-1", "issued" : { "date-parts" : [ [ "2006" ] ] }, "page" : "533-555", "title" : "Per Capita Carbon Dioxide Emissions: Convergence or Divergence?", "type" : "article-journal", "volume" : "33" }, "uris" : [ "http://www.mendeley.com/documents/?uuid=15e26098-a78b-3e32-ba01-38dc68188a70" ] } ], "mendeley" : { "formattedCitation" : "(Aldy 2006)", "manualFormatting" : "Aldy (2006)", "plainTextFormattedCitation" : "(Aldy 2006)", "previouslyFormattedCitation" : "(Aldy 2006)" }, "properties" : { "noteIndex" : 0 }, "schema" : "https://github.com/citation-style-language/schema/raw/master/csl-citation.json" }</w:instrText>
            </w:r>
            <w:r w:rsidRPr="005517C4">
              <w:rPr>
                <w:rFonts w:ascii="Times New Roman" w:hAnsi="Times New Roman" w:cs="Times New Roman"/>
                <w:noProof/>
                <w:sz w:val="18"/>
                <w:szCs w:val="18"/>
                <w:lang w:val="en-US"/>
              </w:rPr>
              <w:fldChar w:fldCharType="separate"/>
            </w:r>
            <w:r w:rsidR="00217809" w:rsidRPr="005517C4">
              <w:rPr>
                <w:rFonts w:ascii="Times New Roman" w:hAnsi="Times New Roman" w:cs="Times New Roman"/>
                <w:noProof/>
                <w:sz w:val="18"/>
                <w:szCs w:val="18"/>
                <w:lang w:val="en-US"/>
              </w:rPr>
              <w:t>Aldy (2006)</w:t>
            </w:r>
            <w:r w:rsidRPr="005517C4">
              <w:rPr>
                <w:rFonts w:ascii="Times New Roman" w:hAnsi="Times New Roman" w:cs="Times New Roman"/>
                <w:noProof/>
                <w:sz w:val="18"/>
                <w:szCs w:val="18"/>
                <w:lang w:val="en-US"/>
              </w:rPr>
              <w:fldChar w:fldCharType="end"/>
            </w:r>
          </w:p>
        </w:tc>
        <w:tc>
          <w:tcPr>
            <w:tcW w:w="805" w:type="dxa"/>
            <w:vAlign w:val="center"/>
          </w:tcPr>
          <w:p w:rsidR="00217809" w:rsidRPr="005517C4" w:rsidRDefault="00217809" w:rsidP="00217809">
            <w:pPr>
              <w:rPr>
                <w:rFonts w:ascii="Times New Roman" w:hAnsi="Times New Roman" w:cs="Times New Roman"/>
                <w:noProof/>
                <w:sz w:val="18"/>
                <w:szCs w:val="18"/>
                <w:lang w:val="en-US"/>
              </w:rPr>
            </w:pPr>
            <w:r w:rsidRPr="005517C4">
              <w:rPr>
                <w:rFonts w:ascii="Times New Roman" w:hAnsi="Times New Roman" w:cs="Times New Roman"/>
                <w:noProof/>
                <w:sz w:val="18"/>
                <w:szCs w:val="18"/>
                <w:lang w:val="en-US"/>
              </w:rPr>
              <w:t>1960-2000</w:t>
            </w:r>
          </w:p>
        </w:tc>
        <w:tc>
          <w:tcPr>
            <w:tcW w:w="1308" w:type="dxa"/>
            <w:vAlign w:val="center"/>
          </w:tcPr>
          <w:p w:rsidR="00217809" w:rsidRPr="005517C4" w:rsidRDefault="00217809" w:rsidP="00217809">
            <w:pPr>
              <w:rPr>
                <w:rFonts w:ascii="Times New Roman" w:hAnsi="Times New Roman" w:cs="Times New Roman"/>
                <w:noProof/>
                <w:sz w:val="18"/>
                <w:szCs w:val="18"/>
                <w:lang w:val="en-US"/>
              </w:rPr>
            </w:pPr>
            <w:r w:rsidRPr="005517C4">
              <w:rPr>
                <w:rFonts w:ascii="Times New Roman" w:hAnsi="Times New Roman" w:cs="Times New Roman"/>
                <w:noProof/>
                <w:sz w:val="18"/>
                <w:szCs w:val="18"/>
                <w:lang w:val="en-US"/>
              </w:rPr>
              <w:t>88 countries</w:t>
            </w:r>
          </w:p>
        </w:tc>
        <w:tc>
          <w:tcPr>
            <w:tcW w:w="2835" w:type="dxa"/>
            <w:vAlign w:val="center"/>
          </w:tcPr>
          <w:p w:rsidR="00217809" w:rsidRPr="005517C4" w:rsidRDefault="00217809" w:rsidP="00217809">
            <w:pPr>
              <w:rPr>
                <w:rFonts w:ascii="Times New Roman" w:hAnsi="Times New Roman" w:cs="Times New Roman"/>
                <w:noProof/>
                <w:sz w:val="18"/>
                <w:szCs w:val="18"/>
                <w:lang w:val="en-US"/>
              </w:rPr>
            </w:pPr>
            <w:r w:rsidRPr="005517C4">
              <w:rPr>
                <w:rFonts w:ascii="Times New Roman" w:hAnsi="Times New Roman" w:cs="Times New Roman"/>
                <w:noProof/>
                <w:sz w:val="18"/>
                <w:szCs w:val="18"/>
                <w:lang w:val="en-US"/>
              </w:rPr>
              <w:t>DF-GLS  Unit root, Markov chain transition matrix analysis</w:t>
            </w:r>
          </w:p>
        </w:tc>
        <w:tc>
          <w:tcPr>
            <w:tcW w:w="959" w:type="dxa"/>
            <w:vAlign w:val="center"/>
          </w:tcPr>
          <w:p w:rsidR="00217809" w:rsidRPr="005517C4" w:rsidRDefault="00217809" w:rsidP="00217809">
            <w:pPr>
              <w:rPr>
                <w:rFonts w:ascii="Times New Roman" w:hAnsi="Times New Roman" w:cs="Times New Roman"/>
                <w:noProof/>
                <w:sz w:val="18"/>
                <w:szCs w:val="18"/>
                <w:lang w:val="en-US"/>
              </w:rPr>
            </w:pPr>
            <w:r w:rsidRPr="005517C4">
              <w:rPr>
                <w:rFonts w:ascii="Times New Roman" w:hAnsi="Times New Roman" w:cs="Times New Roman"/>
                <w:noProof/>
                <w:sz w:val="18"/>
                <w:szCs w:val="18"/>
                <w:lang w:val="en-US"/>
              </w:rPr>
              <w:t>CO</w:t>
            </w:r>
            <w:r w:rsidRPr="005517C4">
              <w:rPr>
                <w:rFonts w:ascii="Times New Roman" w:hAnsi="Times New Roman" w:cs="Times New Roman"/>
                <w:noProof/>
                <w:sz w:val="18"/>
                <w:szCs w:val="18"/>
                <w:vertAlign w:val="subscript"/>
                <w:lang w:val="en-US"/>
              </w:rPr>
              <w:t>2</w:t>
            </w:r>
          </w:p>
        </w:tc>
        <w:tc>
          <w:tcPr>
            <w:tcW w:w="2868" w:type="dxa"/>
            <w:vAlign w:val="center"/>
          </w:tcPr>
          <w:p w:rsidR="00217809" w:rsidRPr="005517C4" w:rsidRDefault="00217809" w:rsidP="00217809">
            <w:pPr>
              <w:rPr>
                <w:rFonts w:ascii="Times New Roman" w:hAnsi="Times New Roman" w:cs="Times New Roman"/>
                <w:noProof/>
                <w:sz w:val="18"/>
                <w:szCs w:val="18"/>
                <w:lang w:val="en-US"/>
              </w:rPr>
            </w:pPr>
            <w:r w:rsidRPr="005517C4">
              <w:rPr>
                <w:rFonts w:ascii="Times New Roman" w:hAnsi="Times New Roman" w:cs="Times New Roman"/>
                <w:noProof/>
                <w:sz w:val="18"/>
                <w:szCs w:val="18"/>
                <w:lang w:val="en-US"/>
              </w:rPr>
              <w:t>Stochastic convergence for 13 out of 88. Divergence for Forecasts of long-run emissions.</w:t>
            </w:r>
          </w:p>
        </w:tc>
      </w:tr>
      <w:tr w:rsidR="00217809" w:rsidRPr="005517C4" w:rsidTr="006C6A16">
        <w:trPr>
          <w:trHeight w:val="385"/>
        </w:trPr>
        <w:tc>
          <w:tcPr>
            <w:tcW w:w="1667" w:type="dxa"/>
            <w:vAlign w:val="center"/>
          </w:tcPr>
          <w:p w:rsidR="00217809" w:rsidRPr="005517C4" w:rsidRDefault="006578EE" w:rsidP="00217809">
            <w:pPr>
              <w:rPr>
                <w:rFonts w:ascii="Times New Roman" w:hAnsi="Times New Roman" w:cs="Times New Roman"/>
                <w:noProof/>
                <w:sz w:val="18"/>
                <w:szCs w:val="18"/>
                <w:lang w:val="en-US"/>
              </w:rPr>
            </w:pPr>
            <w:r w:rsidRPr="005517C4">
              <w:rPr>
                <w:rFonts w:ascii="Times New Roman" w:hAnsi="Times New Roman" w:cs="Times New Roman"/>
                <w:noProof/>
                <w:sz w:val="18"/>
                <w:szCs w:val="18"/>
                <w:lang w:val="en-US"/>
              </w:rPr>
              <w:fldChar w:fldCharType="begin" w:fldLock="1"/>
            </w:r>
            <w:r w:rsidR="00216FA4">
              <w:rPr>
                <w:rFonts w:ascii="Times New Roman" w:hAnsi="Times New Roman" w:cs="Times New Roman"/>
                <w:noProof/>
                <w:sz w:val="18"/>
                <w:szCs w:val="18"/>
                <w:lang w:val="en-US"/>
              </w:rPr>
              <w:instrText>ADDIN CSL_CITATION { "citationItems" : [ { "id" : "ITEM-1", "itemData" : { "author" : [ { "dropping-particle" : "", "family" : "Aldy", "given" : "Joseph E.", "non-dropping-particle" : "", "parse-names" : false, "suffix" : "" } ], "container-title" : "Land Economics", "id" : "ITEM-1", "issue" : "3", "issued" : { "date-parts" : [ [ "2007" ] ] }, "page" : "353-369", "title" : "Divergence in State-Level Per Capita Carbon Dioxide Emissions", "type" : "article-journal", "volume" : "83" }, "uris" : [ "http://www.mendeley.com/documents/?uuid=a848a47f-12d5-4a2f-8591-ab84f9ae00c5" ] } ], "mendeley" : { "formattedCitation" : "(Aldy 2007)", "manualFormatting" : "Aldy (2007)", "plainTextFormattedCitation" : "(Aldy 2007)", "previouslyFormattedCitation" : "(Aldy 2007)" }, "properties" : { "noteIndex" : 0 }, "schema" : "https://github.com/citation-style-language/schema/raw/master/csl-citation.json" }</w:instrText>
            </w:r>
            <w:r w:rsidRPr="005517C4">
              <w:rPr>
                <w:rFonts w:ascii="Times New Roman" w:hAnsi="Times New Roman" w:cs="Times New Roman"/>
                <w:noProof/>
                <w:sz w:val="18"/>
                <w:szCs w:val="18"/>
                <w:lang w:val="en-US"/>
              </w:rPr>
              <w:fldChar w:fldCharType="separate"/>
            </w:r>
            <w:r w:rsidR="00217809" w:rsidRPr="005517C4">
              <w:rPr>
                <w:rFonts w:ascii="Times New Roman" w:hAnsi="Times New Roman" w:cs="Times New Roman"/>
                <w:noProof/>
                <w:sz w:val="18"/>
                <w:szCs w:val="18"/>
                <w:lang w:val="en-US"/>
              </w:rPr>
              <w:t>Aldy (2007)</w:t>
            </w:r>
            <w:r w:rsidRPr="005517C4">
              <w:rPr>
                <w:rFonts w:ascii="Times New Roman" w:hAnsi="Times New Roman" w:cs="Times New Roman"/>
                <w:noProof/>
                <w:sz w:val="18"/>
                <w:szCs w:val="18"/>
                <w:lang w:val="en-US"/>
              </w:rPr>
              <w:fldChar w:fldCharType="end"/>
            </w:r>
          </w:p>
        </w:tc>
        <w:tc>
          <w:tcPr>
            <w:tcW w:w="805" w:type="dxa"/>
            <w:vAlign w:val="center"/>
          </w:tcPr>
          <w:p w:rsidR="00217809" w:rsidRPr="005517C4" w:rsidRDefault="00217809" w:rsidP="00217809">
            <w:pPr>
              <w:rPr>
                <w:rFonts w:ascii="Times New Roman" w:hAnsi="Times New Roman" w:cs="Times New Roman"/>
                <w:noProof/>
                <w:sz w:val="18"/>
                <w:szCs w:val="18"/>
                <w:lang w:val="en-US"/>
              </w:rPr>
            </w:pPr>
            <w:r w:rsidRPr="005517C4">
              <w:rPr>
                <w:rFonts w:ascii="Times New Roman" w:hAnsi="Times New Roman" w:cs="Times New Roman"/>
                <w:noProof/>
                <w:sz w:val="18"/>
                <w:szCs w:val="18"/>
                <w:lang w:val="en-US"/>
              </w:rPr>
              <w:t>1960-1999</w:t>
            </w:r>
          </w:p>
        </w:tc>
        <w:tc>
          <w:tcPr>
            <w:tcW w:w="1308" w:type="dxa"/>
            <w:vAlign w:val="center"/>
          </w:tcPr>
          <w:p w:rsidR="00217809" w:rsidRPr="005517C4" w:rsidRDefault="00217809" w:rsidP="00217809">
            <w:pPr>
              <w:rPr>
                <w:rFonts w:ascii="Times New Roman" w:hAnsi="Times New Roman" w:cs="Times New Roman"/>
                <w:noProof/>
                <w:sz w:val="18"/>
                <w:szCs w:val="18"/>
                <w:lang w:val="en-US"/>
              </w:rPr>
            </w:pPr>
            <w:r w:rsidRPr="005517C4">
              <w:rPr>
                <w:rFonts w:ascii="Times New Roman" w:hAnsi="Times New Roman" w:cs="Times New Roman"/>
                <w:noProof/>
                <w:sz w:val="18"/>
                <w:szCs w:val="18"/>
                <w:lang w:val="en-US"/>
              </w:rPr>
              <w:t>U.S. States</w:t>
            </w:r>
          </w:p>
        </w:tc>
        <w:tc>
          <w:tcPr>
            <w:tcW w:w="2835" w:type="dxa"/>
            <w:vAlign w:val="center"/>
          </w:tcPr>
          <w:p w:rsidR="00217809" w:rsidRPr="005517C4" w:rsidRDefault="00217809" w:rsidP="00217809">
            <w:pPr>
              <w:rPr>
                <w:rFonts w:ascii="Times New Roman" w:hAnsi="Times New Roman" w:cs="Times New Roman"/>
                <w:noProof/>
                <w:sz w:val="18"/>
                <w:szCs w:val="18"/>
                <w:lang w:val="en-US"/>
              </w:rPr>
            </w:pPr>
            <w:r w:rsidRPr="005517C4">
              <w:rPr>
                <w:rFonts w:ascii="Times New Roman" w:hAnsi="Times New Roman" w:cs="Times New Roman"/>
                <w:noProof/>
                <w:sz w:val="18"/>
                <w:szCs w:val="18"/>
                <w:lang w:val="en-US"/>
              </w:rPr>
              <w:t xml:space="preserve">Panel unit root proposed by </w:t>
            </w:r>
            <w:r w:rsidR="006578EE" w:rsidRPr="005517C4">
              <w:rPr>
                <w:rFonts w:ascii="Times New Roman" w:hAnsi="Times New Roman" w:cs="Times New Roman"/>
                <w:noProof/>
                <w:sz w:val="18"/>
                <w:szCs w:val="18"/>
                <w:lang w:val="en-US"/>
              </w:rPr>
              <w:fldChar w:fldCharType="begin" w:fldLock="1"/>
            </w:r>
            <w:r w:rsidRPr="005517C4">
              <w:rPr>
                <w:rFonts w:ascii="Times New Roman" w:hAnsi="Times New Roman" w:cs="Times New Roman"/>
                <w:noProof/>
                <w:sz w:val="18"/>
                <w:szCs w:val="18"/>
                <w:lang w:val="en-US"/>
              </w:rPr>
              <w:instrText>ADDIN CSL_CITATION { "citationItems" : [ { "id" : "ITEM-1", "itemData" : { "DOI" : "10.1016/S0304-4076(03)00092-7", "ISSN" : "03044076", "abstract" : "This paper proposes unit root tests for dynamic heterogeneous panels based on the mean of individual unit root statistics. In particular it proposes a standardized t-bar test statistic based on the (augmented) Dickey\u2013Fuller statistics averaged across the groups. Under a general setting this statistic is shown to converge in probability to a standard normal variate sequentially with T (the time series dimension) \u2192\u221e, followed by N (the cross sectional dimension) \u2192\u221e. A diagonal convergence result with T and N\u2192\u221e while N/T\u2192k,k being a finite non-negative constant, is also conjectured. In the special case where errors in individual Dickey\u2013Fuller (DF) regressions are serially uncorrelated a modified version of the standardized t-bar statistic is shown to be distributed as standard normal as N\u2192\u221e for a fixed T, so long as T&gt;5 in the case of DF regressions with intercepts and T&gt;6 in the case of DF regressions with intercepts and linear time trends. An exact fixed N and T test is also developed using the simple average of the DF statistics. Monte Carlo results show that if a large enough lag order is selected for the underlying ADF regressions, then the small sample performances of the t-bar test is reasonably satisfactory and generally better than the test proposed by Levin and Lin (Unpublished manuscript, University of California, San Diego, 1993).", "author" : [ { "dropping-particle" : "", "family" : "Im", "given" : "Kyung So", "non-dropping-particle" : "", "parse-names" : false, "suffix" : "" }, { "dropping-particle" : "", "family" : "Pesaran", "given" : "M.Hashem", "non-dropping-particle" : "", "parse-names" : false, "suffix" : "" }, { "dropping-particle" : "", "family" : "Shin", "given" : "Yongcheol", "non-dropping-particle" : "", "parse-names" : false, "suffix" : "" } ], "container-title" : "Journal of Econometrics", "id" : "ITEM-1", "issue" : "1", "issued" : { "date-parts" : [ [ "2003" ] ] }, "page" : "53-74", "title" : "Testing for unit roots in heterogeneous panels", "type" : "article-journal", "volume" : "115" }, "uris" : [ "http://www.mendeley.com/documents/?uuid=1556e660-3d91-3575-97b3-edda5cd54a50" ] } ], "mendeley" : { "formattedCitation" : "(Im, Pesaran, and Shin 2003)", "manualFormatting" : "Im et al ( 2003)", "plainTextFormattedCitation" : "(Im, Pesaran, and Shin 2003)", "previouslyFormattedCitation" : "(Im, Pesaran, and Shin 2003)" }, "properties" : { "noteIndex" : 0 }, "schema" : "https://github.com/citation-style-language/schema/raw/master/csl-citation.json" }</w:instrText>
            </w:r>
            <w:r w:rsidR="006578EE" w:rsidRPr="005517C4">
              <w:rPr>
                <w:rFonts w:ascii="Times New Roman" w:hAnsi="Times New Roman" w:cs="Times New Roman"/>
                <w:noProof/>
                <w:sz w:val="18"/>
                <w:szCs w:val="18"/>
                <w:lang w:val="en-US"/>
              </w:rPr>
              <w:fldChar w:fldCharType="separate"/>
            </w:r>
            <w:r w:rsidRPr="005517C4">
              <w:rPr>
                <w:rFonts w:ascii="Times New Roman" w:hAnsi="Times New Roman" w:cs="Times New Roman"/>
                <w:noProof/>
                <w:sz w:val="18"/>
                <w:szCs w:val="18"/>
                <w:lang w:val="en-US"/>
              </w:rPr>
              <w:t>Im et al ( 2003)</w:t>
            </w:r>
            <w:r w:rsidR="006578EE" w:rsidRPr="005517C4">
              <w:rPr>
                <w:rFonts w:ascii="Times New Roman" w:hAnsi="Times New Roman" w:cs="Times New Roman"/>
                <w:noProof/>
                <w:sz w:val="18"/>
                <w:szCs w:val="18"/>
                <w:lang w:val="en-US"/>
              </w:rPr>
              <w:fldChar w:fldCharType="end"/>
            </w:r>
            <w:r w:rsidRPr="005517C4">
              <w:rPr>
                <w:rFonts w:ascii="Times New Roman" w:hAnsi="Times New Roman" w:cs="Times New Roman"/>
                <w:noProof/>
                <w:sz w:val="18"/>
                <w:szCs w:val="18"/>
                <w:lang w:val="en-US"/>
              </w:rPr>
              <w:t>, Markov chain transition matrix analysis</w:t>
            </w:r>
          </w:p>
        </w:tc>
        <w:tc>
          <w:tcPr>
            <w:tcW w:w="959" w:type="dxa"/>
            <w:vAlign w:val="center"/>
          </w:tcPr>
          <w:p w:rsidR="00217809" w:rsidRPr="005517C4" w:rsidRDefault="00217809" w:rsidP="00217809">
            <w:pPr>
              <w:rPr>
                <w:rFonts w:ascii="Times New Roman" w:hAnsi="Times New Roman" w:cs="Times New Roman"/>
                <w:noProof/>
                <w:sz w:val="18"/>
                <w:szCs w:val="18"/>
                <w:lang w:val="en-US"/>
              </w:rPr>
            </w:pPr>
            <w:r w:rsidRPr="005517C4">
              <w:rPr>
                <w:rFonts w:ascii="Times New Roman" w:hAnsi="Times New Roman" w:cs="Times New Roman"/>
                <w:noProof/>
                <w:sz w:val="18"/>
                <w:szCs w:val="18"/>
                <w:lang w:val="en-US"/>
              </w:rPr>
              <w:t>CO</w:t>
            </w:r>
            <w:r w:rsidRPr="005517C4">
              <w:rPr>
                <w:rFonts w:ascii="Times New Roman" w:hAnsi="Times New Roman" w:cs="Times New Roman"/>
                <w:noProof/>
                <w:sz w:val="18"/>
                <w:szCs w:val="18"/>
                <w:vertAlign w:val="subscript"/>
                <w:lang w:val="en-US"/>
              </w:rPr>
              <w:t>2</w:t>
            </w:r>
          </w:p>
        </w:tc>
        <w:tc>
          <w:tcPr>
            <w:tcW w:w="2868" w:type="dxa"/>
            <w:vAlign w:val="center"/>
          </w:tcPr>
          <w:p w:rsidR="00217809" w:rsidRPr="005517C4" w:rsidRDefault="00217809" w:rsidP="00217809">
            <w:pPr>
              <w:rPr>
                <w:rFonts w:ascii="Times New Roman" w:hAnsi="Times New Roman" w:cs="Times New Roman"/>
                <w:noProof/>
                <w:sz w:val="18"/>
                <w:szCs w:val="18"/>
                <w:lang w:val="en-US"/>
              </w:rPr>
            </w:pPr>
            <w:r w:rsidRPr="005517C4">
              <w:rPr>
                <w:rFonts w:ascii="Times New Roman" w:hAnsi="Times New Roman" w:cs="Times New Roman"/>
                <w:noProof/>
                <w:sz w:val="18"/>
                <w:szCs w:val="18"/>
                <w:lang w:val="en-US"/>
              </w:rPr>
              <w:t>No evidence for consumption CO</w:t>
            </w:r>
            <w:r w:rsidRPr="005517C4">
              <w:rPr>
                <w:rFonts w:ascii="Times New Roman" w:hAnsi="Times New Roman" w:cs="Times New Roman"/>
                <w:noProof/>
                <w:sz w:val="18"/>
                <w:szCs w:val="18"/>
                <w:vertAlign w:val="subscript"/>
                <w:lang w:val="en-US"/>
              </w:rPr>
              <w:t>2</w:t>
            </w:r>
          </w:p>
          <w:p w:rsidR="00217809" w:rsidRPr="005517C4" w:rsidRDefault="00217809" w:rsidP="00217809">
            <w:pPr>
              <w:rPr>
                <w:rFonts w:ascii="Times New Roman" w:hAnsi="Times New Roman" w:cs="Times New Roman"/>
                <w:noProof/>
                <w:sz w:val="18"/>
                <w:szCs w:val="18"/>
                <w:lang w:val="en-US"/>
              </w:rPr>
            </w:pPr>
            <w:r w:rsidRPr="005517C4">
              <w:rPr>
                <w:rFonts w:ascii="Times New Roman" w:hAnsi="Times New Roman" w:cs="Times New Roman"/>
                <w:noProof/>
                <w:sz w:val="18"/>
                <w:szCs w:val="18"/>
                <w:lang w:val="en-US"/>
              </w:rPr>
              <w:t>Divergence for production CO</w:t>
            </w:r>
            <w:r w:rsidRPr="005517C4">
              <w:rPr>
                <w:rFonts w:ascii="Times New Roman" w:hAnsi="Times New Roman" w:cs="Times New Roman"/>
                <w:noProof/>
                <w:sz w:val="18"/>
                <w:szCs w:val="18"/>
                <w:vertAlign w:val="subscript"/>
                <w:lang w:val="en-US"/>
              </w:rPr>
              <w:t>2</w:t>
            </w:r>
          </w:p>
        </w:tc>
      </w:tr>
      <w:tr w:rsidR="00217809" w:rsidRPr="005517C4" w:rsidTr="006C6A16">
        <w:trPr>
          <w:trHeight w:val="385"/>
        </w:trPr>
        <w:tc>
          <w:tcPr>
            <w:tcW w:w="1667" w:type="dxa"/>
            <w:vAlign w:val="center"/>
          </w:tcPr>
          <w:p w:rsidR="00217809" w:rsidRPr="005517C4" w:rsidRDefault="006578EE" w:rsidP="00217809">
            <w:pPr>
              <w:rPr>
                <w:rFonts w:ascii="Times New Roman" w:hAnsi="Times New Roman" w:cs="Times New Roman"/>
                <w:noProof/>
                <w:sz w:val="18"/>
                <w:szCs w:val="18"/>
                <w:lang w:val="en-US"/>
              </w:rPr>
            </w:pPr>
            <w:r w:rsidRPr="005517C4">
              <w:rPr>
                <w:rFonts w:ascii="Times New Roman" w:hAnsi="Times New Roman" w:cs="Times New Roman"/>
                <w:noProof/>
                <w:sz w:val="18"/>
                <w:szCs w:val="18"/>
                <w:lang w:val="en-US"/>
              </w:rPr>
              <w:fldChar w:fldCharType="begin" w:fldLock="1"/>
            </w:r>
            <w:r w:rsidR="00217809" w:rsidRPr="005517C4">
              <w:rPr>
                <w:rFonts w:ascii="Times New Roman" w:hAnsi="Times New Roman" w:cs="Times New Roman"/>
                <w:noProof/>
                <w:sz w:val="18"/>
                <w:szCs w:val="18"/>
                <w:lang w:val="en-US"/>
              </w:rPr>
              <w:instrText>ADDIN CSL_CITATION { "citationItems" : [ { "id" : "ITEM-1", "itemData" : { "DOI" : "10.1016/j.enpol.2006.04.006", "ISSN" : "03014215", "abstract" : "This paper examines the spatial distribution of per capita carbon dioxide emissions in 87 countries during the period 1960\u20131999. In order to overcome the methodological limitations of conventional convergence analysis, I have used a non-parametric approach which allows us to study the dynamics of the entire cross-section distribution. The results show that cross-country disparities in per capita carbon dioxide emissions decreased throughout the study period. In fact, the probability mass concentrated around the average increased over time, which helps to explain the observed reduction in the polarisation of the distribution under consideration. In any event, the intradistribution mobility level is relatively low. I have also investigated how far spatial differences in per capita carbon dioxide emission levels can be explained by factors such as per capita income, the degree of trade openness or climatic conditions.", "author" : [ { "dropping-particle" : "", "family" : "Ezcurra", "given" : "Roberto", "non-dropping-particle" : "", "parse-names" : false, "suffix" : "" } ], "container-title" : "Energy Policy", "id" : "ITEM-1", "issue" : "2", "issued" : { "date-parts" : [ [ "2007" ] ] }, "page" : "1363-1372", "title" : "Is there cross-country convergence in carbon dioxide emissions?", "type" : "article-journal", "volume" : "35" }, "uris" : [ "http://www.mendeley.com/documents/?uuid=5fc1989b-e64e-349d-856f-bbac5409441c" ] } ], "mendeley" : { "formattedCitation" : "(Ezcurra 2007)", "manualFormatting" : "Ezcurra (2007)", "plainTextFormattedCitation" : "(Ezcurra 2007)", "previouslyFormattedCitation" : "(Ezcurra 2007)" }, "properties" : { "noteIndex" : 0 }, "schema" : "https://github.com/citation-style-language/schema/raw/master/csl-citation.json" }</w:instrText>
            </w:r>
            <w:r w:rsidRPr="005517C4">
              <w:rPr>
                <w:rFonts w:ascii="Times New Roman" w:hAnsi="Times New Roman" w:cs="Times New Roman"/>
                <w:noProof/>
                <w:sz w:val="18"/>
                <w:szCs w:val="18"/>
                <w:lang w:val="en-US"/>
              </w:rPr>
              <w:fldChar w:fldCharType="separate"/>
            </w:r>
            <w:r w:rsidR="00217809" w:rsidRPr="005517C4">
              <w:rPr>
                <w:rFonts w:ascii="Times New Roman" w:hAnsi="Times New Roman" w:cs="Times New Roman"/>
                <w:noProof/>
                <w:sz w:val="18"/>
                <w:szCs w:val="18"/>
                <w:lang w:val="en-US"/>
              </w:rPr>
              <w:t xml:space="preserve">Ezcurra </w:t>
            </w:r>
            <w:r w:rsidR="00217809" w:rsidRPr="005517C4">
              <w:rPr>
                <w:rFonts w:ascii="Times New Roman" w:hAnsi="Times New Roman" w:cs="Times New Roman"/>
                <w:noProof/>
                <w:sz w:val="18"/>
                <w:szCs w:val="18"/>
              </w:rPr>
              <w:t>(</w:t>
            </w:r>
            <w:r w:rsidR="00217809" w:rsidRPr="005517C4">
              <w:rPr>
                <w:rFonts w:ascii="Times New Roman" w:hAnsi="Times New Roman" w:cs="Times New Roman"/>
                <w:noProof/>
                <w:sz w:val="18"/>
                <w:szCs w:val="18"/>
                <w:lang w:val="en-US"/>
              </w:rPr>
              <w:t>2007)</w:t>
            </w:r>
            <w:r w:rsidRPr="005517C4">
              <w:rPr>
                <w:rFonts w:ascii="Times New Roman" w:hAnsi="Times New Roman" w:cs="Times New Roman"/>
                <w:noProof/>
                <w:sz w:val="18"/>
                <w:szCs w:val="18"/>
                <w:lang w:val="en-US"/>
              </w:rPr>
              <w:fldChar w:fldCharType="end"/>
            </w:r>
          </w:p>
        </w:tc>
        <w:tc>
          <w:tcPr>
            <w:tcW w:w="805" w:type="dxa"/>
            <w:vAlign w:val="center"/>
          </w:tcPr>
          <w:p w:rsidR="00217809" w:rsidRPr="005517C4" w:rsidRDefault="00217809" w:rsidP="00217809">
            <w:pPr>
              <w:rPr>
                <w:rFonts w:ascii="Times New Roman" w:hAnsi="Times New Roman" w:cs="Times New Roman"/>
                <w:noProof/>
                <w:sz w:val="18"/>
                <w:szCs w:val="18"/>
                <w:lang w:val="en-US"/>
              </w:rPr>
            </w:pPr>
            <w:r w:rsidRPr="005517C4">
              <w:rPr>
                <w:rFonts w:ascii="Times New Roman" w:hAnsi="Times New Roman" w:cs="Times New Roman"/>
                <w:noProof/>
                <w:sz w:val="18"/>
                <w:szCs w:val="18"/>
                <w:lang w:val="en-US"/>
              </w:rPr>
              <w:t>1960-1999</w:t>
            </w:r>
          </w:p>
        </w:tc>
        <w:tc>
          <w:tcPr>
            <w:tcW w:w="1308" w:type="dxa"/>
            <w:vAlign w:val="center"/>
          </w:tcPr>
          <w:p w:rsidR="00217809" w:rsidRPr="005517C4" w:rsidRDefault="00217809" w:rsidP="00217809">
            <w:pPr>
              <w:rPr>
                <w:rFonts w:ascii="Times New Roman" w:hAnsi="Times New Roman" w:cs="Times New Roman"/>
                <w:noProof/>
                <w:sz w:val="18"/>
                <w:szCs w:val="18"/>
                <w:lang w:val="en-US"/>
              </w:rPr>
            </w:pPr>
            <w:r w:rsidRPr="005517C4">
              <w:rPr>
                <w:rFonts w:ascii="Times New Roman" w:hAnsi="Times New Roman" w:cs="Times New Roman"/>
                <w:noProof/>
                <w:sz w:val="18"/>
                <w:szCs w:val="18"/>
                <w:lang w:val="en-US"/>
              </w:rPr>
              <w:t>87 countries</w:t>
            </w:r>
          </w:p>
        </w:tc>
        <w:tc>
          <w:tcPr>
            <w:tcW w:w="2835" w:type="dxa"/>
            <w:vAlign w:val="center"/>
          </w:tcPr>
          <w:p w:rsidR="00217809" w:rsidRPr="005517C4" w:rsidRDefault="00217809" w:rsidP="00217809">
            <w:pPr>
              <w:rPr>
                <w:rFonts w:ascii="Times New Roman" w:hAnsi="Times New Roman" w:cs="Times New Roman"/>
                <w:noProof/>
                <w:sz w:val="18"/>
                <w:szCs w:val="18"/>
                <w:lang w:val="en-US"/>
              </w:rPr>
            </w:pPr>
            <w:r w:rsidRPr="005517C4">
              <w:rPr>
                <w:rFonts w:ascii="Times New Roman" w:hAnsi="Times New Roman" w:cs="Times New Roman"/>
                <w:noProof/>
                <w:sz w:val="18"/>
                <w:szCs w:val="18"/>
                <w:lang w:val="en-US"/>
              </w:rPr>
              <w:t xml:space="preserve">non-parametric approach based on the spatial distribution analysis </w:t>
            </w:r>
          </w:p>
        </w:tc>
        <w:tc>
          <w:tcPr>
            <w:tcW w:w="959" w:type="dxa"/>
            <w:vAlign w:val="center"/>
          </w:tcPr>
          <w:p w:rsidR="00217809" w:rsidRPr="005517C4" w:rsidRDefault="00217809" w:rsidP="00217809">
            <w:pPr>
              <w:rPr>
                <w:rFonts w:ascii="Times New Roman" w:hAnsi="Times New Roman" w:cs="Times New Roman"/>
                <w:noProof/>
                <w:sz w:val="18"/>
                <w:szCs w:val="18"/>
                <w:lang w:val="en-US"/>
              </w:rPr>
            </w:pPr>
            <w:r w:rsidRPr="005517C4">
              <w:rPr>
                <w:rFonts w:ascii="Times New Roman" w:hAnsi="Times New Roman" w:cs="Times New Roman"/>
                <w:noProof/>
                <w:sz w:val="18"/>
                <w:szCs w:val="18"/>
                <w:lang w:val="en-US"/>
              </w:rPr>
              <w:t>CO</w:t>
            </w:r>
            <w:r w:rsidRPr="005517C4">
              <w:rPr>
                <w:rFonts w:ascii="Times New Roman" w:hAnsi="Times New Roman" w:cs="Times New Roman"/>
                <w:noProof/>
                <w:sz w:val="18"/>
                <w:szCs w:val="18"/>
                <w:vertAlign w:val="subscript"/>
                <w:lang w:val="en-US"/>
              </w:rPr>
              <w:t>2</w:t>
            </w:r>
          </w:p>
        </w:tc>
        <w:tc>
          <w:tcPr>
            <w:tcW w:w="2868" w:type="dxa"/>
            <w:vAlign w:val="center"/>
          </w:tcPr>
          <w:p w:rsidR="00217809" w:rsidRPr="005517C4" w:rsidRDefault="00217809" w:rsidP="00217809">
            <w:pPr>
              <w:rPr>
                <w:rFonts w:ascii="Times New Roman" w:hAnsi="Times New Roman" w:cs="Times New Roman"/>
                <w:noProof/>
                <w:sz w:val="18"/>
                <w:szCs w:val="18"/>
                <w:lang w:val="en-US"/>
              </w:rPr>
            </w:pPr>
            <w:r w:rsidRPr="005517C4">
              <w:rPr>
                <w:rFonts w:ascii="Times New Roman" w:hAnsi="Times New Roman" w:cs="Times New Roman"/>
                <w:noProof/>
                <w:sz w:val="18"/>
                <w:szCs w:val="18"/>
                <w:lang w:val="en-US"/>
              </w:rPr>
              <w:t>Evidence for convergence</w:t>
            </w:r>
          </w:p>
        </w:tc>
      </w:tr>
      <w:tr w:rsidR="00217809" w:rsidRPr="005517C4" w:rsidTr="006C6A16">
        <w:trPr>
          <w:trHeight w:val="369"/>
        </w:trPr>
        <w:tc>
          <w:tcPr>
            <w:tcW w:w="1667" w:type="dxa"/>
            <w:vAlign w:val="center"/>
          </w:tcPr>
          <w:p w:rsidR="00217809" w:rsidRPr="005517C4" w:rsidRDefault="006578EE" w:rsidP="00217809">
            <w:pPr>
              <w:rPr>
                <w:rFonts w:ascii="Times New Roman" w:hAnsi="Times New Roman" w:cs="Times New Roman"/>
                <w:noProof/>
                <w:sz w:val="18"/>
                <w:szCs w:val="18"/>
                <w:lang w:val="en-US"/>
              </w:rPr>
            </w:pPr>
            <w:r w:rsidRPr="005517C4">
              <w:rPr>
                <w:rFonts w:ascii="Times New Roman" w:hAnsi="Times New Roman" w:cs="Times New Roman"/>
                <w:noProof/>
                <w:sz w:val="18"/>
                <w:szCs w:val="18"/>
                <w:lang w:val="en-US"/>
              </w:rPr>
              <w:fldChar w:fldCharType="begin" w:fldLock="1"/>
            </w:r>
            <w:r w:rsidR="00216FA4">
              <w:rPr>
                <w:rFonts w:ascii="Times New Roman" w:hAnsi="Times New Roman" w:cs="Times New Roman"/>
                <w:noProof/>
                <w:sz w:val="18"/>
                <w:szCs w:val="18"/>
                <w:lang w:val="en-US"/>
              </w:rPr>
              <w:instrText>ADDIN CSL_CITATION { "citationItems" : [ { "id" : "ITEM-1", "itemData" : { "DOI" : "10.1016/j.eneco.2007.06.003", "ISSN" : "01409883", "author" : [ { "dropping-particle" : "", "family" : "Romero-\u00c1vila", "given" : "Diego", "non-dropping-particle" : "", "parse-names" : false, "suffix" : "" } ], "container-title" : "Energy Economics", "id" : "ITEM-1", "issue" : "5", "issued" : { "date-parts" : [ [ "2008", "9" ] ] }, "page" : "2265-2282", "title" : "Convergence in carbon dioxide emissions among industrialised countries revisited", "type" : "article-journal", "volume" : "30" }, "uris" : [ "http://www.mendeley.com/documents/?uuid=84dbd086-9e9c-39cb-b113-0593f21c347a" ] } ], "mendeley" : { "formattedCitation" : "(Romero-\u00c1vila 2008)", "manualFormatting" : "Romero-\u00c1vila (2008)", "plainTextFormattedCitation" : "(Romero-\u00c1vila 2008)", "previouslyFormattedCitation" : "(Romero-\u00c1vila 2008)" }, "properties" : { "noteIndex" : 0 }, "schema" : "https://github.com/citation-style-language/schema/raw/master/csl-citation.json" }</w:instrText>
            </w:r>
            <w:r w:rsidRPr="005517C4">
              <w:rPr>
                <w:rFonts w:ascii="Times New Roman" w:hAnsi="Times New Roman" w:cs="Times New Roman"/>
                <w:noProof/>
                <w:sz w:val="18"/>
                <w:szCs w:val="18"/>
                <w:lang w:val="en-US"/>
              </w:rPr>
              <w:fldChar w:fldCharType="separate"/>
            </w:r>
            <w:r w:rsidR="00217809" w:rsidRPr="005517C4">
              <w:rPr>
                <w:rFonts w:ascii="Times New Roman" w:hAnsi="Times New Roman" w:cs="Times New Roman"/>
                <w:noProof/>
                <w:sz w:val="18"/>
                <w:szCs w:val="18"/>
                <w:lang w:val="en-US"/>
              </w:rPr>
              <w:t>Romero-Ávila (2008)</w:t>
            </w:r>
            <w:r w:rsidRPr="005517C4">
              <w:rPr>
                <w:rFonts w:ascii="Times New Roman" w:hAnsi="Times New Roman" w:cs="Times New Roman"/>
                <w:noProof/>
                <w:sz w:val="18"/>
                <w:szCs w:val="18"/>
                <w:lang w:val="en-US"/>
              </w:rPr>
              <w:fldChar w:fldCharType="end"/>
            </w:r>
          </w:p>
        </w:tc>
        <w:tc>
          <w:tcPr>
            <w:tcW w:w="805" w:type="dxa"/>
            <w:vAlign w:val="center"/>
          </w:tcPr>
          <w:p w:rsidR="00217809" w:rsidRPr="005517C4" w:rsidRDefault="00217809" w:rsidP="00217809">
            <w:pPr>
              <w:rPr>
                <w:rFonts w:ascii="Times New Roman" w:hAnsi="Times New Roman" w:cs="Times New Roman"/>
                <w:noProof/>
                <w:sz w:val="18"/>
                <w:szCs w:val="18"/>
                <w:lang w:val="en-US"/>
              </w:rPr>
            </w:pPr>
            <w:r w:rsidRPr="005517C4">
              <w:rPr>
                <w:rFonts w:ascii="Times New Roman" w:hAnsi="Times New Roman" w:cs="Times New Roman"/>
                <w:noProof/>
                <w:sz w:val="18"/>
                <w:szCs w:val="18"/>
                <w:lang w:val="en-US"/>
              </w:rPr>
              <w:t>1960-2002</w:t>
            </w:r>
          </w:p>
        </w:tc>
        <w:tc>
          <w:tcPr>
            <w:tcW w:w="1308" w:type="dxa"/>
            <w:vAlign w:val="center"/>
          </w:tcPr>
          <w:p w:rsidR="00217809" w:rsidRPr="005517C4" w:rsidRDefault="00217809" w:rsidP="00217809">
            <w:pPr>
              <w:rPr>
                <w:rFonts w:ascii="Times New Roman" w:hAnsi="Times New Roman" w:cs="Times New Roman"/>
                <w:noProof/>
                <w:sz w:val="18"/>
                <w:szCs w:val="18"/>
                <w:lang w:val="en-US"/>
              </w:rPr>
            </w:pPr>
            <w:r w:rsidRPr="005517C4">
              <w:rPr>
                <w:rFonts w:ascii="Times New Roman" w:hAnsi="Times New Roman" w:cs="Times New Roman"/>
                <w:noProof/>
                <w:sz w:val="18"/>
                <w:szCs w:val="18"/>
                <w:lang w:val="en-US"/>
              </w:rPr>
              <w:t>23 industrialized countries</w:t>
            </w:r>
          </w:p>
        </w:tc>
        <w:tc>
          <w:tcPr>
            <w:tcW w:w="2835" w:type="dxa"/>
            <w:vAlign w:val="center"/>
          </w:tcPr>
          <w:p w:rsidR="00217809" w:rsidRPr="005517C4" w:rsidRDefault="00217809" w:rsidP="00217809">
            <w:pPr>
              <w:rPr>
                <w:rFonts w:ascii="Times New Roman" w:hAnsi="Times New Roman" w:cs="Times New Roman"/>
                <w:noProof/>
                <w:sz w:val="18"/>
                <w:szCs w:val="18"/>
                <w:lang w:val="en-US"/>
              </w:rPr>
            </w:pPr>
            <w:r w:rsidRPr="005517C4">
              <w:rPr>
                <w:rFonts w:ascii="Times New Roman" w:hAnsi="Times New Roman" w:cs="Times New Roman"/>
                <w:noProof/>
                <w:sz w:val="18"/>
                <w:szCs w:val="18"/>
                <w:lang w:val="en-US"/>
              </w:rPr>
              <w:t>Panel unit root test with structural breaks</w:t>
            </w:r>
          </w:p>
        </w:tc>
        <w:tc>
          <w:tcPr>
            <w:tcW w:w="959" w:type="dxa"/>
            <w:vAlign w:val="center"/>
          </w:tcPr>
          <w:p w:rsidR="00217809" w:rsidRPr="005517C4" w:rsidRDefault="00217809" w:rsidP="00217809">
            <w:pPr>
              <w:rPr>
                <w:rFonts w:ascii="Times New Roman" w:hAnsi="Times New Roman" w:cs="Times New Roman"/>
                <w:noProof/>
                <w:sz w:val="18"/>
                <w:szCs w:val="18"/>
                <w:lang w:val="en-US"/>
              </w:rPr>
            </w:pPr>
            <w:r w:rsidRPr="005517C4">
              <w:rPr>
                <w:rFonts w:ascii="Times New Roman" w:hAnsi="Times New Roman" w:cs="Times New Roman"/>
                <w:noProof/>
                <w:sz w:val="18"/>
                <w:szCs w:val="18"/>
                <w:lang w:val="en-US"/>
              </w:rPr>
              <w:t>CO</w:t>
            </w:r>
            <w:r w:rsidRPr="005517C4">
              <w:rPr>
                <w:rFonts w:ascii="Times New Roman" w:hAnsi="Times New Roman" w:cs="Times New Roman"/>
                <w:noProof/>
                <w:sz w:val="18"/>
                <w:szCs w:val="18"/>
                <w:vertAlign w:val="subscript"/>
                <w:lang w:val="en-US"/>
              </w:rPr>
              <w:t>2</w:t>
            </w:r>
          </w:p>
        </w:tc>
        <w:tc>
          <w:tcPr>
            <w:tcW w:w="2868" w:type="dxa"/>
            <w:vAlign w:val="center"/>
          </w:tcPr>
          <w:p w:rsidR="00217809" w:rsidRPr="005517C4" w:rsidRDefault="00217809" w:rsidP="00217809">
            <w:pPr>
              <w:rPr>
                <w:rFonts w:ascii="Times New Roman" w:hAnsi="Times New Roman" w:cs="Times New Roman"/>
                <w:noProof/>
                <w:sz w:val="18"/>
                <w:szCs w:val="18"/>
                <w:lang w:val="en-US"/>
              </w:rPr>
            </w:pPr>
            <w:r w:rsidRPr="005517C4">
              <w:rPr>
                <w:rFonts w:ascii="Times New Roman" w:hAnsi="Times New Roman" w:cs="Times New Roman"/>
                <w:noProof/>
                <w:sz w:val="18"/>
                <w:szCs w:val="18"/>
                <w:lang w:val="en-US"/>
              </w:rPr>
              <w:t>Stochastic and deterministic convergence</w:t>
            </w:r>
          </w:p>
        </w:tc>
      </w:tr>
      <w:tr w:rsidR="00217809" w:rsidRPr="005517C4" w:rsidTr="006C6A16">
        <w:trPr>
          <w:trHeight w:val="385"/>
        </w:trPr>
        <w:tc>
          <w:tcPr>
            <w:tcW w:w="1667" w:type="dxa"/>
            <w:vAlign w:val="center"/>
          </w:tcPr>
          <w:p w:rsidR="00217809" w:rsidRPr="005517C4" w:rsidRDefault="006578EE" w:rsidP="00217809">
            <w:pPr>
              <w:rPr>
                <w:rFonts w:ascii="Times New Roman" w:hAnsi="Times New Roman" w:cs="Times New Roman"/>
                <w:noProof/>
                <w:sz w:val="18"/>
                <w:szCs w:val="18"/>
                <w:lang w:val="en-US"/>
              </w:rPr>
            </w:pPr>
            <w:r w:rsidRPr="005517C4">
              <w:rPr>
                <w:rFonts w:ascii="Times New Roman" w:hAnsi="Times New Roman" w:cs="Times New Roman"/>
                <w:noProof/>
                <w:sz w:val="18"/>
                <w:szCs w:val="18"/>
                <w:lang w:val="en-US"/>
              </w:rPr>
              <w:fldChar w:fldCharType="begin" w:fldLock="1"/>
            </w:r>
            <w:r w:rsidR="00217809" w:rsidRPr="005517C4">
              <w:rPr>
                <w:rFonts w:ascii="Times New Roman" w:hAnsi="Times New Roman" w:cs="Times New Roman"/>
                <w:noProof/>
                <w:sz w:val="18"/>
                <w:szCs w:val="18"/>
                <w:lang w:val="en-US"/>
              </w:rPr>
              <w:instrText>ADDIN CSL_CITATION { "citationItems" : [ { "id" : "ITEM-1", "itemData" : { "abstract" : "Using the data for per capita carbon dioxide (CO2) emissions relative to the average per capita emissions for 21 countries in the organisation for economic co-operation and development (OECD) covering the period 1960-2000, this paper seeks to determine whether the stochastic convergence and \u03b2-convergence of CO2 emissions are supported in countries with the same level of development. In other words, are shocks to relative per capita CO2 emissions temporary in industrialized countries? We respond to this question by utilizing Breuer et al.'s [Breuer JB, McNown R, Wallace MS. Misleading inferences from panel unit-root tests with an illustration from purchasing power parity. Review of International Economics 2001;9(3):482-93; Breuer JB, McNown R, Wallace MS. Series-specific unit-root tests with panel data. Oxford Bulletin of Economics and Statistics 2002 64(5):527-46] panel seemingly unrelated regressions augmented Dickey-Fuller (SURADF) unit-root tests, which allow us to account for possible cross-sectional effects and to identify how many and which members of the panel contain a unit root. Our empirical findings provide evidence that relative per capita CO2 emissions in OECD countries are a mixture of I(0) and I(1) processes, in which 14 out of 21 OECD countries exhibit divergence. The results reveal that conventional panel unit-root tests can lead to misleading inferences biased towards stationarity even if only one series in the panel is strongly stationary. \u00a9 2008 Elsevier Ltd. All rights reserved.", "author" : [ { "dropping-particle" : "", "family" : "Lee", "given" : "Chien Chiang", "non-dropping-particle" : "", "parse-names" : false, "suffix" : "" }, { "dropping-particle" : "", "family" : "Chang", "given" : "Chun Ping", "non-dropping-particle" : "", "parse-names" : false, "suffix" : "" } ], "container-title" : "Energy", "id" : "ITEM-1", "issue" : "9", "issued" : { "date-parts" : [ [ "2008" ] ] }, "page" : "1468-1475", "title" : "New evidence on the convergence of per capita carbon dioxide emissions from panel seemingly unrelated regressions augmented Dickey-Fuller tests", "type" : "article-journal", "volume" : "33" }, "uris" : [ "http://www.mendeley.com/documents/?uuid=8582810a-1e5c-438e-ad23-e6031b46f5e4" ] } ], "mendeley" : { "formattedCitation" : "(Lee and Chang 2008)", "manualFormatting" : "Lee and Chang (2008)", "plainTextFormattedCitation" : "(Lee and Chang 2008)", "previouslyFormattedCitation" : "(Lee and Chang 2008)" }, "properties" : { "noteIndex" : 0 }, "schema" : "https://github.com/citation-style-language/schema/raw/master/csl-citation.json" }</w:instrText>
            </w:r>
            <w:r w:rsidRPr="005517C4">
              <w:rPr>
                <w:rFonts w:ascii="Times New Roman" w:hAnsi="Times New Roman" w:cs="Times New Roman"/>
                <w:noProof/>
                <w:sz w:val="18"/>
                <w:szCs w:val="18"/>
                <w:lang w:val="en-US"/>
              </w:rPr>
              <w:fldChar w:fldCharType="separate"/>
            </w:r>
            <w:r w:rsidR="00217809" w:rsidRPr="005517C4">
              <w:rPr>
                <w:rFonts w:ascii="Times New Roman" w:hAnsi="Times New Roman" w:cs="Times New Roman"/>
                <w:noProof/>
                <w:sz w:val="18"/>
                <w:szCs w:val="18"/>
                <w:lang w:val="en-US"/>
              </w:rPr>
              <w:t>Lee and Chang (2008)</w:t>
            </w:r>
            <w:r w:rsidRPr="005517C4">
              <w:rPr>
                <w:rFonts w:ascii="Times New Roman" w:hAnsi="Times New Roman" w:cs="Times New Roman"/>
                <w:noProof/>
                <w:sz w:val="18"/>
                <w:szCs w:val="18"/>
                <w:lang w:val="en-US"/>
              </w:rPr>
              <w:fldChar w:fldCharType="end"/>
            </w:r>
          </w:p>
        </w:tc>
        <w:tc>
          <w:tcPr>
            <w:tcW w:w="805" w:type="dxa"/>
            <w:vAlign w:val="center"/>
          </w:tcPr>
          <w:p w:rsidR="00217809" w:rsidRPr="005517C4" w:rsidRDefault="00217809" w:rsidP="00217809">
            <w:pPr>
              <w:rPr>
                <w:rFonts w:ascii="Times New Roman" w:hAnsi="Times New Roman" w:cs="Times New Roman"/>
                <w:noProof/>
                <w:sz w:val="18"/>
                <w:szCs w:val="18"/>
                <w:lang w:val="en-US"/>
              </w:rPr>
            </w:pPr>
            <w:r w:rsidRPr="005517C4">
              <w:rPr>
                <w:rFonts w:ascii="Times New Roman" w:hAnsi="Times New Roman" w:cs="Times New Roman"/>
                <w:noProof/>
                <w:sz w:val="18"/>
                <w:szCs w:val="18"/>
                <w:lang w:val="en-US"/>
              </w:rPr>
              <w:t>1960-2000</w:t>
            </w:r>
          </w:p>
        </w:tc>
        <w:tc>
          <w:tcPr>
            <w:tcW w:w="1308" w:type="dxa"/>
            <w:vAlign w:val="center"/>
          </w:tcPr>
          <w:p w:rsidR="00217809" w:rsidRPr="005517C4" w:rsidRDefault="00217809" w:rsidP="00217809">
            <w:pPr>
              <w:rPr>
                <w:rFonts w:ascii="Times New Roman" w:hAnsi="Times New Roman" w:cs="Times New Roman"/>
                <w:noProof/>
                <w:sz w:val="18"/>
                <w:szCs w:val="18"/>
                <w:lang w:val="en-US"/>
              </w:rPr>
            </w:pPr>
            <w:r w:rsidRPr="005517C4">
              <w:rPr>
                <w:rFonts w:ascii="Times New Roman" w:hAnsi="Times New Roman" w:cs="Times New Roman"/>
                <w:noProof/>
                <w:sz w:val="18"/>
                <w:szCs w:val="18"/>
                <w:lang w:val="en-US"/>
              </w:rPr>
              <w:t>21 OECD countries</w:t>
            </w:r>
          </w:p>
        </w:tc>
        <w:tc>
          <w:tcPr>
            <w:tcW w:w="2835" w:type="dxa"/>
            <w:vAlign w:val="center"/>
          </w:tcPr>
          <w:p w:rsidR="00217809" w:rsidRPr="005517C4" w:rsidRDefault="00217809" w:rsidP="00217809">
            <w:pPr>
              <w:rPr>
                <w:rFonts w:ascii="Times New Roman" w:hAnsi="Times New Roman" w:cs="Times New Roman"/>
                <w:noProof/>
                <w:sz w:val="18"/>
                <w:szCs w:val="18"/>
                <w:lang w:val="en-US"/>
              </w:rPr>
            </w:pPr>
            <w:r w:rsidRPr="005517C4">
              <w:rPr>
                <w:rFonts w:ascii="Times New Roman" w:hAnsi="Times New Roman" w:cs="Times New Roman"/>
                <w:noProof/>
                <w:sz w:val="18"/>
                <w:szCs w:val="18"/>
                <w:lang w:val="en-US"/>
              </w:rPr>
              <w:t>SURADF panel unit root</w:t>
            </w:r>
          </w:p>
        </w:tc>
        <w:tc>
          <w:tcPr>
            <w:tcW w:w="959" w:type="dxa"/>
            <w:vAlign w:val="center"/>
          </w:tcPr>
          <w:p w:rsidR="00217809" w:rsidRPr="005517C4" w:rsidRDefault="00217809" w:rsidP="00217809">
            <w:pPr>
              <w:rPr>
                <w:rFonts w:ascii="Times New Roman" w:hAnsi="Times New Roman" w:cs="Times New Roman"/>
                <w:noProof/>
                <w:sz w:val="18"/>
                <w:szCs w:val="18"/>
                <w:lang w:val="en-US"/>
              </w:rPr>
            </w:pPr>
            <w:r w:rsidRPr="005517C4">
              <w:rPr>
                <w:rFonts w:ascii="Times New Roman" w:hAnsi="Times New Roman" w:cs="Times New Roman"/>
                <w:noProof/>
                <w:sz w:val="18"/>
                <w:szCs w:val="18"/>
                <w:lang w:val="en-US"/>
              </w:rPr>
              <w:t>CO</w:t>
            </w:r>
            <w:r w:rsidRPr="005517C4">
              <w:rPr>
                <w:rFonts w:ascii="Times New Roman" w:hAnsi="Times New Roman" w:cs="Times New Roman"/>
                <w:noProof/>
                <w:sz w:val="18"/>
                <w:szCs w:val="18"/>
                <w:vertAlign w:val="subscript"/>
                <w:lang w:val="en-US"/>
              </w:rPr>
              <w:t>2</w:t>
            </w:r>
          </w:p>
        </w:tc>
        <w:tc>
          <w:tcPr>
            <w:tcW w:w="2868" w:type="dxa"/>
            <w:vAlign w:val="center"/>
          </w:tcPr>
          <w:p w:rsidR="00217809" w:rsidRPr="005517C4" w:rsidRDefault="00217809" w:rsidP="00217809">
            <w:pPr>
              <w:rPr>
                <w:rFonts w:ascii="Times New Roman" w:hAnsi="Times New Roman" w:cs="Times New Roman"/>
                <w:noProof/>
                <w:sz w:val="18"/>
                <w:szCs w:val="18"/>
                <w:lang w:val="en-US"/>
              </w:rPr>
            </w:pPr>
            <w:r w:rsidRPr="005517C4">
              <w:rPr>
                <w:rFonts w:ascii="Times New Roman" w:hAnsi="Times New Roman" w:cs="Times New Roman"/>
                <w:noProof/>
                <w:sz w:val="18"/>
                <w:szCs w:val="18"/>
                <w:lang w:val="en-US"/>
              </w:rPr>
              <w:t>Stochastic and β-convergence for 7 out of 21, divergence for 14 out of 21 countries</w:t>
            </w:r>
          </w:p>
        </w:tc>
      </w:tr>
      <w:tr w:rsidR="00217809" w:rsidRPr="005517C4" w:rsidTr="006C6A16">
        <w:trPr>
          <w:trHeight w:val="369"/>
        </w:trPr>
        <w:tc>
          <w:tcPr>
            <w:tcW w:w="1667" w:type="dxa"/>
            <w:vAlign w:val="center"/>
          </w:tcPr>
          <w:p w:rsidR="00217809" w:rsidRPr="005517C4" w:rsidRDefault="006578EE" w:rsidP="00217809">
            <w:pPr>
              <w:rPr>
                <w:rFonts w:ascii="Times New Roman" w:hAnsi="Times New Roman" w:cs="Times New Roman"/>
                <w:noProof/>
                <w:sz w:val="18"/>
                <w:szCs w:val="18"/>
                <w:lang w:val="en-US"/>
              </w:rPr>
            </w:pPr>
            <w:r w:rsidRPr="005517C4">
              <w:rPr>
                <w:rFonts w:ascii="Times New Roman" w:hAnsi="Times New Roman" w:cs="Times New Roman"/>
                <w:noProof/>
                <w:sz w:val="18"/>
                <w:szCs w:val="18"/>
                <w:lang w:val="en-US"/>
              </w:rPr>
              <w:fldChar w:fldCharType="begin" w:fldLock="1"/>
            </w:r>
            <w:r w:rsidR="00216FA4">
              <w:rPr>
                <w:rFonts w:ascii="Times New Roman" w:hAnsi="Times New Roman" w:cs="Times New Roman"/>
                <w:noProof/>
                <w:sz w:val="18"/>
                <w:szCs w:val="18"/>
                <w:lang w:val="en-US"/>
              </w:rPr>
              <w:instrText>ADDIN CSL_CITATION { "citationItems" : [ { "id" : "ITEM-1", "itemData" : { "DOI" : "10.1016/j.ecolecon.2007.10.024", "ISSN" : "09218009", "author" : [ { "dropping-particle" : "", "family" : "Camarero", "given" : "Mariam", "non-dropping-particle" : "", "parse-names" : false, "suffix" : "" }, { "dropping-particle" : "", "family" : "Picazo-Tadeo", "given" : "Andr\u00e9s J.", "non-dropping-particle" : "", "parse-names" : false, "suffix" : "" }, { "dropping-particle" : "", "family" : "Tamarit", "given" : "Cecilio", "non-dropping-particle" : "", "parse-names" : false, "suffix" : "" } ], "container-title" : "Ecological Economics", "id" : "ITEM-1", "issue" : "4", "issued" : { "date-parts" : [ [ "2008", "7" ] ] }, "page" : "653-661", "title" : "Is the environmental performance of industrialized countries converging? A \u2018SURE\u2019 approach to testing for convergence", "type" : "article-journal", "volume" : "66" }, "uris" : [ "http://www.mendeley.com/documents/?uuid=c85a8c09-7c3a-33aa-84f8-fbef8cc062da" ] } ], "mendeley" : { "formattedCitation" : "(Camarero, Picazo-Tadeo, and Tamarit 2008)", "manualFormatting" : "Camarero et al. (2008)", "plainTextFormattedCitation" : "(Camarero, Picazo-Tadeo, and Tamarit 2008)", "previouslyFormattedCitation" : "(Camarero, Picazo-Tadeo, and Tamarit 2008)" }, "properties" : { "noteIndex" : 0 }, "schema" : "https://github.com/citation-style-language/schema/raw/master/csl-citation.json" }</w:instrText>
            </w:r>
            <w:r w:rsidRPr="005517C4">
              <w:rPr>
                <w:rFonts w:ascii="Times New Roman" w:hAnsi="Times New Roman" w:cs="Times New Roman"/>
                <w:noProof/>
                <w:sz w:val="18"/>
                <w:szCs w:val="18"/>
                <w:lang w:val="en-US"/>
              </w:rPr>
              <w:fldChar w:fldCharType="separate"/>
            </w:r>
            <w:r w:rsidR="00217809" w:rsidRPr="005517C4">
              <w:rPr>
                <w:rFonts w:ascii="Times New Roman" w:hAnsi="Times New Roman" w:cs="Times New Roman"/>
                <w:noProof/>
                <w:sz w:val="18"/>
                <w:szCs w:val="18"/>
                <w:lang w:val="en-US"/>
              </w:rPr>
              <w:t>Camarero et al. (2008)</w:t>
            </w:r>
            <w:r w:rsidRPr="005517C4">
              <w:rPr>
                <w:rFonts w:ascii="Times New Roman" w:hAnsi="Times New Roman" w:cs="Times New Roman"/>
                <w:noProof/>
                <w:sz w:val="18"/>
                <w:szCs w:val="18"/>
                <w:lang w:val="en-US"/>
              </w:rPr>
              <w:fldChar w:fldCharType="end"/>
            </w:r>
          </w:p>
        </w:tc>
        <w:tc>
          <w:tcPr>
            <w:tcW w:w="805" w:type="dxa"/>
            <w:vAlign w:val="center"/>
          </w:tcPr>
          <w:p w:rsidR="00217809" w:rsidRPr="005517C4" w:rsidRDefault="00217809" w:rsidP="00217809">
            <w:pPr>
              <w:rPr>
                <w:rFonts w:ascii="Times New Roman" w:hAnsi="Times New Roman" w:cs="Times New Roman"/>
                <w:noProof/>
                <w:sz w:val="18"/>
                <w:szCs w:val="18"/>
                <w:lang w:val="en-US"/>
              </w:rPr>
            </w:pPr>
            <w:r w:rsidRPr="005517C4">
              <w:rPr>
                <w:rFonts w:ascii="Times New Roman" w:hAnsi="Times New Roman" w:cs="Times New Roman"/>
                <w:noProof/>
                <w:sz w:val="18"/>
                <w:szCs w:val="18"/>
                <w:lang w:val="en-US"/>
              </w:rPr>
              <w:t>1971-2002</w:t>
            </w:r>
          </w:p>
        </w:tc>
        <w:tc>
          <w:tcPr>
            <w:tcW w:w="1308" w:type="dxa"/>
            <w:vAlign w:val="center"/>
          </w:tcPr>
          <w:p w:rsidR="00217809" w:rsidRPr="005517C4" w:rsidRDefault="00217809" w:rsidP="00217809">
            <w:pPr>
              <w:rPr>
                <w:rFonts w:ascii="Times New Roman" w:hAnsi="Times New Roman" w:cs="Times New Roman"/>
                <w:noProof/>
                <w:sz w:val="18"/>
                <w:szCs w:val="18"/>
                <w:lang w:val="en-US"/>
              </w:rPr>
            </w:pPr>
            <w:r w:rsidRPr="005517C4">
              <w:rPr>
                <w:rFonts w:ascii="Times New Roman" w:hAnsi="Times New Roman" w:cs="Times New Roman"/>
                <w:noProof/>
                <w:sz w:val="18"/>
                <w:szCs w:val="18"/>
                <w:lang w:val="en-US"/>
              </w:rPr>
              <w:t>OECD countries</w:t>
            </w:r>
          </w:p>
        </w:tc>
        <w:tc>
          <w:tcPr>
            <w:tcW w:w="2835" w:type="dxa"/>
            <w:vAlign w:val="center"/>
          </w:tcPr>
          <w:p w:rsidR="00217809" w:rsidRPr="005517C4" w:rsidRDefault="00217809" w:rsidP="00217809">
            <w:pPr>
              <w:rPr>
                <w:rFonts w:ascii="Times New Roman" w:hAnsi="Times New Roman" w:cs="Times New Roman"/>
                <w:noProof/>
                <w:sz w:val="18"/>
                <w:szCs w:val="18"/>
                <w:lang w:val="en-US"/>
              </w:rPr>
            </w:pPr>
            <w:r w:rsidRPr="005517C4">
              <w:rPr>
                <w:rFonts w:ascii="Times New Roman" w:hAnsi="Times New Roman" w:cs="Times New Roman"/>
                <w:noProof/>
                <w:sz w:val="18"/>
                <w:szCs w:val="18"/>
                <w:lang w:val="en-US"/>
              </w:rPr>
              <w:t>Data Envelopment Analysis, sequential multivariate approach, SURADF unit root</w:t>
            </w:r>
          </w:p>
        </w:tc>
        <w:tc>
          <w:tcPr>
            <w:tcW w:w="959" w:type="dxa"/>
            <w:vAlign w:val="center"/>
          </w:tcPr>
          <w:p w:rsidR="00217809" w:rsidRPr="005517C4" w:rsidRDefault="00217809" w:rsidP="00217809">
            <w:pPr>
              <w:rPr>
                <w:rFonts w:ascii="Times New Roman" w:hAnsi="Times New Roman" w:cs="Times New Roman"/>
                <w:noProof/>
                <w:sz w:val="18"/>
                <w:szCs w:val="18"/>
                <w:lang w:val="en-US"/>
              </w:rPr>
            </w:pPr>
            <w:r w:rsidRPr="005517C4">
              <w:rPr>
                <w:rFonts w:ascii="Times New Roman" w:hAnsi="Times New Roman" w:cs="Times New Roman"/>
                <w:noProof/>
                <w:sz w:val="18"/>
                <w:szCs w:val="18"/>
                <w:lang w:val="en-US"/>
              </w:rPr>
              <w:t>EPI*</w:t>
            </w:r>
          </w:p>
        </w:tc>
        <w:tc>
          <w:tcPr>
            <w:tcW w:w="2868" w:type="dxa"/>
            <w:vAlign w:val="center"/>
          </w:tcPr>
          <w:p w:rsidR="00217809" w:rsidRPr="005517C4" w:rsidRDefault="00217809" w:rsidP="00217809">
            <w:pPr>
              <w:rPr>
                <w:rFonts w:ascii="Times New Roman" w:hAnsi="Times New Roman" w:cs="Times New Roman"/>
                <w:noProof/>
                <w:sz w:val="18"/>
                <w:szCs w:val="18"/>
                <w:lang w:val="en-US"/>
              </w:rPr>
            </w:pPr>
            <w:r w:rsidRPr="005517C4">
              <w:rPr>
                <w:rFonts w:ascii="Times New Roman" w:hAnsi="Times New Roman" w:cs="Times New Roman"/>
                <w:noProof/>
                <w:sz w:val="18"/>
                <w:szCs w:val="18"/>
                <w:lang w:val="en-US"/>
              </w:rPr>
              <w:t>Evidence for convergence</w:t>
            </w:r>
          </w:p>
        </w:tc>
      </w:tr>
      <w:tr w:rsidR="00217809" w:rsidRPr="005517C4" w:rsidTr="006C6A16">
        <w:trPr>
          <w:trHeight w:val="385"/>
        </w:trPr>
        <w:tc>
          <w:tcPr>
            <w:tcW w:w="1667" w:type="dxa"/>
            <w:vAlign w:val="center"/>
          </w:tcPr>
          <w:p w:rsidR="00217809" w:rsidRPr="005517C4" w:rsidRDefault="006578EE" w:rsidP="00217809">
            <w:pPr>
              <w:rPr>
                <w:rFonts w:ascii="Times New Roman" w:hAnsi="Times New Roman" w:cs="Times New Roman"/>
                <w:noProof/>
                <w:sz w:val="18"/>
                <w:szCs w:val="18"/>
                <w:lang w:val="en-US"/>
              </w:rPr>
            </w:pPr>
            <w:r w:rsidRPr="005517C4">
              <w:rPr>
                <w:rFonts w:ascii="Times New Roman" w:hAnsi="Times New Roman" w:cs="Times New Roman"/>
                <w:noProof/>
                <w:sz w:val="18"/>
                <w:szCs w:val="18"/>
                <w:lang w:val="en-US"/>
              </w:rPr>
              <w:fldChar w:fldCharType="begin" w:fldLock="1"/>
            </w:r>
            <w:r w:rsidR="00217809" w:rsidRPr="005517C4">
              <w:rPr>
                <w:rFonts w:ascii="Times New Roman" w:hAnsi="Times New Roman" w:cs="Times New Roman"/>
                <w:noProof/>
                <w:sz w:val="18"/>
                <w:szCs w:val="18"/>
                <w:lang w:val="en-US"/>
              </w:rPr>
              <w:instrText>ADDIN CSL_CITATION { "citationItems" : [ { "id" : "ITEM-1", "itemData" : { "DOI" : "10.1007/s10640-007-9143-2", "ISSN" : "0924-6460", "author" : [ { "dropping-particle" : "", "family" : "Westerlund", "given" : "Joakim", "non-dropping-particle" : "", "parse-names" : false, "suffix" : "" }, { "dropping-particle" : "", "family" : "Basher", "given" : "Syed A.", "non-dropping-particle" : "", "parse-names" : false, "suffix" : "" } ], "container-title" : "Environmental and Resource Economics", "id" : "ITEM-1", "issue" : "1", "issued" : { "date-parts" : [ [ "2008", "5", "14" ] ] }, "page" : "109-120", "publisher" : "Springer Netherlands", "title" : "Testing for Convergence in Carbon Dioxide Emissions Using a Century of Panel Data", "type" : "article-journal", "volume" : "40" }, "uris" : [ "http://www.mendeley.com/documents/?uuid=10e9898a-824c-3215-930f-a34a6d1b6259" ] } ], "mendeley" : { "formattedCitation" : "(Westerlund and Basher 2008)", "manualFormatting" : "Westerlund and Basher (2008)", "plainTextFormattedCitation" : "(Westerlund and Basher 2008)", "previouslyFormattedCitation" : "(Westerlund and Basher 2008)" }, "properties" : { "noteIndex" : 0 }, "schema" : "https://github.com/citation-style-language/schema/raw/master/csl-citation.json" }</w:instrText>
            </w:r>
            <w:r w:rsidRPr="005517C4">
              <w:rPr>
                <w:rFonts w:ascii="Times New Roman" w:hAnsi="Times New Roman" w:cs="Times New Roman"/>
                <w:noProof/>
                <w:sz w:val="18"/>
                <w:szCs w:val="18"/>
                <w:lang w:val="en-US"/>
              </w:rPr>
              <w:fldChar w:fldCharType="separate"/>
            </w:r>
            <w:r w:rsidR="00217809" w:rsidRPr="005517C4">
              <w:rPr>
                <w:rFonts w:ascii="Times New Roman" w:hAnsi="Times New Roman" w:cs="Times New Roman"/>
                <w:noProof/>
                <w:sz w:val="18"/>
                <w:szCs w:val="18"/>
                <w:lang w:val="en-US"/>
              </w:rPr>
              <w:t>Westerlund and Basher (2008)</w:t>
            </w:r>
            <w:r w:rsidRPr="005517C4">
              <w:rPr>
                <w:rFonts w:ascii="Times New Roman" w:hAnsi="Times New Roman" w:cs="Times New Roman"/>
                <w:noProof/>
                <w:sz w:val="18"/>
                <w:szCs w:val="18"/>
                <w:lang w:val="en-US"/>
              </w:rPr>
              <w:fldChar w:fldCharType="end"/>
            </w:r>
          </w:p>
        </w:tc>
        <w:tc>
          <w:tcPr>
            <w:tcW w:w="805" w:type="dxa"/>
            <w:vAlign w:val="center"/>
          </w:tcPr>
          <w:p w:rsidR="00217809" w:rsidRPr="005517C4" w:rsidRDefault="00217809" w:rsidP="00217809">
            <w:pPr>
              <w:rPr>
                <w:rFonts w:ascii="Times New Roman" w:hAnsi="Times New Roman" w:cs="Times New Roman"/>
                <w:noProof/>
                <w:sz w:val="18"/>
                <w:szCs w:val="18"/>
                <w:lang w:val="en-US"/>
              </w:rPr>
            </w:pPr>
            <w:r w:rsidRPr="005517C4">
              <w:rPr>
                <w:rFonts w:ascii="Times New Roman" w:hAnsi="Times New Roman" w:cs="Times New Roman"/>
                <w:noProof/>
                <w:sz w:val="18"/>
                <w:szCs w:val="18"/>
                <w:lang w:val="en-US"/>
              </w:rPr>
              <w:t>1870-2002</w:t>
            </w:r>
          </w:p>
        </w:tc>
        <w:tc>
          <w:tcPr>
            <w:tcW w:w="1308" w:type="dxa"/>
            <w:vAlign w:val="center"/>
          </w:tcPr>
          <w:p w:rsidR="00217809" w:rsidRPr="005517C4" w:rsidRDefault="00217809" w:rsidP="00217809">
            <w:pPr>
              <w:rPr>
                <w:rFonts w:ascii="Times New Roman" w:hAnsi="Times New Roman" w:cs="Times New Roman"/>
                <w:noProof/>
                <w:sz w:val="18"/>
                <w:szCs w:val="18"/>
                <w:lang w:val="en-US"/>
              </w:rPr>
            </w:pPr>
            <w:r w:rsidRPr="005517C4">
              <w:rPr>
                <w:rFonts w:ascii="Times New Roman" w:hAnsi="Times New Roman" w:cs="Times New Roman"/>
                <w:noProof/>
                <w:sz w:val="18"/>
                <w:szCs w:val="18"/>
                <w:lang w:val="en-US"/>
              </w:rPr>
              <w:t>16 developed, 12 developing countries</w:t>
            </w:r>
          </w:p>
        </w:tc>
        <w:tc>
          <w:tcPr>
            <w:tcW w:w="2835" w:type="dxa"/>
            <w:vAlign w:val="center"/>
          </w:tcPr>
          <w:p w:rsidR="00217809" w:rsidRPr="005517C4" w:rsidRDefault="00217809" w:rsidP="00217809">
            <w:pPr>
              <w:rPr>
                <w:rFonts w:ascii="Times New Roman" w:hAnsi="Times New Roman" w:cs="Times New Roman"/>
                <w:noProof/>
                <w:sz w:val="18"/>
                <w:szCs w:val="18"/>
                <w:lang w:val="en-US"/>
              </w:rPr>
            </w:pPr>
            <w:r w:rsidRPr="005517C4">
              <w:rPr>
                <w:rFonts w:ascii="Times New Roman" w:hAnsi="Times New Roman" w:cs="Times New Roman"/>
                <w:noProof/>
                <w:sz w:val="18"/>
                <w:szCs w:val="18"/>
                <w:lang w:val="en-US"/>
              </w:rPr>
              <w:t xml:space="preserve">Panel unit root proposed by </w:t>
            </w:r>
            <w:r w:rsidR="006578EE" w:rsidRPr="005517C4">
              <w:rPr>
                <w:rFonts w:ascii="Times New Roman" w:hAnsi="Times New Roman" w:cs="Times New Roman"/>
                <w:noProof/>
                <w:sz w:val="18"/>
                <w:szCs w:val="18"/>
                <w:lang w:val="en-US"/>
              </w:rPr>
              <w:fldChar w:fldCharType="begin" w:fldLock="1"/>
            </w:r>
            <w:r w:rsidR="00216FA4">
              <w:rPr>
                <w:rFonts w:ascii="Times New Roman" w:hAnsi="Times New Roman" w:cs="Times New Roman"/>
                <w:noProof/>
                <w:sz w:val="18"/>
                <w:szCs w:val="18"/>
                <w:lang w:val="en-US"/>
              </w:rPr>
              <w:instrText>ADDIN CSL_CITATION { "citationItems" : [ { "id" : "ITEM-1", "itemData" : { "DOI" : "10.1111/1368-423X.00043", "ISSN" : "1368-4221", "author" : [ { "dropping-particle" : "", "family" : "Hadri", "given" : "Kaddour", "non-dropping-particle" : "", "parse-names" : false, "suffix" : "" } ], "container-title" : "The Econometrics Journal", "id" : "ITEM-1", "issue" : "2", "issued" : { "date-parts" : [ [ "2000", "12" ] ] }, "page" : "148-161", "publisher" : "Blackwell Publishers Ltd", "title" : "Testing for stationarity in heterogeneous panel data", "type" : "article-journal", "volume" : "3" }, "uris" : [ "http://www.mendeley.com/documents/?uuid=efb5f372-997f-34ee-aa4e-e17a3b544cda" ] } ], "mendeley" : { "formattedCitation" : "(Hadri 2000)", "manualFormatting" : "Hadri (2000)", "plainTextFormattedCitation" : "(Hadri 2000)", "previouslyFormattedCitation" : "(Hadri 2000)" }, "properties" : { "noteIndex" : 0 }, "schema" : "https://github.com/citation-style-language/schema/raw/master/csl-citation.json" }</w:instrText>
            </w:r>
            <w:r w:rsidR="006578EE" w:rsidRPr="005517C4">
              <w:rPr>
                <w:rFonts w:ascii="Times New Roman" w:hAnsi="Times New Roman" w:cs="Times New Roman"/>
                <w:noProof/>
                <w:sz w:val="18"/>
                <w:szCs w:val="18"/>
                <w:lang w:val="en-US"/>
              </w:rPr>
              <w:fldChar w:fldCharType="separate"/>
            </w:r>
            <w:r w:rsidRPr="005517C4">
              <w:rPr>
                <w:rFonts w:ascii="Times New Roman" w:hAnsi="Times New Roman" w:cs="Times New Roman"/>
                <w:noProof/>
                <w:sz w:val="18"/>
                <w:szCs w:val="18"/>
                <w:lang w:val="en-US"/>
              </w:rPr>
              <w:t>Hadri (2000)</w:t>
            </w:r>
            <w:r w:rsidR="006578EE" w:rsidRPr="005517C4">
              <w:rPr>
                <w:rFonts w:ascii="Times New Roman" w:hAnsi="Times New Roman" w:cs="Times New Roman"/>
                <w:noProof/>
                <w:sz w:val="18"/>
                <w:szCs w:val="18"/>
                <w:lang w:val="en-US"/>
              </w:rPr>
              <w:fldChar w:fldCharType="end"/>
            </w:r>
            <w:r w:rsidRPr="005517C4">
              <w:rPr>
                <w:rFonts w:ascii="Times New Roman" w:hAnsi="Times New Roman" w:cs="Times New Roman"/>
                <w:noProof/>
                <w:sz w:val="18"/>
                <w:szCs w:val="18"/>
                <w:lang w:val="en-US"/>
              </w:rPr>
              <w:t xml:space="preserve"> and </w:t>
            </w:r>
            <w:r w:rsidR="006578EE" w:rsidRPr="005517C4">
              <w:rPr>
                <w:rFonts w:ascii="Times New Roman" w:hAnsi="Times New Roman" w:cs="Times New Roman"/>
                <w:noProof/>
                <w:sz w:val="18"/>
                <w:szCs w:val="18"/>
                <w:lang w:val="en-US"/>
              </w:rPr>
              <w:fldChar w:fldCharType="begin" w:fldLock="1"/>
            </w:r>
            <w:r w:rsidRPr="005517C4">
              <w:rPr>
                <w:rFonts w:ascii="Times New Roman" w:hAnsi="Times New Roman" w:cs="Times New Roman"/>
                <w:noProof/>
                <w:sz w:val="18"/>
                <w:szCs w:val="18"/>
                <w:lang w:val="en-US"/>
              </w:rPr>
              <w:instrText>ADDIN CSL_CITATION { "citationItems" : [ { "id" : "ITEM-1", "itemData" : { "DOI" : "10.1016/S0304-4076(03)00092-7", "ISSN" : "03044076", "abstract" : "This paper proposes unit root tests for dynamic heterogeneous panels based on the mean of individual unit root statistics. In particular it proposes a standardized t-bar test statistic based on the (augmented) Dickey\u2013Fuller statistics averaged across the groups. Under a general setting this statistic is shown to converge in probability to a standard normal variate sequentially with T (the time series dimension) \u2192\u221e, followed by N (the cross sectional dimension) \u2192\u221e. A diagonal convergence result with T and N\u2192\u221e while N/T\u2192k,k being a finite non-negative constant, is also conjectured. In the special case where errors in individual Dickey\u2013Fuller (DF) regressions are serially uncorrelated a modified version of the standardized t-bar statistic is shown to be distributed as standard normal as N\u2192\u221e for a fixed T, so long as T&gt;5 in the case of DF regressions with intercepts and T&gt;6 in the case of DF regressions with intercepts and linear time trends. An exact fixed N and T test is also developed using the simple average of the DF statistics. Monte Carlo results show that if a large enough lag order is selected for the underlying ADF regressions, then the small sample performances of the t-bar test is reasonably satisfactory and generally better than the test proposed by Levin and Lin (Unpublished manuscript, University of California, San Diego, 1993).", "author" : [ { "dropping-particle" : "", "family" : "Im", "given" : "Kyung So", "non-dropping-particle" : "", "parse-names" : false, "suffix" : "" }, { "dropping-particle" : "", "family" : "Pesaran", "given" : "M.Hashem", "non-dropping-particle" : "", "parse-names" : false, "suffix" : "" }, { "dropping-particle" : "", "family" : "Shin", "given" : "Yongcheol", "non-dropping-particle" : "", "parse-names" : false, "suffix" : "" } ], "container-title" : "Journal of Econometrics", "id" : "ITEM-1", "issue" : "1", "issued" : { "date-parts" : [ [ "2003" ] ] }, "page" : "53-74", "title" : "Testing for unit roots in heterogeneous panels", "type" : "article-journal", "volume" : "115" }, "uris" : [ "http://www.mendeley.com/documents/?uuid=1556e660-3d91-3575-97b3-edda5cd54a50" ] } ], "mendeley" : { "formattedCitation" : "(Im, Pesaran, and Shin 2003)", "manualFormatting" : "Im et al ( 2003)", "plainTextFormattedCitation" : "(Im, Pesaran, and Shin 2003)", "previouslyFormattedCitation" : "(Im, Pesaran, and Shin 2003)" }, "properties" : { "noteIndex" : 0 }, "schema" : "https://github.com/citation-style-language/schema/raw/master/csl-citation.json" }</w:instrText>
            </w:r>
            <w:r w:rsidR="006578EE" w:rsidRPr="005517C4">
              <w:rPr>
                <w:rFonts w:ascii="Times New Roman" w:hAnsi="Times New Roman" w:cs="Times New Roman"/>
                <w:noProof/>
                <w:sz w:val="18"/>
                <w:szCs w:val="18"/>
                <w:lang w:val="en-US"/>
              </w:rPr>
              <w:fldChar w:fldCharType="separate"/>
            </w:r>
            <w:r w:rsidRPr="005517C4">
              <w:rPr>
                <w:rFonts w:ascii="Times New Roman" w:hAnsi="Times New Roman" w:cs="Times New Roman"/>
                <w:noProof/>
                <w:sz w:val="18"/>
                <w:szCs w:val="18"/>
                <w:lang w:val="en-US"/>
              </w:rPr>
              <w:t>Im et al ( 2003)</w:t>
            </w:r>
            <w:r w:rsidR="006578EE" w:rsidRPr="005517C4">
              <w:rPr>
                <w:rFonts w:ascii="Times New Roman" w:hAnsi="Times New Roman" w:cs="Times New Roman"/>
                <w:noProof/>
                <w:sz w:val="18"/>
                <w:szCs w:val="18"/>
                <w:lang w:val="en-US"/>
              </w:rPr>
              <w:fldChar w:fldCharType="end"/>
            </w:r>
          </w:p>
        </w:tc>
        <w:tc>
          <w:tcPr>
            <w:tcW w:w="959" w:type="dxa"/>
            <w:vAlign w:val="center"/>
          </w:tcPr>
          <w:p w:rsidR="00217809" w:rsidRPr="005517C4" w:rsidRDefault="00217809" w:rsidP="00217809">
            <w:pPr>
              <w:rPr>
                <w:rFonts w:ascii="Times New Roman" w:hAnsi="Times New Roman" w:cs="Times New Roman"/>
                <w:noProof/>
                <w:sz w:val="18"/>
                <w:szCs w:val="18"/>
                <w:lang w:val="en-US"/>
              </w:rPr>
            </w:pPr>
            <w:r w:rsidRPr="005517C4">
              <w:rPr>
                <w:rFonts w:ascii="Times New Roman" w:hAnsi="Times New Roman" w:cs="Times New Roman"/>
                <w:noProof/>
                <w:sz w:val="18"/>
                <w:szCs w:val="18"/>
                <w:lang w:val="en-US"/>
              </w:rPr>
              <w:t>CO</w:t>
            </w:r>
            <w:r w:rsidRPr="005517C4">
              <w:rPr>
                <w:rFonts w:ascii="Times New Roman" w:hAnsi="Times New Roman" w:cs="Times New Roman"/>
                <w:noProof/>
                <w:sz w:val="18"/>
                <w:szCs w:val="18"/>
                <w:vertAlign w:val="subscript"/>
                <w:lang w:val="en-US"/>
              </w:rPr>
              <w:t>2</w:t>
            </w:r>
          </w:p>
        </w:tc>
        <w:tc>
          <w:tcPr>
            <w:tcW w:w="2868" w:type="dxa"/>
            <w:vAlign w:val="center"/>
          </w:tcPr>
          <w:p w:rsidR="00217809" w:rsidRPr="005517C4" w:rsidRDefault="00217809" w:rsidP="00217809">
            <w:pPr>
              <w:rPr>
                <w:rFonts w:ascii="Times New Roman" w:hAnsi="Times New Roman" w:cs="Times New Roman"/>
                <w:noProof/>
                <w:sz w:val="18"/>
                <w:szCs w:val="18"/>
                <w:lang w:val="en-US"/>
              </w:rPr>
            </w:pPr>
            <w:r w:rsidRPr="005517C4">
              <w:rPr>
                <w:rFonts w:ascii="Times New Roman" w:hAnsi="Times New Roman" w:cs="Times New Roman"/>
                <w:noProof/>
                <w:sz w:val="18"/>
                <w:szCs w:val="18"/>
                <w:lang w:val="en-US"/>
              </w:rPr>
              <w:t>Stochastic conditional convergence</w:t>
            </w:r>
          </w:p>
        </w:tc>
      </w:tr>
      <w:tr w:rsidR="00217809" w:rsidRPr="005517C4" w:rsidTr="006C6A16">
        <w:trPr>
          <w:trHeight w:val="385"/>
        </w:trPr>
        <w:tc>
          <w:tcPr>
            <w:tcW w:w="1667" w:type="dxa"/>
            <w:vAlign w:val="center"/>
          </w:tcPr>
          <w:p w:rsidR="00217809" w:rsidRPr="005517C4" w:rsidRDefault="006578EE" w:rsidP="00217809">
            <w:pPr>
              <w:rPr>
                <w:rFonts w:ascii="Times New Roman" w:hAnsi="Times New Roman" w:cs="Times New Roman"/>
                <w:noProof/>
                <w:sz w:val="18"/>
                <w:szCs w:val="18"/>
                <w:lang w:val="en-US"/>
              </w:rPr>
            </w:pPr>
            <w:r w:rsidRPr="005517C4">
              <w:rPr>
                <w:rFonts w:ascii="Times New Roman" w:hAnsi="Times New Roman" w:cs="Times New Roman"/>
                <w:noProof/>
                <w:sz w:val="18"/>
                <w:szCs w:val="18"/>
                <w:lang w:val="en-US"/>
              </w:rPr>
              <w:fldChar w:fldCharType="begin" w:fldLock="1"/>
            </w:r>
            <w:r w:rsidR="00216FA4">
              <w:rPr>
                <w:rFonts w:ascii="Times New Roman" w:hAnsi="Times New Roman" w:cs="Times New Roman"/>
                <w:noProof/>
                <w:sz w:val="18"/>
                <w:szCs w:val="18"/>
                <w:lang w:val="en-US"/>
              </w:rPr>
              <w:instrText>ADDIN CSL_CITATION { "citationItems" : [ { "id" : "ITEM-1", "itemData" : { "DOI" : "10.1007/s10640-008-9260-6", "ISSN" : "0924-6460", "author" : [ { "dropping-particle" : "", "family" : "Panopoulou", "given" : "Ekaterini", "non-dropping-particle" : "", "parse-names" : false, "suffix" : "" }, { "dropping-particle" : "", "family" : "Pantelidis", "given" : "Theologos", "non-dropping-particle" : "", "parse-names" : false, "suffix" : "" } ], "container-title" : "Environmental and Resource Economics", "id" : "ITEM-1", "issue" : "1", "issued" : { "date-parts" : [ [ "2009", "9", "14" ] ] }, "page" : "47-70", "publisher" : "Springer Netherlands", "title" : "Club Convergence in Carbon Dioxide Emissions", "type" : "article-journal", "volume" : "44" }, "uris" : [ "http://www.mendeley.com/documents/?uuid=d93b12d8-88d6-3c1d-b823-9814d34cbc2e" ] } ], "mendeley" : { "formattedCitation" : "(Panopoulou and Pantelidis 2009)", "manualFormatting" : "Panopoulou and Pantelidis (2009)", "plainTextFormattedCitation" : "(Panopoulou and Pantelidis 2009)", "previouslyFormattedCitation" : "(Panopoulou and Pantelidis 2009)" }, "properties" : { "noteIndex" : 0 }, "schema" : "https://github.com/citation-style-language/schema/raw/master/csl-citation.json" }</w:instrText>
            </w:r>
            <w:r w:rsidRPr="005517C4">
              <w:rPr>
                <w:rFonts w:ascii="Times New Roman" w:hAnsi="Times New Roman" w:cs="Times New Roman"/>
                <w:noProof/>
                <w:sz w:val="18"/>
                <w:szCs w:val="18"/>
                <w:lang w:val="en-US"/>
              </w:rPr>
              <w:fldChar w:fldCharType="separate"/>
            </w:r>
            <w:r w:rsidR="00217809" w:rsidRPr="005517C4">
              <w:rPr>
                <w:rFonts w:ascii="Times New Roman" w:hAnsi="Times New Roman" w:cs="Times New Roman"/>
                <w:noProof/>
                <w:sz w:val="18"/>
                <w:szCs w:val="18"/>
                <w:lang w:val="en-US"/>
              </w:rPr>
              <w:t>Panopoulou and Pantelidis (2009)</w:t>
            </w:r>
            <w:r w:rsidRPr="005517C4">
              <w:rPr>
                <w:rFonts w:ascii="Times New Roman" w:hAnsi="Times New Roman" w:cs="Times New Roman"/>
                <w:noProof/>
                <w:sz w:val="18"/>
                <w:szCs w:val="18"/>
                <w:lang w:val="en-US"/>
              </w:rPr>
              <w:fldChar w:fldCharType="end"/>
            </w:r>
          </w:p>
        </w:tc>
        <w:tc>
          <w:tcPr>
            <w:tcW w:w="805" w:type="dxa"/>
            <w:vAlign w:val="center"/>
          </w:tcPr>
          <w:p w:rsidR="00217809" w:rsidRPr="005517C4" w:rsidRDefault="00217809" w:rsidP="00217809">
            <w:pPr>
              <w:rPr>
                <w:rFonts w:ascii="Times New Roman" w:hAnsi="Times New Roman" w:cs="Times New Roman"/>
                <w:noProof/>
                <w:sz w:val="18"/>
                <w:szCs w:val="18"/>
                <w:lang w:val="en-US"/>
              </w:rPr>
            </w:pPr>
            <w:r w:rsidRPr="005517C4">
              <w:rPr>
                <w:rFonts w:ascii="Times New Roman" w:hAnsi="Times New Roman" w:cs="Times New Roman"/>
                <w:noProof/>
                <w:sz w:val="18"/>
                <w:szCs w:val="18"/>
                <w:lang w:val="en-US"/>
              </w:rPr>
              <w:t>1960-2003</w:t>
            </w:r>
          </w:p>
        </w:tc>
        <w:tc>
          <w:tcPr>
            <w:tcW w:w="1308" w:type="dxa"/>
            <w:vAlign w:val="center"/>
          </w:tcPr>
          <w:p w:rsidR="00217809" w:rsidRPr="005517C4" w:rsidRDefault="00217809" w:rsidP="00217809">
            <w:pPr>
              <w:rPr>
                <w:rFonts w:ascii="Times New Roman" w:hAnsi="Times New Roman" w:cs="Times New Roman"/>
                <w:noProof/>
                <w:sz w:val="18"/>
                <w:szCs w:val="18"/>
                <w:lang w:val="en-US"/>
              </w:rPr>
            </w:pPr>
            <w:r w:rsidRPr="005517C4">
              <w:rPr>
                <w:rFonts w:ascii="Times New Roman" w:hAnsi="Times New Roman" w:cs="Times New Roman"/>
                <w:noProof/>
                <w:sz w:val="18"/>
                <w:szCs w:val="18"/>
                <w:lang w:val="en-US"/>
              </w:rPr>
              <w:t>128 countries</w:t>
            </w:r>
          </w:p>
        </w:tc>
        <w:tc>
          <w:tcPr>
            <w:tcW w:w="2835" w:type="dxa"/>
            <w:vAlign w:val="center"/>
          </w:tcPr>
          <w:p w:rsidR="00217809" w:rsidRPr="005517C4" w:rsidRDefault="006578EE" w:rsidP="00217809">
            <w:pPr>
              <w:rPr>
                <w:rFonts w:ascii="Times New Roman" w:hAnsi="Times New Roman" w:cs="Times New Roman"/>
                <w:noProof/>
                <w:sz w:val="18"/>
                <w:szCs w:val="18"/>
                <w:lang w:val="en-US"/>
              </w:rPr>
            </w:pPr>
            <w:r w:rsidRPr="005517C4">
              <w:rPr>
                <w:rFonts w:ascii="Times New Roman" w:hAnsi="Times New Roman" w:cs="Times New Roman"/>
                <w:noProof/>
                <w:sz w:val="18"/>
                <w:szCs w:val="18"/>
                <w:lang w:val="en-US"/>
              </w:rPr>
              <w:fldChar w:fldCharType="begin" w:fldLock="1"/>
            </w:r>
            <w:r w:rsidR="00217809" w:rsidRPr="005517C4">
              <w:rPr>
                <w:rFonts w:ascii="Times New Roman" w:hAnsi="Times New Roman" w:cs="Times New Roman"/>
                <w:noProof/>
                <w:sz w:val="18"/>
                <w:szCs w:val="18"/>
                <w:lang w:val="en-US"/>
              </w:rPr>
              <w:instrText>ADDIN CSL_CITATION { "citationItems" : [ { "id" : "ITEM-1", "itemData" : { "DOI" : "10.1111/j.1468-0262.2007.00811.x", "ISSN" : "0012-9682", "author" : [ { "dropping-particle" : "", "family" : "Phillips", "given" : "Peter C. B.", "non-dropping-particle" : "", "parse-names" : false, "suffix" : "" }, { "dropping-particle" : "", "family" : "Sul", "given" : "Donggyu", "non-dropping-particle" : "", "parse-names" : false, "suffix" : "" } ], "container-title" : "Econometrica", "id" : "ITEM-1", "issue" : "6", "issued" : { "date-parts" : [ [ "2007", "11" ] ] }, "page" : "1771-1855", "publisher" : "Blackwell Publishing Ltd", "title" : "Transition Modeling and Econometric Convergence Tests", "type" : "article-journal", "volume" : "75" }, "uris" : [ "http://www.mendeley.com/documents/?uuid=fdd5387e-1c8d-3c46-b2e6-e4653867fe7f" ] } ], "mendeley" : { "formattedCitation" : "(Phillips and Sul 2007a)", "manualFormatting" : "Phillips and Sul (2007)", "plainTextFormattedCitation" : "(Phillips and Sul 2007a)", "previouslyFormattedCitation" : "(Phillips and Sul 2007a)" }, "properties" : { "noteIndex" : 0 }, "schema" : "https://github.com/citation-style-language/schema/raw/master/csl-citation.json" }</w:instrText>
            </w:r>
            <w:r w:rsidRPr="005517C4">
              <w:rPr>
                <w:rFonts w:ascii="Times New Roman" w:hAnsi="Times New Roman" w:cs="Times New Roman"/>
                <w:noProof/>
                <w:sz w:val="18"/>
                <w:szCs w:val="18"/>
                <w:lang w:val="en-US"/>
              </w:rPr>
              <w:fldChar w:fldCharType="separate"/>
            </w:r>
            <w:r w:rsidR="00217809" w:rsidRPr="005517C4">
              <w:rPr>
                <w:rFonts w:ascii="Times New Roman" w:hAnsi="Times New Roman" w:cs="Times New Roman"/>
                <w:noProof/>
                <w:sz w:val="18"/>
                <w:szCs w:val="18"/>
                <w:lang w:val="en-US"/>
              </w:rPr>
              <w:t>Phillips and Sul (2007)</w:t>
            </w:r>
            <w:r w:rsidRPr="005517C4">
              <w:rPr>
                <w:rFonts w:ascii="Times New Roman" w:hAnsi="Times New Roman" w:cs="Times New Roman"/>
                <w:noProof/>
                <w:sz w:val="18"/>
                <w:szCs w:val="18"/>
                <w:lang w:val="en-US"/>
              </w:rPr>
              <w:fldChar w:fldCharType="end"/>
            </w:r>
            <w:r w:rsidR="00217809" w:rsidRPr="005517C4">
              <w:rPr>
                <w:rFonts w:ascii="Times New Roman" w:hAnsi="Times New Roman" w:cs="Times New Roman"/>
                <w:noProof/>
                <w:sz w:val="18"/>
                <w:szCs w:val="18"/>
                <w:lang w:val="en-US"/>
              </w:rPr>
              <w:t xml:space="preserve"> Panel club convergence test </w:t>
            </w:r>
          </w:p>
        </w:tc>
        <w:tc>
          <w:tcPr>
            <w:tcW w:w="959" w:type="dxa"/>
            <w:vAlign w:val="center"/>
          </w:tcPr>
          <w:p w:rsidR="00217809" w:rsidRPr="005517C4" w:rsidRDefault="00217809" w:rsidP="00217809">
            <w:pPr>
              <w:rPr>
                <w:rFonts w:ascii="Times New Roman" w:hAnsi="Times New Roman" w:cs="Times New Roman"/>
                <w:noProof/>
                <w:sz w:val="18"/>
                <w:szCs w:val="18"/>
                <w:lang w:val="en-US"/>
              </w:rPr>
            </w:pPr>
            <w:r w:rsidRPr="005517C4">
              <w:rPr>
                <w:rFonts w:ascii="Times New Roman" w:hAnsi="Times New Roman" w:cs="Times New Roman"/>
                <w:noProof/>
                <w:sz w:val="18"/>
                <w:szCs w:val="18"/>
                <w:lang w:val="en-US"/>
              </w:rPr>
              <w:t>CO</w:t>
            </w:r>
            <w:r w:rsidRPr="005517C4">
              <w:rPr>
                <w:rFonts w:ascii="Times New Roman" w:hAnsi="Times New Roman" w:cs="Times New Roman"/>
                <w:noProof/>
                <w:sz w:val="18"/>
                <w:szCs w:val="18"/>
                <w:vertAlign w:val="subscript"/>
                <w:lang w:val="en-US"/>
              </w:rPr>
              <w:t>2</w:t>
            </w:r>
          </w:p>
        </w:tc>
        <w:tc>
          <w:tcPr>
            <w:tcW w:w="2868" w:type="dxa"/>
            <w:vAlign w:val="center"/>
          </w:tcPr>
          <w:p w:rsidR="00217809" w:rsidRPr="005517C4" w:rsidRDefault="00217809" w:rsidP="00217809">
            <w:pPr>
              <w:rPr>
                <w:rFonts w:ascii="Times New Roman" w:hAnsi="Times New Roman" w:cs="Times New Roman"/>
                <w:noProof/>
                <w:sz w:val="18"/>
                <w:szCs w:val="18"/>
                <w:lang w:val="en-US"/>
              </w:rPr>
            </w:pPr>
            <w:r w:rsidRPr="005517C4">
              <w:rPr>
                <w:rFonts w:ascii="Times New Roman" w:hAnsi="Times New Roman" w:cs="Times New Roman"/>
                <w:noProof/>
                <w:sz w:val="18"/>
                <w:szCs w:val="18"/>
                <w:lang w:val="en-US"/>
              </w:rPr>
              <w:t>Evidence for club convergence</w:t>
            </w:r>
          </w:p>
        </w:tc>
      </w:tr>
      <w:tr w:rsidR="00217809" w:rsidRPr="005517C4" w:rsidTr="006C6A16">
        <w:trPr>
          <w:trHeight w:val="369"/>
        </w:trPr>
        <w:tc>
          <w:tcPr>
            <w:tcW w:w="1667" w:type="dxa"/>
            <w:vAlign w:val="center"/>
          </w:tcPr>
          <w:p w:rsidR="00217809" w:rsidRPr="005517C4" w:rsidRDefault="006578EE" w:rsidP="00217809">
            <w:pPr>
              <w:rPr>
                <w:rFonts w:ascii="Times New Roman" w:hAnsi="Times New Roman" w:cs="Times New Roman"/>
                <w:noProof/>
                <w:sz w:val="18"/>
                <w:szCs w:val="18"/>
                <w:lang w:val="en-US"/>
              </w:rPr>
            </w:pPr>
            <w:r w:rsidRPr="005517C4">
              <w:rPr>
                <w:rFonts w:ascii="Times New Roman" w:hAnsi="Times New Roman" w:cs="Times New Roman"/>
                <w:noProof/>
                <w:sz w:val="18"/>
                <w:szCs w:val="18"/>
                <w:lang w:val="en-US"/>
              </w:rPr>
              <w:lastRenderedPageBreak/>
              <w:fldChar w:fldCharType="begin" w:fldLock="1"/>
            </w:r>
            <w:r w:rsidR="00217809" w:rsidRPr="005517C4">
              <w:rPr>
                <w:rFonts w:ascii="Times New Roman" w:hAnsi="Times New Roman" w:cs="Times New Roman"/>
                <w:noProof/>
                <w:sz w:val="18"/>
                <w:szCs w:val="18"/>
                <w:lang w:val="en-US"/>
              </w:rPr>
              <w:instrText>ADDIN CSL_CITATION { "citationItems" : [ { "id" : "ITEM-1", "itemData" : { "DOI" : "10.1007/s10887-010-9051-0", "ISSN" : "1381-4338", "author" : [ { "dropping-particle" : "", "family" : "Brock", "given" : "William A.", "non-dropping-particle" : "", "parse-names" : false, "suffix" : "" }, { "dropping-particle" : "", "family" : "Taylor", "given" : "M. Scott", "non-dropping-particle" : "", "parse-names" : false, "suffix" : "" } ], "container-title" : "Journal of Economic Growth", "id" : "ITEM-1", "issue" : "2", "issued" : { "date-parts" : [ [ "2010", "6", "16" ] ] }, "page" : "127-153", "publisher" : "Springer US", "title" : "The Green Solow model", "type" : "article-journal", "volume" : "15" }, "uris" : [ "http://www.mendeley.com/documents/?uuid=80cd12cb-77c3-3864-802a-93b638af1ac1" ] } ], "mendeley" : { "formattedCitation" : "(Brock and Taylor 2010)", "manualFormatting" : "Brock and Taylor (2010)", "plainTextFormattedCitation" : "(Brock and Taylor 2010)", "previouslyFormattedCitation" : "(Brock and Taylor 2010)" }, "properties" : { "noteIndex" : 0 }, "schema" : "https://github.com/citation-style-language/schema/raw/master/csl-citation.json" }</w:instrText>
            </w:r>
            <w:r w:rsidRPr="005517C4">
              <w:rPr>
                <w:rFonts w:ascii="Times New Roman" w:hAnsi="Times New Roman" w:cs="Times New Roman"/>
                <w:noProof/>
                <w:sz w:val="18"/>
                <w:szCs w:val="18"/>
                <w:lang w:val="en-US"/>
              </w:rPr>
              <w:fldChar w:fldCharType="separate"/>
            </w:r>
            <w:r w:rsidR="00217809" w:rsidRPr="005517C4">
              <w:rPr>
                <w:rFonts w:ascii="Times New Roman" w:hAnsi="Times New Roman" w:cs="Times New Roman"/>
                <w:noProof/>
                <w:sz w:val="18"/>
                <w:szCs w:val="18"/>
                <w:lang w:val="en-US"/>
              </w:rPr>
              <w:t>Brock and Taylor (2010)</w:t>
            </w:r>
            <w:r w:rsidRPr="005517C4">
              <w:rPr>
                <w:rFonts w:ascii="Times New Roman" w:hAnsi="Times New Roman" w:cs="Times New Roman"/>
                <w:noProof/>
                <w:sz w:val="18"/>
                <w:szCs w:val="18"/>
                <w:lang w:val="en-US"/>
              </w:rPr>
              <w:fldChar w:fldCharType="end"/>
            </w:r>
          </w:p>
        </w:tc>
        <w:tc>
          <w:tcPr>
            <w:tcW w:w="805" w:type="dxa"/>
            <w:vAlign w:val="center"/>
          </w:tcPr>
          <w:p w:rsidR="00217809" w:rsidRPr="005517C4" w:rsidRDefault="00217809" w:rsidP="00217809">
            <w:pPr>
              <w:rPr>
                <w:rFonts w:ascii="Times New Roman" w:hAnsi="Times New Roman" w:cs="Times New Roman"/>
                <w:noProof/>
                <w:sz w:val="18"/>
                <w:szCs w:val="18"/>
                <w:lang w:val="en-US"/>
              </w:rPr>
            </w:pPr>
            <w:r w:rsidRPr="005517C4">
              <w:rPr>
                <w:rFonts w:ascii="Times New Roman" w:hAnsi="Times New Roman" w:cs="Times New Roman"/>
                <w:noProof/>
                <w:sz w:val="18"/>
                <w:szCs w:val="18"/>
                <w:lang w:val="en-US"/>
              </w:rPr>
              <w:t>1960-1998</w:t>
            </w:r>
          </w:p>
        </w:tc>
        <w:tc>
          <w:tcPr>
            <w:tcW w:w="1308" w:type="dxa"/>
            <w:vAlign w:val="center"/>
          </w:tcPr>
          <w:p w:rsidR="00217809" w:rsidRPr="005517C4" w:rsidRDefault="00217809" w:rsidP="00217809">
            <w:pPr>
              <w:rPr>
                <w:rFonts w:ascii="Times New Roman" w:hAnsi="Times New Roman" w:cs="Times New Roman"/>
                <w:noProof/>
                <w:sz w:val="18"/>
                <w:szCs w:val="18"/>
                <w:lang w:val="en-US"/>
              </w:rPr>
            </w:pPr>
            <w:r w:rsidRPr="005517C4">
              <w:rPr>
                <w:rFonts w:ascii="Times New Roman" w:hAnsi="Times New Roman" w:cs="Times New Roman"/>
                <w:noProof/>
                <w:sz w:val="18"/>
                <w:szCs w:val="18"/>
                <w:lang w:val="en-US"/>
              </w:rPr>
              <w:t>173 countries</w:t>
            </w:r>
          </w:p>
        </w:tc>
        <w:tc>
          <w:tcPr>
            <w:tcW w:w="2835" w:type="dxa"/>
            <w:vAlign w:val="center"/>
          </w:tcPr>
          <w:p w:rsidR="00217809" w:rsidRPr="005517C4" w:rsidRDefault="00217809" w:rsidP="00217809">
            <w:pPr>
              <w:rPr>
                <w:rFonts w:ascii="Times New Roman" w:hAnsi="Times New Roman" w:cs="Times New Roman"/>
                <w:noProof/>
                <w:sz w:val="18"/>
                <w:szCs w:val="18"/>
                <w:lang w:val="en-US"/>
              </w:rPr>
            </w:pPr>
            <w:r w:rsidRPr="005517C4">
              <w:rPr>
                <w:rFonts w:ascii="Times New Roman" w:hAnsi="Times New Roman" w:cs="Times New Roman"/>
                <w:noProof/>
                <w:sz w:val="18"/>
                <w:szCs w:val="18"/>
                <w:lang w:val="en-US"/>
              </w:rPr>
              <w:t>cross-sectional approach</w:t>
            </w:r>
          </w:p>
        </w:tc>
        <w:tc>
          <w:tcPr>
            <w:tcW w:w="959" w:type="dxa"/>
            <w:vAlign w:val="center"/>
          </w:tcPr>
          <w:p w:rsidR="00217809" w:rsidRPr="005517C4" w:rsidRDefault="00217809" w:rsidP="00217809">
            <w:pPr>
              <w:rPr>
                <w:rFonts w:ascii="Times New Roman" w:hAnsi="Times New Roman" w:cs="Times New Roman"/>
                <w:noProof/>
                <w:sz w:val="18"/>
                <w:szCs w:val="18"/>
                <w:lang w:val="en-US"/>
              </w:rPr>
            </w:pPr>
            <w:r w:rsidRPr="005517C4">
              <w:rPr>
                <w:rFonts w:ascii="Times New Roman" w:hAnsi="Times New Roman" w:cs="Times New Roman"/>
                <w:noProof/>
                <w:sz w:val="18"/>
                <w:szCs w:val="18"/>
                <w:lang w:val="en-US"/>
              </w:rPr>
              <w:t>CO</w:t>
            </w:r>
            <w:r w:rsidRPr="005517C4">
              <w:rPr>
                <w:rFonts w:ascii="Times New Roman" w:hAnsi="Times New Roman" w:cs="Times New Roman"/>
                <w:noProof/>
                <w:sz w:val="18"/>
                <w:szCs w:val="18"/>
                <w:vertAlign w:val="subscript"/>
                <w:lang w:val="en-US"/>
              </w:rPr>
              <w:t>2</w:t>
            </w:r>
          </w:p>
        </w:tc>
        <w:tc>
          <w:tcPr>
            <w:tcW w:w="2868" w:type="dxa"/>
            <w:vAlign w:val="center"/>
          </w:tcPr>
          <w:p w:rsidR="00217809" w:rsidRPr="005517C4" w:rsidRDefault="00217809" w:rsidP="00217809">
            <w:pPr>
              <w:rPr>
                <w:rFonts w:ascii="Times New Roman" w:hAnsi="Times New Roman" w:cs="Times New Roman"/>
                <w:noProof/>
                <w:sz w:val="18"/>
                <w:szCs w:val="18"/>
                <w:lang w:val="en-US"/>
              </w:rPr>
            </w:pPr>
            <w:r w:rsidRPr="005517C4">
              <w:rPr>
                <w:rFonts w:ascii="Times New Roman" w:hAnsi="Times New Roman" w:cs="Times New Roman"/>
                <w:noProof/>
                <w:sz w:val="18"/>
                <w:szCs w:val="18"/>
                <w:lang w:val="en-US"/>
              </w:rPr>
              <w:t>Conditional convergence</w:t>
            </w:r>
          </w:p>
        </w:tc>
      </w:tr>
      <w:tr w:rsidR="00217809" w:rsidRPr="005517C4" w:rsidTr="006C6A16">
        <w:trPr>
          <w:trHeight w:val="385"/>
        </w:trPr>
        <w:tc>
          <w:tcPr>
            <w:tcW w:w="1667" w:type="dxa"/>
            <w:vAlign w:val="center"/>
          </w:tcPr>
          <w:p w:rsidR="00217809" w:rsidRPr="005517C4" w:rsidRDefault="006578EE" w:rsidP="00217809">
            <w:pPr>
              <w:rPr>
                <w:rFonts w:ascii="Times New Roman" w:hAnsi="Times New Roman" w:cs="Times New Roman"/>
                <w:noProof/>
                <w:sz w:val="18"/>
                <w:szCs w:val="18"/>
                <w:lang w:val="en-US"/>
              </w:rPr>
            </w:pPr>
            <w:r w:rsidRPr="005517C4">
              <w:rPr>
                <w:rFonts w:ascii="Times New Roman" w:hAnsi="Times New Roman" w:cs="Times New Roman"/>
                <w:noProof/>
                <w:sz w:val="18"/>
                <w:szCs w:val="18"/>
                <w:lang w:val="en-US"/>
              </w:rPr>
              <w:fldChar w:fldCharType="begin" w:fldLock="1"/>
            </w:r>
            <w:r w:rsidR="00216FA4">
              <w:rPr>
                <w:rFonts w:ascii="Times New Roman" w:hAnsi="Times New Roman" w:cs="Times New Roman"/>
                <w:noProof/>
                <w:sz w:val="18"/>
                <w:szCs w:val="18"/>
                <w:lang w:val="en-US"/>
              </w:rPr>
              <w:instrText>ADDIN CSL_CITATION { "citationItems" : [ { "id" : "ITEM-1", "itemData" : { "DOI" : "10.1007/s10640-012-9595-x", "ISSN" : "0924-6460", "author" : [ { "dropping-particle" : "", "family" : "Yavuz", "given" : "Nilgun Cil", "non-dropping-particle" : "", "parse-names" : false, "suffix" : "" }, { "dropping-particle" : "", "family" : "Yilanci", "given" : "Veli", "non-dropping-particle" : "", "parse-names" : false, "suffix" : "" } ], "container-title" : "Environmental and Resource Economics", "id" : "ITEM-1", "issue" : "2", "issued" : { "date-parts" : [ [ "2013", "2", "24" ] ] }, "page" : "283-291", "publisher" : "Springer Netherlands", "title" : "Convergence in Per Capita Carbon Dioxide Emissions Among G7 Countries: A TAR Panel Unit Root Approach", "type" : "article-journal", "volume" : "54" }, "uris" : [ "http://www.mendeley.com/documents/?uuid=143c69a5-286e-3a6f-989b-539dc2446b80" ] } ], "mendeley" : { "formattedCitation" : "(Yavuz and Yilanci 2013)", "manualFormatting" : "Yavuz and Yilanci (2013)", "plainTextFormattedCitation" : "(Yavuz and Yilanci 2013)", "previouslyFormattedCitation" : "(Yavuz and Yilanci 2013)" }, "properties" : { "noteIndex" : 0 }, "schema" : "https://github.com/citation-style-language/schema/raw/master/csl-citation.json" }</w:instrText>
            </w:r>
            <w:r w:rsidRPr="005517C4">
              <w:rPr>
                <w:rFonts w:ascii="Times New Roman" w:hAnsi="Times New Roman" w:cs="Times New Roman"/>
                <w:noProof/>
                <w:sz w:val="18"/>
                <w:szCs w:val="18"/>
                <w:lang w:val="en-US"/>
              </w:rPr>
              <w:fldChar w:fldCharType="separate"/>
            </w:r>
            <w:r w:rsidR="00217809" w:rsidRPr="005517C4">
              <w:rPr>
                <w:rFonts w:ascii="Times New Roman" w:hAnsi="Times New Roman" w:cs="Times New Roman"/>
                <w:noProof/>
                <w:sz w:val="18"/>
                <w:szCs w:val="18"/>
                <w:lang w:val="en-US"/>
              </w:rPr>
              <w:t>Yavuz and Yilanci (2013)</w:t>
            </w:r>
            <w:r w:rsidRPr="005517C4">
              <w:rPr>
                <w:rFonts w:ascii="Times New Roman" w:hAnsi="Times New Roman" w:cs="Times New Roman"/>
                <w:noProof/>
                <w:sz w:val="18"/>
                <w:szCs w:val="18"/>
                <w:lang w:val="en-US"/>
              </w:rPr>
              <w:fldChar w:fldCharType="end"/>
            </w:r>
          </w:p>
        </w:tc>
        <w:tc>
          <w:tcPr>
            <w:tcW w:w="805" w:type="dxa"/>
            <w:vAlign w:val="center"/>
          </w:tcPr>
          <w:p w:rsidR="00217809" w:rsidRPr="005517C4" w:rsidRDefault="00217809" w:rsidP="00217809">
            <w:pPr>
              <w:rPr>
                <w:rFonts w:ascii="Times New Roman" w:hAnsi="Times New Roman" w:cs="Times New Roman"/>
                <w:noProof/>
                <w:sz w:val="18"/>
                <w:szCs w:val="18"/>
                <w:lang w:val="en-US"/>
              </w:rPr>
            </w:pPr>
            <w:r w:rsidRPr="005517C4">
              <w:rPr>
                <w:rFonts w:ascii="Times New Roman" w:hAnsi="Times New Roman" w:cs="Times New Roman"/>
                <w:noProof/>
                <w:sz w:val="18"/>
                <w:szCs w:val="18"/>
                <w:lang w:val="en-US"/>
              </w:rPr>
              <w:t>1960-2005</w:t>
            </w:r>
          </w:p>
        </w:tc>
        <w:tc>
          <w:tcPr>
            <w:tcW w:w="1308" w:type="dxa"/>
            <w:vAlign w:val="center"/>
          </w:tcPr>
          <w:p w:rsidR="00217809" w:rsidRPr="005517C4" w:rsidRDefault="00217809" w:rsidP="00217809">
            <w:pPr>
              <w:rPr>
                <w:rFonts w:ascii="Times New Roman" w:hAnsi="Times New Roman" w:cs="Times New Roman"/>
                <w:noProof/>
                <w:sz w:val="18"/>
                <w:szCs w:val="18"/>
                <w:lang w:val="en-US"/>
              </w:rPr>
            </w:pPr>
            <w:r w:rsidRPr="005517C4">
              <w:rPr>
                <w:rFonts w:ascii="Times New Roman" w:hAnsi="Times New Roman" w:cs="Times New Roman"/>
                <w:noProof/>
                <w:sz w:val="18"/>
                <w:szCs w:val="18"/>
                <w:lang w:val="en-US"/>
              </w:rPr>
              <w:t>G7 countries</w:t>
            </w:r>
          </w:p>
        </w:tc>
        <w:tc>
          <w:tcPr>
            <w:tcW w:w="2835" w:type="dxa"/>
            <w:vAlign w:val="center"/>
          </w:tcPr>
          <w:p w:rsidR="00217809" w:rsidRPr="005517C4" w:rsidRDefault="00217809" w:rsidP="00217809">
            <w:pPr>
              <w:rPr>
                <w:rFonts w:ascii="Times New Roman" w:hAnsi="Times New Roman" w:cs="Times New Roman"/>
                <w:noProof/>
                <w:sz w:val="18"/>
                <w:szCs w:val="18"/>
                <w:lang w:val="en-US"/>
              </w:rPr>
            </w:pPr>
            <w:r w:rsidRPr="005517C4">
              <w:rPr>
                <w:rFonts w:ascii="Times New Roman" w:hAnsi="Times New Roman" w:cs="Times New Roman"/>
                <w:noProof/>
                <w:sz w:val="18"/>
                <w:szCs w:val="18"/>
                <w:lang w:val="en-US"/>
              </w:rPr>
              <w:t xml:space="preserve">TAR panel unit root </w:t>
            </w:r>
          </w:p>
        </w:tc>
        <w:tc>
          <w:tcPr>
            <w:tcW w:w="959" w:type="dxa"/>
            <w:vAlign w:val="center"/>
          </w:tcPr>
          <w:p w:rsidR="00217809" w:rsidRPr="005517C4" w:rsidRDefault="00217809" w:rsidP="00217809">
            <w:pPr>
              <w:rPr>
                <w:rFonts w:ascii="Times New Roman" w:hAnsi="Times New Roman" w:cs="Times New Roman"/>
                <w:noProof/>
                <w:sz w:val="18"/>
                <w:szCs w:val="18"/>
                <w:lang w:val="en-US"/>
              </w:rPr>
            </w:pPr>
            <w:r w:rsidRPr="005517C4">
              <w:rPr>
                <w:rFonts w:ascii="Times New Roman" w:hAnsi="Times New Roman" w:cs="Times New Roman"/>
                <w:noProof/>
                <w:sz w:val="18"/>
                <w:szCs w:val="18"/>
                <w:lang w:val="en-US"/>
              </w:rPr>
              <w:t>CO</w:t>
            </w:r>
            <w:r w:rsidRPr="005517C4">
              <w:rPr>
                <w:rFonts w:ascii="Times New Roman" w:hAnsi="Times New Roman" w:cs="Times New Roman"/>
                <w:noProof/>
                <w:sz w:val="18"/>
                <w:szCs w:val="18"/>
                <w:vertAlign w:val="subscript"/>
                <w:lang w:val="en-US"/>
              </w:rPr>
              <w:t>2</w:t>
            </w:r>
          </w:p>
        </w:tc>
        <w:tc>
          <w:tcPr>
            <w:tcW w:w="2868" w:type="dxa"/>
            <w:vAlign w:val="center"/>
          </w:tcPr>
          <w:p w:rsidR="00217809" w:rsidRPr="005517C4" w:rsidRDefault="00217809" w:rsidP="00217809">
            <w:pPr>
              <w:rPr>
                <w:rFonts w:ascii="Times New Roman" w:hAnsi="Times New Roman" w:cs="Times New Roman"/>
                <w:noProof/>
                <w:sz w:val="18"/>
                <w:szCs w:val="18"/>
                <w:lang w:val="en-US"/>
              </w:rPr>
            </w:pPr>
            <w:r w:rsidRPr="005517C4">
              <w:rPr>
                <w:rFonts w:ascii="Times New Roman" w:hAnsi="Times New Roman" w:cs="Times New Roman"/>
                <w:noProof/>
                <w:sz w:val="18"/>
                <w:szCs w:val="18"/>
                <w:lang w:val="en-US"/>
              </w:rPr>
              <w:t>Convergence for regime 1, divergence for regime 2, conditional convergence</w:t>
            </w:r>
          </w:p>
        </w:tc>
      </w:tr>
      <w:tr w:rsidR="00217809" w:rsidRPr="005517C4" w:rsidTr="006C6A16">
        <w:trPr>
          <w:trHeight w:val="385"/>
        </w:trPr>
        <w:tc>
          <w:tcPr>
            <w:tcW w:w="1667" w:type="dxa"/>
            <w:vAlign w:val="center"/>
          </w:tcPr>
          <w:p w:rsidR="00217809" w:rsidRPr="005517C4" w:rsidRDefault="006578EE" w:rsidP="00217809">
            <w:pPr>
              <w:rPr>
                <w:rFonts w:ascii="Times New Roman" w:hAnsi="Times New Roman" w:cs="Times New Roman"/>
                <w:noProof/>
                <w:sz w:val="18"/>
                <w:szCs w:val="18"/>
                <w:lang w:val="en-US"/>
              </w:rPr>
            </w:pPr>
            <w:r w:rsidRPr="005517C4">
              <w:rPr>
                <w:rFonts w:ascii="Times New Roman" w:hAnsi="Times New Roman" w:cs="Times New Roman"/>
                <w:noProof/>
                <w:sz w:val="18"/>
                <w:szCs w:val="18"/>
                <w:lang w:val="en-US"/>
              </w:rPr>
              <w:fldChar w:fldCharType="begin" w:fldLock="1"/>
            </w:r>
            <w:r w:rsidR="00217809" w:rsidRPr="005517C4">
              <w:rPr>
                <w:rFonts w:ascii="Times New Roman" w:hAnsi="Times New Roman" w:cs="Times New Roman"/>
                <w:noProof/>
                <w:sz w:val="18"/>
                <w:szCs w:val="18"/>
                <w:lang w:val="en-US"/>
              </w:rPr>
              <w:instrText>ADDIN CSL_CITATION { "citationItems" : [ { "id" : "ITEM-1", "itemData" : { "DOI" : "10.1016/j.enpol.2013.06.120", "ISSN" : "03014215", "abstract" : "The aim of this paper is to investigate the environmental convergence hypothesis in carbon dioxide emissions for a large group of developed and developing countries from 1980 to 2009. The novel aspect of this work is that we distinguish among carbon dioxide emissions according to the source of energy (coal, natural gas and petroleum) instead of considering the aggregate measure of per capita carbon dioxide emissions, where notable interest is given to the regional dimension due to the application of new club convergence tests. This allows us to determine the convergence behaviour of emissions in a more precise way and to detect it according to the source of energy used, thereby helping to address the environmental targets. More specifically, the convergence hypothesis is examined with a pair-wise test and another one is used to test for the existence of club convergence. Our results from using the pair-wise test indicate that carbon dioxide emissions for each type of energy diverge. However, club convergence is found for a large group of countries, although some still display divergence. These findings point to the need to apply specific environmental policies to each club detected, since specific countries converge to different clubs.", "author" : [ { "dropping-particle" : "", "family" : "Herrerias", "given" : "M.J.", "non-dropping-particle" : "", "parse-names" : false, "suffix" : "" } ], "container-title" : "Energy Policy", "id" : "ITEM-1", "issued" : { "date-parts" : [ [ "2013" ] ] }, "page" : "1140-1150", "title" : "The environmental convergence hypothesis: Carbon dioxide emissions according to the source of energy", "type" : "article-journal", "volume" : "61" }, "uris" : [ "http://www.mendeley.com/documents/?uuid=67ed589c-6a1d-3577-9e63-6cef6c7c446c" ] } ], "mendeley" : { "formattedCitation" : "(Herrerias 2013)", "manualFormatting" : "Herrerias (2013)", "plainTextFormattedCitation" : "(Herrerias 2013)", "previouslyFormattedCitation" : "(Herrerias 2013)" }, "properties" : { "noteIndex" : 0 }, "schema" : "https://github.com/citation-style-language/schema/raw/master/csl-citation.json" }</w:instrText>
            </w:r>
            <w:r w:rsidRPr="005517C4">
              <w:rPr>
                <w:rFonts w:ascii="Times New Roman" w:hAnsi="Times New Roman" w:cs="Times New Roman"/>
                <w:noProof/>
                <w:sz w:val="18"/>
                <w:szCs w:val="18"/>
                <w:lang w:val="en-US"/>
              </w:rPr>
              <w:fldChar w:fldCharType="separate"/>
            </w:r>
            <w:r w:rsidR="00217809" w:rsidRPr="005517C4">
              <w:rPr>
                <w:rFonts w:ascii="Times New Roman" w:hAnsi="Times New Roman" w:cs="Times New Roman"/>
                <w:noProof/>
                <w:sz w:val="18"/>
                <w:szCs w:val="18"/>
                <w:lang w:val="en-US"/>
              </w:rPr>
              <w:t>Herrerias (2013)</w:t>
            </w:r>
            <w:r w:rsidRPr="005517C4">
              <w:rPr>
                <w:rFonts w:ascii="Times New Roman" w:hAnsi="Times New Roman" w:cs="Times New Roman"/>
                <w:noProof/>
                <w:sz w:val="18"/>
                <w:szCs w:val="18"/>
                <w:lang w:val="en-US"/>
              </w:rPr>
              <w:fldChar w:fldCharType="end"/>
            </w:r>
          </w:p>
        </w:tc>
        <w:tc>
          <w:tcPr>
            <w:tcW w:w="805" w:type="dxa"/>
            <w:vAlign w:val="center"/>
          </w:tcPr>
          <w:p w:rsidR="00217809" w:rsidRPr="005517C4" w:rsidRDefault="00217809" w:rsidP="00217809">
            <w:pPr>
              <w:rPr>
                <w:rFonts w:ascii="Times New Roman" w:hAnsi="Times New Roman" w:cs="Times New Roman"/>
                <w:noProof/>
                <w:sz w:val="18"/>
                <w:szCs w:val="18"/>
                <w:lang w:val="en-US"/>
              </w:rPr>
            </w:pPr>
            <w:r w:rsidRPr="005517C4">
              <w:rPr>
                <w:rFonts w:ascii="Times New Roman" w:hAnsi="Times New Roman" w:cs="Times New Roman"/>
                <w:noProof/>
                <w:sz w:val="18"/>
                <w:szCs w:val="18"/>
                <w:lang w:val="en-US"/>
              </w:rPr>
              <w:t>1980-2009</w:t>
            </w:r>
          </w:p>
        </w:tc>
        <w:tc>
          <w:tcPr>
            <w:tcW w:w="1308" w:type="dxa"/>
            <w:vAlign w:val="center"/>
          </w:tcPr>
          <w:p w:rsidR="00217809" w:rsidRPr="005517C4" w:rsidRDefault="00217809" w:rsidP="00217809">
            <w:pPr>
              <w:rPr>
                <w:rFonts w:ascii="Times New Roman" w:hAnsi="Times New Roman" w:cs="Times New Roman"/>
                <w:noProof/>
                <w:sz w:val="18"/>
                <w:szCs w:val="18"/>
                <w:lang w:val="en-US"/>
              </w:rPr>
            </w:pPr>
            <w:r w:rsidRPr="005517C4">
              <w:rPr>
                <w:rFonts w:ascii="Times New Roman" w:hAnsi="Times New Roman" w:cs="Times New Roman"/>
                <w:noProof/>
                <w:sz w:val="18"/>
                <w:szCs w:val="18"/>
                <w:lang w:val="en-US"/>
              </w:rPr>
              <w:t>162 countries</w:t>
            </w:r>
          </w:p>
        </w:tc>
        <w:tc>
          <w:tcPr>
            <w:tcW w:w="2835" w:type="dxa"/>
            <w:vAlign w:val="center"/>
          </w:tcPr>
          <w:p w:rsidR="00217809" w:rsidRPr="005517C4" w:rsidRDefault="006578EE" w:rsidP="00217809">
            <w:pPr>
              <w:rPr>
                <w:rFonts w:ascii="Times New Roman" w:hAnsi="Times New Roman" w:cs="Times New Roman"/>
                <w:noProof/>
                <w:sz w:val="18"/>
                <w:szCs w:val="18"/>
                <w:lang w:val="en-US"/>
              </w:rPr>
            </w:pPr>
            <w:r w:rsidRPr="005517C4">
              <w:rPr>
                <w:rFonts w:ascii="Times New Roman" w:hAnsi="Times New Roman" w:cs="Times New Roman"/>
                <w:noProof/>
                <w:sz w:val="18"/>
                <w:szCs w:val="18"/>
                <w:lang w:val="en-US"/>
              </w:rPr>
              <w:fldChar w:fldCharType="begin" w:fldLock="1"/>
            </w:r>
            <w:r w:rsidR="00217809" w:rsidRPr="005517C4">
              <w:rPr>
                <w:rFonts w:ascii="Times New Roman" w:hAnsi="Times New Roman" w:cs="Times New Roman"/>
                <w:noProof/>
                <w:sz w:val="18"/>
                <w:szCs w:val="18"/>
                <w:lang w:val="en-US"/>
              </w:rPr>
              <w:instrText>ADDIN CSL_CITATION { "citationItems" : [ { "id" : "ITEM-1", "itemData" : { "DOI" : "10.1111/j.1468-0262.2007.00811.x", "ISSN" : "0012-9682", "author" : [ { "dropping-particle" : "", "family" : "Phillips", "given" : "Peter C. B.", "non-dropping-particle" : "", "parse-names" : false, "suffix" : "" }, { "dropping-particle" : "", "family" : "Sul", "given" : "Donggyu", "non-dropping-particle" : "", "parse-names" : false, "suffix" : "" } ], "container-title" : "Econometrica", "id" : "ITEM-1", "issue" : "6", "issued" : { "date-parts" : [ [ "2007", "11" ] ] }, "page" : "1771-1855", "publisher" : "Blackwell Publishing Ltd", "title" : "Transition Modeling and Econometric Convergence Tests", "type" : "article-journal", "volume" : "75" }, "uris" : [ "http://www.mendeley.com/documents/?uuid=fdd5387e-1c8d-3c46-b2e6-e4653867fe7f" ] } ], "mendeley" : { "formattedCitation" : "(Phillips and Sul 2007a)", "manualFormatting" : "Phillips and Sul (2007)", "plainTextFormattedCitation" : "(Phillips and Sul 2007a)", "previouslyFormattedCitation" : "(Phillips and Sul 2007a)" }, "properties" : { "noteIndex" : 0 }, "schema" : "https://github.com/citation-style-language/schema/raw/master/csl-citation.json" }</w:instrText>
            </w:r>
            <w:r w:rsidRPr="005517C4">
              <w:rPr>
                <w:rFonts w:ascii="Times New Roman" w:hAnsi="Times New Roman" w:cs="Times New Roman"/>
                <w:noProof/>
                <w:sz w:val="18"/>
                <w:szCs w:val="18"/>
                <w:lang w:val="en-US"/>
              </w:rPr>
              <w:fldChar w:fldCharType="separate"/>
            </w:r>
            <w:r w:rsidR="00217809" w:rsidRPr="005517C4">
              <w:rPr>
                <w:rFonts w:ascii="Times New Roman" w:hAnsi="Times New Roman" w:cs="Times New Roman"/>
                <w:noProof/>
                <w:sz w:val="18"/>
                <w:szCs w:val="18"/>
                <w:lang w:val="en-US"/>
              </w:rPr>
              <w:t>Phillips and Sul (2007)</w:t>
            </w:r>
            <w:r w:rsidRPr="005517C4">
              <w:rPr>
                <w:rFonts w:ascii="Times New Roman" w:hAnsi="Times New Roman" w:cs="Times New Roman"/>
                <w:noProof/>
                <w:sz w:val="18"/>
                <w:szCs w:val="18"/>
                <w:lang w:val="en-US"/>
              </w:rPr>
              <w:fldChar w:fldCharType="end"/>
            </w:r>
            <w:r w:rsidR="00217809" w:rsidRPr="005517C4">
              <w:rPr>
                <w:rFonts w:ascii="Times New Roman" w:hAnsi="Times New Roman" w:cs="Times New Roman"/>
                <w:noProof/>
                <w:sz w:val="18"/>
                <w:szCs w:val="18"/>
                <w:lang w:val="en-US"/>
              </w:rPr>
              <w:t xml:space="preserve"> Panel club convergence  and Pair-wise unit root test</w:t>
            </w:r>
          </w:p>
        </w:tc>
        <w:tc>
          <w:tcPr>
            <w:tcW w:w="959" w:type="dxa"/>
            <w:vAlign w:val="center"/>
          </w:tcPr>
          <w:p w:rsidR="00217809" w:rsidRPr="005517C4" w:rsidRDefault="00217809" w:rsidP="00217809">
            <w:pPr>
              <w:rPr>
                <w:rFonts w:ascii="Times New Roman" w:hAnsi="Times New Roman" w:cs="Times New Roman"/>
                <w:noProof/>
                <w:sz w:val="18"/>
                <w:szCs w:val="18"/>
                <w:lang w:val="en-US"/>
              </w:rPr>
            </w:pPr>
            <w:r w:rsidRPr="005517C4">
              <w:rPr>
                <w:rFonts w:ascii="Times New Roman" w:hAnsi="Times New Roman" w:cs="Times New Roman"/>
                <w:noProof/>
                <w:sz w:val="18"/>
                <w:szCs w:val="18"/>
                <w:lang w:val="en-US"/>
              </w:rPr>
              <w:t>CO</w:t>
            </w:r>
            <w:r w:rsidRPr="005517C4">
              <w:rPr>
                <w:rFonts w:ascii="Times New Roman" w:hAnsi="Times New Roman" w:cs="Times New Roman"/>
                <w:noProof/>
                <w:sz w:val="18"/>
                <w:szCs w:val="18"/>
                <w:vertAlign w:val="subscript"/>
                <w:lang w:val="en-US"/>
              </w:rPr>
              <w:t>2</w:t>
            </w:r>
            <w:r w:rsidRPr="005517C4">
              <w:rPr>
                <w:rFonts w:ascii="Times New Roman" w:hAnsi="Times New Roman" w:cs="Times New Roman"/>
                <w:noProof/>
                <w:sz w:val="18"/>
                <w:szCs w:val="18"/>
                <w:lang w:val="en-US"/>
              </w:rPr>
              <w:t xml:space="preserve"> from Fossils</w:t>
            </w:r>
          </w:p>
        </w:tc>
        <w:tc>
          <w:tcPr>
            <w:tcW w:w="2868" w:type="dxa"/>
            <w:vAlign w:val="center"/>
          </w:tcPr>
          <w:p w:rsidR="00217809" w:rsidRPr="005517C4" w:rsidRDefault="00217809" w:rsidP="00217809">
            <w:pPr>
              <w:rPr>
                <w:rFonts w:ascii="Times New Roman" w:hAnsi="Times New Roman" w:cs="Times New Roman"/>
                <w:noProof/>
                <w:sz w:val="18"/>
                <w:szCs w:val="18"/>
                <w:lang w:val="en-US"/>
              </w:rPr>
            </w:pPr>
            <w:r w:rsidRPr="005517C4">
              <w:rPr>
                <w:rFonts w:ascii="Times New Roman" w:hAnsi="Times New Roman" w:cs="Times New Roman"/>
                <w:noProof/>
                <w:sz w:val="18"/>
                <w:szCs w:val="18"/>
                <w:lang w:val="en-US"/>
              </w:rPr>
              <w:t>Club convergence for a large group, divergence for pair-wise unit root</w:t>
            </w:r>
          </w:p>
        </w:tc>
      </w:tr>
      <w:tr w:rsidR="00217809" w:rsidRPr="005517C4" w:rsidTr="006C6A16">
        <w:trPr>
          <w:trHeight w:val="385"/>
        </w:trPr>
        <w:tc>
          <w:tcPr>
            <w:tcW w:w="1667" w:type="dxa"/>
            <w:vAlign w:val="center"/>
          </w:tcPr>
          <w:p w:rsidR="00217809" w:rsidRPr="005517C4" w:rsidRDefault="006578EE" w:rsidP="00217809">
            <w:pPr>
              <w:rPr>
                <w:rFonts w:ascii="Times New Roman" w:hAnsi="Times New Roman" w:cs="Times New Roman"/>
                <w:noProof/>
                <w:sz w:val="18"/>
                <w:szCs w:val="18"/>
                <w:lang w:val="en-US"/>
              </w:rPr>
            </w:pPr>
            <w:r w:rsidRPr="005517C4">
              <w:rPr>
                <w:rFonts w:ascii="Times New Roman" w:hAnsi="Times New Roman" w:cs="Times New Roman"/>
                <w:noProof/>
                <w:sz w:val="18"/>
                <w:szCs w:val="18"/>
                <w:lang w:val="en-US"/>
              </w:rPr>
              <w:fldChar w:fldCharType="begin" w:fldLock="1"/>
            </w:r>
            <w:r w:rsidR="00217809" w:rsidRPr="005517C4">
              <w:rPr>
                <w:rFonts w:ascii="Times New Roman" w:hAnsi="Times New Roman" w:cs="Times New Roman"/>
                <w:noProof/>
                <w:sz w:val="18"/>
                <w:szCs w:val="18"/>
                <w:lang w:val="en-US"/>
              </w:rPr>
              <w:instrText>ADDIN CSL_CITATION { "citationItems" : [ { "id" : "ITEM-1", "itemData" : { "DOI" : "10.1016/j.econmod.2013.05.024", "ISSN" : "02649993", "abstract" : "This paper examines the stationarity of carbon dioxide (CO2) emissions per capita for a set of 36 countries covering the period 1870\u20132006. We employ recently developed unit root and stationarity tests that allow for the mean reverting process to be nonlinear and take into account cross sectional dependence. By grouping countries according to their geographical proximity, the importance of cross sectional dependence in panel unit root and stationarity tests is revealed. Using a recently developed nonlinear panel unit root test, we find strong evidence that the per capita carbon dioxide emissions over the last one hundred and fifty years are stationary. Our nonlinear specification captures the dynamics of the emissions time series data more effectively and we obtain evidence supporting stationarity for all country groups under study.", "author" : [ { "dropping-particle" : "", "family" : "Christidou", "given" : "Maria", "non-dropping-particle" : "", "parse-names" : false, "suffix" : "" }, { "dropping-particle" : "", "family" : "Panagiotidis", "given" : "Theodore", "non-dropping-particle" : "", "parse-names" : false, "suffix" : "" }, { "dropping-particle" : "", "family" : "Sharma", "given" : "Abhijit", "non-dropping-particle" : "", "parse-names" : false, "suffix" : "" } ], "container-title" : "Economic Modelling", "id" : "ITEM-1", "issued" : { "date-parts" : [ [ "2013" ] ] }, "page" : "918-925", "title" : "On the stationarity of per capita carbon dioxide emissions over a century", "type" : "article-journal", "volume" : "33" }, "uris" : [ "http://www.mendeley.com/documents/?uuid=903159f0-92c1-3205-aa74-0afbaf15c2ae" ] } ], "mendeley" : { "formattedCitation" : "(Christidou, Panagiotidis, and Sharma 2013)", "manualFormatting" : "Christidou et al. (2013)", "plainTextFormattedCitation" : "(Christidou, Panagiotidis, and Sharma 2013)", "previouslyFormattedCitation" : "(Christidou, Panagiotidis, and Sharma 2013)" }, "properties" : { "noteIndex" : 0 }, "schema" : "https://github.com/citation-style-language/schema/raw/master/csl-citation.json" }</w:instrText>
            </w:r>
            <w:r w:rsidRPr="005517C4">
              <w:rPr>
                <w:rFonts w:ascii="Times New Roman" w:hAnsi="Times New Roman" w:cs="Times New Roman"/>
                <w:noProof/>
                <w:sz w:val="18"/>
                <w:szCs w:val="18"/>
                <w:lang w:val="en-US"/>
              </w:rPr>
              <w:fldChar w:fldCharType="separate"/>
            </w:r>
            <w:r w:rsidR="00217809" w:rsidRPr="005517C4">
              <w:rPr>
                <w:rFonts w:ascii="Times New Roman" w:hAnsi="Times New Roman" w:cs="Times New Roman"/>
                <w:noProof/>
                <w:sz w:val="18"/>
                <w:szCs w:val="18"/>
                <w:lang w:val="en-US"/>
              </w:rPr>
              <w:t>Christidou et al. (2013)</w:t>
            </w:r>
            <w:r w:rsidRPr="005517C4">
              <w:rPr>
                <w:rFonts w:ascii="Times New Roman" w:hAnsi="Times New Roman" w:cs="Times New Roman"/>
                <w:noProof/>
                <w:sz w:val="18"/>
                <w:szCs w:val="18"/>
                <w:lang w:val="en-US"/>
              </w:rPr>
              <w:fldChar w:fldCharType="end"/>
            </w:r>
          </w:p>
        </w:tc>
        <w:tc>
          <w:tcPr>
            <w:tcW w:w="805" w:type="dxa"/>
            <w:vAlign w:val="center"/>
          </w:tcPr>
          <w:p w:rsidR="00217809" w:rsidRPr="005517C4" w:rsidRDefault="00217809" w:rsidP="00217809">
            <w:pPr>
              <w:rPr>
                <w:rFonts w:ascii="Times New Roman" w:hAnsi="Times New Roman" w:cs="Times New Roman"/>
                <w:noProof/>
                <w:sz w:val="18"/>
                <w:szCs w:val="18"/>
                <w:lang w:val="en-US"/>
              </w:rPr>
            </w:pPr>
            <w:r w:rsidRPr="005517C4">
              <w:rPr>
                <w:rFonts w:ascii="Times New Roman" w:hAnsi="Times New Roman" w:cs="Times New Roman"/>
                <w:noProof/>
                <w:sz w:val="18"/>
                <w:szCs w:val="18"/>
                <w:lang w:val="en-US"/>
              </w:rPr>
              <w:t>1870-2006</w:t>
            </w:r>
          </w:p>
        </w:tc>
        <w:tc>
          <w:tcPr>
            <w:tcW w:w="1308" w:type="dxa"/>
            <w:vAlign w:val="center"/>
          </w:tcPr>
          <w:p w:rsidR="00217809" w:rsidRPr="005517C4" w:rsidRDefault="00217809" w:rsidP="00217809">
            <w:pPr>
              <w:rPr>
                <w:rFonts w:ascii="Times New Roman" w:hAnsi="Times New Roman" w:cs="Times New Roman"/>
                <w:noProof/>
                <w:sz w:val="18"/>
                <w:szCs w:val="18"/>
                <w:lang w:val="en-US"/>
              </w:rPr>
            </w:pPr>
            <w:r w:rsidRPr="005517C4">
              <w:rPr>
                <w:rFonts w:ascii="Times New Roman" w:hAnsi="Times New Roman" w:cs="Times New Roman"/>
                <w:noProof/>
                <w:sz w:val="18"/>
                <w:szCs w:val="18"/>
                <w:lang w:val="en-US"/>
              </w:rPr>
              <w:t>36 countries</w:t>
            </w:r>
          </w:p>
        </w:tc>
        <w:tc>
          <w:tcPr>
            <w:tcW w:w="2835" w:type="dxa"/>
            <w:vAlign w:val="center"/>
          </w:tcPr>
          <w:p w:rsidR="00217809" w:rsidRPr="005517C4" w:rsidRDefault="00217809" w:rsidP="00217809">
            <w:pPr>
              <w:rPr>
                <w:rFonts w:ascii="Times New Roman" w:hAnsi="Times New Roman" w:cs="Times New Roman"/>
                <w:noProof/>
                <w:sz w:val="18"/>
                <w:szCs w:val="18"/>
                <w:lang w:val="en-US"/>
              </w:rPr>
            </w:pPr>
            <w:r w:rsidRPr="005517C4">
              <w:rPr>
                <w:rFonts w:ascii="Times New Roman" w:hAnsi="Times New Roman" w:cs="Times New Roman"/>
                <w:noProof/>
                <w:sz w:val="18"/>
                <w:szCs w:val="18"/>
                <w:lang w:val="en-US"/>
              </w:rPr>
              <w:t>Linear and non-linear panel  unit root tests</w:t>
            </w:r>
          </w:p>
        </w:tc>
        <w:tc>
          <w:tcPr>
            <w:tcW w:w="959" w:type="dxa"/>
            <w:vAlign w:val="center"/>
          </w:tcPr>
          <w:p w:rsidR="00217809" w:rsidRPr="005517C4" w:rsidRDefault="00217809" w:rsidP="00217809">
            <w:pPr>
              <w:rPr>
                <w:rFonts w:ascii="Times New Roman" w:hAnsi="Times New Roman" w:cs="Times New Roman"/>
                <w:noProof/>
                <w:sz w:val="18"/>
                <w:szCs w:val="18"/>
                <w:lang w:val="en-US"/>
              </w:rPr>
            </w:pPr>
            <w:r w:rsidRPr="005517C4">
              <w:rPr>
                <w:rFonts w:ascii="Times New Roman" w:hAnsi="Times New Roman" w:cs="Times New Roman"/>
                <w:noProof/>
                <w:sz w:val="18"/>
                <w:szCs w:val="18"/>
                <w:lang w:val="en-US"/>
              </w:rPr>
              <w:t>CO</w:t>
            </w:r>
            <w:r w:rsidRPr="005517C4">
              <w:rPr>
                <w:rFonts w:ascii="Times New Roman" w:hAnsi="Times New Roman" w:cs="Times New Roman"/>
                <w:noProof/>
                <w:sz w:val="18"/>
                <w:szCs w:val="18"/>
                <w:vertAlign w:val="subscript"/>
                <w:lang w:val="en-US"/>
              </w:rPr>
              <w:t>2</w:t>
            </w:r>
          </w:p>
        </w:tc>
        <w:tc>
          <w:tcPr>
            <w:tcW w:w="2868" w:type="dxa"/>
            <w:vAlign w:val="center"/>
          </w:tcPr>
          <w:p w:rsidR="00217809" w:rsidRPr="005517C4" w:rsidRDefault="00217809" w:rsidP="00217809">
            <w:pPr>
              <w:rPr>
                <w:rFonts w:ascii="Times New Roman" w:hAnsi="Times New Roman" w:cs="Times New Roman"/>
                <w:noProof/>
                <w:sz w:val="18"/>
                <w:szCs w:val="18"/>
                <w:lang w:val="en-US"/>
              </w:rPr>
            </w:pPr>
            <w:r w:rsidRPr="005517C4">
              <w:rPr>
                <w:rFonts w:ascii="Times New Roman" w:hAnsi="Times New Roman" w:cs="Times New Roman"/>
                <w:noProof/>
                <w:sz w:val="18"/>
                <w:szCs w:val="18"/>
                <w:lang w:val="en-US"/>
              </w:rPr>
              <w:t>Convergence in non-linear form</w:t>
            </w:r>
          </w:p>
        </w:tc>
      </w:tr>
      <w:tr w:rsidR="00217809" w:rsidRPr="005517C4" w:rsidTr="006C6A16">
        <w:trPr>
          <w:trHeight w:val="385"/>
        </w:trPr>
        <w:tc>
          <w:tcPr>
            <w:tcW w:w="1667" w:type="dxa"/>
            <w:vAlign w:val="center"/>
          </w:tcPr>
          <w:p w:rsidR="00217809" w:rsidRPr="005517C4" w:rsidRDefault="006578EE" w:rsidP="00217809">
            <w:pPr>
              <w:rPr>
                <w:rFonts w:ascii="Times New Roman" w:hAnsi="Times New Roman" w:cs="Times New Roman"/>
                <w:noProof/>
                <w:sz w:val="18"/>
                <w:szCs w:val="18"/>
                <w:lang w:val="en-US"/>
              </w:rPr>
            </w:pPr>
            <w:r w:rsidRPr="005517C4">
              <w:rPr>
                <w:rFonts w:ascii="Times New Roman" w:hAnsi="Times New Roman" w:cs="Times New Roman"/>
                <w:noProof/>
                <w:sz w:val="18"/>
                <w:szCs w:val="18"/>
                <w:lang w:val="en-US"/>
              </w:rPr>
              <w:fldChar w:fldCharType="begin" w:fldLock="1"/>
            </w:r>
            <w:r w:rsidR="00216FA4">
              <w:rPr>
                <w:rFonts w:ascii="Times New Roman" w:hAnsi="Times New Roman" w:cs="Times New Roman"/>
                <w:noProof/>
                <w:sz w:val="18"/>
                <w:szCs w:val="18"/>
                <w:lang w:val="en-US"/>
              </w:rPr>
              <w:instrText>ADDIN CSL_CITATION { "citationItems" : [ { "id" : "ITEM-1", "itemData" : { "DOI" : "10.1016/j.rser.2013.03.048", "ISSN" : "13640321", "abstract" : "Climate change is now widely recognized as the major environmental problem. In order to reduce CO2 emissions so as to cope with climate change, a wide range of effective policies, and an enforced international cooperation are required. A better understanding of the dynamic changes of CO2 emissions will strengthen international cooperation and provide necessary information for policy making. This paper investigates the global convergence in per capita CO2 emissions over the period 1971-2008. The results manifest an absolute convergence within subsamples grouped by income level, while provide little evidence of absolute convergence in the full sample containing 110 countries. Furthermore, this paper takes the GDP per capita into consideration within the conditional convergence framework. Interestingly, the result shows that, within different income groups, the relationships between GDP per capita and per capita CO2 emission growth are different. Specially, per capita CO2 emissions of high-income countries keep at the \"steady state\" as income rises. This result is contrary to Environmental Kuznets Curve, which indicates that the CO2 emissions will decline when income rises beyond a certain level. \u00a9 2013 Elsevier Ltd.", "author" : [ { "dropping-particle" : "", "family" : "Li", "given" : "Xuehui", "non-dropping-particle" : "", "parse-names" : false, "suffix" : "" }, { "dropping-particle" : "", "family" : "Lin", "given" : "Boqiang", "non-dropping-particle" : "", "parse-names" : false, "suffix" : "" } ], "container-title" : "Renewable and Sustainable Energy Reviews", "id" : "ITEM-1", "issued" : { "date-parts" : [ [ "2013" ] ] }, "page" : "357-363", "title" : "Global convergence in per capita CO2 emissions", "type" : "article-journal", "volume" : "24" }, "uris" : [ "http://www.mendeley.com/documents/?uuid=44bc0b68-de6a-3aa2-a702-21f893621944" ] } ], "mendeley" : { "formattedCitation" : "(X. Li and Lin 2013)", "manualFormatting" : " Li and Lin (2013)", "plainTextFormattedCitation" : "(X. Li and Lin 2013)", "previouslyFormattedCitation" : "(X. Li and Lin 2013)" }, "properties" : { "noteIndex" : 0 }, "schema" : "https://github.com/citation-style-language/schema/raw/master/csl-citation.json" }</w:instrText>
            </w:r>
            <w:r w:rsidRPr="005517C4">
              <w:rPr>
                <w:rFonts w:ascii="Times New Roman" w:hAnsi="Times New Roman" w:cs="Times New Roman"/>
                <w:noProof/>
                <w:sz w:val="18"/>
                <w:szCs w:val="18"/>
                <w:lang w:val="en-US"/>
              </w:rPr>
              <w:fldChar w:fldCharType="separate"/>
            </w:r>
            <w:r w:rsidR="00217809" w:rsidRPr="005517C4">
              <w:rPr>
                <w:rFonts w:ascii="Times New Roman" w:hAnsi="Times New Roman" w:cs="Times New Roman"/>
                <w:noProof/>
                <w:sz w:val="18"/>
                <w:szCs w:val="18"/>
                <w:lang w:val="en-US"/>
              </w:rPr>
              <w:t xml:space="preserve"> Li and Lin (2013)</w:t>
            </w:r>
            <w:r w:rsidRPr="005517C4">
              <w:rPr>
                <w:rFonts w:ascii="Times New Roman" w:hAnsi="Times New Roman" w:cs="Times New Roman"/>
                <w:noProof/>
                <w:sz w:val="18"/>
                <w:szCs w:val="18"/>
                <w:lang w:val="en-US"/>
              </w:rPr>
              <w:fldChar w:fldCharType="end"/>
            </w:r>
          </w:p>
        </w:tc>
        <w:tc>
          <w:tcPr>
            <w:tcW w:w="805" w:type="dxa"/>
            <w:vAlign w:val="center"/>
          </w:tcPr>
          <w:p w:rsidR="00217809" w:rsidRPr="005517C4" w:rsidRDefault="00217809" w:rsidP="00217809">
            <w:pPr>
              <w:rPr>
                <w:rFonts w:ascii="Times New Roman" w:hAnsi="Times New Roman" w:cs="Times New Roman"/>
                <w:noProof/>
                <w:sz w:val="18"/>
                <w:szCs w:val="18"/>
                <w:lang w:val="en-US"/>
              </w:rPr>
            </w:pPr>
            <w:r w:rsidRPr="005517C4">
              <w:rPr>
                <w:rFonts w:ascii="Times New Roman" w:hAnsi="Times New Roman" w:cs="Times New Roman"/>
                <w:noProof/>
                <w:sz w:val="18"/>
                <w:szCs w:val="18"/>
                <w:lang w:val="en-US"/>
              </w:rPr>
              <w:t>1971-2008</w:t>
            </w:r>
          </w:p>
        </w:tc>
        <w:tc>
          <w:tcPr>
            <w:tcW w:w="1308" w:type="dxa"/>
            <w:vAlign w:val="center"/>
          </w:tcPr>
          <w:p w:rsidR="00217809" w:rsidRPr="005517C4" w:rsidRDefault="00217809" w:rsidP="00217809">
            <w:pPr>
              <w:rPr>
                <w:rFonts w:ascii="Times New Roman" w:hAnsi="Times New Roman" w:cs="Times New Roman"/>
                <w:noProof/>
                <w:sz w:val="18"/>
                <w:szCs w:val="18"/>
                <w:lang w:val="en-US"/>
              </w:rPr>
            </w:pPr>
            <w:r w:rsidRPr="005517C4">
              <w:rPr>
                <w:rFonts w:ascii="Times New Roman" w:hAnsi="Times New Roman" w:cs="Times New Roman"/>
                <w:noProof/>
                <w:sz w:val="18"/>
                <w:szCs w:val="18"/>
                <w:lang w:val="en-US"/>
              </w:rPr>
              <w:t>110 countries</w:t>
            </w:r>
          </w:p>
        </w:tc>
        <w:tc>
          <w:tcPr>
            <w:tcW w:w="2835" w:type="dxa"/>
            <w:vAlign w:val="center"/>
          </w:tcPr>
          <w:p w:rsidR="00217809" w:rsidRPr="005517C4" w:rsidRDefault="00217809" w:rsidP="00217809">
            <w:pPr>
              <w:rPr>
                <w:rFonts w:ascii="Times New Roman" w:hAnsi="Times New Roman" w:cs="Times New Roman"/>
                <w:noProof/>
                <w:sz w:val="18"/>
                <w:szCs w:val="18"/>
                <w:lang w:val="en-US"/>
              </w:rPr>
            </w:pPr>
            <w:r w:rsidRPr="005517C4">
              <w:rPr>
                <w:rFonts w:ascii="Times New Roman" w:hAnsi="Times New Roman" w:cs="Times New Roman"/>
                <w:noProof/>
                <w:sz w:val="18"/>
                <w:szCs w:val="18"/>
                <w:lang w:val="en-US"/>
              </w:rPr>
              <w:t>Panel GMM</w:t>
            </w:r>
          </w:p>
        </w:tc>
        <w:tc>
          <w:tcPr>
            <w:tcW w:w="959" w:type="dxa"/>
            <w:vAlign w:val="center"/>
          </w:tcPr>
          <w:p w:rsidR="00217809" w:rsidRPr="005517C4" w:rsidRDefault="00217809" w:rsidP="00217809">
            <w:pPr>
              <w:rPr>
                <w:rFonts w:ascii="Times New Roman" w:hAnsi="Times New Roman" w:cs="Times New Roman"/>
                <w:noProof/>
                <w:sz w:val="18"/>
                <w:szCs w:val="18"/>
                <w:lang w:val="en-US"/>
              </w:rPr>
            </w:pPr>
            <w:r w:rsidRPr="005517C4">
              <w:rPr>
                <w:rFonts w:ascii="Times New Roman" w:hAnsi="Times New Roman" w:cs="Times New Roman"/>
                <w:noProof/>
                <w:sz w:val="18"/>
                <w:szCs w:val="18"/>
                <w:lang w:val="en-US"/>
              </w:rPr>
              <w:t>CO</w:t>
            </w:r>
            <w:r w:rsidRPr="005517C4">
              <w:rPr>
                <w:rFonts w:ascii="Times New Roman" w:hAnsi="Times New Roman" w:cs="Times New Roman"/>
                <w:noProof/>
                <w:sz w:val="18"/>
                <w:szCs w:val="18"/>
                <w:vertAlign w:val="subscript"/>
                <w:lang w:val="en-US"/>
              </w:rPr>
              <w:t>2</w:t>
            </w:r>
          </w:p>
        </w:tc>
        <w:tc>
          <w:tcPr>
            <w:tcW w:w="2868" w:type="dxa"/>
            <w:vAlign w:val="center"/>
          </w:tcPr>
          <w:p w:rsidR="00217809" w:rsidRPr="005517C4" w:rsidRDefault="00217809" w:rsidP="00217809">
            <w:pPr>
              <w:rPr>
                <w:rFonts w:ascii="Times New Roman" w:hAnsi="Times New Roman" w:cs="Times New Roman"/>
                <w:noProof/>
                <w:sz w:val="18"/>
                <w:szCs w:val="18"/>
                <w:lang w:val="en-US"/>
              </w:rPr>
            </w:pPr>
            <w:r w:rsidRPr="005517C4">
              <w:rPr>
                <w:rFonts w:ascii="Times New Roman" w:hAnsi="Times New Roman" w:cs="Times New Roman"/>
                <w:noProof/>
                <w:sz w:val="18"/>
                <w:szCs w:val="18"/>
                <w:lang w:val="en-US"/>
              </w:rPr>
              <w:t>Absolute convergence</w:t>
            </w:r>
          </w:p>
        </w:tc>
      </w:tr>
      <w:tr w:rsidR="00217809" w:rsidRPr="005517C4" w:rsidTr="006C6A16">
        <w:trPr>
          <w:trHeight w:val="385"/>
        </w:trPr>
        <w:tc>
          <w:tcPr>
            <w:tcW w:w="1667" w:type="dxa"/>
            <w:vAlign w:val="center"/>
          </w:tcPr>
          <w:p w:rsidR="00217809" w:rsidRPr="005517C4" w:rsidRDefault="006578EE" w:rsidP="00217809">
            <w:pPr>
              <w:rPr>
                <w:rFonts w:ascii="Times New Roman" w:hAnsi="Times New Roman" w:cs="Times New Roman"/>
                <w:noProof/>
                <w:sz w:val="18"/>
                <w:szCs w:val="18"/>
                <w:lang w:val="en-US"/>
              </w:rPr>
            </w:pPr>
            <w:r w:rsidRPr="005517C4">
              <w:rPr>
                <w:rFonts w:ascii="Times New Roman" w:hAnsi="Times New Roman" w:cs="Times New Roman"/>
                <w:noProof/>
                <w:sz w:val="18"/>
                <w:szCs w:val="18"/>
                <w:lang w:val="en-US"/>
              </w:rPr>
              <w:fldChar w:fldCharType="begin" w:fldLock="1"/>
            </w:r>
            <w:r w:rsidR="00217809" w:rsidRPr="005517C4">
              <w:rPr>
                <w:rFonts w:ascii="Times New Roman" w:hAnsi="Times New Roman" w:cs="Times New Roman"/>
                <w:noProof/>
                <w:sz w:val="18"/>
                <w:szCs w:val="18"/>
                <w:lang w:val="en-US"/>
              </w:rPr>
              <w:instrText>ADDIN CSL_CITATION { "citationItems" : [ { "id" : "ITEM-1", "itemData" : { "DOI" : "10.1016/j.apgeog.2013.01.006", "abstract" : "a b s t r a c t Carbon dioxide (CO 2)-emission dynamics are critical to inter-governmental climate negotiations. Previ-ous studies have noted a gradual equalization of per capita CO 2 emissions across developed countries; that is, CO 2 emissions converge across developed countries. However, they have ignored the effects of spatio-temporal dynamics on such convergence. In this paper, we address this gap in understanding the regional convergence of CO 2 emissions by considering the spatio-temporal dynamics underlying the data. An empirical analysis of CO 2 emissions in urban China based on our spatio-temporal model shows that overall, per capita CO 2 emissions in these areas increased and converged from 1985 to 2008. The proposed convergence model provides greater explanatory power than its conventional counterpart due to the specification of spatio-temporal dependency. Our results reveal the dynamics of spatial effects in the convergence model, thus identifying the role of spatial effects in a disaggregated manner. The convergence rate increases when considering its spatio-temporal dependency. This 'catching-up' in the convergence of CO 2 emissions indicates an increasing trend in such emissions in China, although the Chinese government has taken many measures to reduce CO 2 emissions. These results should motivate policy makers to reflect on whether current policies actually reduce carbon emissions.", "author" : [ { "dropping-particle" : "", "family" : "Huang", "given" : "Bo", "non-dropping-particle" : "", "parse-names" : false, "suffix" : "" }, { "dropping-particle" : "", "family" : "Meng", "given" : "Lina", "non-dropping-particle" : "", "parse-names" : false, "suffix" : "" } ], "container-title" : "Applied Geography", "id" : "ITEM-1", "issued" : { "date-parts" : [ [ "2013" ] ] }, "page" : "21-29", "title" : "Convergence of per capita carbon dioxide emissions in urban China: A spatio-temporal perspective", "type" : "article-journal", "volume" : "40" }, "uris" : [ "http://www.mendeley.com/documents/?uuid=817d7dad-fecf-31fd-913c-9875e72dbf37" ] } ], "mendeley" : { "formattedCitation" : "(Huang and Meng 2013)", "manualFormatting" : "Huang and Meng (2013)", "plainTextFormattedCitation" : "(Huang and Meng 2013)", "previouslyFormattedCitation" : "(Huang and Meng 2013)" }, "properties" : { "noteIndex" : 0 }, "schema" : "https://github.com/citation-style-language/schema/raw/master/csl-citation.json" }</w:instrText>
            </w:r>
            <w:r w:rsidRPr="005517C4">
              <w:rPr>
                <w:rFonts w:ascii="Times New Roman" w:hAnsi="Times New Roman" w:cs="Times New Roman"/>
                <w:noProof/>
                <w:sz w:val="18"/>
                <w:szCs w:val="18"/>
                <w:lang w:val="en-US"/>
              </w:rPr>
              <w:fldChar w:fldCharType="separate"/>
            </w:r>
            <w:r w:rsidR="00217809" w:rsidRPr="005517C4">
              <w:rPr>
                <w:rFonts w:ascii="Times New Roman" w:hAnsi="Times New Roman" w:cs="Times New Roman"/>
                <w:noProof/>
                <w:sz w:val="18"/>
                <w:szCs w:val="18"/>
                <w:lang w:val="en-US"/>
              </w:rPr>
              <w:t>Huang and Meng (2013)</w:t>
            </w:r>
            <w:r w:rsidRPr="005517C4">
              <w:rPr>
                <w:rFonts w:ascii="Times New Roman" w:hAnsi="Times New Roman" w:cs="Times New Roman"/>
                <w:noProof/>
                <w:sz w:val="18"/>
                <w:szCs w:val="18"/>
                <w:lang w:val="en-US"/>
              </w:rPr>
              <w:fldChar w:fldCharType="end"/>
            </w:r>
          </w:p>
        </w:tc>
        <w:tc>
          <w:tcPr>
            <w:tcW w:w="805" w:type="dxa"/>
            <w:vAlign w:val="center"/>
          </w:tcPr>
          <w:p w:rsidR="00217809" w:rsidRPr="005517C4" w:rsidRDefault="00217809" w:rsidP="00217809">
            <w:pPr>
              <w:rPr>
                <w:rFonts w:ascii="Times New Roman" w:hAnsi="Times New Roman" w:cs="Times New Roman"/>
                <w:noProof/>
                <w:sz w:val="18"/>
                <w:szCs w:val="18"/>
                <w:lang w:val="en-US"/>
              </w:rPr>
            </w:pPr>
            <w:r w:rsidRPr="005517C4">
              <w:rPr>
                <w:rFonts w:ascii="Times New Roman" w:hAnsi="Times New Roman" w:cs="Times New Roman"/>
                <w:noProof/>
                <w:sz w:val="18"/>
                <w:szCs w:val="18"/>
                <w:lang w:val="en-US"/>
              </w:rPr>
              <w:t>1985-2008</w:t>
            </w:r>
          </w:p>
        </w:tc>
        <w:tc>
          <w:tcPr>
            <w:tcW w:w="1308" w:type="dxa"/>
            <w:vAlign w:val="center"/>
          </w:tcPr>
          <w:p w:rsidR="00217809" w:rsidRPr="005517C4" w:rsidRDefault="00217809" w:rsidP="00217809">
            <w:pPr>
              <w:rPr>
                <w:rFonts w:ascii="Times New Roman" w:hAnsi="Times New Roman" w:cs="Times New Roman"/>
                <w:noProof/>
                <w:sz w:val="18"/>
                <w:szCs w:val="18"/>
                <w:lang w:val="en-US"/>
              </w:rPr>
            </w:pPr>
            <w:r w:rsidRPr="005517C4">
              <w:rPr>
                <w:rFonts w:ascii="Times New Roman" w:hAnsi="Times New Roman" w:cs="Times New Roman"/>
                <w:noProof/>
                <w:sz w:val="18"/>
                <w:szCs w:val="18"/>
                <w:lang w:val="en-US"/>
              </w:rPr>
              <w:t>Provinces of China</w:t>
            </w:r>
          </w:p>
        </w:tc>
        <w:tc>
          <w:tcPr>
            <w:tcW w:w="2835" w:type="dxa"/>
            <w:vAlign w:val="center"/>
          </w:tcPr>
          <w:p w:rsidR="00217809" w:rsidRPr="005517C4" w:rsidRDefault="00217809" w:rsidP="00217809">
            <w:pPr>
              <w:rPr>
                <w:rFonts w:ascii="Times New Roman" w:hAnsi="Times New Roman" w:cs="Times New Roman"/>
                <w:noProof/>
                <w:sz w:val="18"/>
                <w:szCs w:val="18"/>
                <w:lang w:val="en-US"/>
              </w:rPr>
            </w:pPr>
            <w:r w:rsidRPr="005517C4">
              <w:rPr>
                <w:rFonts w:ascii="Times New Roman" w:hAnsi="Times New Roman" w:cs="Times New Roman"/>
                <w:noProof/>
                <w:sz w:val="18"/>
                <w:szCs w:val="18"/>
                <w:lang w:val="en-US"/>
              </w:rPr>
              <w:t>Spatial econometrics models</w:t>
            </w:r>
          </w:p>
        </w:tc>
        <w:tc>
          <w:tcPr>
            <w:tcW w:w="959" w:type="dxa"/>
            <w:vAlign w:val="center"/>
          </w:tcPr>
          <w:p w:rsidR="00217809" w:rsidRPr="005517C4" w:rsidRDefault="00217809" w:rsidP="00217809">
            <w:pPr>
              <w:rPr>
                <w:rFonts w:ascii="Times New Roman" w:hAnsi="Times New Roman" w:cs="Times New Roman"/>
                <w:noProof/>
                <w:sz w:val="18"/>
                <w:szCs w:val="18"/>
                <w:lang w:val="en-US"/>
              </w:rPr>
            </w:pPr>
            <w:r w:rsidRPr="005517C4">
              <w:rPr>
                <w:rFonts w:ascii="Times New Roman" w:hAnsi="Times New Roman" w:cs="Times New Roman"/>
                <w:noProof/>
                <w:sz w:val="18"/>
                <w:szCs w:val="18"/>
                <w:lang w:val="en-US"/>
              </w:rPr>
              <w:t>CO</w:t>
            </w:r>
            <w:r w:rsidRPr="005517C4">
              <w:rPr>
                <w:rFonts w:ascii="Times New Roman" w:hAnsi="Times New Roman" w:cs="Times New Roman"/>
                <w:noProof/>
                <w:sz w:val="18"/>
                <w:szCs w:val="18"/>
                <w:vertAlign w:val="subscript"/>
                <w:lang w:val="en-US"/>
              </w:rPr>
              <w:t>2</w:t>
            </w:r>
          </w:p>
        </w:tc>
        <w:tc>
          <w:tcPr>
            <w:tcW w:w="2868" w:type="dxa"/>
            <w:vAlign w:val="center"/>
          </w:tcPr>
          <w:p w:rsidR="00217809" w:rsidRPr="005517C4" w:rsidRDefault="00217809" w:rsidP="00217809">
            <w:pPr>
              <w:rPr>
                <w:rFonts w:ascii="Times New Roman" w:hAnsi="Times New Roman" w:cs="Times New Roman"/>
                <w:noProof/>
                <w:sz w:val="18"/>
                <w:szCs w:val="18"/>
                <w:lang w:val="en-US"/>
              </w:rPr>
            </w:pPr>
            <w:r w:rsidRPr="005517C4">
              <w:rPr>
                <w:rFonts w:ascii="Times New Roman" w:hAnsi="Times New Roman" w:cs="Times New Roman"/>
                <w:noProof/>
                <w:sz w:val="18"/>
                <w:szCs w:val="18"/>
                <w:lang w:val="en-US"/>
              </w:rPr>
              <w:t>Evidence for convergence</w:t>
            </w:r>
          </w:p>
        </w:tc>
      </w:tr>
      <w:tr w:rsidR="00217809" w:rsidRPr="005517C4" w:rsidTr="006C6A16">
        <w:trPr>
          <w:trHeight w:val="385"/>
        </w:trPr>
        <w:tc>
          <w:tcPr>
            <w:tcW w:w="1667" w:type="dxa"/>
            <w:vAlign w:val="center"/>
          </w:tcPr>
          <w:p w:rsidR="00217809" w:rsidRPr="005517C4" w:rsidRDefault="006578EE" w:rsidP="00217809">
            <w:pPr>
              <w:rPr>
                <w:rFonts w:ascii="Times New Roman" w:hAnsi="Times New Roman" w:cs="Times New Roman"/>
                <w:noProof/>
                <w:sz w:val="18"/>
                <w:szCs w:val="18"/>
                <w:lang w:val="en-US"/>
              </w:rPr>
            </w:pPr>
            <w:r w:rsidRPr="005517C4">
              <w:rPr>
                <w:rFonts w:ascii="Times New Roman" w:hAnsi="Times New Roman" w:cs="Times New Roman"/>
                <w:noProof/>
                <w:sz w:val="18"/>
                <w:szCs w:val="18"/>
                <w:lang w:val="en-US"/>
              </w:rPr>
              <w:fldChar w:fldCharType="begin" w:fldLock="1"/>
            </w:r>
            <w:r w:rsidR="00217809" w:rsidRPr="005517C4">
              <w:rPr>
                <w:rFonts w:ascii="Times New Roman" w:hAnsi="Times New Roman" w:cs="Times New Roman"/>
                <w:noProof/>
                <w:sz w:val="18"/>
                <w:szCs w:val="18"/>
                <w:lang w:val="en-US"/>
              </w:rPr>
              <w:instrText>ADDIN CSL_CITATION { "citationItems" : [ { "id" : "ITEM-1", "itemData" : { "DOI" : "10.1016/j.econmod.2014.04.003", "ISSN" : "02649993", "abstract" : "This study applies the sequential panel selection method (SPSM) procedure proposed by Chortareas and Kapetanios (2009) to investigate the time-series properties of CO2 emissions for 50 U.S. states during the 1990 to 2010 period. SPSM classifies the whole panel into a group of stationary series and a group of non-stationary series. In doing so, we could clearly identify how many and which series in the panel are stationary processes. Empirical results from the SPSM using the panel KSS unit root test (Ucar and Omay, 2009) with a Fourier function, indicate that CO2 emissions only converge in 12 out of the 50 U.S. states in our analysis.", "author" : [ { "dropping-particle" : "", "family" : "Li", "given" : "Xiao-Lin", "non-dropping-particle" : "", "parse-names" : false, "suffix" : "" }, { "dropping-particle" : "", "family" : "Tang", "given" : "D.P.", "non-dropping-particle" : "", "parse-names" : false, "suffix" : "" }, { "dropping-particle" : "", "family" : "Chang", "given" : "Tsangyao", "non-dropping-particle" : "", "parse-names" : false, "suffix" : "" } ], "container-title" : "Economic Modelling", "id" : "ITEM-1", "issued" : { "date-parts" : [ [ "2014" ] ] }, "page" : "320-333", "title" : "CO2 emissions converge in the 50 U.S. states \u2014 Sequential panel selection method", "type" : "article-journal", "volume" : "40" }, "uris" : [ "http://www.mendeley.com/documents/?uuid=c7290ef5-6776-3cfb-b9a0-aa2f04e62238" ] } ], "mendeley" : { "formattedCitation" : "(X.-L. Li, Tang, and Chang 2014)", "manualFormatting" : "Li et al.  (2014)", "plainTextFormattedCitation" : "(X.-L. Li, Tang, and Chang 2014)", "previouslyFormattedCitation" : "(X.-L. Li, Tang, and Chang 2014)" }, "properties" : { "noteIndex" : 0 }, "schema" : "https://github.com/citation-style-language/schema/raw/master/csl-citation.json" }</w:instrText>
            </w:r>
            <w:r w:rsidRPr="005517C4">
              <w:rPr>
                <w:rFonts w:ascii="Times New Roman" w:hAnsi="Times New Roman" w:cs="Times New Roman"/>
                <w:noProof/>
                <w:sz w:val="18"/>
                <w:szCs w:val="18"/>
                <w:lang w:val="en-US"/>
              </w:rPr>
              <w:fldChar w:fldCharType="separate"/>
            </w:r>
            <w:r w:rsidR="00217809" w:rsidRPr="005517C4">
              <w:rPr>
                <w:rFonts w:ascii="Times New Roman" w:hAnsi="Times New Roman" w:cs="Times New Roman"/>
                <w:noProof/>
                <w:sz w:val="18"/>
                <w:szCs w:val="18"/>
                <w:lang w:val="en-US"/>
              </w:rPr>
              <w:t>Li et al.  (2014)</w:t>
            </w:r>
            <w:r w:rsidRPr="005517C4">
              <w:rPr>
                <w:rFonts w:ascii="Times New Roman" w:hAnsi="Times New Roman" w:cs="Times New Roman"/>
                <w:noProof/>
                <w:sz w:val="18"/>
                <w:szCs w:val="18"/>
                <w:lang w:val="en-US"/>
              </w:rPr>
              <w:fldChar w:fldCharType="end"/>
            </w:r>
          </w:p>
        </w:tc>
        <w:tc>
          <w:tcPr>
            <w:tcW w:w="805" w:type="dxa"/>
            <w:vAlign w:val="center"/>
          </w:tcPr>
          <w:p w:rsidR="00217809" w:rsidRPr="005517C4" w:rsidRDefault="00217809" w:rsidP="00217809">
            <w:pPr>
              <w:rPr>
                <w:rFonts w:ascii="Times New Roman" w:hAnsi="Times New Roman" w:cs="Times New Roman"/>
                <w:noProof/>
                <w:sz w:val="18"/>
                <w:szCs w:val="18"/>
                <w:lang w:val="en-US"/>
              </w:rPr>
            </w:pPr>
            <w:r w:rsidRPr="005517C4">
              <w:rPr>
                <w:rFonts w:ascii="Times New Roman" w:hAnsi="Times New Roman" w:cs="Times New Roman"/>
                <w:noProof/>
                <w:sz w:val="18"/>
                <w:szCs w:val="18"/>
                <w:lang w:val="en-US"/>
              </w:rPr>
              <w:t>1990-2010</w:t>
            </w:r>
          </w:p>
        </w:tc>
        <w:tc>
          <w:tcPr>
            <w:tcW w:w="1308" w:type="dxa"/>
            <w:vAlign w:val="center"/>
          </w:tcPr>
          <w:p w:rsidR="00217809" w:rsidRPr="005517C4" w:rsidRDefault="00217809" w:rsidP="00217809">
            <w:pPr>
              <w:rPr>
                <w:rFonts w:ascii="Times New Roman" w:hAnsi="Times New Roman" w:cs="Times New Roman"/>
                <w:noProof/>
                <w:sz w:val="18"/>
                <w:szCs w:val="18"/>
                <w:lang w:val="en-US"/>
              </w:rPr>
            </w:pPr>
            <w:r w:rsidRPr="005517C4">
              <w:rPr>
                <w:rFonts w:ascii="Times New Roman" w:hAnsi="Times New Roman" w:cs="Times New Roman"/>
                <w:noProof/>
                <w:sz w:val="18"/>
                <w:szCs w:val="18"/>
                <w:lang w:val="en-US"/>
              </w:rPr>
              <w:t>50 U.S. States</w:t>
            </w:r>
          </w:p>
        </w:tc>
        <w:tc>
          <w:tcPr>
            <w:tcW w:w="2835" w:type="dxa"/>
            <w:vAlign w:val="center"/>
          </w:tcPr>
          <w:p w:rsidR="00217809" w:rsidRPr="005517C4" w:rsidRDefault="00217809" w:rsidP="00217809">
            <w:pPr>
              <w:rPr>
                <w:rFonts w:ascii="Times New Roman" w:hAnsi="Times New Roman" w:cs="Times New Roman"/>
                <w:noProof/>
                <w:sz w:val="18"/>
                <w:szCs w:val="18"/>
                <w:lang w:val="en-US"/>
              </w:rPr>
            </w:pPr>
            <w:r w:rsidRPr="005517C4">
              <w:rPr>
                <w:rFonts w:ascii="Times New Roman" w:hAnsi="Times New Roman" w:cs="Times New Roman"/>
                <w:noProof/>
                <w:sz w:val="18"/>
                <w:szCs w:val="18"/>
                <w:lang w:val="en-US"/>
              </w:rPr>
              <w:t xml:space="preserve">Sequential panel selection method proposed by  </w:t>
            </w:r>
            <w:r w:rsidR="006578EE" w:rsidRPr="005517C4">
              <w:rPr>
                <w:rFonts w:ascii="Times New Roman" w:hAnsi="Times New Roman" w:cs="Times New Roman"/>
                <w:noProof/>
                <w:sz w:val="18"/>
                <w:szCs w:val="18"/>
                <w:lang w:val="en-US"/>
              </w:rPr>
              <w:fldChar w:fldCharType="begin" w:fldLock="1"/>
            </w:r>
            <w:r w:rsidR="00216FA4">
              <w:rPr>
                <w:rFonts w:ascii="Times New Roman" w:hAnsi="Times New Roman" w:cs="Times New Roman"/>
                <w:noProof/>
                <w:sz w:val="18"/>
                <w:szCs w:val="18"/>
                <w:lang w:val="en-US"/>
              </w:rPr>
              <w:instrText>ADDIN CSL_CITATION { "citationItems" : [ { "id" : "ITEM-1", "itemData" : { "DOI" : "10.1016/j.jbankfin.2008.08.010", "ISSN" : "03784266", "author" : [ { "dropping-particle" : "", "family" : "Chortareas", "given" : "Georgios", "non-dropping-particle" : "", "parse-names" : false, "suffix" : "" }, { "dropping-particle" : "", "family" : "Kapetanios", "given" : "George", "non-dropping-particle" : "", "parse-names" : false, "suffix" : "" } ], "container-title" : "Journal of Banking &amp; Finance", "id" : "ITEM-1", "issue" : "2", "issued" : { "date-parts" : [ [ "2009", "2" ] ] }, "page" : "390-404", "title" : "Getting PPP right: Identifying mean-reverting real exchange rates in panels", "type" : "article-journal", "volume" : "33" }, "uris" : [ "http://www.mendeley.com/documents/?uuid=d3d4a02d-fe41-3cd9-9e19-7c7de9a84f7a" ] } ], "mendeley" : { "formattedCitation" : "(Chortareas and Kapetanios 2009)", "manualFormatting" : "Chortareas and Kapetanios (2009)", "plainTextFormattedCitation" : "(Chortareas and Kapetanios 2009)", "previouslyFormattedCitation" : "(Chortareas and Kapetanios 2009)" }, "properties" : { "noteIndex" : 0 }, "schema" : "https://github.com/citation-style-language/schema/raw/master/csl-citation.json" }</w:instrText>
            </w:r>
            <w:r w:rsidR="006578EE" w:rsidRPr="005517C4">
              <w:rPr>
                <w:rFonts w:ascii="Times New Roman" w:hAnsi="Times New Roman" w:cs="Times New Roman"/>
                <w:noProof/>
                <w:sz w:val="18"/>
                <w:szCs w:val="18"/>
                <w:lang w:val="en-US"/>
              </w:rPr>
              <w:fldChar w:fldCharType="separate"/>
            </w:r>
            <w:r w:rsidRPr="005517C4">
              <w:rPr>
                <w:rFonts w:ascii="Times New Roman" w:hAnsi="Times New Roman" w:cs="Times New Roman"/>
                <w:noProof/>
                <w:sz w:val="18"/>
                <w:szCs w:val="18"/>
                <w:lang w:val="en-US"/>
              </w:rPr>
              <w:t>Chortareas and Kapetanios (2009)</w:t>
            </w:r>
            <w:r w:rsidR="006578EE" w:rsidRPr="005517C4">
              <w:rPr>
                <w:rFonts w:ascii="Times New Roman" w:hAnsi="Times New Roman" w:cs="Times New Roman"/>
                <w:noProof/>
                <w:sz w:val="18"/>
                <w:szCs w:val="18"/>
                <w:lang w:val="en-US"/>
              </w:rPr>
              <w:fldChar w:fldCharType="end"/>
            </w:r>
          </w:p>
        </w:tc>
        <w:tc>
          <w:tcPr>
            <w:tcW w:w="959" w:type="dxa"/>
            <w:vAlign w:val="center"/>
          </w:tcPr>
          <w:p w:rsidR="00217809" w:rsidRPr="005517C4" w:rsidRDefault="00217809" w:rsidP="00217809">
            <w:pPr>
              <w:rPr>
                <w:rFonts w:ascii="Times New Roman" w:hAnsi="Times New Roman" w:cs="Times New Roman"/>
                <w:noProof/>
                <w:sz w:val="18"/>
                <w:szCs w:val="18"/>
                <w:lang w:val="en-US"/>
              </w:rPr>
            </w:pPr>
            <w:r w:rsidRPr="005517C4">
              <w:rPr>
                <w:rFonts w:ascii="Times New Roman" w:hAnsi="Times New Roman" w:cs="Times New Roman"/>
                <w:noProof/>
                <w:sz w:val="18"/>
                <w:szCs w:val="18"/>
                <w:lang w:val="en-US"/>
              </w:rPr>
              <w:t>CO</w:t>
            </w:r>
            <w:r w:rsidRPr="005517C4">
              <w:rPr>
                <w:rFonts w:ascii="Times New Roman" w:hAnsi="Times New Roman" w:cs="Times New Roman"/>
                <w:noProof/>
                <w:sz w:val="18"/>
                <w:szCs w:val="18"/>
                <w:vertAlign w:val="subscript"/>
                <w:lang w:val="en-US"/>
              </w:rPr>
              <w:t>2</w:t>
            </w:r>
          </w:p>
        </w:tc>
        <w:tc>
          <w:tcPr>
            <w:tcW w:w="2868" w:type="dxa"/>
            <w:vAlign w:val="center"/>
          </w:tcPr>
          <w:p w:rsidR="00217809" w:rsidRPr="005517C4" w:rsidRDefault="00217809" w:rsidP="00217809">
            <w:pPr>
              <w:rPr>
                <w:rFonts w:ascii="Times New Roman" w:hAnsi="Times New Roman" w:cs="Times New Roman"/>
                <w:noProof/>
                <w:sz w:val="18"/>
                <w:szCs w:val="18"/>
                <w:lang w:val="en-US"/>
              </w:rPr>
            </w:pPr>
            <w:r w:rsidRPr="005517C4">
              <w:rPr>
                <w:rFonts w:ascii="Times New Roman" w:hAnsi="Times New Roman" w:cs="Times New Roman"/>
                <w:noProof/>
                <w:sz w:val="18"/>
                <w:szCs w:val="18"/>
                <w:lang w:val="en-US"/>
              </w:rPr>
              <w:t>Convergence for 12 states</w:t>
            </w:r>
          </w:p>
          <w:p w:rsidR="00217809" w:rsidRPr="005517C4" w:rsidRDefault="00217809" w:rsidP="00217809">
            <w:pPr>
              <w:rPr>
                <w:rFonts w:ascii="Times New Roman" w:hAnsi="Times New Roman" w:cs="Times New Roman"/>
                <w:noProof/>
                <w:sz w:val="18"/>
                <w:szCs w:val="18"/>
                <w:lang w:val="en-US"/>
              </w:rPr>
            </w:pPr>
            <w:r w:rsidRPr="005517C4">
              <w:rPr>
                <w:rFonts w:ascii="Times New Roman" w:hAnsi="Times New Roman" w:cs="Times New Roman"/>
                <w:noProof/>
                <w:sz w:val="18"/>
                <w:szCs w:val="18"/>
                <w:lang w:val="en-US"/>
              </w:rPr>
              <w:t>Divergence for 38 states</w:t>
            </w:r>
          </w:p>
        </w:tc>
      </w:tr>
      <w:tr w:rsidR="00217809" w:rsidRPr="005517C4" w:rsidTr="006C6A16">
        <w:trPr>
          <w:trHeight w:val="385"/>
        </w:trPr>
        <w:tc>
          <w:tcPr>
            <w:tcW w:w="1667" w:type="dxa"/>
            <w:vAlign w:val="center"/>
          </w:tcPr>
          <w:p w:rsidR="00217809" w:rsidRPr="005517C4" w:rsidRDefault="006578EE" w:rsidP="00217809">
            <w:pPr>
              <w:rPr>
                <w:rFonts w:ascii="Times New Roman" w:hAnsi="Times New Roman" w:cs="Times New Roman"/>
                <w:noProof/>
                <w:sz w:val="18"/>
                <w:szCs w:val="18"/>
                <w:lang w:val="en-US"/>
              </w:rPr>
            </w:pPr>
            <w:r w:rsidRPr="005517C4">
              <w:rPr>
                <w:rFonts w:ascii="Times New Roman" w:hAnsi="Times New Roman" w:cs="Times New Roman"/>
                <w:noProof/>
                <w:sz w:val="18"/>
                <w:szCs w:val="18"/>
                <w:lang w:val="en-US"/>
              </w:rPr>
              <w:fldChar w:fldCharType="begin" w:fldLock="1"/>
            </w:r>
            <w:r w:rsidR="00216FA4">
              <w:rPr>
                <w:rFonts w:ascii="Times New Roman" w:hAnsi="Times New Roman" w:cs="Times New Roman"/>
                <w:noProof/>
                <w:sz w:val="18"/>
                <w:szCs w:val="18"/>
                <w:lang w:val="en-US"/>
              </w:rPr>
              <w:instrText>ADDIN CSL_CITATION { "citationItems" : [ { "id" : "ITEM-1", "itemData" : { "DOI" : "10.1016/j.econmod.2014.07.040", "ISSN" : "02649993", "author" : [ { "dropping-particle" : "", "family" : "Wang", "given" : "Yiming", "non-dropping-particle" : "", "parse-names" : false, "suffix" : "" }, { "dropping-particle" : "", "family" : "Zhang", "given" : "Pei", "non-dropping-particle" : "", "parse-names" : false, "suffix" : "" }, { "dropping-particle" : "", "family" : "Huang", "given" : "Dake", "non-dropping-particle" : "", "parse-names" : false, "suffix" : "" }, { "dropping-particle" : "", "family" : "Cai", "given" : "Changda", "non-dropping-particle" : "", "parse-names" : false, "suffix" : "" } ], "container-title" : "Economic Modelling", "id" : "ITEM-1", "issued" : { "date-parts" : [ [ "2014", "12" ] ] }, "page" : "75-80", "title" : "Convergence behavior of carbon dioxide emissions in China", "type" : "article-journal", "volume" : "43" }, "uris" : [ "http://www.mendeley.com/documents/?uuid=6daa02e3-1ff8-36ab-8c4f-59aa8acf0054" ] } ], "mendeley" : { "formattedCitation" : "(Wang et al. 2014)", "manualFormatting" : "Wang et al. (2014)", "plainTextFormattedCitation" : "(Wang et al. 2014)", "previouslyFormattedCitation" : "(Wang et al. 2014)" }, "properties" : { "noteIndex" : 0 }, "schema" : "https://github.com/citation-style-language/schema/raw/master/csl-citation.json" }</w:instrText>
            </w:r>
            <w:r w:rsidRPr="005517C4">
              <w:rPr>
                <w:rFonts w:ascii="Times New Roman" w:hAnsi="Times New Roman" w:cs="Times New Roman"/>
                <w:noProof/>
                <w:sz w:val="18"/>
                <w:szCs w:val="18"/>
                <w:lang w:val="en-US"/>
              </w:rPr>
              <w:fldChar w:fldCharType="separate"/>
            </w:r>
            <w:r w:rsidR="00217809" w:rsidRPr="005517C4">
              <w:rPr>
                <w:rFonts w:ascii="Times New Roman" w:hAnsi="Times New Roman" w:cs="Times New Roman"/>
                <w:noProof/>
                <w:sz w:val="18"/>
                <w:szCs w:val="18"/>
                <w:lang w:val="en-US"/>
              </w:rPr>
              <w:t>Wang et al. (2014)</w:t>
            </w:r>
            <w:r w:rsidRPr="005517C4">
              <w:rPr>
                <w:rFonts w:ascii="Times New Roman" w:hAnsi="Times New Roman" w:cs="Times New Roman"/>
                <w:noProof/>
                <w:sz w:val="18"/>
                <w:szCs w:val="18"/>
                <w:lang w:val="en-US"/>
              </w:rPr>
              <w:fldChar w:fldCharType="end"/>
            </w:r>
          </w:p>
        </w:tc>
        <w:tc>
          <w:tcPr>
            <w:tcW w:w="805" w:type="dxa"/>
            <w:vAlign w:val="center"/>
          </w:tcPr>
          <w:p w:rsidR="00217809" w:rsidRPr="005517C4" w:rsidRDefault="00217809" w:rsidP="00217809">
            <w:pPr>
              <w:rPr>
                <w:rFonts w:ascii="Times New Roman" w:hAnsi="Times New Roman" w:cs="Times New Roman"/>
                <w:noProof/>
                <w:sz w:val="18"/>
                <w:szCs w:val="18"/>
                <w:lang w:val="en-US"/>
              </w:rPr>
            </w:pPr>
            <w:r w:rsidRPr="005517C4">
              <w:rPr>
                <w:rFonts w:ascii="Times New Roman" w:hAnsi="Times New Roman" w:cs="Times New Roman"/>
                <w:noProof/>
                <w:sz w:val="18"/>
                <w:szCs w:val="18"/>
                <w:lang w:val="en-US"/>
              </w:rPr>
              <w:t>1995-2011</w:t>
            </w:r>
          </w:p>
        </w:tc>
        <w:tc>
          <w:tcPr>
            <w:tcW w:w="1308" w:type="dxa"/>
            <w:vAlign w:val="center"/>
          </w:tcPr>
          <w:p w:rsidR="00217809" w:rsidRPr="005517C4" w:rsidRDefault="00217809" w:rsidP="00217809">
            <w:pPr>
              <w:rPr>
                <w:rFonts w:ascii="Times New Roman" w:hAnsi="Times New Roman" w:cs="Times New Roman"/>
                <w:noProof/>
                <w:sz w:val="18"/>
                <w:szCs w:val="18"/>
                <w:lang w:val="en-US"/>
              </w:rPr>
            </w:pPr>
            <w:r w:rsidRPr="005517C4">
              <w:rPr>
                <w:rFonts w:ascii="Times New Roman" w:hAnsi="Times New Roman" w:cs="Times New Roman"/>
                <w:noProof/>
                <w:sz w:val="18"/>
                <w:szCs w:val="18"/>
                <w:lang w:val="en-US"/>
              </w:rPr>
              <w:t>Provinces of China</w:t>
            </w:r>
          </w:p>
        </w:tc>
        <w:tc>
          <w:tcPr>
            <w:tcW w:w="2835" w:type="dxa"/>
            <w:vAlign w:val="center"/>
          </w:tcPr>
          <w:p w:rsidR="00217809" w:rsidRPr="005517C4" w:rsidRDefault="006578EE" w:rsidP="00217809">
            <w:pPr>
              <w:rPr>
                <w:rFonts w:ascii="Times New Roman" w:hAnsi="Times New Roman" w:cs="Times New Roman"/>
                <w:noProof/>
                <w:sz w:val="18"/>
                <w:szCs w:val="18"/>
                <w:lang w:val="en-US"/>
              </w:rPr>
            </w:pPr>
            <w:r w:rsidRPr="005517C4">
              <w:rPr>
                <w:rFonts w:ascii="Times New Roman" w:hAnsi="Times New Roman" w:cs="Times New Roman"/>
                <w:noProof/>
                <w:sz w:val="18"/>
                <w:szCs w:val="18"/>
                <w:lang w:val="en-US"/>
              </w:rPr>
              <w:fldChar w:fldCharType="begin" w:fldLock="1"/>
            </w:r>
            <w:r w:rsidR="00217809" w:rsidRPr="005517C4">
              <w:rPr>
                <w:rFonts w:ascii="Times New Roman" w:hAnsi="Times New Roman" w:cs="Times New Roman"/>
                <w:noProof/>
                <w:sz w:val="18"/>
                <w:szCs w:val="18"/>
                <w:lang w:val="en-US"/>
              </w:rPr>
              <w:instrText>ADDIN CSL_CITATION { "citationItems" : [ { "id" : "ITEM-1", "itemData" : { "DOI" : "10.1111/j.1468-0262.2007.00811.x", "ISSN" : "0012-9682", "author" : [ { "dropping-particle" : "", "family" : "Phillips", "given" : "Peter C. B.", "non-dropping-particle" : "", "parse-names" : false, "suffix" : "" }, { "dropping-particle" : "", "family" : "Sul", "given" : "Donggyu", "non-dropping-particle" : "", "parse-names" : false, "suffix" : "" } ], "container-title" : "Econometrica", "id" : "ITEM-1", "issue" : "6", "issued" : { "date-parts" : [ [ "2007", "11" ] ] }, "page" : "1771-1855", "publisher" : "Blackwell Publishing Ltd", "title" : "Transition Modeling and Econometric Convergence Tests", "type" : "article-journal", "volume" : "75" }, "uris" : [ "http://www.mendeley.com/documents/?uuid=fdd5387e-1c8d-3c46-b2e6-e4653867fe7f" ] } ], "mendeley" : { "formattedCitation" : "(Phillips and Sul 2007a)", "manualFormatting" : "Phillips and Sul (2007)", "plainTextFormattedCitation" : "(Phillips and Sul 2007a)", "previouslyFormattedCitation" : "(Phillips and Sul 2007a)" }, "properties" : { "noteIndex" : 0 }, "schema" : "https://github.com/citation-style-language/schema/raw/master/csl-citation.json" }</w:instrText>
            </w:r>
            <w:r w:rsidRPr="005517C4">
              <w:rPr>
                <w:rFonts w:ascii="Times New Roman" w:hAnsi="Times New Roman" w:cs="Times New Roman"/>
                <w:noProof/>
                <w:sz w:val="18"/>
                <w:szCs w:val="18"/>
                <w:lang w:val="en-US"/>
              </w:rPr>
              <w:fldChar w:fldCharType="separate"/>
            </w:r>
            <w:r w:rsidR="00217809" w:rsidRPr="005517C4">
              <w:rPr>
                <w:rFonts w:ascii="Times New Roman" w:hAnsi="Times New Roman" w:cs="Times New Roman"/>
                <w:noProof/>
                <w:sz w:val="18"/>
                <w:szCs w:val="18"/>
                <w:lang w:val="en-US"/>
              </w:rPr>
              <w:t>Phillips and Sul (2007)</w:t>
            </w:r>
            <w:r w:rsidRPr="005517C4">
              <w:rPr>
                <w:rFonts w:ascii="Times New Roman" w:hAnsi="Times New Roman" w:cs="Times New Roman"/>
                <w:noProof/>
                <w:sz w:val="18"/>
                <w:szCs w:val="18"/>
                <w:lang w:val="en-US"/>
              </w:rPr>
              <w:fldChar w:fldCharType="end"/>
            </w:r>
            <w:r w:rsidR="00217809" w:rsidRPr="005517C4">
              <w:rPr>
                <w:rFonts w:ascii="Times New Roman" w:hAnsi="Times New Roman" w:cs="Times New Roman"/>
                <w:noProof/>
                <w:sz w:val="18"/>
                <w:szCs w:val="18"/>
                <w:lang w:val="en-US"/>
              </w:rPr>
              <w:t xml:space="preserve"> Panel club convergence test</w:t>
            </w:r>
          </w:p>
        </w:tc>
        <w:tc>
          <w:tcPr>
            <w:tcW w:w="959" w:type="dxa"/>
            <w:vAlign w:val="center"/>
          </w:tcPr>
          <w:p w:rsidR="00217809" w:rsidRPr="005517C4" w:rsidRDefault="00217809" w:rsidP="00217809">
            <w:pPr>
              <w:rPr>
                <w:rFonts w:ascii="Times New Roman" w:hAnsi="Times New Roman" w:cs="Times New Roman"/>
                <w:noProof/>
                <w:sz w:val="18"/>
                <w:szCs w:val="18"/>
                <w:lang w:val="en-US"/>
              </w:rPr>
            </w:pPr>
            <w:r w:rsidRPr="005517C4">
              <w:rPr>
                <w:rFonts w:ascii="Times New Roman" w:hAnsi="Times New Roman" w:cs="Times New Roman"/>
                <w:noProof/>
                <w:sz w:val="18"/>
                <w:szCs w:val="18"/>
                <w:lang w:val="en-US"/>
              </w:rPr>
              <w:t>CO</w:t>
            </w:r>
            <w:r w:rsidRPr="005517C4">
              <w:rPr>
                <w:rFonts w:ascii="Times New Roman" w:hAnsi="Times New Roman" w:cs="Times New Roman"/>
                <w:noProof/>
                <w:sz w:val="18"/>
                <w:szCs w:val="18"/>
                <w:vertAlign w:val="subscript"/>
                <w:lang w:val="en-US"/>
              </w:rPr>
              <w:t>2</w:t>
            </w:r>
          </w:p>
        </w:tc>
        <w:tc>
          <w:tcPr>
            <w:tcW w:w="2868" w:type="dxa"/>
            <w:vAlign w:val="center"/>
          </w:tcPr>
          <w:p w:rsidR="00217809" w:rsidRPr="005517C4" w:rsidRDefault="00217809" w:rsidP="00217809">
            <w:pPr>
              <w:rPr>
                <w:rFonts w:ascii="Times New Roman" w:hAnsi="Times New Roman" w:cs="Times New Roman"/>
                <w:noProof/>
                <w:sz w:val="18"/>
                <w:szCs w:val="18"/>
                <w:lang w:val="en-US"/>
              </w:rPr>
            </w:pPr>
            <w:r w:rsidRPr="005517C4">
              <w:rPr>
                <w:rFonts w:ascii="Times New Roman" w:hAnsi="Times New Roman" w:cs="Times New Roman"/>
                <w:noProof/>
                <w:sz w:val="18"/>
                <w:szCs w:val="18"/>
                <w:lang w:val="en-US"/>
              </w:rPr>
              <w:t>Convergence for Clubs</w:t>
            </w:r>
          </w:p>
          <w:p w:rsidR="00217809" w:rsidRPr="005517C4" w:rsidRDefault="00217809" w:rsidP="00217809">
            <w:pPr>
              <w:rPr>
                <w:rFonts w:ascii="Times New Roman" w:hAnsi="Times New Roman" w:cs="Times New Roman"/>
                <w:noProof/>
                <w:sz w:val="18"/>
                <w:szCs w:val="18"/>
                <w:lang w:val="en-US"/>
              </w:rPr>
            </w:pPr>
            <w:r w:rsidRPr="005517C4">
              <w:rPr>
                <w:rFonts w:ascii="Times New Roman" w:hAnsi="Times New Roman" w:cs="Times New Roman"/>
                <w:noProof/>
                <w:sz w:val="18"/>
                <w:szCs w:val="18"/>
                <w:lang w:val="en-US"/>
              </w:rPr>
              <w:t>Divergence for whole sample</w:t>
            </w:r>
          </w:p>
        </w:tc>
      </w:tr>
      <w:tr w:rsidR="00217809" w:rsidRPr="005517C4" w:rsidTr="006C6A16">
        <w:trPr>
          <w:trHeight w:val="385"/>
        </w:trPr>
        <w:tc>
          <w:tcPr>
            <w:tcW w:w="1667" w:type="dxa"/>
            <w:vAlign w:val="center"/>
          </w:tcPr>
          <w:p w:rsidR="00217809" w:rsidRPr="005517C4" w:rsidRDefault="006578EE" w:rsidP="00217809">
            <w:pPr>
              <w:rPr>
                <w:rFonts w:ascii="Times New Roman" w:hAnsi="Times New Roman" w:cs="Times New Roman"/>
                <w:noProof/>
                <w:sz w:val="18"/>
                <w:szCs w:val="18"/>
                <w:lang w:val="en-US"/>
              </w:rPr>
            </w:pPr>
            <w:r w:rsidRPr="005517C4">
              <w:rPr>
                <w:rFonts w:ascii="Times New Roman" w:hAnsi="Times New Roman" w:cs="Times New Roman"/>
                <w:noProof/>
                <w:sz w:val="18"/>
                <w:szCs w:val="18"/>
                <w:lang w:val="en-US"/>
              </w:rPr>
              <w:fldChar w:fldCharType="begin" w:fldLock="1"/>
            </w:r>
            <w:r w:rsidR="00217809" w:rsidRPr="005517C4">
              <w:rPr>
                <w:rFonts w:ascii="Times New Roman" w:hAnsi="Times New Roman" w:cs="Times New Roman"/>
                <w:noProof/>
                <w:sz w:val="18"/>
                <w:szCs w:val="18"/>
                <w:lang w:val="en-US"/>
              </w:rPr>
              <w:instrText>ADDIN CSL_CITATION { "citationItems" : [ { "id" : "ITEM-1", "itemData" : { "DOI" : "10.1016/j.eneco.2015.10.001", "ISSN" : "01409883", "abstract" : "This paper studies stochastic convergence of per capita CO2 emissions in 28 OECD countries for the 1901\u20132009 period. The analysis is carried out at two aggregation levels: first for the whole set of countries (joint analysis) and then separately for developed and developing states (group analysis). A powerful time series methodology - adapted to a nonlinear framework that allows for quadratic trends with possibly smooth transition between regimes - is applied. This approach provides more robust conclusions in convergence path analysis, enabling (a) robust detection of the presence, and if so, the number of changes in the level and/or slope of the trend of the series; (b) inferences on stationarity of relative per capita CO2 emissions, conditionally on the presence of breaks and smooth transitions between regimes; and (c) estimation of change locations in the convergence paths. Finally, as stochastic convergence is attained when both stationarity around a trend and \u03b2-convergence simultaneously hold, the linear approach proposed by Tomljanovich and Vogelsang (2002) is extended in order to allow for more general, quadratic models. Overall, joint analysis finds some evidence of stochastic convergence in per capita CO2 emissions. Some dispersion in terms of \u03b2-convergence is detected by the group analysis, particularly among developed countries. This is in accordance with per capita GDP not being the sole determinant of convergence in emissions, with factors like search for more efficient technologies, fossil fuel substitution, innovation, and possibly industry outsourcing, also having a crucial role.", "author" : [ { "dropping-particle" : "", "family" : "Presno", "given" : "Mar\u00eda Jos\u00e9", "non-dropping-particle" : "", "parse-names" : false, "suffix" : "" }, { "dropping-particle" : "", "family" : "Landajo", "given" : "Manuel", "non-dropping-particle" : "", "parse-names" : false, "suffix" : "" }, { "dropping-particle" : "", "family" : "Fern\u00e1ndez Gonz\u00e1lez", "given" : "Paula", "non-dropping-particle" : "", "parse-names" : false, "suffix" : "" } ], "container-title" : "Energy Economics", "id" : "ITEM-1", "issued" : { "date-parts" : [ [ "2015" ] ] }, "title" : "Stochastic convergence in per capita CO2 emissions. An approach from nonlinear stationarity analysis", "type" : "article-journal" }, "uris" : [ "http://www.mendeley.com/documents/?uuid=54c6a179-dce6-3421-8bce-6b6c006157c1" ] } ], "mendeley" : { "formattedCitation" : "(Presno, Landajo, and Fern\u00e1ndez Gonz\u00e1lez 2015)", "manualFormatting" : "Presno et al. 2015)", "plainTextFormattedCitation" : "(Presno, Landajo, and Fern\u00e1ndez Gonz\u00e1lez 2015)", "previouslyFormattedCitation" : "(Presno, Landajo, and Fern\u00e1ndez Gonz\u00e1lez 2015)" }, "properties" : { "noteIndex" : 0 }, "schema" : "https://github.com/citation-style-language/schema/raw/master/csl-citation.json" }</w:instrText>
            </w:r>
            <w:r w:rsidRPr="005517C4">
              <w:rPr>
                <w:rFonts w:ascii="Times New Roman" w:hAnsi="Times New Roman" w:cs="Times New Roman"/>
                <w:noProof/>
                <w:sz w:val="18"/>
                <w:szCs w:val="18"/>
                <w:lang w:val="en-US"/>
              </w:rPr>
              <w:fldChar w:fldCharType="separate"/>
            </w:r>
            <w:r w:rsidR="00217809" w:rsidRPr="005517C4">
              <w:rPr>
                <w:rFonts w:ascii="Times New Roman" w:hAnsi="Times New Roman" w:cs="Times New Roman"/>
                <w:noProof/>
                <w:sz w:val="18"/>
                <w:szCs w:val="18"/>
                <w:lang w:val="en-US"/>
              </w:rPr>
              <w:t>Presno et al. 2015)</w:t>
            </w:r>
            <w:r w:rsidRPr="005517C4">
              <w:rPr>
                <w:rFonts w:ascii="Times New Roman" w:hAnsi="Times New Roman" w:cs="Times New Roman"/>
                <w:noProof/>
                <w:sz w:val="18"/>
                <w:szCs w:val="18"/>
                <w:lang w:val="en-US"/>
              </w:rPr>
              <w:fldChar w:fldCharType="end"/>
            </w:r>
          </w:p>
        </w:tc>
        <w:tc>
          <w:tcPr>
            <w:tcW w:w="805" w:type="dxa"/>
            <w:vAlign w:val="center"/>
          </w:tcPr>
          <w:p w:rsidR="00217809" w:rsidRPr="005517C4" w:rsidRDefault="00217809" w:rsidP="00217809">
            <w:pPr>
              <w:rPr>
                <w:rFonts w:ascii="Times New Roman" w:hAnsi="Times New Roman" w:cs="Times New Roman"/>
                <w:noProof/>
                <w:sz w:val="18"/>
                <w:szCs w:val="18"/>
                <w:lang w:val="en-US"/>
              </w:rPr>
            </w:pPr>
            <w:r w:rsidRPr="005517C4">
              <w:rPr>
                <w:rFonts w:ascii="Times New Roman" w:hAnsi="Times New Roman" w:cs="Times New Roman"/>
                <w:noProof/>
                <w:sz w:val="18"/>
                <w:szCs w:val="18"/>
                <w:lang w:val="en-US"/>
              </w:rPr>
              <w:t>1901-2009</w:t>
            </w:r>
          </w:p>
        </w:tc>
        <w:tc>
          <w:tcPr>
            <w:tcW w:w="1308" w:type="dxa"/>
            <w:vAlign w:val="center"/>
          </w:tcPr>
          <w:p w:rsidR="00217809" w:rsidRPr="005517C4" w:rsidRDefault="00217809" w:rsidP="00217809">
            <w:pPr>
              <w:rPr>
                <w:rFonts w:ascii="Times New Roman" w:hAnsi="Times New Roman" w:cs="Times New Roman"/>
                <w:noProof/>
                <w:sz w:val="18"/>
                <w:szCs w:val="18"/>
                <w:lang w:val="en-US"/>
              </w:rPr>
            </w:pPr>
            <w:r w:rsidRPr="005517C4">
              <w:rPr>
                <w:rFonts w:ascii="Times New Roman" w:hAnsi="Times New Roman" w:cs="Times New Roman"/>
                <w:noProof/>
                <w:sz w:val="18"/>
                <w:szCs w:val="18"/>
                <w:lang w:val="en-US"/>
              </w:rPr>
              <w:t>28 OECD countries</w:t>
            </w:r>
          </w:p>
        </w:tc>
        <w:tc>
          <w:tcPr>
            <w:tcW w:w="2835" w:type="dxa"/>
            <w:vAlign w:val="center"/>
          </w:tcPr>
          <w:p w:rsidR="00217809" w:rsidRPr="005517C4" w:rsidRDefault="00217809" w:rsidP="00217809">
            <w:pPr>
              <w:rPr>
                <w:rFonts w:ascii="Times New Roman" w:hAnsi="Times New Roman" w:cs="Times New Roman"/>
                <w:noProof/>
                <w:sz w:val="18"/>
                <w:szCs w:val="18"/>
                <w:lang w:val="en-US"/>
              </w:rPr>
            </w:pPr>
            <w:r w:rsidRPr="005517C4">
              <w:rPr>
                <w:rFonts w:ascii="Times New Roman" w:hAnsi="Times New Roman" w:cs="Times New Roman"/>
                <w:noProof/>
                <w:sz w:val="18"/>
                <w:szCs w:val="18"/>
                <w:lang w:val="en-US"/>
              </w:rPr>
              <w:t xml:space="preserve">Non-linear stationarity test proposed by </w:t>
            </w:r>
            <w:r w:rsidR="006578EE" w:rsidRPr="005517C4">
              <w:rPr>
                <w:rFonts w:ascii="Times New Roman" w:hAnsi="Times New Roman" w:cs="Times New Roman"/>
                <w:noProof/>
                <w:sz w:val="18"/>
                <w:szCs w:val="18"/>
                <w:lang w:val="en-US"/>
              </w:rPr>
              <w:fldChar w:fldCharType="begin" w:fldLock="1"/>
            </w:r>
            <w:r w:rsidR="00216FA4">
              <w:rPr>
                <w:rFonts w:ascii="Times New Roman" w:hAnsi="Times New Roman" w:cs="Times New Roman"/>
                <w:noProof/>
                <w:sz w:val="18"/>
                <w:szCs w:val="18"/>
                <w:lang w:val="en-US"/>
              </w:rPr>
              <w:instrText>ADDIN CSL_CITATION { "citationItems" : [ { "id" : "ITEM-1", "itemData" : { "DOI" : "10.1016/j.reseneeco.2014.01.003", "ISSN" : "09287655", "author" : [ { "dropping-particle" : "", "family" : "Presno", "given" : "Mar\u00eda Jos\u00e9", "non-dropping-particle" : "", "parse-names" : false, "suffix" : "" }, { "dropping-particle" : "", "family" : "Landajo", "given" : "Manuel", "non-dropping-particle" : "", "parse-names" : false, "suffix" : "" }, { "dropping-particle" : "", "family" : "Fern\u00e1ndez", "given" : "Paula", "non-dropping-particle" : "", "parse-names" : false, "suffix" : "" } ], "container-title" : "Resource and Energy Economics", "id" : "ITEM-1", "issue" : "2", "issued" : { "date-parts" : [ [ "2014", "5" ] ] }, "page" : "394-416", "title" : "Non-renewable resource prices: A robust evaluation from the stationarity perspective", "type" : "article-journal", "volume" : "36" }, "uris" : [ "http://www.mendeley.com/documents/?uuid=75070e98-3631-3d41-95c3-1ed6d9ceaf9f" ] } ], "mendeley" : { "formattedCitation" : "(Presno, Landajo, and Fern\u00e1ndez 2014)", "manualFormatting" : "(Presno et al. (2014)", "plainTextFormattedCitation" : "(Presno, Landajo, and Fern\u00e1ndez 2014)", "previouslyFormattedCitation" : "(Presno, Landajo, and Fern\u00e1ndez 2014)" }, "properties" : { "noteIndex" : 0 }, "schema" : "https://github.com/citation-style-language/schema/raw/master/csl-citation.json" }</w:instrText>
            </w:r>
            <w:r w:rsidR="006578EE" w:rsidRPr="005517C4">
              <w:rPr>
                <w:rFonts w:ascii="Times New Roman" w:hAnsi="Times New Roman" w:cs="Times New Roman"/>
                <w:noProof/>
                <w:sz w:val="18"/>
                <w:szCs w:val="18"/>
                <w:lang w:val="en-US"/>
              </w:rPr>
              <w:fldChar w:fldCharType="separate"/>
            </w:r>
            <w:r w:rsidRPr="005517C4">
              <w:rPr>
                <w:rFonts w:ascii="Times New Roman" w:hAnsi="Times New Roman" w:cs="Times New Roman"/>
                <w:noProof/>
                <w:sz w:val="18"/>
                <w:szCs w:val="18"/>
                <w:lang w:val="en-US"/>
              </w:rPr>
              <w:t>(Presno et al. (2014)</w:t>
            </w:r>
            <w:r w:rsidR="006578EE" w:rsidRPr="005517C4">
              <w:rPr>
                <w:rFonts w:ascii="Times New Roman" w:hAnsi="Times New Roman" w:cs="Times New Roman"/>
                <w:noProof/>
                <w:sz w:val="18"/>
                <w:szCs w:val="18"/>
                <w:lang w:val="en-US"/>
              </w:rPr>
              <w:fldChar w:fldCharType="end"/>
            </w:r>
          </w:p>
        </w:tc>
        <w:tc>
          <w:tcPr>
            <w:tcW w:w="959" w:type="dxa"/>
            <w:vAlign w:val="center"/>
          </w:tcPr>
          <w:p w:rsidR="00217809" w:rsidRPr="005517C4" w:rsidRDefault="00217809" w:rsidP="00217809">
            <w:pPr>
              <w:rPr>
                <w:rFonts w:ascii="Times New Roman" w:hAnsi="Times New Roman" w:cs="Times New Roman"/>
                <w:noProof/>
                <w:sz w:val="18"/>
                <w:szCs w:val="18"/>
                <w:lang w:val="en-US"/>
              </w:rPr>
            </w:pPr>
            <w:r w:rsidRPr="005517C4">
              <w:rPr>
                <w:rFonts w:ascii="Times New Roman" w:hAnsi="Times New Roman" w:cs="Times New Roman"/>
                <w:noProof/>
                <w:sz w:val="18"/>
                <w:szCs w:val="18"/>
                <w:lang w:val="en-US"/>
              </w:rPr>
              <w:t>CO</w:t>
            </w:r>
            <w:r w:rsidRPr="005517C4">
              <w:rPr>
                <w:rFonts w:ascii="Times New Roman" w:hAnsi="Times New Roman" w:cs="Times New Roman"/>
                <w:noProof/>
                <w:sz w:val="18"/>
                <w:szCs w:val="18"/>
                <w:vertAlign w:val="subscript"/>
                <w:lang w:val="en-US"/>
              </w:rPr>
              <w:t>2</w:t>
            </w:r>
          </w:p>
        </w:tc>
        <w:tc>
          <w:tcPr>
            <w:tcW w:w="2868" w:type="dxa"/>
            <w:vAlign w:val="center"/>
          </w:tcPr>
          <w:p w:rsidR="00217809" w:rsidRPr="005517C4" w:rsidRDefault="00217809" w:rsidP="00217809">
            <w:pPr>
              <w:rPr>
                <w:rFonts w:ascii="Times New Roman" w:hAnsi="Times New Roman" w:cs="Times New Roman"/>
                <w:noProof/>
                <w:sz w:val="18"/>
                <w:szCs w:val="18"/>
                <w:lang w:val="en-US"/>
              </w:rPr>
            </w:pPr>
            <w:r w:rsidRPr="005517C4">
              <w:rPr>
                <w:rFonts w:ascii="Times New Roman" w:hAnsi="Times New Roman" w:cs="Times New Roman"/>
                <w:noProof/>
                <w:sz w:val="18"/>
                <w:szCs w:val="18"/>
                <w:lang w:val="en-US"/>
              </w:rPr>
              <w:t>Stochastic and  β-convergence in linear form, stochastic convergense in non-linear form</w:t>
            </w:r>
          </w:p>
        </w:tc>
      </w:tr>
      <w:tr w:rsidR="00217809" w:rsidRPr="005517C4" w:rsidTr="006C6A16">
        <w:trPr>
          <w:trHeight w:val="385"/>
        </w:trPr>
        <w:tc>
          <w:tcPr>
            <w:tcW w:w="1667" w:type="dxa"/>
            <w:vAlign w:val="center"/>
          </w:tcPr>
          <w:p w:rsidR="00217809" w:rsidRPr="005517C4" w:rsidRDefault="006578EE" w:rsidP="00217809">
            <w:pPr>
              <w:rPr>
                <w:rFonts w:ascii="Times New Roman" w:hAnsi="Times New Roman" w:cs="Times New Roman"/>
                <w:noProof/>
                <w:sz w:val="18"/>
                <w:szCs w:val="18"/>
                <w:lang w:val="en-US"/>
              </w:rPr>
            </w:pPr>
            <w:r w:rsidRPr="005517C4">
              <w:rPr>
                <w:rFonts w:ascii="Times New Roman" w:hAnsi="Times New Roman" w:cs="Times New Roman"/>
                <w:noProof/>
                <w:sz w:val="18"/>
                <w:szCs w:val="18"/>
                <w:lang w:val="en-US"/>
              </w:rPr>
              <w:fldChar w:fldCharType="begin" w:fldLock="1"/>
            </w:r>
            <w:r w:rsidR="00216FA4">
              <w:rPr>
                <w:rFonts w:ascii="Times New Roman" w:hAnsi="Times New Roman" w:cs="Times New Roman"/>
                <w:noProof/>
                <w:sz w:val="18"/>
                <w:szCs w:val="18"/>
                <w:lang w:val="en-US"/>
              </w:rPr>
              <w:instrText>ADDIN CSL_CITATION { "citationItems" : [ { "id" : "ITEM-1", "itemData" : { "DOI" : "10.1016/j.reseneeco.2016.09.001", "ISSN" : "09287655", "author" : [ { "dropping-particle" : "", "family" : "Burnett", "given" : "J. Wesley", "non-dropping-particle" : "", "parse-names" : false, "suffix" : "" } ], "container-title" : "Resource and Energy Economics", "id" : "ITEM-1", "issued" : { "date-parts" : [ [ "2016", "11" ] ] }, "page" : "62-84", "title" : "Club convergence and clustering of U.S. energy-related CO2 emissions", "type" : "article-journal", "volume" : "46" }, "uris" : [ "http://www.mendeley.com/documents/?uuid=1d9d9979-9c3e-3144-a2bd-483f662f90da" ] } ], "mendeley" : { "formattedCitation" : "(Burnett 2016)", "manualFormatting" : "Burnett (2016)", "plainTextFormattedCitation" : "(Burnett 2016)", "previouslyFormattedCitation" : "(Burnett 2016)" }, "properties" : { "noteIndex" : 0 }, "schema" : "https://github.com/citation-style-language/schema/raw/master/csl-citation.json" }</w:instrText>
            </w:r>
            <w:r w:rsidRPr="005517C4">
              <w:rPr>
                <w:rFonts w:ascii="Times New Roman" w:hAnsi="Times New Roman" w:cs="Times New Roman"/>
                <w:noProof/>
                <w:sz w:val="18"/>
                <w:szCs w:val="18"/>
                <w:lang w:val="en-US"/>
              </w:rPr>
              <w:fldChar w:fldCharType="separate"/>
            </w:r>
            <w:r w:rsidR="00217809" w:rsidRPr="005517C4">
              <w:rPr>
                <w:rFonts w:ascii="Times New Roman" w:hAnsi="Times New Roman" w:cs="Times New Roman"/>
                <w:noProof/>
                <w:sz w:val="18"/>
                <w:szCs w:val="18"/>
                <w:lang w:val="en-US"/>
              </w:rPr>
              <w:t>Burnett (2016)</w:t>
            </w:r>
            <w:r w:rsidRPr="005517C4">
              <w:rPr>
                <w:rFonts w:ascii="Times New Roman" w:hAnsi="Times New Roman" w:cs="Times New Roman"/>
                <w:noProof/>
                <w:sz w:val="18"/>
                <w:szCs w:val="18"/>
                <w:lang w:val="en-US"/>
              </w:rPr>
              <w:fldChar w:fldCharType="end"/>
            </w:r>
          </w:p>
        </w:tc>
        <w:tc>
          <w:tcPr>
            <w:tcW w:w="805" w:type="dxa"/>
            <w:vAlign w:val="center"/>
          </w:tcPr>
          <w:p w:rsidR="00217809" w:rsidRPr="005517C4" w:rsidRDefault="00217809" w:rsidP="00217809">
            <w:pPr>
              <w:rPr>
                <w:rFonts w:ascii="Times New Roman" w:hAnsi="Times New Roman" w:cs="Times New Roman"/>
                <w:noProof/>
                <w:sz w:val="18"/>
                <w:szCs w:val="18"/>
                <w:lang w:val="en-US"/>
              </w:rPr>
            </w:pPr>
            <w:r w:rsidRPr="005517C4">
              <w:rPr>
                <w:rFonts w:ascii="Times New Roman" w:hAnsi="Times New Roman" w:cs="Times New Roman"/>
                <w:noProof/>
                <w:sz w:val="18"/>
                <w:szCs w:val="18"/>
                <w:lang w:val="en-US"/>
              </w:rPr>
              <w:t>1960-2010</w:t>
            </w:r>
          </w:p>
        </w:tc>
        <w:tc>
          <w:tcPr>
            <w:tcW w:w="1308" w:type="dxa"/>
            <w:vAlign w:val="center"/>
          </w:tcPr>
          <w:p w:rsidR="00217809" w:rsidRPr="005517C4" w:rsidRDefault="00217809" w:rsidP="00217809">
            <w:pPr>
              <w:rPr>
                <w:rFonts w:ascii="Times New Roman" w:hAnsi="Times New Roman" w:cs="Times New Roman"/>
                <w:noProof/>
                <w:sz w:val="18"/>
                <w:szCs w:val="18"/>
                <w:lang w:val="en-US"/>
              </w:rPr>
            </w:pPr>
            <w:r w:rsidRPr="005517C4">
              <w:rPr>
                <w:rFonts w:ascii="Times New Roman" w:hAnsi="Times New Roman" w:cs="Times New Roman"/>
                <w:noProof/>
                <w:sz w:val="18"/>
                <w:szCs w:val="18"/>
                <w:lang w:val="en-US"/>
              </w:rPr>
              <w:t>U.S. States</w:t>
            </w:r>
          </w:p>
        </w:tc>
        <w:tc>
          <w:tcPr>
            <w:tcW w:w="2835" w:type="dxa"/>
            <w:vAlign w:val="center"/>
          </w:tcPr>
          <w:p w:rsidR="00217809" w:rsidRPr="005517C4" w:rsidRDefault="006578EE" w:rsidP="00217809">
            <w:pPr>
              <w:rPr>
                <w:rFonts w:ascii="Times New Roman" w:hAnsi="Times New Roman" w:cs="Times New Roman"/>
                <w:noProof/>
                <w:sz w:val="18"/>
                <w:szCs w:val="18"/>
                <w:lang w:val="en-US"/>
              </w:rPr>
            </w:pPr>
            <w:r w:rsidRPr="005517C4">
              <w:rPr>
                <w:rFonts w:ascii="Times New Roman" w:hAnsi="Times New Roman" w:cs="Times New Roman"/>
                <w:noProof/>
                <w:sz w:val="18"/>
                <w:szCs w:val="18"/>
                <w:lang w:val="en-US"/>
              </w:rPr>
              <w:fldChar w:fldCharType="begin" w:fldLock="1"/>
            </w:r>
            <w:r w:rsidR="00217809" w:rsidRPr="005517C4">
              <w:rPr>
                <w:rFonts w:ascii="Times New Roman" w:hAnsi="Times New Roman" w:cs="Times New Roman"/>
                <w:noProof/>
                <w:sz w:val="18"/>
                <w:szCs w:val="18"/>
                <w:lang w:val="en-US"/>
              </w:rPr>
              <w:instrText>ADDIN CSL_CITATION { "citationItems" : [ { "id" : "ITEM-1", "itemData" : { "DOI" : "10.1111/j.1468-0262.2007.00811.x", "ISSN" : "0012-9682", "author" : [ { "dropping-particle" : "", "family" : "Phillips", "given" : "Peter C. B.", "non-dropping-particle" : "", "parse-names" : false, "suffix" : "" }, { "dropping-particle" : "", "family" : "Sul", "given" : "Donggyu", "non-dropping-particle" : "", "parse-names" : false, "suffix" : "" } ], "container-title" : "Econometrica", "id" : "ITEM-1", "issue" : "6", "issued" : { "date-parts" : [ [ "2007", "11" ] ] }, "page" : "1771-1855", "publisher" : "Blackwell Publishing Ltd", "title" : "Transition Modeling and Econometric Convergence Tests", "type" : "article-journal", "volume" : "75" }, "uris" : [ "http://www.mendeley.com/documents/?uuid=fdd5387e-1c8d-3c46-b2e6-e4653867fe7f" ] } ], "mendeley" : { "formattedCitation" : "(Phillips and Sul 2007a)", "manualFormatting" : "Phillips and Sul (2007)", "plainTextFormattedCitation" : "(Phillips and Sul 2007a)", "previouslyFormattedCitation" : "(Phillips and Sul 2007a)" }, "properties" : { "noteIndex" : 0 }, "schema" : "https://github.com/citation-style-language/schema/raw/master/csl-citation.json" }</w:instrText>
            </w:r>
            <w:r w:rsidRPr="005517C4">
              <w:rPr>
                <w:rFonts w:ascii="Times New Roman" w:hAnsi="Times New Roman" w:cs="Times New Roman"/>
                <w:noProof/>
                <w:sz w:val="18"/>
                <w:szCs w:val="18"/>
                <w:lang w:val="en-US"/>
              </w:rPr>
              <w:fldChar w:fldCharType="separate"/>
            </w:r>
            <w:r w:rsidR="00217809" w:rsidRPr="005517C4">
              <w:rPr>
                <w:rFonts w:ascii="Times New Roman" w:hAnsi="Times New Roman" w:cs="Times New Roman"/>
                <w:noProof/>
                <w:sz w:val="18"/>
                <w:szCs w:val="18"/>
                <w:lang w:val="en-US"/>
              </w:rPr>
              <w:t>Phillips and Sul (2007)</w:t>
            </w:r>
            <w:r w:rsidRPr="005517C4">
              <w:rPr>
                <w:rFonts w:ascii="Times New Roman" w:hAnsi="Times New Roman" w:cs="Times New Roman"/>
                <w:noProof/>
                <w:sz w:val="18"/>
                <w:szCs w:val="18"/>
                <w:lang w:val="en-US"/>
              </w:rPr>
              <w:fldChar w:fldCharType="end"/>
            </w:r>
            <w:r w:rsidR="00217809" w:rsidRPr="005517C4">
              <w:rPr>
                <w:rFonts w:ascii="Times New Roman" w:hAnsi="Times New Roman" w:cs="Times New Roman"/>
                <w:noProof/>
                <w:sz w:val="18"/>
                <w:szCs w:val="18"/>
                <w:lang w:val="en-US"/>
              </w:rPr>
              <w:t xml:space="preserve"> Panel club convergence test and panel data estimators</w:t>
            </w:r>
          </w:p>
        </w:tc>
        <w:tc>
          <w:tcPr>
            <w:tcW w:w="959" w:type="dxa"/>
            <w:vAlign w:val="center"/>
          </w:tcPr>
          <w:p w:rsidR="00217809" w:rsidRPr="005517C4" w:rsidRDefault="00217809" w:rsidP="00217809">
            <w:pPr>
              <w:rPr>
                <w:rFonts w:ascii="Times New Roman" w:hAnsi="Times New Roman" w:cs="Times New Roman"/>
                <w:noProof/>
                <w:sz w:val="18"/>
                <w:szCs w:val="18"/>
                <w:lang w:val="en-US"/>
              </w:rPr>
            </w:pPr>
            <w:r w:rsidRPr="005517C4">
              <w:rPr>
                <w:rFonts w:ascii="Times New Roman" w:hAnsi="Times New Roman" w:cs="Times New Roman"/>
                <w:noProof/>
                <w:sz w:val="18"/>
                <w:szCs w:val="18"/>
                <w:lang w:val="en-US"/>
              </w:rPr>
              <w:t>CO</w:t>
            </w:r>
            <w:r w:rsidRPr="005517C4">
              <w:rPr>
                <w:rFonts w:ascii="Times New Roman" w:hAnsi="Times New Roman" w:cs="Times New Roman"/>
                <w:noProof/>
                <w:sz w:val="18"/>
                <w:szCs w:val="18"/>
                <w:vertAlign w:val="subscript"/>
                <w:lang w:val="en-US"/>
              </w:rPr>
              <w:t>2</w:t>
            </w:r>
          </w:p>
        </w:tc>
        <w:tc>
          <w:tcPr>
            <w:tcW w:w="2868" w:type="dxa"/>
            <w:vAlign w:val="center"/>
          </w:tcPr>
          <w:p w:rsidR="00217809" w:rsidRPr="005517C4" w:rsidRDefault="00217809" w:rsidP="00217809">
            <w:pPr>
              <w:rPr>
                <w:rFonts w:ascii="Times New Roman" w:hAnsi="Times New Roman" w:cs="Times New Roman"/>
                <w:noProof/>
                <w:sz w:val="18"/>
                <w:szCs w:val="18"/>
                <w:lang w:val="en-US"/>
              </w:rPr>
            </w:pPr>
            <w:r w:rsidRPr="005517C4">
              <w:rPr>
                <w:rFonts w:ascii="Times New Roman" w:hAnsi="Times New Roman" w:cs="Times New Roman"/>
                <w:noProof/>
                <w:sz w:val="18"/>
                <w:szCs w:val="18"/>
                <w:lang w:val="en-US"/>
              </w:rPr>
              <w:t>Club convergence and conditional  β-convergence  for 26 states, divergence for others,</w:t>
            </w:r>
          </w:p>
        </w:tc>
      </w:tr>
      <w:tr w:rsidR="00217809" w:rsidRPr="005517C4" w:rsidTr="006C6A16">
        <w:trPr>
          <w:trHeight w:val="385"/>
        </w:trPr>
        <w:tc>
          <w:tcPr>
            <w:tcW w:w="1667" w:type="dxa"/>
            <w:vAlign w:val="center"/>
          </w:tcPr>
          <w:p w:rsidR="00217809" w:rsidRPr="005517C4" w:rsidRDefault="006578EE" w:rsidP="00217809">
            <w:pPr>
              <w:rPr>
                <w:rFonts w:ascii="Times New Roman" w:hAnsi="Times New Roman" w:cs="Times New Roman"/>
                <w:noProof/>
                <w:sz w:val="18"/>
                <w:szCs w:val="18"/>
                <w:lang w:val="en-US"/>
              </w:rPr>
            </w:pPr>
            <w:r w:rsidRPr="005517C4">
              <w:rPr>
                <w:rFonts w:ascii="Times New Roman" w:hAnsi="Times New Roman" w:cs="Times New Roman"/>
                <w:noProof/>
                <w:sz w:val="18"/>
                <w:szCs w:val="18"/>
                <w:lang w:val="en-US"/>
              </w:rPr>
              <w:fldChar w:fldCharType="begin" w:fldLock="1"/>
            </w:r>
            <w:r w:rsidR="00217809" w:rsidRPr="005517C4">
              <w:rPr>
                <w:rFonts w:ascii="Times New Roman" w:hAnsi="Times New Roman" w:cs="Times New Roman"/>
                <w:noProof/>
                <w:sz w:val="18"/>
                <w:szCs w:val="18"/>
                <w:lang w:val="en-US"/>
              </w:rPr>
              <w:instrText>ADDIN CSL_CITATION { "citationItems" : [ { "id" : "ITEM-1", "itemData" : { "DOI" : "10.1016/j.ribaf.2016.01.005", "ISSN" : "02755319", "abstract" : "We examine the stationarity properties of per capita CO2 emissions for 35 countries in Sub-Saharan Africa covering the period of 1960\u20132009. For this examination, we use a nonlinear time series and panel unit root tests. Becker et al.\u2019s (2006) test statistic demonstrates that nonlinearity exists in our data and hence should be incorporated in a test for the unit root. Further, Becker et al.\u2019s (2006) test shows evidence of mean reversion in the per capita CO2 emissions for 27 of the countries in Sub-Saharan Africa. However, when we use a panel unit root test with a SPSM procedure, we find that the per capita CO2 emissions for 15 of these countries are stationary. Moreover, when we add a Fourier function to the panel unit root test, we find evidence of stationarity in the per capita CO2 emissions series for all of the 35 countries analyzed.", "author" : [ { "dropping-particle" : "", "family" : "Tiwari", "given" : "Aviral Kumar", "non-dropping-particle" : "", "parse-names" : false, "suffix" : "" }, { "dropping-particle" : "", "family" : "Kyophilavong", "given" : "Phouphet", "non-dropping-particle" : "", "parse-names" : false, "suffix" : "" }, { "dropping-particle" : "", "family" : "Albulescu", "given" : "Claudiu Tiberiu", "non-dropping-particle" : "", "parse-names" : false, "suffix" : "" } ], "container-title" : "Research in International Business and Finance", "id" : "ITEM-1", "issued" : { "date-parts" : [ [ "2016" ] ] }, "page" : "527-540", "title" : "Testing the stationarity of CO2 emissions series in Sub-Saharan African countries by incorporating nonlinearity and smooth breaks", "type" : "article-journal", "volume" : "37" }, "uris" : [ "http://www.mendeley.com/documents/?uuid=4ab9ff4a-f584-33e9-a32b-93beb5340b7b" ] } ], "mendeley" : { "formattedCitation" : "(Tiwari, Kyophilavong, and Albulescu 2016)", "manualFormatting" : "Tiwari et al. (2016)", "plainTextFormattedCitation" : "(Tiwari, Kyophilavong, and Albulescu 2016)", "previouslyFormattedCitation" : "(Tiwari, Kyophilavong, and Albulescu 2016)" }, "properties" : { "noteIndex" : 0 }, "schema" : "https://github.com/citation-style-language/schema/raw/master/csl-citation.json" }</w:instrText>
            </w:r>
            <w:r w:rsidRPr="005517C4">
              <w:rPr>
                <w:rFonts w:ascii="Times New Roman" w:hAnsi="Times New Roman" w:cs="Times New Roman"/>
                <w:noProof/>
                <w:sz w:val="18"/>
                <w:szCs w:val="18"/>
                <w:lang w:val="en-US"/>
              </w:rPr>
              <w:fldChar w:fldCharType="separate"/>
            </w:r>
            <w:r w:rsidR="00217809" w:rsidRPr="005517C4">
              <w:rPr>
                <w:rFonts w:ascii="Times New Roman" w:hAnsi="Times New Roman" w:cs="Times New Roman"/>
                <w:noProof/>
                <w:sz w:val="18"/>
                <w:szCs w:val="18"/>
                <w:lang w:val="en-US"/>
              </w:rPr>
              <w:t>Tiwari et al. (2016)</w:t>
            </w:r>
            <w:r w:rsidRPr="005517C4">
              <w:rPr>
                <w:rFonts w:ascii="Times New Roman" w:hAnsi="Times New Roman" w:cs="Times New Roman"/>
                <w:noProof/>
                <w:sz w:val="18"/>
                <w:szCs w:val="18"/>
                <w:lang w:val="en-US"/>
              </w:rPr>
              <w:fldChar w:fldCharType="end"/>
            </w:r>
          </w:p>
        </w:tc>
        <w:tc>
          <w:tcPr>
            <w:tcW w:w="805" w:type="dxa"/>
            <w:vAlign w:val="center"/>
          </w:tcPr>
          <w:p w:rsidR="00217809" w:rsidRPr="005517C4" w:rsidRDefault="00217809" w:rsidP="00217809">
            <w:pPr>
              <w:rPr>
                <w:rFonts w:ascii="Times New Roman" w:hAnsi="Times New Roman" w:cs="Times New Roman"/>
                <w:noProof/>
                <w:sz w:val="18"/>
                <w:szCs w:val="18"/>
                <w:lang w:val="en-US"/>
              </w:rPr>
            </w:pPr>
            <w:r w:rsidRPr="005517C4">
              <w:rPr>
                <w:rFonts w:ascii="Times New Roman" w:hAnsi="Times New Roman" w:cs="Times New Roman"/>
                <w:noProof/>
                <w:sz w:val="18"/>
                <w:szCs w:val="18"/>
                <w:lang w:val="en-US"/>
              </w:rPr>
              <w:t>1960-2009</w:t>
            </w:r>
          </w:p>
        </w:tc>
        <w:tc>
          <w:tcPr>
            <w:tcW w:w="1308" w:type="dxa"/>
            <w:vAlign w:val="center"/>
          </w:tcPr>
          <w:p w:rsidR="00217809" w:rsidRPr="005517C4" w:rsidRDefault="00217809" w:rsidP="00217809">
            <w:pPr>
              <w:rPr>
                <w:rFonts w:ascii="Times New Roman" w:hAnsi="Times New Roman" w:cs="Times New Roman"/>
                <w:noProof/>
                <w:sz w:val="18"/>
                <w:szCs w:val="18"/>
                <w:lang w:val="en-US"/>
              </w:rPr>
            </w:pPr>
            <w:r w:rsidRPr="005517C4">
              <w:rPr>
                <w:rFonts w:ascii="Times New Roman" w:hAnsi="Times New Roman" w:cs="Times New Roman"/>
                <w:noProof/>
                <w:sz w:val="18"/>
                <w:szCs w:val="18"/>
                <w:lang w:val="en-US"/>
              </w:rPr>
              <w:t>35 Sub-Saharan Countries</w:t>
            </w:r>
          </w:p>
        </w:tc>
        <w:tc>
          <w:tcPr>
            <w:tcW w:w="2835" w:type="dxa"/>
            <w:vAlign w:val="center"/>
          </w:tcPr>
          <w:p w:rsidR="00217809" w:rsidRPr="005517C4" w:rsidRDefault="00217809" w:rsidP="00217809">
            <w:pPr>
              <w:rPr>
                <w:rFonts w:ascii="Times New Roman" w:hAnsi="Times New Roman" w:cs="Times New Roman"/>
                <w:noProof/>
                <w:sz w:val="18"/>
                <w:szCs w:val="18"/>
                <w:lang w:val="en-US"/>
              </w:rPr>
            </w:pPr>
            <w:r w:rsidRPr="005517C4">
              <w:rPr>
                <w:rFonts w:ascii="Times New Roman" w:hAnsi="Times New Roman" w:cs="Times New Roman"/>
                <w:noProof/>
                <w:sz w:val="18"/>
                <w:szCs w:val="18"/>
                <w:lang w:val="en-US"/>
              </w:rPr>
              <w:t xml:space="preserve">Non-linear time series and panel unit root tests proposed by </w:t>
            </w:r>
            <w:r w:rsidR="006578EE" w:rsidRPr="005517C4">
              <w:rPr>
                <w:rFonts w:ascii="Times New Roman" w:hAnsi="Times New Roman" w:cs="Times New Roman"/>
                <w:noProof/>
                <w:sz w:val="18"/>
                <w:szCs w:val="18"/>
                <w:lang w:val="en-US"/>
              </w:rPr>
              <w:fldChar w:fldCharType="begin" w:fldLock="1"/>
            </w:r>
            <w:r w:rsidR="00216FA4">
              <w:rPr>
                <w:rFonts w:ascii="Times New Roman" w:hAnsi="Times New Roman" w:cs="Times New Roman"/>
                <w:noProof/>
                <w:sz w:val="18"/>
                <w:szCs w:val="18"/>
                <w:lang w:val="en-US"/>
              </w:rPr>
              <w:instrText>ADDIN CSL_CITATION { "citationItems" : [ { "id" : "ITEM-1", "itemData" : { "DOI" : "10.1111/j.1467-9892.2006.00478.x", "ISSN" : "0143-9782", "author" : [ { "dropping-particle" : "", "family" : "Becker", "given" : "Ralf", "non-dropping-particle" : "", "parse-names" : false, "suffix" : "" }, { "dropping-particle" : "", "family" : "Enders", "given" : "Walter", "non-dropping-particle" : "", "parse-names" : false, "suffix" : "" }, { "dropping-particle" : "", "family" : "Lee", "given" : "Junsoo", "non-dropping-particle" : "", "parse-names" : false, "suffix" : "" } ], "container-title" : "Journal of Time Series Analysis", "id" : "ITEM-1", "issue" : "3", "issued" : { "date-parts" : [ [ "2006", "5" ] ] }, "page" : "381-409", "publisher" : "Blackwell Publishing Ltd", "title" : "A Stationarity Test in the Presence of an Unknown Number of Smooth Breaks", "type" : "article-journal", "volume" : "27" }, "uris" : [ "http://www.mendeley.com/documents/?uuid=596fd59c-75cf-3b2e-aaf0-173971a58073" ] } ], "mendeley" : { "formattedCitation" : "(Becker, Enders, and Lee 2006)", "manualFormatting" : "(Becker et al (2006)", "plainTextFormattedCitation" : "(Becker, Enders, and Lee 2006)", "previouslyFormattedCitation" : "(Becker, Enders, and Lee 2006)" }, "properties" : { "noteIndex" : 0 }, "schema" : "https://github.com/citation-style-language/schema/raw/master/csl-citation.json" }</w:instrText>
            </w:r>
            <w:r w:rsidR="006578EE" w:rsidRPr="005517C4">
              <w:rPr>
                <w:rFonts w:ascii="Times New Roman" w:hAnsi="Times New Roman" w:cs="Times New Roman"/>
                <w:noProof/>
                <w:sz w:val="18"/>
                <w:szCs w:val="18"/>
                <w:lang w:val="en-US"/>
              </w:rPr>
              <w:fldChar w:fldCharType="separate"/>
            </w:r>
            <w:r w:rsidRPr="005517C4">
              <w:rPr>
                <w:rFonts w:ascii="Times New Roman" w:hAnsi="Times New Roman" w:cs="Times New Roman"/>
                <w:noProof/>
                <w:sz w:val="18"/>
                <w:szCs w:val="18"/>
                <w:lang w:val="en-US"/>
              </w:rPr>
              <w:t>(Becker et al (2006)</w:t>
            </w:r>
            <w:r w:rsidR="006578EE" w:rsidRPr="005517C4">
              <w:rPr>
                <w:rFonts w:ascii="Times New Roman" w:hAnsi="Times New Roman" w:cs="Times New Roman"/>
                <w:noProof/>
                <w:sz w:val="18"/>
                <w:szCs w:val="18"/>
                <w:lang w:val="en-US"/>
              </w:rPr>
              <w:fldChar w:fldCharType="end"/>
            </w:r>
            <w:r w:rsidRPr="005517C4">
              <w:rPr>
                <w:rFonts w:ascii="Times New Roman" w:hAnsi="Times New Roman" w:cs="Times New Roman"/>
                <w:noProof/>
                <w:sz w:val="18"/>
                <w:szCs w:val="18"/>
                <w:lang w:val="en-US"/>
              </w:rPr>
              <w:t xml:space="preserve">, </w:t>
            </w:r>
            <w:r w:rsidR="006578EE" w:rsidRPr="005517C4">
              <w:rPr>
                <w:rFonts w:ascii="Times New Roman" w:hAnsi="Times New Roman" w:cs="Times New Roman"/>
                <w:noProof/>
                <w:sz w:val="18"/>
                <w:szCs w:val="18"/>
                <w:lang w:val="en-US"/>
              </w:rPr>
              <w:fldChar w:fldCharType="begin" w:fldLock="1"/>
            </w:r>
            <w:r w:rsidR="00216FA4">
              <w:rPr>
                <w:rFonts w:ascii="Times New Roman" w:hAnsi="Times New Roman" w:cs="Times New Roman"/>
                <w:noProof/>
                <w:sz w:val="18"/>
                <w:szCs w:val="18"/>
                <w:lang w:val="en-US"/>
              </w:rPr>
              <w:instrText>ADDIN CSL_CITATION { "citationItems" : [ { "id" : "ITEM-1", "itemData" : { "DOI" : "10.1016/j.econlet.2009.03.018", "ISSN" : "01651765", "author" : [ { "dropping-particle" : "", "family" : "Ucar", "given" : "Nuri", "non-dropping-particle" : "", "parse-names" : false, "suffix" : "" }, { "dropping-particle" : "", "family" : "Omay", "given" : "Tolga", "non-dropping-particle" : "", "parse-names" : false, "suffix" : "" } ], "container-title" : "Economics Letters", "id" : "ITEM-1", "issue" : "1", "issued" : { "date-parts" : [ [ "2009", "7" ] ] }, "page" : "5-8", "title" : "Testing for unit root in nonlinear heterogeneous panels", "type" : "article-journal", "volume" : "104" }, "uris" : [ "http://www.mendeley.com/documents/?uuid=4c40563c-fcde-344e-b88f-585f925b88c8" ] } ], "mendeley" : { "formattedCitation" : "(Ucar and Omay 2009)", "manualFormatting" : "Ucar and Omay (2009)", "plainTextFormattedCitation" : "(Ucar and Omay 2009)", "previouslyFormattedCitation" : "(Ucar and Omay 2009)" }, "properties" : { "noteIndex" : 0 }, "schema" : "https://github.com/citation-style-language/schema/raw/master/csl-citation.json" }</w:instrText>
            </w:r>
            <w:r w:rsidR="006578EE" w:rsidRPr="005517C4">
              <w:rPr>
                <w:rFonts w:ascii="Times New Roman" w:hAnsi="Times New Roman" w:cs="Times New Roman"/>
                <w:noProof/>
                <w:sz w:val="18"/>
                <w:szCs w:val="18"/>
                <w:lang w:val="en-US"/>
              </w:rPr>
              <w:fldChar w:fldCharType="separate"/>
            </w:r>
            <w:r w:rsidRPr="005517C4">
              <w:rPr>
                <w:rFonts w:ascii="Times New Roman" w:hAnsi="Times New Roman" w:cs="Times New Roman"/>
                <w:noProof/>
                <w:sz w:val="18"/>
                <w:szCs w:val="18"/>
                <w:lang w:val="en-US"/>
              </w:rPr>
              <w:t>Ucar and Omay (2009)</w:t>
            </w:r>
            <w:r w:rsidR="006578EE" w:rsidRPr="005517C4">
              <w:rPr>
                <w:rFonts w:ascii="Times New Roman" w:hAnsi="Times New Roman" w:cs="Times New Roman"/>
                <w:noProof/>
                <w:sz w:val="18"/>
                <w:szCs w:val="18"/>
                <w:lang w:val="en-US"/>
              </w:rPr>
              <w:fldChar w:fldCharType="end"/>
            </w:r>
          </w:p>
        </w:tc>
        <w:tc>
          <w:tcPr>
            <w:tcW w:w="959" w:type="dxa"/>
            <w:vAlign w:val="center"/>
          </w:tcPr>
          <w:p w:rsidR="00217809" w:rsidRPr="005517C4" w:rsidRDefault="00217809" w:rsidP="00217809">
            <w:pPr>
              <w:rPr>
                <w:rFonts w:ascii="Times New Roman" w:hAnsi="Times New Roman" w:cs="Times New Roman"/>
                <w:noProof/>
                <w:sz w:val="18"/>
                <w:szCs w:val="18"/>
                <w:lang w:val="en-US"/>
              </w:rPr>
            </w:pPr>
            <w:r w:rsidRPr="005517C4">
              <w:rPr>
                <w:rFonts w:ascii="Times New Roman" w:hAnsi="Times New Roman" w:cs="Times New Roman"/>
                <w:noProof/>
                <w:sz w:val="18"/>
                <w:szCs w:val="18"/>
                <w:lang w:val="en-US"/>
              </w:rPr>
              <w:t>CO</w:t>
            </w:r>
            <w:r w:rsidRPr="005517C4">
              <w:rPr>
                <w:rFonts w:ascii="Times New Roman" w:hAnsi="Times New Roman" w:cs="Times New Roman"/>
                <w:noProof/>
                <w:sz w:val="18"/>
                <w:szCs w:val="18"/>
                <w:vertAlign w:val="subscript"/>
                <w:lang w:val="en-US"/>
              </w:rPr>
              <w:t>2</w:t>
            </w:r>
          </w:p>
        </w:tc>
        <w:tc>
          <w:tcPr>
            <w:tcW w:w="2868" w:type="dxa"/>
            <w:vAlign w:val="center"/>
          </w:tcPr>
          <w:p w:rsidR="00217809" w:rsidRPr="005517C4" w:rsidRDefault="00217809" w:rsidP="00217809">
            <w:pPr>
              <w:rPr>
                <w:rFonts w:ascii="Times New Roman" w:hAnsi="Times New Roman" w:cs="Times New Roman"/>
                <w:noProof/>
                <w:sz w:val="18"/>
                <w:szCs w:val="18"/>
                <w:lang w:val="en-US"/>
              </w:rPr>
            </w:pPr>
            <w:r w:rsidRPr="005517C4">
              <w:rPr>
                <w:rFonts w:ascii="Times New Roman" w:hAnsi="Times New Roman" w:cs="Times New Roman"/>
                <w:noProof/>
                <w:sz w:val="18"/>
                <w:szCs w:val="18"/>
                <w:lang w:val="en-US"/>
              </w:rPr>
              <w:t>Stochastic convergence for 27 countries in time series form and 15 countries in panel form</w:t>
            </w:r>
          </w:p>
        </w:tc>
      </w:tr>
      <w:tr w:rsidR="00217809" w:rsidRPr="005517C4" w:rsidTr="006C6A16">
        <w:trPr>
          <w:trHeight w:val="385"/>
        </w:trPr>
        <w:tc>
          <w:tcPr>
            <w:tcW w:w="1667" w:type="dxa"/>
            <w:vAlign w:val="center"/>
          </w:tcPr>
          <w:p w:rsidR="00217809" w:rsidRPr="005517C4" w:rsidRDefault="006578EE" w:rsidP="00217809">
            <w:pPr>
              <w:rPr>
                <w:rFonts w:ascii="Times New Roman" w:hAnsi="Times New Roman" w:cs="Times New Roman"/>
                <w:noProof/>
                <w:sz w:val="18"/>
                <w:szCs w:val="18"/>
                <w:lang w:val="en-US"/>
              </w:rPr>
            </w:pPr>
            <w:r w:rsidRPr="005517C4">
              <w:rPr>
                <w:rFonts w:ascii="Times New Roman" w:hAnsi="Times New Roman" w:cs="Times New Roman"/>
                <w:noProof/>
                <w:sz w:val="18"/>
                <w:szCs w:val="18"/>
                <w:lang w:val="en-US"/>
              </w:rPr>
              <w:fldChar w:fldCharType="begin" w:fldLock="1"/>
            </w:r>
            <w:r w:rsidR="00217809" w:rsidRPr="005517C4">
              <w:rPr>
                <w:rFonts w:ascii="Times New Roman" w:hAnsi="Times New Roman" w:cs="Times New Roman"/>
                <w:noProof/>
                <w:sz w:val="18"/>
                <w:szCs w:val="18"/>
                <w:lang w:val="en-US"/>
              </w:rPr>
              <w:instrText>ADDIN CSL_CITATION { "citationItems" : [ { "id" : "ITEM-1", "itemData" : { "DOI" : "10.1016/j.rser.2016.10.053", "ISSN" : "13640321", "abstract" : "This paper examines the convergence of per capita carbon dioxide (CO2) emissions for 162 countries across the globe covering all income groups (high-income OECD, high-income non-OECD, middle-income and low-income countries) as categorized by the World Bank. The incidence of stochastic convergence is analysed by making use of recently developed wavelet based unit root tests. The existing studies on this subject make use of conventional unit root tests using time series and/or panel data. A serious drawback of these tests is that they analyse the stochastic behaviour of any series in time domain only whereas the stochastic process may behave differently across different frequencies as well. Thus, wavelet methods are an obvious solution as they consider frequency dimension as well in addition to time dimension when analyzing the stochastic behaviour of any data series and hence these methods encompass the conventional unit root testing methodologies by providing a clear and complete picture of the stochastic process. Our empirical findings, based on latest available time series annual data from 1960 to 2010, lend support in favor of convergence among 38 countries including 18 high income OECD countries, 2 high income non-OECD countries, 13 middle income countries and 5 low income countries while for the rest of 124 countries, the CO2 emission series is found to be non-stationary suggesting the divergence in these countries. These findings are in contrast with the most of the existing studies, which may be due to the use of wavelet based unit root tests, that are of course better alternatives. Some policy implications evolve from the empirical findings.", "author" : [ { "dropping-particle" : "", "family" : "Ahmed", "given" : "Mumtaz", "non-dropping-particle" : "", "parse-names" : false, "suffix" : "" }, { "dropping-particle" : "", "family" : "Khan", "given" : "Atif Maqbool", "non-dropping-particle" : "", "parse-names" : false, "suffix" : "" }, { "dropping-particle" : "", "family" : "Bibi", "given" : "Salma", "non-dropping-particle" : "", "parse-names" : false, "suffix" : "" }, { "dropping-particle" : "", "family" : "Zakaria", "given" : "Muhammad", "non-dropping-particle" : "", "parse-names" : false, "suffix" : "" } ], "container-title" : "Renewable and Sustainable Energy Reviews", "id" : "ITEM-1", "issued" : { "date-parts" : [ [ "2016" ] ] }, "title" : "Convergence of per capita CO2 emissions across the globe: Insights via wavelet analysis", "type" : "article-journal" }, "uris" : [ "http://www.mendeley.com/documents/?uuid=1af93839-a28e-3c33-82cc-393999247722" ] } ], "mendeley" : { "formattedCitation" : "(Ahmed et al. 2016)", "manualFormatting" : "Ahmed et al. (2016)", "plainTextFormattedCitation" : "(Ahmed et al. 2016)", "previouslyFormattedCitation" : "(Ahmed et al. 2016)" }, "properties" : { "noteIndex" : 0 }, "schema" : "https://github.com/citation-style-language/schema/raw/master/csl-citation.json" }</w:instrText>
            </w:r>
            <w:r w:rsidRPr="005517C4">
              <w:rPr>
                <w:rFonts w:ascii="Times New Roman" w:hAnsi="Times New Roman" w:cs="Times New Roman"/>
                <w:noProof/>
                <w:sz w:val="18"/>
                <w:szCs w:val="18"/>
                <w:lang w:val="en-US"/>
              </w:rPr>
              <w:fldChar w:fldCharType="separate"/>
            </w:r>
            <w:r w:rsidR="00217809" w:rsidRPr="005517C4">
              <w:rPr>
                <w:rFonts w:ascii="Times New Roman" w:hAnsi="Times New Roman" w:cs="Times New Roman"/>
                <w:noProof/>
                <w:sz w:val="18"/>
                <w:szCs w:val="18"/>
                <w:lang w:val="en-US"/>
              </w:rPr>
              <w:t>Ahmed et al. (2016)</w:t>
            </w:r>
            <w:r w:rsidRPr="005517C4">
              <w:rPr>
                <w:rFonts w:ascii="Times New Roman" w:hAnsi="Times New Roman" w:cs="Times New Roman"/>
                <w:noProof/>
                <w:sz w:val="18"/>
                <w:szCs w:val="18"/>
                <w:lang w:val="en-US"/>
              </w:rPr>
              <w:fldChar w:fldCharType="end"/>
            </w:r>
          </w:p>
        </w:tc>
        <w:tc>
          <w:tcPr>
            <w:tcW w:w="805" w:type="dxa"/>
            <w:vAlign w:val="center"/>
          </w:tcPr>
          <w:p w:rsidR="00217809" w:rsidRPr="005517C4" w:rsidRDefault="00217809" w:rsidP="00217809">
            <w:pPr>
              <w:rPr>
                <w:rFonts w:ascii="Times New Roman" w:hAnsi="Times New Roman" w:cs="Times New Roman"/>
                <w:noProof/>
                <w:sz w:val="18"/>
                <w:szCs w:val="18"/>
                <w:lang w:val="en-US"/>
              </w:rPr>
            </w:pPr>
            <w:r w:rsidRPr="005517C4">
              <w:rPr>
                <w:rFonts w:ascii="Times New Roman" w:hAnsi="Times New Roman" w:cs="Times New Roman"/>
                <w:noProof/>
                <w:sz w:val="18"/>
                <w:szCs w:val="18"/>
                <w:lang w:val="en-US"/>
              </w:rPr>
              <w:t>1960-2010</w:t>
            </w:r>
          </w:p>
        </w:tc>
        <w:tc>
          <w:tcPr>
            <w:tcW w:w="1308" w:type="dxa"/>
            <w:vAlign w:val="center"/>
          </w:tcPr>
          <w:p w:rsidR="00217809" w:rsidRPr="005517C4" w:rsidRDefault="00217809" w:rsidP="00217809">
            <w:pPr>
              <w:rPr>
                <w:rFonts w:ascii="Times New Roman" w:hAnsi="Times New Roman" w:cs="Times New Roman"/>
                <w:noProof/>
                <w:sz w:val="18"/>
                <w:szCs w:val="18"/>
                <w:lang w:val="en-US"/>
              </w:rPr>
            </w:pPr>
            <w:r w:rsidRPr="005517C4">
              <w:rPr>
                <w:rFonts w:ascii="Times New Roman" w:hAnsi="Times New Roman" w:cs="Times New Roman"/>
                <w:noProof/>
                <w:sz w:val="18"/>
                <w:szCs w:val="18"/>
                <w:lang w:val="en-US"/>
              </w:rPr>
              <w:t>162 countries</w:t>
            </w:r>
          </w:p>
        </w:tc>
        <w:tc>
          <w:tcPr>
            <w:tcW w:w="2835" w:type="dxa"/>
            <w:vAlign w:val="center"/>
          </w:tcPr>
          <w:p w:rsidR="00217809" w:rsidRPr="005517C4" w:rsidRDefault="00217809" w:rsidP="00217809">
            <w:pPr>
              <w:rPr>
                <w:rFonts w:ascii="Times New Roman" w:hAnsi="Times New Roman" w:cs="Times New Roman"/>
                <w:noProof/>
                <w:sz w:val="18"/>
                <w:szCs w:val="18"/>
                <w:lang w:val="en-US"/>
              </w:rPr>
            </w:pPr>
            <w:r w:rsidRPr="005517C4">
              <w:rPr>
                <w:rFonts w:ascii="Times New Roman" w:hAnsi="Times New Roman" w:cs="Times New Roman"/>
                <w:noProof/>
                <w:sz w:val="18"/>
                <w:szCs w:val="18"/>
                <w:lang w:val="en-US"/>
              </w:rPr>
              <w:t>Wavelet unit root proposed by Fan and Gençay (2010)</w:t>
            </w:r>
          </w:p>
        </w:tc>
        <w:tc>
          <w:tcPr>
            <w:tcW w:w="959" w:type="dxa"/>
            <w:vAlign w:val="center"/>
          </w:tcPr>
          <w:p w:rsidR="00217809" w:rsidRPr="005517C4" w:rsidRDefault="00217809" w:rsidP="00217809">
            <w:pPr>
              <w:rPr>
                <w:rFonts w:ascii="Times New Roman" w:hAnsi="Times New Roman" w:cs="Times New Roman"/>
                <w:noProof/>
                <w:sz w:val="18"/>
                <w:szCs w:val="18"/>
                <w:lang w:val="en-US"/>
              </w:rPr>
            </w:pPr>
            <w:r w:rsidRPr="005517C4">
              <w:rPr>
                <w:rFonts w:ascii="Times New Roman" w:hAnsi="Times New Roman" w:cs="Times New Roman"/>
                <w:noProof/>
                <w:sz w:val="18"/>
                <w:szCs w:val="18"/>
                <w:lang w:val="en-US"/>
              </w:rPr>
              <w:t>CO</w:t>
            </w:r>
            <w:r w:rsidRPr="005517C4">
              <w:rPr>
                <w:rFonts w:ascii="Times New Roman" w:hAnsi="Times New Roman" w:cs="Times New Roman"/>
                <w:noProof/>
                <w:sz w:val="18"/>
                <w:szCs w:val="18"/>
                <w:vertAlign w:val="subscript"/>
                <w:lang w:val="en-US"/>
              </w:rPr>
              <w:t>2</w:t>
            </w:r>
          </w:p>
        </w:tc>
        <w:tc>
          <w:tcPr>
            <w:tcW w:w="2868" w:type="dxa"/>
            <w:vAlign w:val="center"/>
          </w:tcPr>
          <w:p w:rsidR="00217809" w:rsidRPr="005517C4" w:rsidRDefault="00217809" w:rsidP="00217809">
            <w:pPr>
              <w:rPr>
                <w:rFonts w:ascii="Times New Roman" w:hAnsi="Times New Roman" w:cs="Times New Roman"/>
                <w:noProof/>
                <w:sz w:val="18"/>
                <w:szCs w:val="18"/>
                <w:lang w:val="en-US"/>
              </w:rPr>
            </w:pPr>
            <w:r w:rsidRPr="005517C4">
              <w:rPr>
                <w:rFonts w:ascii="Times New Roman" w:hAnsi="Times New Roman" w:cs="Times New Roman"/>
                <w:noProof/>
                <w:sz w:val="18"/>
                <w:szCs w:val="18"/>
                <w:lang w:val="en-US"/>
              </w:rPr>
              <w:t>Convergence for 38 countries, divergence for 124 countries</w:t>
            </w:r>
          </w:p>
        </w:tc>
      </w:tr>
      <w:tr w:rsidR="00217809" w:rsidRPr="005517C4" w:rsidTr="006C6A16">
        <w:trPr>
          <w:trHeight w:val="385"/>
        </w:trPr>
        <w:tc>
          <w:tcPr>
            <w:tcW w:w="1667" w:type="dxa"/>
            <w:vAlign w:val="center"/>
          </w:tcPr>
          <w:p w:rsidR="00217809" w:rsidRPr="005517C4" w:rsidRDefault="006578EE" w:rsidP="00217809">
            <w:pPr>
              <w:rPr>
                <w:rFonts w:ascii="Times New Roman" w:hAnsi="Times New Roman" w:cs="Times New Roman"/>
                <w:noProof/>
                <w:sz w:val="18"/>
                <w:szCs w:val="18"/>
                <w:lang w:val="en-US"/>
              </w:rPr>
            </w:pPr>
            <w:r w:rsidRPr="005517C4">
              <w:rPr>
                <w:rFonts w:ascii="Times New Roman" w:hAnsi="Times New Roman" w:cs="Times New Roman"/>
                <w:noProof/>
                <w:sz w:val="18"/>
                <w:szCs w:val="18"/>
                <w:lang w:val="en-US"/>
              </w:rPr>
              <w:fldChar w:fldCharType="begin" w:fldLock="1"/>
            </w:r>
            <w:r w:rsidR="00216FA4">
              <w:rPr>
                <w:rFonts w:ascii="Times New Roman" w:hAnsi="Times New Roman" w:cs="Times New Roman"/>
                <w:noProof/>
                <w:sz w:val="18"/>
                <w:szCs w:val="18"/>
                <w:lang w:val="en-US"/>
              </w:rPr>
              <w:instrText>ADDIN CSL_CITATION { "citationItems" : [ { "id" : "ITEM-1", "itemData" : { "ISSN" : "2146-4553", "abstract" : "The aim of this paper is to examine the convergence behavior of carbon dioxide emissions per capita (co) in seven regions for 1960-2011 period by using recently developed the second generation panel data methods. Empirical results are as follows: i) there exists cross-sectional dependency for co variable ii) the CADF unit root test without structural breaks shows that the co variable is stationary at its first differences, iii) but the PANKPSS unit root test with structural breaks the co variable is stationary at its level. The overall results indicate that the regional stochastic convergence of carbon emission per capita is valid for the seven regions under structural breaks and any environmental shock has temporary effect. Keywords: Carbon Emissions, Stochastic Convergence, Panel Data. JEL Classifications : C33, Q53, Q56", "author" : [ { "dropping-particle" : "", "family" : "ACARAVCI", "given" : "Ali", "non-dropping-particle" : "", "parse-names" : false, "suffix" : "" }, { "dropping-particle" : "", "family" : "Erdogan", "given" : "Sinan", "non-dropping-particle" : "", "parse-names" : false, "suffix" : "" } ], "container-title" : "International Journal of Energy Economics and Policy", "id" : "ITEM-1", "issue" : "3", "issued" : { "date-parts" : [ [ "2016" ] ] }, "page" : "575-580", "title" : "The Convergence Behavior of CO2 Emissions in Seven Regions under Multiple Structural Breaks", "type" : "article-journal", "volume" : "6" }, "uris" : [ "http://www.mendeley.com/documents/?uuid=1c399a2f-91a9-3d26-9664-6abe192f60f8" ] } ], "mendeley" : { "formattedCitation" : "(ACARAVCI and Erdogan 2016)", "manualFormatting" : "Acaravc\u0131 and Erdogan (2016)", "plainTextFormattedCitation" : "(ACARAVCI and Erdogan 2016)", "previouslyFormattedCitation" : "(ACARAVCI and Erdogan 2016)" }, "properties" : { "noteIndex" : 0 }, "schema" : "https://github.com/citation-style-language/schema/raw/master/csl-citation.json" }</w:instrText>
            </w:r>
            <w:r w:rsidRPr="005517C4">
              <w:rPr>
                <w:rFonts w:ascii="Times New Roman" w:hAnsi="Times New Roman" w:cs="Times New Roman"/>
                <w:noProof/>
                <w:sz w:val="18"/>
                <w:szCs w:val="18"/>
                <w:lang w:val="en-US"/>
              </w:rPr>
              <w:fldChar w:fldCharType="separate"/>
            </w:r>
            <w:r w:rsidR="00217809" w:rsidRPr="005517C4">
              <w:rPr>
                <w:rFonts w:ascii="Times New Roman" w:hAnsi="Times New Roman" w:cs="Times New Roman"/>
                <w:noProof/>
                <w:sz w:val="18"/>
                <w:szCs w:val="18"/>
                <w:lang w:val="en-US"/>
              </w:rPr>
              <w:t>Acaravcı and Erdogan (2016)</w:t>
            </w:r>
            <w:r w:rsidRPr="005517C4">
              <w:rPr>
                <w:rFonts w:ascii="Times New Roman" w:hAnsi="Times New Roman" w:cs="Times New Roman"/>
                <w:noProof/>
                <w:sz w:val="18"/>
                <w:szCs w:val="18"/>
                <w:lang w:val="en-US"/>
              </w:rPr>
              <w:fldChar w:fldCharType="end"/>
            </w:r>
          </w:p>
        </w:tc>
        <w:tc>
          <w:tcPr>
            <w:tcW w:w="805" w:type="dxa"/>
            <w:vAlign w:val="center"/>
          </w:tcPr>
          <w:p w:rsidR="00217809" w:rsidRPr="005517C4" w:rsidRDefault="00217809" w:rsidP="00217809">
            <w:pPr>
              <w:rPr>
                <w:rFonts w:ascii="Times New Roman" w:hAnsi="Times New Roman" w:cs="Times New Roman"/>
                <w:noProof/>
                <w:sz w:val="18"/>
                <w:szCs w:val="18"/>
                <w:lang w:val="en-US"/>
              </w:rPr>
            </w:pPr>
            <w:r w:rsidRPr="005517C4">
              <w:rPr>
                <w:rFonts w:ascii="Times New Roman" w:hAnsi="Times New Roman" w:cs="Times New Roman"/>
                <w:noProof/>
                <w:sz w:val="18"/>
                <w:szCs w:val="18"/>
                <w:lang w:val="en-US"/>
              </w:rPr>
              <w:t>1960-2011</w:t>
            </w:r>
          </w:p>
        </w:tc>
        <w:tc>
          <w:tcPr>
            <w:tcW w:w="1308" w:type="dxa"/>
            <w:vAlign w:val="center"/>
          </w:tcPr>
          <w:p w:rsidR="00217809" w:rsidRPr="005517C4" w:rsidRDefault="00217809" w:rsidP="00217809">
            <w:pPr>
              <w:rPr>
                <w:rFonts w:ascii="Times New Roman" w:hAnsi="Times New Roman" w:cs="Times New Roman"/>
                <w:noProof/>
                <w:sz w:val="18"/>
                <w:szCs w:val="18"/>
                <w:lang w:val="en-US"/>
              </w:rPr>
            </w:pPr>
            <w:r w:rsidRPr="005517C4">
              <w:rPr>
                <w:rFonts w:ascii="Times New Roman" w:hAnsi="Times New Roman" w:cs="Times New Roman"/>
                <w:noProof/>
                <w:sz w:val="18"/>
                <w:szCs w:val="18"/>
                <w:lang w:val="en-US"/>
              </w:rPr>
              <w:t>7 regions of the World</w:t>
            </w:r>
          </w:p>
        </w:tc>
        <w:tc>
          <w:tcPr>
            <w:tcW w:w="2835" w:type="dxa"/>
            <w:vAlign w:val="center"/>
          </w:tcPr>
          <w:p w:rsidR="00217809" w:rsidRPr="005517C4" w:rsidRDefault="00217809" w:rsidP="00217809">
            <w:pPr>
              <w:rPr>
                <w:rFonts w:ascii="Times New Roman" w:hAnsi="Times New Roman" w:cs="Times New Roman"/>
                <w:noProof/>
                <w:sz w:val="18"/>
                <w:szCs w:val="18"/>
                <w:lang w:val="en-US"/>
              </w:rPr>
            </w:pPr>
            <w:r w:rsidRPr="005517C4">
              <w:rPr>
                <w:rFonts w:ascii="Times New Roman" w:hAnsi="Times New Roman" w:cs="Times New Roman"/>
                <w:noProof/>
                <w:sz w:val="18"/>
                <w:szCs w:val="18"/>
                <w:lang w:val="en-US"/>
              </w:rPr>
              <w:t xml:space="preserve">Panel unit root test proposed by </w:t>
            </w:r>
            <w:r w:rsidR="006578EE" w:rsidRPr="005517C4">
              <w:rPr>
                <w:rFonts w:ascii="Times New Roman" w:hAnsi="Times New Roman" w:cs="Times New Roman"/>
                <w:noProof/>
                <w:sz w:val="18"/>
                <w:szCs w:val="18"/>
                <w:lang w:val="en-US"/>
              </w:rPr>
              <w:fldChar w:fldCharType="begin" w:fldLock="1"/>
            </w:r>
            <w:r w:rsidRPr="005517C4">
              <w:rPr>
                <w:rFonts w:ascii="Times New Roman" w:hAnsi="Times New Roman" w:cs="Times New Roman"/>
                <w:noProof/>
                <w:sz w:val="18"/>
                <w:szCs w:val="18"/>
                <w:lang w:val="en-US"/>
              </w:rPr>
              <w:instrText>ADDIN CSL_CITATION { "citationItems" : [ { "id" : "ITEM-1", "itemData" : { "abstract" : "This paper shows that foreign aid has a significant positive average effect on real per capita gross domestic product (GDP) growth if, and only if, the quantitatively large negative reverse causal effect of per capita GDP growth on foreign aid is adjusted for in the growth regression. Instrumental variables estimates show that a 1 percentage point increase in GDP per capita growth decreased foreign aid by over 4%. Adjusting for this quantitatively large, negative reverse causal effect of economic growth on foreign aid shows that a 1% increase in foreign aid increased real per capita GDP growth by around 0.1 percentage points. Copyright", "author" : [ { "dropping-particle" : "", "family" : "Pesaran", "given" : "M. Hashem", "non-dropping-particle" : "", "parse-names" : false, "suffix" : "" } ], "container-title" : "Journal of Applied Econometrics", "id" : "ITEM-1", "issue" : "2", "issued" : { "date-parts" : [ [ "2007", "3" ] ] }, "page" : "265-312", "title" : "A simple panel unit root test in the presence of cross-section dependence", "type" : "article-journal", "volume" : "22" }, "uris" : [ "http://www.mendeley.com/documents/?uuid=d74e9495-2159-42ca-95c4-c3a73effd34c" ] } ], "mendeley" : { "formattedCitation" : "(Pesaran 2007)", "manualFormatting" : "Pesaran (2007)", "plainTextFormattedCitation" : "(Pesaran 2007)", "previouslyFormattedCitation" : "(Pesaran 2007)" }, "properties" : { "noteIndex" : 0 }, "schema" : "https://github.com/citation-style-language/schema/raw/master/csl-citation.json" }</w:instrText>
            </w:r>
            <w:r w:rsidR="006578EE" w:rsidRPr="005517C4">
              <w:rPr>
                <w:rFonts w:ascii="Times New Roman" w:hAnsi="Times New Roman" w:cs="Times New Roman"/>
                <w:noProof/>
                <w:sz w:val="18"/>
                <w:szCs w:val="18"/>
                <w:lang w:val="en-US"/>
              </w:rPr>
              <w:fldChar w:fldCharType="separate"/>
            </w:r>
            <w:r w:rsidRPr="005517C4">
              <w:rPr>
                <w:rFonts w:ascii="Times New Roman" w:hAnsi="Times New Roman" w:cs="Times New Roman"/>
                <w:noProof/>
                <w:sz w:val="18"/>
                <w:szCs w:val="18"/>
                <w:lang w:val="en-US"/>
              </w:rPr>
              <w:t>Pesaran (2007)</w:t>
            </w:r>
            <w:r w:rsidR="006578EE" w:rsidRPr="005517C4">
              <w:rPr>
                <w:rFonts w:ascii="Times New Roman" w:hAnsi="Times New Roman" w:cs="Times New Roman"/>
                <w:noProof/>
                <w:sz w:val="18"/>
                <w:szCs w:val="18"/>
                <w:lang w:val="en-US"/>
              </w:rPr>
              <w:fldChar w:fldCharType="end"/>
            </w:r>
            <w:r w:rsidRPr="005517C4">
              <w:rPr>
                <w:rFonts w:ascii="Times New Roman" w:hAnsi="Times New Roman" w:cs="Times New Roman"/>
                <w:noProof/>
                <w:sz w:val="18"/>
                <w:szCs w:val="18"/>
                <w:lang w:val="en-US"/>
              </w:rPr>
              <w:t xml:space="preserve"> and </w:t>
            </w:r>
            <w:r w:rsidR="006578EE" w:rsidRPr="005517C4">
              <w:rPr>
                <w:rFonts w:ascii="Times New Roman" w:hAnsi="Times New Roman" w:cs="Times New Roman"/>
                <w:noProof/>
                <w:sz w:val="18"/>
                <w:szCs w:val="18"/>
                <w:lang w:val="en-US"/>
              </w:rPr>
              <w:fldChar w:fldCharType="begin" w:fldLock="1"/>
            </w:r>
            <w:r w:rsidR="00216FA4">
              <w:rPr>
                <w:rFonts w:ascii="Times New Roman" w:hAnsi="Times New Roman" w:cs="Times New Roman"/>
                <w:noProof/>
                <w:sz w:val="18"/>
                <w:szCs w:val="18"/>
                <w:lang w:val="en-US"/>
              </w:rPr>
              <w:instrText>ADDIN CSL_CITATION { "citationItems" : [ { "id" : "ITEM-1", "itemData" : { "DOI" : "10.1111/j.1368-423X.2005.00158.x", "ISSN" : "1368-4221", "author" : [ { "dropping-particle" : "", "family" : "Lluis Carrion-i-Silvestre", "given" : "Josep", "non-dropping-particle" : "", "parse-names" : false, "suffix" : "" }, { "dropping-particle" : "", "family" : "Barrio-Castro", "given" : "Tomas", "non-dropping-particle" : "del", "parse-names" : false, "suffix" : "" }, { "dropping-particle" : "", "family" : "Lopez-Bazo", "given" : "Enrique", "non-dropping-particle" : "", "parse-names" : false, "suffix" : "" } ], "container-title" : "The Econometrics Journal", "id" : "ITEM-1", "issue" : "2", "issued" : { "date-parts" : [ [ "2005", "7" ] ] }, "page" : "159-175", "publisher" : "Blackwell Publishing Ltd.", "title" : "Breaking the panels: An application to the GDP per capita", "type" : "article-journal", "volume" : "8" }, "uris" : [ "http://www.mendeley.com/documents/?uuid=f6f472d8-d2ee-3cac-8161-96ffac665cc5" ] } ], "mendeley" : { "formattedCitation" : "(Lluis Carrion-i-Silvestre, del Barrio-Castro, and Lopez-Bazo 2005)", "manualFormatting" : "Carrion-i-Silvestre et al.( 2005)", "plainTextFormattedCitation" : "(Lluis Carrion-i-Silvestre, del Barrio-Castro, and Lopez-Bazo 2005)", "previouslyFormattedCitation" : "(Lluis Carrion-i-Silvestre, del Barrio-Castro, and Lopez-Bazo 2005)" }, "properties" : { "noteIndex" : 0 }, "schema" : "https://github.com/citation-style-language/schema/raw/master/csl-citation.json" }</w:instrText>
            </w:r>
            <w:r w:rsidR="006578EE" w:rsidRPr="005517C4">
              <w:rPr>
                <w:rFonts w:ascii="Times New Roman" w:hAnsi="Times New Roman" w:cs="Times New Roman"/>
                <w:noProof/>
                <w:sz w:val="18"/>
                <w:szCs w:val="18"/>
                <w:lang w:val="en-US"/>
              </w:rPr>
              <w:fldChar w:fldCharType="separate"/>
            </w:r>
            <w:r w:rsidRPr="005517C4">
              <w:rPr>
                <w:rFonts w:ascii="Times New Roman" w:hAnsi="Times New Roman" w:cs="Times New Roman"/>
                <w:noProof/>
                <w:sz w:val="18"/>
                <w:szCs w:val="18"/>
                <w:lang w:val="en-US"/>
              </w:rPr>
              <w:t>Carrion-i-Silvestre et al.( 2005)</w:t>
            </w:r>
            <w:r w:rsidR="006578EE" w:rsidRPr="005517C4">
              <w:rPr>
                <w:rFonts w:ascii="Times New Roman" w:hAnsi="Times New Roman" w:cs="Times New Roman"/>
                <w:noProof/>
                <w:sz w:val="18"/>
                <w:szCs w:val="18"/>
                <w:lang w:val="en-US"/>
              </w:rPr>
              <w:fldChar w:fldCharType="end"/>
            </w:r>
          </w:p>
        </w:tc>
        <w:tc>
          <w:tcPr>
            <w:tcW w:w="959" w:type="dxa"/>
            <w:vAlign w:val="center"/>
          </w:tcPr>
          <w:p w:rsidR="00217809" w:rsidRPr="005517C4" w:rsidRDefault="00217809" w:rsidP="00217809">
            <w:pPr>
              <w:rPr>
                <w:rFonts w:ascii="Times New Roman" w:hAnsi="Times New Roman" w:cs="Times New Roman"/>
                <w:noProof/>
                <w:sz w:val="18"/>
                <w:szCs w:val="18"/>
                <w:lang w:val="en-US"/>
              </w:rPr>
            </w:pPr>
            <w:r w:rsidRPr="005517C4">
              <w:rPr>
                <w:rFonts w:ascii="Times New Roman" w:hAnsi="Times New Roman" w:cs="Times New Roman"/>
                <w:noProof/>
                <w:sz w:val="18"/>
                <w:szCs w:val="18"/>
                <w:lang w:val="en-US"/>
              </w:rPr>
              <w:t>CO</w:t>
            </w:r>
            <w:r w:rsidRPr="005517C4">
              <w:rPr>
                <w:rFonts w:ascii="Times New Roman" w:hAnsi="Times New Roman" w:cs="Times New Roman"/>
                <w:noProof/>
                <w:sz w:val="18"/>
                <w:szCs w:val="18"/>
                <w:vertAlign w:val="subscript"/>
                <w:lang w:val="en-US"/>
              </w:rPr>
              <w:t>2</w:t>
            </w:r>
          </w:p>
        </w:tc>
        <w:tc>
          <w:tcPr>
            <w:tcW w:w="2868" w:type="dxa"/>
            <w:vAlign w:val="center"/>
          </w:tcPr>
          <w:p w:rsidR="00217809" w:rsidRPr="005517C4" w:rsidRDefault="00217809" w:rsidP="00217809">
            <w:pPr>
              <w:rPr>
                <w:rFonts w:ascii="Times New Roman" w:hAnsi="Times New Roman" w:cs="Times New Roman"/>
                <w:noProof/>
                <w:sz w:val="18"/>
                <w:szCs w:val="18"/>
                <w:lang w:val="en-US"/>
              </w:rPr>
            </w:pPr>
            <w:r w:rsidRPr="005517C4">
              <w:rPr>
                <w:rFonts w:ascii="Times New Roman" w:hAnsi="Times New Roman" w:cs="Times New Roman"/>
                <w:noProof/>
                <w:sz w:val="18"/>
                <w:szCs w:val="18"/>
                <w:lang w:val="en-US"/>
              </w:rPr>
              <w:t>Stochastic conditional convergence for regions</w:t>
            </w:r>
          </w:p>
        </w:tc>
      </w:tr>
      <w:tr w:rsidR="006C6A16" w:rsidRPr="005517C4" w:rsidTr="006C6A16">
        <w:trPr>
          <w:trHeight w:val="385"/>
        </w:trPr>
        <w:tc>
          <w:tcPr>
            <w:tcW w:w="1667" w:type="dxa"/>
            <w:vAlign w:val="center"/>
          </w:tcPr>
          <w:p w:rsidR="006C6A16" w:rsidRPr="005517C4" w:rsidRDefault="006578EE" w:rsidP="00217809">
            <w:pPr>
              <w:rPr>
                <w:rFonts w:ascii="Times New Roman" w:hAnsi="Times New Roman" w:cs="Times New Roman"/>
                <w:noProof/>
                <w:sz w:val="18"/>
                <w:szCs w:val="18"/>
                <w:lang w:val="en-US"/>
              </w:rPr>
            </w:pPr>
            <w:r>
              <w:rPr>
                <w:rFonts w:ascii="Times New Roman" w:hAnsi="Times New Roman" w:cs="Times New Roman"/>
                <w:noProof/>
                <w:sz w:val="18"/>
                <w:szCs w:val="18"/>
                <w:lang w:val="en-US"/>
              </w:rPr>
              <w:fldChar w:fldCharType="begin" w:fldLock="1"/>
            </w:r>
            <w:r w:rsidR="006C6A16">
              <w:rPr>
                <w:rFonts w:ascii="Times New Roman" w:hAnsi="Times New Roman" w:cs="Times New Roman"/>
                <w:noProof/>
                <w:sz w:val="18"/>
                <w:szCs w:val="18"/>
                <w:lang w:val="en-US"/>
              </w:rPr>
              <w:instrText>ADDIN CSL_CITATION { "citationItems" : [ { "id" : "ITEM-1", "itemData" : { "DOI" : "10.1016/j.envdev.2016.06.005", "ISSN" : "22114645", "abstract" : "This paper examines convergence of carbon dioxide (CO2) emissions caused by oil combustion for a panel of 86 countries considering the importance of analyzing sub-periods separately. The investigation also points at the necessity of choosing a restricted global sample, which takes into account, for instance, that Eastern Bloc countries reacted differently to increasing world crude oil prices than the rest of the world. The analysis builds on examining the \u03b2-convergence hypothesis in a neoclassical growth model setting with additional control variables such as emissions from combustion of solid fuels. The results reveal evidence in support of unconditional \u03b2-convergence of CO2 emissions intensity due to oil combustion in the restricted sample for the sub-periods 1973\u20131979 and 1979\u20131991, while no evidence for convergence was found for the post-1991, pre-Kyoto period. We could not find support for coal substituting for oil, which suggests that the two types of fuels were related to different basic technologies.", "author" : [ { "dropping-particle" : "", "family" : "Acar", "given" : "Sevil", "non-dropping-particle" : "", "parse-names" : false, "suffix" : "" }, { "dropping-particle" : "", "family" : "Lindmark", "given" : "Magnus", "non-dropping-particle" : "", "parse-names" : false, "suffix" : "" } ], "container-title" : "Environmental Development", "id" : "ITEM-1", "issued" : { "date-parts" : [ [ "2016" ] ] }, "page" : "1-9", "title" : "Periods of converging carbon dioxide emissions from oil combustion in a pre-Kyoto context", "type" : "article-journal", "volume" : "19" }, "uris" : [ "http://www.mendeley.com/documents/?uuid=71d22d0c-e449-3235-b8b2-d4f71791df80" ] } ], "mendeley" : { "formattedCitation" : "(Acar and Lindmark 2016)", "manualFormatting" : "Acar and Lindmark (2016)", "plainTextFormattedCitation" : "(Acar and Lindmark 2016)", "previouslyFormattedCitation" : "(Acar and Lindmark 2016)" }, "properties" : { "noteIndex" : 0 }, "schema" : "https://github.com/citation-style-language/schema/raw/master/csl-citation.json" }</w:instrText>
            </w:r>
            <w:r>
              <w:rPr>
                <w:rFonts w:ascii="Times New Roman" w:hAnsi="Times New Roman" w:cs="Times New Roman"/>
                <w:noProof/>
                <w:sz w:val="18"/>
                <w:szCs w:val="18"/>
                <w:lang w:val="en-US"/>
              </w:rPr>
              <w:fldChar w:fldCharType="separate"/>
            </w:r>
            <w:r w:rsidR="006C6A16" w:rsidRPr="006C6A16">
              <w:rPr>
                <w:rFonts w:ascii="Times New Roman" w:hAnsi="Times New Roman" w:cs="Times New Roman"/>
                <w:noProof/>
                <w:sz w:val="18"/>
                <w:szCs w:val="18"/>
                <w:lang w:val="en-US"/>
              </w:rPr>
              <w:t xml:space="preserve">Acar and Lindmark </w:t>
            </w:r>
            <w:r w:rsidR="006C6A16">
              <w:rPr>
                <w:rFonts w:ascii="Times New Roman" w:hAnsi="Times New Roman" w:cs="Times New Roman"/>
                <w:noProof/>
                <w:sz w:val="18"/>
                <w:szCs w:val="18"/>
                <w:lang w:val="en-US"/>
              </w:rPr>
              <w:t>(</w:t>
            </w:r>
            <w:r w:rsidR="006C6A16" w:rsidRPr="006C6A16">
              <w:rPr>
                <w:rFonts w:ascii="Times New Roman" w:hAnsi="Times New Roman" w:cs="Times New Roman"/>
                <w:noProof/>
                <w:sz w:val="18"/>
                <w:szCs w:val="18"/>
                <w:lang w:val="en-US"/>
              </w:rPr>
              <w:t>2016)</w:t>
            </w:r>
            <w:r>
              <w:rPr>
                <w:rFonts w:ascii="Times New Roman" w:hAnsi="Times New Roman" w:cs="Times New Roman"/>
                <w:noProof/>
                <w:sz w:val="18"/>
                <w:szCs w:val="18"/>
                <w:lang w:val="en-US"/>
              </w:rPr>
              <w:fldChar w:fldCharType="end"/>
            </w:r>
          </w:p>
        </w:tc>
        <w:tc>
          <w:tcPr>
            <w:tcW w:w="805" w:type="dxa"/>
            <w:vAlign w:val="center"/>
          </w:tcPr>
          <w:p w:rsidR="006C6A16" w:rsidRPr="005517C4" w:rsidRDefault="006C6A16" w:rsidP="006C6A16">
            <w:pPr>
              <w:rPr>
                <w:rFonts w:ascii="Times New Roman" w:hAnsi="Times New Roman" w:cs="Times New Roman"/>
                <w:noProof/>
                <w:sz w:val="18"/>
                <w:szCs w:val="18"/>
                <w:lang w:val="en-US"/>
              </w:rPr>
            </w:pPr>
            <w:r>
              <w:rPr>
                <w:rFonts w:ascii="Times New Roman" w:hAnsi="Times New Roman" w:cs="Times New Roman"/>
                <w:noProof/>
                <w:sz w:val="18"/>
                <w:szCs w:val="18"/>
                <w:lang w:val="en-US"/>
              </w:rPr>
              <w:t>1950-2010</w:t>
            </w:r>
          </w:p>
        </w:tc>
        <w:tc>
          <w:tcPr>
            <w:tcW w:w="1308" w:type="dxa"/>
            <w:vAlign w:val="center"/>
          </w:tcPr>
          <w:p w:rsidR="006C6A16" w:rsidRPr="005517C4" w:rsidRDefault="006C6A16" w:rsidP="00217809">
            <w:pPr>
              <w:rPr>
                <w:rFonts w:ascii="Times New Roman" w:hAnsi="Times New Roman" w:cs="Times New Roman"/>
                <w:noProof/>
                <w:sz w:val="18"/>
                <w:szCs w:val="18"/>
                <w:lang w:val="en-US"/>
              </w:rPr>
            </w:pPr>
            <w:r>
              <w:rPr>
                <w:rFonts w:ascii="Times New Roman" w:hAnsi="Times New Roman" w:cs="Times New Roman"/>
                <w:noProof/>
                <w:sz w:val="18"/>
                <w:szCs w:val="18"/>
                <w:lang w:val="en-US"/>
              </w:rPr>
              <w:t>86 Countries</w:t>
            </w:r>
          </w:p>
        </w:tc>
        <w:tc>
          <w:tcPr>
            <w:tcW w:w="2835" w:type="dxa"/>
            <w:vAlign w:val="center"/>
          </w:tcPr>
          <w:p w:rsidR="006C6A16" w:rsidRPr="005517C4" w:rsidRDefault="006C6A16" w:rsidP="00217809">
            <w:pPr>
              <w:rPr>
                <w:rFonts w:ascii="Times New Roman" w:hAnsi="Times New Roman" w:cs="Times New Roman"/>
                <w:noProof/>
                <w:sz w:val="18"/>
                <w:szCs w:val="18"/>
                <w:lang w:val="en-US"/>
              </w:rPr>
            </w:pPr>
            <w:r>
              <w:rPr>
                <w:rFonts w:ascii="Times New Roman" w:hAnsi="Times New Roman" w:cs="Times New Roman"/>
                <w:noProof/>
                <w:sz w:val="18"/>
                <w:szCs w:val="18"/>
                <w:lang w:val="en-US"/>
              </w:rPr>
              <w:t>Growth regression</w:t>
            </w:r>
          </w:p>
        </w:tc>
        <w:tc>
          <w:tcPr>
            <w:tcW w:w="959" w:type="dxa"/>
            <w:vAlign w:val="center"/>
          </w:tcPr>
          <w:p w:rsidR="006C6A16" w:rsidRPr="005517C4" w:rsidRDefault="006C6A16" w:rsidP="00217809">
            <w:pPr>
              <w:rPr>
                <w:rFonts w:ascii="Times New Roman" w:hAnsi="Times New Roman" w:cs="Times New Roman"/>
                <w:noProof/>
                <w:sz w:val="18"/>
                <w:szCs w:val="18"/>
                <w:lang w:val="en-US"/>
              </w:rPr>
            </w:pPr>
            <w:r w:rsidRPr="005517C4">
              <w:rPr>
                <w:rFonts w:ascii="Times New Roman" w:hAnsi="Times New Roman" w:cs="Times New Roman"/>
                <w:noProof/>
                <w:sz w:val="18"/>
                <w:szCs w:val="18"/>
                <w:lang w:val="en-US"/>
              </w:rPr>
              <w:t>CO</w:t>
            </w:r>
            <w:r w:rsidRPr="005517C4">
              <w:rPr>
                <w:rFonts w:ascii="Times New Roman" w:hAnsi="Times New Roman" w:cs="Times New Roman"/>
                <w:noProof/>
                <w:sz w:val="18"/>
                <w:szCs w:val="18"/>
                <w:vertAlign w:val="subscript"/>
                <w:lang w:val="en-US"/>
              </w:rPr>
              <w:t>2</w:t>
            </w:r>
          </w:p>
        </w:tc>
        <w:tc>
          <w:tcPr>
            <w:tcW w:w="2868" w:type="dxa"/>
            <w:vAlign w:val="center"/>
          </w:tcPr>
          <w:p w:rsidR="006C6A16" w:rsidRPr="005517C4" w:rsidRDefault="006C6A16" w:rsidP="00217809">
            <w:pPr>
              <w:rPr>
                <w:rFonts w:ascii="Times New Roman" w:hAnsi="Times New Roman" w:cs="Times New Roman"/>
                <w:noProof/>
                <w:sz w:val="18"/>
                <w:szCs w:val="18"/>
                <w:lang w:val="en-US"/>
              </w:rPr>
            </w:pPr>
            <w:r>
              <w:rPr>
                <w:rFonts w:ascii="Times New Roman" w:hAnsi="Times New Roman" w:cs="Times New Roman"/>
                <w:noProof/>
                <w:sz w:val="18"/>
                <w:szCs w:val="18"/>
                <w:lang w:val="en-US"/>
              </w:rPr>
              <w:t>Mixed results</w:t>
            </w:r>
          </w:p>
        </w:tc>
      </w:tr>
      <w:tr w:rsidR="00217809" w:rsidRPr="005517C4" w:rsidTr="006C6A16">
        <w:trPr>
          <w:trHeight w:val="385"/>
        </w:trPr>
        <w:tc>
          <w:tcPr>
            <w:tcW w:w="1667" w:type="dxa"/>
            <w:vAlign w:val="center"/>
          </w:tcPr>
          <w:p w:rsidR="00217809" w:rsidRPr="005517C4" w:rsidRDefault="006578EE" w:rsidP="00217809">
            <w:pPr>
              <w:rPr>
                <w:rFonts w:ascii="Times New Roman" w:hAnsi="Times New Roman" w:cs="Times New Roman"/>
                <w:noProof/>
                <w:sz w:val="18"/>
                <w:szCs w:val="18"/>
                <w:lang w:val="en-US"/>
              </w:rPr>
            </w:pPr>
            <w:r w:rsidRPr="005517C4">
              <w:rPr>
                <w:rFonts w:ascii="Times New Roman" w:hAnsi="Times New Roman" w:cs="Times New Roman"/>
                <w:noProof/>
                <w:sz w:val="18"/>
                <w:szCs w:val="18"/>
                <w:lang w:val="en-US"/>
              </w:rPr>
              <w:fldChar w:fldCharType="begin" w:fldLock="1"/>
            </w:r>
            <w:r w:rsidR="00217809" w:rsidRPr="005517C4">
              <w:rPr>
                <w:rFonts w:ascii="Times New Roman" w:hAnsi="Times New Roman" w:cs="Times New Roman"/>
                <w:noProof/>
                <w:sz w:val="18"/>
                <w:szCs w:val="18"/>
                <w:lang w:val="en-US"/>
              </w:rPr>
              <w:instrText>ADDIN CSL_CITATION { "citationItems" : [ { "id" : "ITEM-1", "itemData" : { "DOI" : "10.1016/j.eneco.2016.11.027", "ISSN" : "01409883", "abstract" : "This study extends the literature on the convergence of per capita carbon dioxide emissions by examining the 50 U.S. states including the District of Columbia in the aggregate, by sector, and by fossil fuel source using the Phillips-Sul club convergence approach for the period 1980 to 2013. The results indicate multiple convergence clubs in the aggregate, by sector (residential, commercial, industrial, transport, and electric power), and for two of the three fossil fuel sources (natural gas and coal) with full panel club convergence in the case of petroleum. The presence of multiple equilibria suggests that environmental policies should recognize the distinctive convergence paths associated with each cluster of states.", "author" : [ { "dropping-particle" : "", "family" : "Apergis", "given" : "Nicholas", "non-dropping-particle" : "", "parse-names" : false, "suffix" : "" }, { "dropping-particle" : "", "family" : "Payne", "given" : "James E.", "non-dropping-particle" : "", "parse-names" : false, "suffix" : "" } ], "container-title" : "Energy Economics", "id" : "ITEM-1", "issued" : { "date-parts" : [ [ "2017" ] ] }, "title" : "Per capita carbon dioxide emissions across U.S. states by sector and fossil fuel source: Evidence from club convergence tests", "type" : "article-journal" }, "uris" : [ "http://www.mendeley.com/documents/?uuid=32029b65-60e3-3fc5-b740-fe431f35cf3d" ] } ], "mendeley" : { "formattedCitation" : "(Apergis and Payne 2017)", "manualFormatting" : "Apergis and Payne (2017)", "plainTextFormattedCitation" : "(Apergis and Payne 2017)", "previouslyFormattedCitation" : "(Apergis and Payne 2017)" }, "properties" : { "noteIndex" : 0 }, "schema" : "https://github.com/citation-style-language/schema/raw/master/csl-citation.json" }</w:instrText>
            </w:r>
            <w:r w:rsidRPr="005517C4">
              <w:rPr>
                <w:rFonts w:ascii="Times New Roman" w:hAnsi="Times New Roman" w:cs="Times New Roman"/>
                <w:noProof/>
                <w:sz w:val="18"/>
                <w:szCs w:val="18"/>
                <w:lang w:val="en-US"/>
              </w:rPr>
              <w:fldChar w:fldCharType="separate"/>
            </w:r>
            <w:r w:rsidR="00217809" w:rsidRPr="005517C4">
              <w:rPr>
                <w:rFonts w:ascii="Times New Roman" w:hAnsi="Times New Roman" w:cs="Times New Roman"/>
                <w:noProof/>
                <w:sz w:val="18"/>
                <w:szCs w:val="18"/>
                <w:lang w:val="en-US"/>
              </w:rPr>
              <w:t>Apergis and Payne (2017)</w:t>
            </w:r>
            <w:r w:rsidRPr="005517C4">
              <w:rPr>
                <w:rFonts w:ascii="Times New Roman" w:hAnsi="Times New Roman" w:cs="Times New Roman"/>
                <w:noProof/>
                <w:sz w:val="18"/>
                <w:szCs w:val="18"/>
                <w:lang w:val="en-US"/>
              </w:rPr>
              <w:fldChar w:fldCharType="end"/>
            </w:r>
          </w:p>
        </w:tc>
        <w:tc>
          <w:tcPr>
            <w:tcW w:w="805" w:type="dxa"/>
            <w:vAlign w:val="center"/>
          </w:tcPr>
          <w:p w:rsidR="00217809" w:rsidRPr="005517C4" w:rsidRDefault="00217809" w:rsidP="00217809">
            <w:pPr>
              <w:rPr>
                <w:rFonts w:ascii="Times New Roman" w:hAnsi="Times New Roman" w:cs="Times New Roman"/>
                <w:noProof/>
                <w:sz w:val="18"/>
                <w:szCs w:val="18"/>
                <w:lang w:val="en-US"/>
              </w:rPr>
            </w:pPr>
            <w:r w:rsidRPr="005517C4">
              <w:rPr>
                <w:rFonts w:ascii="Times New Roman" w:hAnsi="Times New Roman" w:cs="Times New Roman"/>
                <w:noProof/>
                <w:sz w:val="18"/>
                <w:szCs w:val="18"/>
                <w:lang w:val="en-US"/>
              </w:rPr>
              <w:t>1980-2013</w:t>
            </w:r>
          </w:p>
        </w:tc>
        <w:tc>
          <w:tcPr>
            <w:tcW w:w="1308" w:type="dxa"/>
            <w:vAlign w:val="center"/>
          </w:tcPr>
          <w:p w:rsidR="00217809" w:rsidRPr="005517C4" w:rsidRDefault="00217809" w:rsidP="00217809">
            <w:pPr>
              <w:rPr>
                <w:rFonts w:ascii="Times New Roman" w:hAnsi="Times New Roman" w:cs="Times New Roman"/>
                <w:noProof/>
                <w:sz w:val="18"/>
                <w:szCs w:val="18"/>
                <w:lang w:val="en-US"/>
              </w:rPr>
            </w:pPr>
            <w:r w:rsidRPr="005517C4">
              <w:rPr>
                <w:rFonts w:ascii="Times New Roman" w:hAnsi="Times New Roman" w:cs="Times New Roman"/>
                <w:noProof/>
                <w:sz w:val="18"/>
                <w:szCs w:val="18"/>
                <w:lang w:val="en-US"/>
              </w:rPr>
              <w:t>U.S. States</w:t>
            </w:r>
          </w:p>
        </w:tc>
        <w:tc>
          <w:tcPr>
            <w:tcW w:w="2835" w:type="dxa"/>
            <w:vAlign w:val="center"/>
          </w:tcPr>
          <w:p w:rsidR="00217809" w:rsidRPr="005517C4" w:rsidRDefault="006578EE" w:rsidP="00217809">
            <w:pPr>
              <w:rPr>
                <w:rFonts w:ascii="Times New Roman" w:hAnsi="Times New Roman" w:cs="Times New Roman"/>
                <w:noProof/>
                <w:sz w:val="18"/>
                <w:szCs w:val="18"/>
                <w:lang w:val="en-US"/>
              </w:rPr>
            </w:pPr>
            <w:r w:rsidRPr="005517C4">
              <w:rPr>
                <w:rFonts w:ascii="Times New Roman" w:hAnsi="Times New Roman" w:cs="Times New Roman"/>
                <w:noProof/>
                <w:sz w:val="18"/>
                <w:szCs w:val="18"/>
                <w:lang w:val="en-US"/>
              </w:rPr>
              <w:fldChar w:fldCharType="begin" w:fldLock="1"/>
            </w:r>
            <w:r w:rsidR="00217809" w:rsidRPr="005517C4">
              <w:rPr>
                <w:rFonts w:ascii="Times New Roman" w:hAnsi="Times New Roman" w:cs="Times New Roman"/>
                <w:noProof/>
                <w:sz w:val="18"/>
                <w:szCs w:val="18"/>
                <w:lang w:val="en-US"/>
              </w:rPr>
              <w:instrText>ADDIN CSL_CITATION { "citationItems" : [ { "id" : "ITEM-1", "itemData" : { "DOI" : "10.1111/j.1468-0262.2007.00811.x", "ISSN" : "0012-9682", "author" : [ { "dropping-particle" : "", "family" : "Phillips", "given" : "Peter C. B.", "non-dropping-particle" : "", "parse-names" : false, "suffix" : "" }, { "dropping-particle" : "", "family" : "Sul", "given" : "Donggyu", "non-dropping-particle" : "", "parse-names" : false, "suffix" : "" } ], "container-title" : "Econometrica", "id" : "ITEM-1", "issue" : "6", "issued" : { "date-parts" : [ [ "2007", "11" ] ] }, "page" : "1771-1855", "publisher" : "Blackwell Publishing Ltd", "title" : "Transition Modeling and Econometric Convergence Tests", "type" : "article-journal", "volume" : "75" }, "uris" : [ "http://www.mendeley.com/documents/?uuid=fdd5387e-1c8d-3c46-b2e6-e4653867fe7f" ] } ], "mendeley" : { "formattedCitation" : "(Phillips and Sul 2007a)", "manualFormatting" : "Phillips and Sul (2007)", "plainTextFormattedCitation" : "(Phillips and Sul 2007a)", "previouslyFormattedCitation" : "(Phillips and Sul 2007a)" }, "properties" : { "noteIndex" : 0 }, "schema" : "https://github.com/citation-style-language/schema/raw/master/csl-citation.json" }</w:instrText>
            </w:r>
            <w:r w:rsidRPr="005517C4">
              <w:rPr>
                <w:rFonts w:ascii="Times New Roman" w:hAnsi="Times New Roman" w:cs="Times New Roman"/>
                <w:noProof/>
                <w:sz w:val="18"/>
                <w:szCs w:val="18"/>
                <w:lang w:val="en-US"/>
              </w:rPr>
              <w:fldChar w:fldCharType="separate"/>
            </w:r>
            <w:r w:rsidR="00217809" w:rsidRPr="005517C4">
              <w:rPr>
                <w:rFonts w:ascii="Times New Roman" w:hAnsi="Times New Roman" w:cs="Times New Roman"/>
                <w:noProof/>
                <w:sz w:val="18"/>
                <w:szCs w:val="18"/>
                <w:lang w:val="en-US"/>
              </w:rPr>
              <w:t>Phillips and Sul (2007)</w:t>
            </w:r>
            <w:r w:rsidRPr="005517C4">
              <w:rPr>
                <w:rFonts w:ascii="Times New Roman" w:hAnsi="Times New Roman" w:cs="Times New Roman"/>
                <w:noProof/>
                <w:sz w:val="18"/>
                <w:szCs w:val="18"/>
                <w:lang w:val="en-US"/>
              </w:rPr>
              <w:fldChar w:fldCharType="end"/>
            </w:r>
            <w:r w:rsidR="00217809" w:rsidRPr="005517C4">
              <w:rPr>
                <w:rFonts w:ascii="Times New Roman" w:hAnsi="Times New Roman" w:cs="Times New Roman"/>
                <w:noProof/>
                <w:sz w:val="18"/>
                <w:szCs w:val="18"/>
                <w:lang w:val="en-US"/>
              </w:rPr>
              <w:t xml:space="preserve"> Panel club convergence test</w:t>
            </w:r>
          </w:p>
        </w:tc>
        <w:tc>
          <w:tcPr>
            <w:tcW w:w="959" w:type="dxa"/>
            <w:vAlign w:val="center"/>
          </w:tcPr>
          <w:p w:rsidR="00217809" w:rsidRPr="005517C4" w:rsidRDefault="00217809" w:rsidP="00217809">
            <w:pPr>
              <w:rPr>
                <w:rFonts w:ascii="Times New Roman" w:hAnsi="Times New Roman" w:cs="Times New Roman"/>
                <w:noProof/>
                <w:sz w:val="18"/>
                <w:szCs w:val="18"/>
                <w:lang w:val="en-US"/>
              </w:rPr>
            </w:pPr>
            <w:r w:rsidRPr="005517C4">
              <w:rPr>
                <w:rFonts w:ascii="Times New Roman" w:hAnsi="Times New Roman" w:cs="Times New Roman"/>
                <w:noProof/>
                <w:sz w:val="18"/>
                <w:szCs w:val="18"/>
                <w:lang w:val="en-US"/>
              </w:rPr>
              <w:t>CO</w:t>
            </w:r>
            <w:r w:rsidRPr="005517C4">
              <w:rPr>
                <w:rFonts w:ascii="Times New Roman" w:hAnsi="Times New Roman" w:cs="Times New Roman"/>
                <w:noProof/>
                <w:sz w:val="18"/>
                <w:szCs w:val="18"/>
                <w:vertAlign w:val="subscript"/>
                <w:lang w:val="en-US"/>
              </w:rPr>
              <w:t>2</w:t>
            </w:r>
          </w:p>
        </w:tc>
        <w:tc>
          <w:tcPr>
            <w:tcW w:w="2868" w:type="dxa"/>
            <w:vAlign w:val="center"/>
          </w:tcPr>
          <w:p w:rsidR="00217809" w:rsidRPr="005517C4" w:rsidRDefault="00217809" w:rsidP="00217809">
            <w:pPr>
              <w:rPr>
                <w:rFonts w:ascii="Times New Roman" w:hAnsi="Times New Roman" w:cs="Times New Roman"/>
                <w:noProof/>
                <w:sz w:val="18"/>
                <w:szCs w:val="18"/>
                <w:lang w:val="en-US"/>
              </w:rPr>
            </w:pPr>
            <w:r w:rsidRPr="005517C4">
              <w:rPr>
                <w:rFonts w:ascii="Times New Roman" w:hAnsi="Times New Roman" w:cs="Times New Roman"/>
                <w:noProof/>
                <w:sz w:val="18"/>
                <w:szCs w:val="18"/>
                <w:lang w:val="en-US"/>
              </w:rPr>
              <w:t>Club convergence for some states, divergence for some</w:t>
            </w:r>
          </w:p>
        </w:tc>
      </w:tr>
      <w:tr w:rsidR="006C6A16" w:rsidRPr="005517C4" w:rsidTr="006C6A16">
        <w:trPr>
          <w:trHeight w:val="385"/>
        </w:trPr>
        <w:tc>
          <w:tcPr>
            <w:tcW w:w="1667" w:type="dxa"/>
            <w:vAlign w:val="center"/>
          </w:tcPr>
          <w:p w:rsidR="006C6A16" w:rsidRPr="005517C4" w:rsidRDefault="006578EE" w:rsidP="006C6A16">
            <w:pPr>
              <w:rPr>
                <w:rFonts w:ascii="Times New Roman" w:hAnsi="Times New Roman" w:cs="Times New Roman"/>
                <w:noProof/>
                <w:sz w:val="18"/>
                <w:szCs w:val="18"/>
                <w:lang w:val="en-US"/>
              </w:rPr>
            </w:pPr>
            <w:r>
              <w:rPr>
                <w:rFonts w:ascii="Times New Roman" w:hAnsi="Times New Roman" w:cs="Times New Roman"/>
                <w:noProof/>
                <w:sz w:val="18"/>
                <w:szCs w:val="18"/>
                <w:lang w:val="en-US"/>
              </w:rPr>
              <w:fldChar w:fldCharType="begin" w:fldLock="1"/>
            </w:r>
            <w:r w:rsidR="006C6A16">
              <w:rPr>
                <w:rFonts w:ascii="Times New Roman" w:hAnsi="Times New Roman" w:cs="Times New Roman"/>
                <w:noProof/>
                <w:sz w:val="18"/>
                <w:szCs w:val="18"/>
                <w:lang w:val="en-US"/>
              </w:rPr>
              <w:instrText>ADDIN CSL_CITATION { "citationItems" : [ { "id" : "ITEM-1", "itemData" : { "DOI" : "10.1080/15567249.2016.1249807", "abstract" : "ABSTRACTThis study analyzes convergence in CO2 emissions in the Organization for Economic Cooperation and Development (OECD) countries with respect to the source of emissions (oil vs. coal). The investigated period 1973\u20132010 is divided into two subperiods, 1973\u20131991 and 1992\u20132010. The first period covers the Organization of the Petroleum Exporting Countries (OPEC) oil price shocks, where the OECD oil policy was to a high extent governed by energy security concerns and Cold War strategic considerations. The second period corresponds to the end of the Cold War and the rise of climate policy in several OECD countries. Due to such contextual differences, oil and coal behave differently in the two subperiods. The generally stronger convergence with respect to oil-related emissions until 1991 conditional on gross domestic product per capita is compatible with a situation where the rising oil prices led to a strong transformation in the countries of interest. Besides, we evidence decoupling of economic growth fr...", "author" : [ { "dropping-particle" : "", "family" : "Acar", "given" : "Sevil", "non-dropping-particle" : "", "parse-names" : false, "suffix" : "" }, { "dropping-particle" : "", "family" : "Lindmark", "given" : "Magnus", "non-dropping-particle" : "", "parse-names" : false, "suffix" : "" } ], "container-title" : "Energy Sources, Part B: Economics, Planning, and Policy", "id" : "ITEM-1", "issued" : { "date-parts" : [ [ "2017", "3" ] ] }, "page" : "1-10", "publisher" : "Taylor &amp; Francis", "title" : "Convergence of CO2 emissions and economic growth in the OECD countries: Did the type of fuel matter?", "type" : "article-journal" }, "uris" : [ "http://www.mendeley.com/documents/?uuid=fe79aa93-5ee3-47b1-830b-a33e18639d8d" ] } ], "mendeley" : { "formattedCitation" : "(Acar and Lindmark 2017)", "manualFormatting" : "Acar and Lindmark (2017)", "plainTextFormattedCitation" : "(Acar and Lindmark 2017)", "previouslyFormattedCitation" : "(Acar and Lindmark 2017)" }, "properties" : { "noteIndex" : 0 }, "schema" : "https://github.com/citation-style-language/schema/raw/master/csl-citation.json" }</w:instrText>
            </w:r>
            <w:r>
              <w:rPr>
                <w:rFonts w:ascii="Times New Roman" w:hAnsi="Times New Roman" w:cs="Times New Roman"/>
                <w:noProof/>
                <w:sz w:val="18"/>
                <w:szCs w:val="18"/>
                <w:lang w:val="en-US"/>
              </w:rPr>
              <w:fldChar w:fldCharType="separate"/>
            </w:r>
            <w:r w:rsidR="006C6A16" w:rsidRPr="006C6A16">
              <w:rPr>
                <w:rFonts w:ascii="Times New Roman" w:hAnsi="Times New Roman" w:cs="Times New Roman"/>
                <w:noProof/>
                <w:sz w:val="18"/>
                <w:szCs w:val="18"/>
                <w:lang w:val="en-US"/>
              </w:rPr>
              <w:t xml:space="preserve">Acar and Lindmark </w:t>
            </w:r>
            <w:r w:rsidR="006C6A16">
              <w:rPr>
                <w:rFonts w:ascii="Times New Roman" w:hAnsi="Times New Roman" w:cs="Times New Roman"/>
                <w:noProof/>
                <w:sz w:val="18"/>
                <w:szCs w:val="18"/>
                <w:lang w:val="en-US"/>
              </w:rPr>
              <w:t>(</w:t>
            </w:r>
            <w:r w:rsidR="006C6A16" w:rsidRPr="006C6A16">
              <w:rPr>
                <w:rFonts w:ascii="Times New Roman" w:hAnsi="Times New Roman" w:cs="Times New Roman"/>
                <w:noProof/>
                <w:sz w:val="18"/>
                <w:szCs w:val="18"/>
                <w:lang w:val="en-US"/>
              </w:rPr>
              <w:t>2017)</w:t>
            </w:r>
            <w:r>
              <w:rPr>
                <w:rFonts w:ascii="Times New Roman" w:hAnsi="Times New Roman" w:cs="Times New Roman"/>
                <w:noProof/>
                <w:sz w:val="18"/>
                <w:szCs w:val="18"/>
                <w:lang w:val="en-US"/>
              </w:rPr>
              <w:fldChar w:fldCharType="end"/>
            </w:r>
          </w:p>
        </w:tc>
        <w:tc>
          <w:tcPr>
            <w:tcW w:w="805" w:type="dxa"/>
            <w:vAlign w:val="center"/>
          </w:tcPr>
          <w:p w:rsidR="006C6A16" w:rsidRPr="005517C4" w:rsidRDefault="006C6A16" w:rsidP="006C6A16">
            <w:pPr>
              <w:rPr>
                <w:rFonts w:ascii="Times New Roman" w:hAnsi="Times New Roman" w:cs="Times New Roman"/>
                <w:noProof/>
                <w:sz w:val="18"/>
                <w:szCs w:val="18"/>
                <w:lang w:val="en-US"/>
              </w:rPr>
            </w:pPr>
            <w:r>
              <w:rPr>
                <w:rFonts w:ascii="Times New Roman" w:hAnsi="Times New Roman" w:cs="Times New Roman"/>
                <w:noProof/>
                <w:sz w:val="18"/>
                <w:szCs w:val="18"/>
                <w:lang w:val="en-US"/>
              </w:rPr>
              <w:t>1970-2010</w:t>
            </w:r>
          </w:p>
        </w:tc>
        <w:tc>
          <w:tcPr>
            <w:tcW w:w="1308" w:type="dxa"/>
            <w:vAlign w:val="center"/>
          </w:tcPr>
          <w:p w:rsidR="006C6A16" w:rsidRPr="005517C4" w:rsidRDefault="006C6A16" w:rsidP="006C6A16">
            <w:pPr>
              <w:rPr>
                <w:rFonts w:ascii="Times New Roman" w:hAnsi="Times New Roman" w:cs="Times New Roman"/>
                <w:noProof/>
                <w:sz w:val="18"/>
                <w:szCs w:val="18"/>
                <w:lang w:val="en-US"/>
              </w:rPr>
            </w:pPr>
            <w:r>
              <w:rPr>
                <w:rFonts w:ascii="Times New Roman" w:hAnsi="Times New Roman" w:cs="Times New Roman"/>
                <w:noProof/>
                <w:sz w:val="18"/>
                <w:szCs w:val="18"/>
                <w:lang w:val="en-US"/>
              </w:rPr>
              <w:t>OECD</w:t>
            </w:r>
          </w:p>
        </w:tc>
        <w:tc>
          <w:tcPr>
            <w:tcW w:w="2835" w:type="dxa"/>
            <w:vAlign w:val="center"/>
          </w:tcPr>
          <w:p w:rsidR="006C6A16" w:rsidRPr="005517C4" w:rsidRDefault="006C6A16" w:rsidP="006C6A16">
            <w:pPr>
              <w:rPr>
                <w:rFonts w:ascii="Times New Roman" w:hAnsi="Times New Roman" w:cs="Times New Roman"/>
                <w:noProof/>
                <w:sz w:val="18"/>
                <w:szCs w:val="18"/>
                <w:lang w:val="en-US"/>
              </w:rPr>
            </w:pPr>
            <w:r>
              <w:rPr>
                <w:rFonts w:ascii="Times New Roman" w:hAnsi="Times New Roman" w:cs="Times New Roman"/>
                <w:noProof/>
                <w:sz w:val="18"/>
                <w:szCs w:val="18"/>
                <w:lang w:val="en-US"/>
              </w:rPr>
              <w:t>Growth regression</w:t>
            </w:r>
          </w:p>
        </w:tc>
        <w:tc>
          <w:tcPr>
            <w:tcW w:w="959" w:type="dxa"/>
            <w:vAlign w:val="center"/>
          </w:tcPr>
          <w:p w:rsidR="006C6A16" w:rsidRPr="005517C4" w:rsidRDefault="006C6A16" w:rsidP="006C6A16">
            <w:pPr>
              <w:rPr>
                <w:rFonts w:ascii="Times New Roman" w:hAnsi="Times New Roman" w:cs="Times New Roman"/>
                <w:noProof/>
                <w:sz w:val="18"/>
                <w:szCs w:val="18"/>
                <w:lang w:val="en-US"/>
              </w:rPr>
            </w:pPr>
            <w:r w:rsidRPr="005517C4">
              <w:rPr>
                <w:rFonts w:ascii="Times New Roman" w:hAnsi="Times New Roman" w:cs="Times New Roman"/>
                <w:noProof/>
                <w:sz w:val="18"/>
                <w:szCs w:val="18"/>
                <w:lang w:val="en-US"/>
              </w:rPr>
              <w:t>CO</w:t>
            </w:r>
            <w:r w:rsidRPr="005517C4">
              <w:rPr>
                <w:rFonts w:ascii="Times New Roman" w:hAnsi="Times New Roman" w:cs="Times New Roman"/>
                <w:noProof/>
                <w:sz w:val="18"/>
                <w:szCs w:val="18"/>
                <w:vertAlign w:val="subscript"/>
                <w:lang w:val="en-US"/>
              </w:rPr>
              <w:t>2</w:t>
            </w:r>
          </w:p>
        </w:tc>
        <w:tc>
          <w:tcPr>
            <w:tcW w:w="2868" w:type="dxa"/>
            <w:vAlign w:val="center"/>
          </w:tcPr>
          <w:p w:rsidR="006C6A16" w:rsidRPr="005517C4" w:rsidRDefault="006C6A16" w:rsidP="006C6A16">
            <w:pPr>
              <w:rPr>
                <w:rFonts w:ascii="Times New Roman" w:hAnsi="Times New Roman" w:cs="Times New Roman"/>
                <w:noProof/>
                <w:sz w:val="18"/>
                <w:szCs w:val="18"/>
                <w:lang w:val="en-US"/>
              </w:rPr>
            </w:pPr>
            <w:r w:rsidRPr="005517C4">
              <w:rPr>
                <w:rFonts w:ascii="Times New Roman" w:hAnsi="Times New Roman" w:cs="Times New Roman"/>
                <w:noProof/>
                <w:sz w:val="18"/>
                <w:szCs w:val="18"/>
                <w:lang w:val="en-US"/>
              </w:rPr>
              <w:t>Evidence for convergence</w:t>
            </w:r>
          </w:p>
        </w:tc>
      </w:tr>
    </w:tbl>
    <w:p w:rsidR="00A442F5" w:rsidRPr="005517C4" w:rsidRDefault="00A442F5" w:rsidP="00671631">
      <w:pPr>
        <w:spacing w:line="360" w:lineRule="auto"/>
        <w:jc w:val="both"/>
        <w:rPr>
          <w:rFonts w:ascii="Times New Roman" w:hAnsi="Times New Roman" w:cs="Times New Roman"/>
          <w:sz w:val="20"/>
        </w:rPr>
      </w:pPr>
      <w:r w:rsidRPr="005517C4">
        <w:rPr>
          <w:rFonts w:ascii="Times New Roman" w:hAnsi="Times New Roman" w:cs="Times New Roman"/>
          <w:sz w:val="20"/>
        </w:rPr>
        <w:t>*envi</w:t>
      </w:r>
      <w:r w:rsidR="00AF3C6F" w:rsidRPr="005517C4">
        <w:rPr>
          <w:rFonts w:ascii="Times New Roman" w:hAnsi="Times New Roman" w:cs="Times New Roman"/>
          <w:sz w:val="20"/>
        </w:rPr>
        <w:t>ronmental performance indicator</w:t>
      </w:r>
      <w:r w:rsidRPr="005517C4">
        <w:rPr>
          <w:rFonts w:ascii="Times New Roman" w:hAnsi="Times New Roman" w:cs="Times New Roman"/>
          <w:sz w:val="20"/>
        </w:rPr>
        <w:t xml:space="preserve"> calculated by the authors</w:t>
      </w:r>
    </w:p>
    <w:p w:rsidR="00D74742" w:rsidRDefault="00856BF2" w:rsidP="00671631">
      <w:pPr>
        <w:spacing w:line="360" w:lineRule="auto"/>
        <w:jc w:val="both"/>
        <w:rPr>
          <w:rFonts w:ascii="Times New Roman" w:hAnsi="Times New Roman" w:cs="Times New Roman"/>
          <w:noProof/>
          <w:szCs w:val="24"/>
          <w:lang w:val="en-US"/>
        </w:rPr>
      </w:pPr>
      <w:r>
        <w:rPr>
          <w:rFonts w:ascii="Times New Roman" w:hAnsi="Times New Roman" w:cs="Times New Roman"/>
          <w:noProof/>
          <w:szCs w:val="24"/>
          <w:lang w:val="en-US"/>
        </w:rPr>
        <w:t>We can definitely highlight</w:t>
      </w:r>
      <w:r w:rsidR="003C070A" w:rsidRPr="005517C4">
        <w:rPr>
          <w:rFonts w:ascii="Times New Roman" w:hAnsi="Times New Roman" w:cs="Times New Roman"/>
          <w:noProof/>
          <w:szCs w:val="24"/>
          <w:lang w:val="en-US"/>
        </w:rPr>
        <w:t xml:space="preserve"> that</w:t>
      </w:r>
      <w:r w:rsidR="00D74742" w:rsidRPr="005517C4">
        <w:rPr>
          <w:rFonts w:ascii="Times New Roman" w:hAnsi="Times New Roman" w:cs="Times New Roman"/>
          <w:noProof/>
          <w:szCs w:val="24"/>
          <w:lang w:val="en-US"/>
        </w:rPr>
        <w:t xml:space="preserve"> panel unit root test</w:t>
      </w:r>
      <w:r>
        <w:rPr>
          <w:rFonts w:ascii="Times New Roman" w:hAnsi="Times New Roman" w:cs="Times New Roman"/>
          <w:noProof/>
          <w:szCs w:val="24"/>
          <w:lang w:val="en-US"/>
        </w:rPr>
        <w:t xml:space="preserve"> methodologies have been</w:t>
      </w:r>
      <w:r w:rsidR="00D74742" w:rsidRPr="005517C4">
        <w:rPr>
          <w:rFonts w:ascii="Times New Roman" w:hAnsi="Times New Roman" w:cs="Times New Roman"/>
          <w:noProof/>
          <w:szCs w:val="24"/>
          <w:lang w:val="en-US"/>
        </w:rPr>
        <w:t xml:space="preserve"> frequently used </w:t>
      </w:r>
      <w:r>
        <w:rPr>
          <w:rFonts w:ascii="Times New Roman" w:hAnsi="Times New Roman" w:cs="Times New Roman"/>
          <w:noProof/>
          <w:szCs w:val="24"/>
          <w:lang w:val="en-US"/>
        </w:rPr>
        <w:t>to</w:t>
      </w:r>
      <w:r w:rsidR="00D74742" w:rsidRPr="005517C4">
        <w:rPr>
          <w:rFonts w:ascii="Times New Roman" w:hAnsi="Times New Roman" w:cs="Times New Roman"/>
          <w:noProof/>
          <w:szCs w:val="24"/>
          <w:lang w:val="en-US"/>
        </w:rPr>
        <w:t xml:space="preserve"> test convergence across countries. The</w:t>
      </w:r>
      <w:r w:rsidR="003C070A" w:rsidRPr="005517C4">
        <w:rPr>
          <w:rFonts w:ascii="Times New Roman" w:hAnsi="Times New Roman" w:cs="Times New Roman"/>
          <w:noProof/>
          <w:szCs w:val="24"/>
          <w:lang w:val="en-US"/>
        </w:rPr>
        <w:t>ir</w:t>
      </w:r>
      <w:r w:rsidR="00D74742" w:rsidRPr="005517C4">
        <w:rPr>
          <w:rFonts w:ascii="Times New Roman" w:hAnsi="Times New Roman" w:cs="Times New Roman"/>
          <w:noProof/>
          <w:szCs w:val="24"/>
          <w:lang w:val="en-US"/>
        </w:rPr>
        <w:t xml:space="preserve"> results favor </w:t>
      </w:r>
      <w:r>
        <w:rPr>
          <w:rFonts w:ascii="Times New Roman" w:hAnsi="Times New Roman" w:cs="Times New Roman"/>
          <w:noProof/>
          <w:szCs w:val="24"/>
          <w:lang w:val="en-US"/>
        </w:rPr>
        <w:t xml:space="preserve">the </w:t>
      </w:r>
      <w:r w:rsidR="00D74742" w:rsidRPr="005517C4">
        <w:rPr>
          <w:rFonts w:ascii="Times New Roman" w:hAnsi="Times New Roman" w:cs="Times New Roman"/>
          <w:noProof/>
          <w:szCs w:val="24"/>
          <w:lang w:val="en-US"/>
        </w:rPr>
        <w:t xml:space="preserve">rejection of </w:t>
      </w:r>
      <w:r>
        <w:rPr>
          <w:rFonts w:ascii="Times New Roman" w:hAnsi="Times New Roman" w:cs="Times New Roman"/>
          <w:noProof/>
          <w:szCs w:val="24"/>
          <w:lang w:val="en-US"/>
        </w:rPr>
        <w:t xml:space="preserve">a </w:t>
      </w:r>
      <w:r w:rsidR="00D74742" w:rsidRPr="005517C4">
        <w:rPr>
          <w:rFonts w:ascii="Times New Roman" w:hAnsi="Times New Roman" w:cs="Times New Roman"/>
          <w:noProof/>
          <w:szCs w:val="24"/>
          <w:lang w:val="en-US"/>
        </w:rPr>
        <w:t>unit root</w:t>
      </w:r>
      <w:r>
        <w:rPr>
          <w:rFonts w:ascii="Times New Roman" w:hAnsi="Times New Roman" w:cs="Times New Roman"/>
          <w:noProof/>
          <w:szCs w:val="24"/>
          <w:lang w:val="en-US"/>
        </w:rPr>
        <w:t>,</w:t>
      </w:r>
      <w:r w:rsidR="00D74742" w:rsidRPr="005517C4">
        <w:rPr>
          <w:rFonts w:ascii="Times New Roman" w:hAnsi="Times New Roman" w:cs="Times New Roman"/>
          <w:noProof/>
          <w:szCs w:val="24"/>
          <w:lang w:val="en-US"/>
        </w:rPr>
        <w:t xml:space="preserve"> impl</w:t>
      </w:r>
      <w:r>
        <w:rPr>
          <w:rFonts w:ascii="Times New Roman" w:hAnsi="Times New Roman" w:cs="Times New Roman"/>
          <w:noProof/>
          <w:szCs w:val="24"/>
          <w:lang w:val="en-US"/>
        </w:rPr>
        <w:t>ying</w:t>
      </w:r>
      <w:r w:rsidR="00D74742" w:rsidRPr="005517C4">
        <w:rPr>
          <w:rFonts w:ascii="Times New Roman" w:hAnsi="Times New Roman" w:cs="Times New Roman"/>
          <w:noProof/>
          <w:szCs w:val="24"/>
          <w:lang w:val="en-US"/>
        </w:rPr>
        <w:t xml:space="preserve"> </w:t>
      </w:r>
      <w:r>
        <w:rPr>
          <w:rFonts w:ascii="Times New Roman" w:hAnsi="Times New Roman" w:cs="Times New Roman"/>
          <w:noProof/>
          <w:szCs w:val="24"/>
          <w:lang w:val="en-US"/>
        </w:rPr>
        <w:t xml:space="preserve">the presence of </w:t>
      </w:r>
      <w:r w:rsidR="00D74742" w:rsidRPr="005517C4">
        <w:rPr>
          <w:rFonts w:ascii="Times New Roman" w:hAnsi="Times New Roman" w:cs="Times New Roman"/>
          <w:noProof/>
          <w:szCs w:val="24"/>
          <w:lang w:val="en-US"/>
        </w:rPr>
        <w:t>conditional convergence (Islam</w:t>
      </w:r>
      <w:r>
        <w:rPr>
          <w:rFonts w:ascii="Times New Roman" w:hAnsi="Times New Roman" w:cs="Times New Roman"/>
          <w:noProof/>
          <w:szCs w:val="24"/>
          <w:lang w:val="en-US"/>
        </w:rPr>
        <w:t>,</w:t>
      </w:r>
      <w:r w:rsidR="00D74742" w:rsidRPr="005517C4">
        <w:rPr>
          <w:rFonts w:ascii="Times New Roman" w:hAnsi="Times New Roman" w:cs="Times New Roman"/>
          <w:noProof/>
          <w:szCs w:val="24"/>
          <w:lang w:val="en-US"/>
        </w:rPr>
        <w:t xml:space="preserve"> 2003).</w:t>
      </w:r>
      <w:r w:rsidR="00217809">
        <w:rPr>
          <w:rFonts w:ascii="Times New Roman" w:hAnsi="Times New Roman" w:cs="Times New Roman"/>
          <w:noProof/>
          <w:szCs w:val="24"/>
          <w:lang w:val="en-US"/>
        </w:rPr>
        <w:t xml:space="preserve"> </w:t>
      </w:r>
    </w:p>
    <w:p w:rsidR="00FC6718" w:rsidRPr="005517C4" w:rsidRDefault="00856BF2" w:rsidP="00CC5796">
      <w:pPr>
        <w:pStyle w:val="a5"/>
        <w:tabs>
          <w:tab w:val="left" w:pos="284"/>
        </w:tabs>
        <w:spacing w:after="0" w:line="360" w:lineRule="auto"/>
        <w:ind w:left="0"/>
        <w:contextualSpacing w:val="0"/>
        <w:jc w:val="both"/>
        <w:rPr>
          <w:rFonts w:ascii="Times New Roman" w:hAnsi="Times New Roman" w:cs="Times New Roman"/>
          <w:b/>
          <w:noProof/>
          <w:sz w:val="24"/>
          <w:szCs w:val="24"/>
          <w:lang w:val="en-US"/>
        </w:rPr>
      </w:pPr>
      <w:r>
        <w:rPr>
          <w:rFonts w:ascii="Times New Roman" w:hAnsi="Times New Roman" w:cs="Times New Roman"/>
          <w:b/>
          <w:noProof/>
          <w:sz w:val="24"/>
          <w:szCs w:val="24"/>
          <w:lang w:val="en-US"/>
        </w:rPr>
        <w:t xml:space="preserve">4. </w:t>
      </w:r>
      <w:r w:rsidR="00FC6718" w:rsidRPr="005517C4">
        <w:rPr>
          <w:rFonts w:ascii="Times New Roman" w:hAnsi="Times New Roman" w:cs="Times New Roman"/>
          <w:b/>
          <w:noProof/>
          <w:sz w:val="24"/>
          <w:szCs w:val="24"/>
          <w:lang w:val="en-US"/>
        </w:rPr>
        <w:t xml:space="preserve">Data and </w:t>
      </w:r>
      <w:r>
        <w:rPr>
          <w:rFonts w:ascii="Times New Roman" w:hAnsi="Times New Roman" w:cs="Times New Roman"/>
          <w:b/>
          <w:noProof/>
          <w:sz w:val="24"/>
          <w:szCs w:val="24"/>
          <w:lang w:val="en-US"/>
        </w:rPr>
        <w:t>m</w:t>
      </w:r>
      <w:r w:rsidR="00FC6718" w:rsidRPr="005517C4">
        <w:rPr>
          <w:rFonts w:ascii="Times New Roman" w:hAnsi="Times New Roman" w:cs="Times New Roman"/>
          <w:b/>
          <w:noProof/>
          <w:sz w:val="24"/>
          <w:szCs w:val="24"/>
          <w:lang w:val="en-US"/>
        </w:rPr>
        <w:t>ethodology</w:t>
      </w:r>
    </w:p>
    <w:p w:rsidR="000D1729" w:rsidRDefault="00217809" w:rsidP="00234B23">
      <w:pPr>
        <w:spacing w:line="360" w:lineRule="auto"/>
        <w:jc w:val="both"/>
        <w:rPr>
          <w:rFonts w:ascii="Times New Roman" w:hAnsi="Times New Roman" w:cs="Times New Roman"/>
          <w:noProof/>
          <w:sz w:val="24"/>
          <w:szCs w:val="24"/>
          <w:lang w:val="en-US"/>
        </w:rPr>
      </w:pPr>
      <w:r w:rsidRPr="005E1137">
        <w:rPr>
          <w:rFonts w:ascii="Times New Roman" w:hAnsi="Times New Roman" w:cs="Times New Roman"/>
          <w:noProof/>
          <w:color w:val="000000" w:themeColor="text1"/>
          <w:sz w:val="24"/>
          <w:szCs w:val="24"/>
          <w:lang w:val="en-US"/>
        </w:rPr>
        <w:t>Annual data o</w:t>
      </w:r>
      <w:r w:rsidR="005E1137" w:rsidRPr="005E1137">
        <w:rPr>
          <w:rFonts w:ascii="Times New Roman" w:hAnsi="Times New Roman" w:cs="Times New Roman"/>
          <w:noProof/>
          <w:color w:val="000000" w:themeColor="text1"/>
          <w:sz w:val="24"/>
          <w:szCs w:val="24"/>
          <w:lang w:val="en-US"/>
        </w:rPr>
        <w:t>n the</w:t>
      </w:r>
      <w:r w:rsidRPr="005E1137">
        <w:rPr>
          <w:rFonts w:ascii="Times New Roman" w:hAnsi="Times New Roman" w:cs="Times New Roman"/>
          <w:noProof/>
          <w:color w:val="000000" w:themeColor="text1"/>
          <w:sz w:val="24"/>
          <w:szCs w:val="24"/>
          <w:lang w:val="en-US"/>
        </w:rPr>
        <w:t xml:space="preserve"> ecological footprint per capita</w:t>
      </w:r>
      <w:r w:rsidR="005E1137" w:rsidRPr="005E1137">
        <w:rPr>
          <w:rFonts w:ascii="Times New Roman" w:hAnsi="Times New Roman" w:cs="Times New Roman"/>
          <w:noProof/>
          <w:color w:val="000000" w:themeColor="text1"/>
          <w:sz w:val="24"/>
          <w:szCs w:val="24"/>
          <w:lang w:val="en-US"/>
        </w:rPr>
        <w:t xml:space="preserve"> in the case of the EU countries are obtained from the</w:t>
      </w:r>
      <w:r w:rsidRPr="005E1137">
        <w:rPr>
          <w:rFonts w:ascii="Times New Roman" w:hAnsi="Times New Roman" w:cs="Times New Roman"/>
          <w:noProof/>
          <w:color w:val="000000" w:themeColor="text1"/>
          <w:sz w:val="24"/>
          <w:szCs w:val="24"/>
          <w:lang w:val="en-US"/>
        </w:rPr>
        <w:t xml:space="preserve"> Global Footprint Network</w:t>
      </w:r>
      <w:r w:rsidR="005E1137" w:rsidRPr="005E1137">
        <w:rPr>
          <w:rFonts w:ascii="Times New Roman" w:hAnsi="Times New Roman" w:cs="Times New Roman"/>
          <w:noProof/>
          <w:color w:val="000000" w:themeColor="text1"/>
          <w:sz w:val="24"/>
          <w:szCs w:val="24"/>
          <w:lang w:val="en-US"/>
        </w:rPr>
        <w:t>, spanning</w:t>
      </w:r>
      <w:r w:rsidRPr="005E1137">
        <w:rPr>
          <w:rFonts w:ascii="Times New Roman" w:hAnsi="Times New Roman" w:cs="Times New Roman"/>
          <w:noProof/>
          <w:color w:val="000000" w:themeColor="text1"/>
          <w:sz w:val="24"/>
          <w:szCs w:val="24"/>
          <w:lang w:val="en-US"/>
        </w:rPr>
        <w:t xml:space="preserve"> the period from 1961 to 2013. The countries under </w:t>
      </w:r>
      <w:r w:rsidR="005E1137" w:rsidRPr="005E1137">
        <w:rPr>
          <w:rFonts w:ascii="Times New Roman" w:hAnsi="Times New Roman" w:cs="Times New Roman"/>
          <w:noProof/>
          <w:color w:val="000000" w:themeColor="text1"/>
          <w:sz w:val="24"/>
          <w:szCs w:val="24"/>
          <w:lang w:val="en-US"/>
        </w:rPr>
        <w:t xml:space="preserve">investigation </w:t>
      </w:r>
      <w:r w:rsidRPr="005E1137">
        <w:rPr>
          <w:rFonts w:ascii="Times New Roman" w:hAnsi="Times New Roman" w:cs="Times New Roman"/>
          <w:noProof/>
          <w:color w:val="000000" w:themeColor="text1"/>
          <w:sz w:val="24"/>
          <w:szCs w:val="24"/>
          <w:lang w:val="en-US"/>
        </w:rPr>
        <w:t>are</w:t>
      </w:r>
      <w:r w:rsidR="005E1137" w:rsidRPr="005E1137">
        <w:rPr>
          <w:rFonts w:ascii="Times New Roman" w:hAnsi="Times New Roman" w:cs="Times New Roman"/>
          <w:noProof/>
          <w:color w:val="000000" w:themeColor="text1"/>
          <w:sz w:val="24"/>
          <w:szCs w:val="24"/>
          <w:lang w:val="en-US"/>
        </w:rPr>
        <w:t>:</w:t>
      </w:r>
      <w:r w:rsidRPr="005E1137">
        <w:rPr>
          <w:rFonts w:ascii="Times New Roman" w:hAnsi="Times New Roman" w:cs="Times New Roman"/>
          <w:noProof/>
          <w:color w:val="000000" w:themeColor="text1"/>
          <w:sz w:val="24"/>
          <w:szCs w:val="24"/>
          <w:lang w:val="en-US"/>
        </w:rPr>
        <w:t xml:space="preserve"> Luxembourg, Belgium, Sweden, Finland, Austria, Denmark, Irland, Germany, Netherland, United Kingdom, France, Italy, Poland, Greece, Spain, Portugal, Cyprus, Hungary, Bulgaria, </w:t>
      </w:r>
      <w:r w:rsidR="005E1137" w:rsidRPr="005E1137">
        <w:rPr>
          <w:rFonts w:ascii="Times New Roman" w:hAnsi="Times New Roman" w:cs="Times New Roman"/>
          <w:noProof/>
          <w:color w:val="000000" w:themeColor="text1"/>
          <w:sz w:val="24"/>
          <w:szCs w:val="24"/>
          <w:lang w:val="en-US"/>
        </w:rPr>
        <w:t xml:space="preserve">and </w:t>
      </w:r>
      <w:r w:rsidRPr="005E1137">
        <w:rPr>
          <w:rFonts w:ascii="Times New Roman" w:hAnsi="Times New Roman" w:cs="Times New Roman"/>
          <w:noProof/>
          <w:color w:val="000000" w:themeColor="text1"/>
          <w:sz w:val="24"/>
          <w:szCs w:val="24"/>
          <w:lang w:val="en-US"/>
        </w:rPr>
        <w:t xml:space="preserve">Romania. </w:t>
      </w:r>
      <w:r w:rsidR="005E1137" w:rsidRPr="005E1137">
        <w:rPr>
          <w:rFonts w:ascii="Times New Roman" w:hAnsi="Times New Roman" w:cs="Times New Roman"/>
          <w:noProof/>
          <w:color w:val="000000" w:themeColor="text1"/>
          <w:sz w:val="24"/>
          <w:szCs w:val="24"/>
          <w:lang w:val="en-US"/>
        </w:rPr>
        <w:t>The remaining EU countries have been</w:t>
      </w:r>
      <w:r w:rsidRPr="005E1137">
        <w:rPr>
          <w:rFonts w:ascii="Times New Roman" w:hAnsi="Times New Roman" w:cs="Times New Roman"/>
          <w:noProof/>
          <w:color w:val="000000" w:themeColor="text1"/>
          <w:szCs w:val="24"/>
          <w:lang w:val="en-US"/>
        </w:rPr>
        <w:t xml:space="preserve"> excluded </w:t>
      </w:r>
      <w:r w:rsidR="005E1137" w:rsidRPr="005E1137">
        <w:rPr>
          <w:rFonts w:ascii="Times New Roman" w:hAnsi="Times New Roman" w:cs="Times New Roman"/>
          <w:noProof/>
          <w:color w:val="000000" w:themeColor="text1"/>
          <w:szCs w:val="24"/>
          <w:lang w:val="en-US"/>
        </w:rPr>
        <w:t>due to</w:t>
      </w:r>
      <w:r w:rsidRPr="005E1137">
        <w:rPr>
          <w:rFonts w:ascii="Times New Roman" w:hAnsi="Times New Roman" w:cs="Times New Roman"/>
          <w:noProof/>
          <w:color w:val="000000" w:themeColor="text1"/>
          <w:szCs w:val="24"/>
          <w:lang w:val="en-US"/>
        </w:rPr>
        <w:t xml:space="preserve"> data </w:t>
      </w:r>
      <w:r w:rsidR="005E1137" w:rsidRPr="005E1137">
        <w:rPr>
          <w:rFonts w:ascii="Times New Roman" w:hAnsi="Times New Roman" w:cs="Times New Roman"/>
          <w:noProof/>
          <w:color w:val="000000" w:themeColor="text1"/>
          <w:szCs w:val="24"/>
          <w:lang w:val="en-US"/>
        </w:rPr>
        <w:t>un</w:t>
      </w:r>
      <w:r w:rsidRPr="005E1137">
        <w:rPr>
          <w:rFonts w:ascii="Times New Roman" w:hAnsi="Times New Roman" w:cs="Times New Roman"/>
          <w:noProof/>
          <w:color w:val="000000" w:themeColor="text1"/>
          <w:szCs w:val="24"/>
          <w:lang w:val="en-US"/>
        </w:rPr>
        <w:t>availability</w:t>
      </w:r>
      <w:r w:rsidRPr="005E1137">
        <w:rPr>
          <w:rFonts w:ascii="Times New Roman" w:hAnsi="Times New Roman" w:cs="Times New Roman"/>
          <w:color w:val="000000" w:themeColor="text1"/>
          <w:sz w:val="24"/>
          <w:szCs w:val="24"/>
          <w:lang w:val="en-US"/>
        </w:rPr>
        <w:t>. The</w:t>
      </w:r>
      <w:r w:rsidR="005E1137" w:rsidRPr="005E1137">
        <w:rPr>
          <w:rFonts w:ascii="Times New Roman" w:hAnsi="Times New Roman" w:cs="Times New Roman"/>
          <w:color w:val="000000" w:themeColor="text1"/>
          <w:sz w:val="24"/>
          <w:szCs w:val="24"/>
          <w:lang w:val="en-US"/>
        </w:rPr>
        <w:t xml:space="preserve"> analysis focuses on the</w:t>
      </w:r>
      <w:r w:rsidRPr="005E1137">
        <w:rPr>
          <w:rFonts w:ascii="Times New Roman" w:hAnsi="Times New Roman" w:cs="Times New Roman"/>
          <w:color w:val="000000" w:themeColor="text1"/>
          <w:sz w:val="24"/>
          <w:szCs w:val="24"/>
          <w:lang w:val="en-US"/>
        </w:rPr>
        <w:t xml:space="preserve"> EU countries since the EU has </w:t>
      </w:r>
      <w:r w:rsidR="005E1137" w:rsidRPr="005E1137">
        <w:rPr>
          <w:rFonts w:ascii="Times New Roman" w:hAnsi="Times New Roman" w:cs="Times New Roman"/>
          <w:color w:val="000000" w:themeColor="text1"/>
          <w:sz w:val="24"/>
          <w:szCs w:val="24"/>
          <w:lang w:val="en-US"/>
        </w:rPr>
        <w:t>adopted s</w:t>
      </w:r>
      <w:r w:rsidRPr="005E1137">
        <w:rPr>
          <w:rFonts w:ascii="Times New Roman" w:hAnsi="Times New Roman" w:cs="Times New Roman"/>
          <w:color w:val="000000" w:themeColor="text1"/>
          <w:sz w:val="24"/>
          <w:szCs w:val="24"/>
          <w:lang w:val="en-US"/>
        </w:rPr>
        <w:t xml:space="preserve">ome of the highest environmental standards </w:t>
      </w:r>
      <w:r w:rsidR="005E1137" w:rsidRPr="005E1137">
        <w:rPr>
          <w:rFonts w:ascii="Times New Roman" w:hAnsi="Times New Roman" w:cs="Times New Roman"/>
          <w:color w:val="000000" w:themeColor="text1"/>
          <w:sz w:val="24"/>
          <w:szCs w:val="24"/>
          <w:lang w:val="en-US"/>
        </w:rPr>
        <w:t>on a global basis, as well as</w:t>
      </w:r>
      <w:r w:rsidRPr="005E1137">
        <w:rPr>
          <w:rFonts w:ascii="Times New Roman" w:hAnsi="Times New Roman" w:cs="Times New Roman"/>
          <w:color w:val="000000" w:themeColor="text1"/>
          <w:sz w:val="24"/>
          <w:szCs w:val="24"/>
          <w:lang w:val="en-US"/>
        </w:rPr>
        <w:t xml:space="preserve"> common environmental policies.</w:t>
      </w:r>
      <w:r w:rsidR="00007E0E" w:rsidRPr="005E1137">
        <w:rPr>
          <w:rFonts w:ascii="Times New Roman" w:hAnsi="Times New Roman" w:cs="Times New Roman"/>
          <w:noProof/>
          <w:color w:val="000000" w:themeColor="text1"/>
          <w:sz w:val="24"/>
          <w:szCs w:val="24"/>
          <w:lang w:val="en-US"/>
        </w:rPr>
        <w:t xml:space="preserve"> </w:t>
      </w:r>
      <w:r w:rsidR="00234B23" w:rsidRPr="005E1137">
        <w:rPr>
          <w:rFonts w:ascii="Times New Roman" w:hAnsi="Times New Roman" w:cs="Times New Roman"/>
          <w:noProof/>
          <w:color w:val="000000" w:themeColor="text1"/>
          <w:sz w:val="24"/>
          <w:szCs w:val="24"/>
          <w:lang w:val="en-US"/>
        </w:rPr>
        <w:t xml:space="preserve">The </w:t>
      </w:r>
      <w:r w:rsidR="00C6036E">
        <w:rPr>
          <w:rFonts w:ascii="Times New Roman" w:hAnsi="Times New Roman" w:cs="Times New Roman"/>
          <w:noProof/>
          <w:color w:val="000000" w:themeColor="text1"/>
          <w:sz w:val="24"/>
          <w:szCs w:val="24"/>
          <w:lang w:val="en-US"/>
        </w:rPr>
        <w:t>ecological footprint</w:t>
      </w:r>
      <w:r w:rsidR="00234B23" w:rsidRPr="005E1137">
        <w:rPr>
          <w:rFonts w:ascii="Times New Roman" w:hAnsi="Times New Roman" w:cs="Times New Roman"/>
          <w:noProof/>
          <w:color w:val="000000" w:themeColor="text1"/>
          <w:sz w:val="24"/>
          <w:szCs w:val="24"/>
          <w:lang w:val="en-US"/>
        </w:rPr>
        <w:t xml:space="preserve"> </w:t>
      </w:r>
      <w:r w:rsidR="00234B23" w:rsidRPr="005517C4">
        <w:rPr>
          <w:rFonts w:ascii="Times New Roman" w:hAnsi="Times New Roman" w:cs="Times New Roman"/>
          <w:noProof/>
          <w:sz w:val="24"/>
          <w:szCs w:val="24"/>
          <w:lang w:val="en-US"/>
        </w:rPr>
        <w:t xml:space="preserve">refers to how much of </w:t>
      </w:r>
      <w:r w:rsidR="000D1729">
        <w:rPr>
          <w:rFonts w:ascii="Times New Roman" w:hAnsi="Times New Roman" w:cs="Times New Roman"/>
          <w:noProof/>
          <w:sz w:val="24"/>
          <w:szCs w:val="24"/>
          <w:lang w:val="en-US"/>
        </w:rPr>
        <w:t xml:space="preserve">the </w:t>
      </w:r>
      <w:r w:rsidR="00234B23" w:rsidRPr="005517C4">
        <w:rPr>
          <w:rFonts w:ascii="Times New Roman" w:hAnsi="Times New Roman" w:cs="Times New Roman"/>
          <w:noProof/>
          <w:sz w:val="24"/>
          <w:szCs w:val="24"/>
          <w:lang w:val="en-US"/>
        </w:rPr>
        <w:t xml:space="preserve">environment is demanded by people </w:t>
      </w:r>
      <w:r w:rsidR="006578EE" w:rsidRPr="005517C4">
        <w:rPr>
          <w:rFonts w:ascii="Times New Roman" w:hAnsi="Times New Roman" w:cs="Times New Roman"/>
          <w:noProof/>
          <w:sz w:val="24"/>
          <w:szCs w:val="24"/>
          <w:lang w:val="en-US"/>
        </w:rPr>
        <w:fldChar w:fldCharType="begin" w:fldLock="1"/>
      </w:r>
      <w:r w:rsidR="00216FA4">
        <w:rPr>
          <w:rFonts w:ascii="Times New Roman" w:hAnsi="Times New Roman" w:cs="Times New Roman"/>
          <w:noProof/>
          <w:sz w:val="24"/>
          <w:szCs w:val="24"/>
          <w:lang w:val="en-US"/>
        </w:rPr>
        <w:instrText>ADDIN CSL_CITATION { "citationItems" : [ { "id" : "ITEM-1", "itemData" : { "abstract" : "The Ecological Footprint is an ecological accounting tool to document how much regenerative capacity of the biosphere is occupied by given human activities. It can be applied to track human demand on nature at the global, national, regional, organizational or individual level. This brief summarizes the underlying concepts, accounting methods, basic results and applications. The Footprint measures human impact on nature", "author" : [ { "dropping-particle" : "", "family" : "Wackernagel", "given" : "Mathis", "non-dropping-particle" : "", "parse-names" : false, "suffix" : "" } ], "id" : "ITEM-1", "issued" : { "date-parts" : [ [ "2002" ] ] }, "number" : "510-444-3041", "number-of-pages" : "1-8", "publisher-place" : "Oakland", "title" : "What We Use and What We Have: Ecological Footprint and Ecological Capacity", "type" : "report" }, "uris" : [ "http://www.mendeley.com/documents/?uuid=6895cc86-c7b7-3c55-9c75-b9ed099a7c71" ] } ], "mendeley" : { "formattedCitation" : "(Wackernagel 2002)", "plainTextFormattedCitation" : "(Wackernagel 2002)", "previouslyFormattedCitation" : "(Wackernagel 2002)" }, "properties" : { "noteIndex" : 0 }, "schema" : "https://github.com/citation-style-language/schema/raw/master/csl-citation.json" }</w:instrText>
      </w:r>
      <w:r w:rsidR="006578EE" w:rsidRPr="005517C4">
        <w:rPr>
          <w:rFonts w:ascii="Times New Roman" w:hAnsi="Times New Roman" w:cs="Times New Roman"/>
          <w:noProof/>
          <w:sz w:val="24"/>
          <w:szCs w:val="24"/>
          <w:lang w:val="en-US"/>
        </w:rPr>
        <w:fldChar w:fldCharType="separate"/>
      </w:r>
      <w:r w:rsidR="003D379B" w:rsidRPr="003D379B">
        <w:rPr>
          <w:rFonts w:ascii="Times New Roman" w:hAnsi="Times New Roman" w:cs="Times New Roman"/>
          <w:noProof/>
          <w:sz w:val="24"/>
          <w:szCs w:val="24"/>
          <w:lang w:val="en-US"/>
        </w:rPr>
        <w:t>(Wackernagel 2002)</w:t>
      </w:r>
      <w:r w:rsidR="006578EE" w:rsidRPr="005517C4">
        <w:rPr>
          <w:rFonts w:ascii="Times New Roman" w:hAnsi="Times New Roman" w:cs="Times New Roman"/>
          <w:noProof/>
          <w:sz w:val="24"/>
          <w:szCs w:val="24"/>
          <w:lang w:val="en-US"/>
        </w:rPr>
        <w:fldChar w:fldCharType="end"/>
      </w:r>
      <w:r w:rsidR="00234B23" w:rsidRPr="005517C4">
        <w:rPr>
          <w:rFonts w:ascii="Times New Roman" w:hAnsi="Times New Roman" w:cs="Times New Roman"/>
          <w:noProof/>
          <w:sz w:val="24"/>
          <w:szCs w:val="24"/>
          <w:lang w:val="en-US"/>
        </w:rPr>
        <w:t xml:space="preserve">. It answers the question of how much the regenerative biological capacity of the planet is </w:t>
      </w:r>
      <w:r w:rsidR="00234B23" w:rsidRPr="005517C4">
        <w:rPr>
          <w:rFonts w:ascii="Times New Roman" w:hAnsi="Times New Roman" w:cs="Times New Roman"/>
          <w:noProof/>
          <w:sz w:val="24"/>
          <w:szCs w:val="24"/>
          <w:lang w:val="en-US"/>
        </w:rPr>
        <w:lastRenderedPageBreak/>
        <w:t xml:space="preserve">demanded by </w:t>
      </w:r>
      <w:r w:rsidR="000D1729">
        <w:rPr>
          <w:rFonts w:ascii="Times New Roman" w:hAnsi="Times New Roman" w:cs="Times New Roman"/>
          <w:noProof/>
          <w:sz w:val="24"/>
          <w:szCs w:val="24"/>
          <w:lang w:val="en-US"/>
        </w:rPr>
        <w:t>certain</w:t>
      </w:r>
      <w:r w:rsidR="00234B23" w:rsidRPr="005517C4">
        <w:rPr>
          <w:rFonts w:ascii="Times New Roman" w:hAnsi="Times New Roman" w:cs="Times New Roman"/>
          <w:noProof/>
          <w:sz w:val="24"/>
          <w:szCs w:val="24"/>
          <w:lang w:val="en-US"/>
        </w:rPr>
        <w:t xml:space="preserve"> human activities</w:t>
      </w:r>
      <w:r w:rsidR="000D1729">
        <w:rPr>
          <w:rFonts w:ascii="Times New Roman" w:hAnsi="Times New Roman" w:cs="Times New Roman"/>
          <w:noProof/>
          <w:sz w:val="24"/>
          <w:szCs w:val="24"/>
          <w:lang w:val="en-US"/>
        </w:rPr>
        <w:t>, such as</w:t>
      </w:r>
      <w:r w:rsidR="00234B23" w:rsidRPr="005517C4">
        <w:rPr>
          <w:rFonts w:ascii="Times New Roman" w:hAnsi="Times New Roman" w:cs="Times New Roman"/>
          <w:noProof/>
          <w:sz w:val="24"/>
          <w:szCs w:val="24"/>
          <w:lang w:val="en-US"/>
        </w:rPr>
        <w:t xml:space="preserve"> </w:t>
      </w:r>
      <w:r w:rsidR="000D1729">
        <w:rPr>
          <w:rFonts w:ascii="Times New Roman" w:hAnsi="Times New Roman" w:cs="Times New Roman"/>
          <w:noProof/>
          <w:sz w:val="24"/>
          <w:szCs w:val="24"/>
          <w:lang w:val="en-US"/>
        </w:rPr>
        <w:t>resources c</w:t>
      </w:r>
      <w:r w:rsidR="000D1729" w:rsidRPr="005E1137">
        <w:rPr>
          <w:rFonts w:ascii="Times New Roman" w:hAnsi="Times New Roman" w:cs="Times New Roman"/>
          <w:noProof/>
          <w:color w:val="000000" w:themeColor="text1"/>
          <w:sz w:val="24"/>
          <w:szCs w:val="24"/>
          <w:lang w:val="en-US"/>
        </w:rPr>
        <w:t>onsumption and</w:t>
      </w:r>
      <w:r w:rsidR="00234B23" w:rsidRPr="005E1137">
        <w:rPr>
          <w:rFonts w:ascii="Times New Roman" w:hAnsi="Times New Roman" w:cs="Times New Roman"/>
          <w:noProof/>
          <w:color w:val="000000" w:themeColor="text1"/>
          <w:sz w:val="24"/>
          <w:szCs w:val="24"/>
          <w:lang w:val="en-US"/>
        </w:rPr>
        <w:t xml:space="preserve"> goods and services production </w:t>
      </w:r>
      <w:r w:rsidR="006578EE" w:rsidRPr="005E1137">
        <w:rPr>
          <w:rFonts w:ascii="Times New Roman" w:hAnsi="Times New Roman" w:cs="Times New Roman"/>
          <w:noProof/>
          <w:color w:val="000000" w:themeColor="text1"/>
          <w:sz w:val="24"/>
          <w:szCs w:val="24"/>
          <w:lang w:val="en-US"/>
        </w:rPr>
        <w:fldChar w:fldCharType="begin" w:fldLock="1"/>
      </w:r>
      <w:r w:rsidR="00216FA4">
        <w:rPr>
          <w:rFonts w:ascii="Times New Roman" w:hAnsi="Times New Roman" w:cs="Times New Roman"/>
          <w:noProof/>
          <w:color w:val="000000" w:themeColor="text1"/>
          <w:sz w:val="24"/>
          <w:szCs w:val="24"/>
          <w:lang w:val="en-US"/>
        </w:rPr>
        <w:instrText>ADDIN CSL_CITATION { "citationItems" : [ { "id" : "ITEM-1", "itemData" : { "abstract" : "The questions regarding Ecological Footprint accounting methodology are answered through the responses of technical support queries sent to Global Footprint Network. The question of the regenerative biological capacity of the planet demanded by a given human activity is answered by considering all the biological materials consumed and the biological wastes generated by that person in a given year. The Ecological Footprint can be used to address waste flows and the non-regenerative uses of the biosphere that systematically degrade ecosystem health are tracked in separate non-Footprint account. Ecological Footprint treat water usage by calculating water footprint based on the area of catchments or recharge zone needed to supply a given quantity of water. The Ecological Footprint supports biodiversity assessment and conservation assigns empirically based weighting coefficients to individual land types based on data on the relative productivity of these different area types.", "author" : [ { "dropping-particle" : "", "family" : "Kitzes", "given" : "Justin", "non-dropping-particle" : "", "parse-names" : false, "suffix" : "" }, { "dropping-particle" : "", "family" : "Wackernagel", "given" : "Mathis", "non-dropping-particle" : "", "parse-names" : false, "suffix" : "" } ], "container-title" : "Ecological Indicators", "id" : "ITEM-1", "issue" : "4", "issued" : { "date-parts" : [ [ "2009" ] ] }, "page" : "812-817", "title" : "Answers to common questions in Ecological Footprint accounting", "type" : "article-journal", "volume" : "9" }, "uris" : [ "http://www.mendeley.com/documents/?uuid=9e17bff6-5b83-4599-9d3f-3e572d7f301e" ] } ], "mendeley" : { "formattedCitation" : "(Kitzes and Wackernagel 2009)", "plainTextFormattedCitation" : "(Kitzes and Wackernagel 2009)", "previouslyFormattedCitation" : "(Kitzes and Wackernagel 2009)" }, "properties" : { "noteIndex" : 0 }, "schema" : "https://github.com/citation-style-language/schema/raw/master/csl-citation.json" }</w:instrText>
      </w:r>
      <w:r w:rsidR="006578EE" w:rsidRPr="005E1137">
        <w:rPr>
          <w:rFonts w:ascii="Times New Roman" w:hAnsi="Times New Roman" w:cs="Times New Roman"/>
          <w:noProof/>
          <w:color w:val="000000" w:themeColor="text1"/>
          <w:sz w:val="24"/>
          <w:szCs w:val="24"/>
          <w:lang w:val="en-US"/>
        </w:rPr>
        <w:fldChar w:fldCharType="separate"/>
      </w:r>
      <w:r w:rsidR="003D379B" w:rsidRPr="005E1137">
        <w:rPr>
          <w:rFonts w:ascii="Times New Roman" w:hAnsi="Times New Roman" w:cs="Times New Roman"/>
          <w:noProof/>
          <w:color w:val="000000" w:themeColor="text1"/>
          <w:sz w:val="24"/>
          <w:szCs w:val="24"/>
          <w:lang w:val="en-US"/>
        </w:rPr>
        <w:t>(Kitzes and Wackernagel 2009)</w:t>
      </w:r>
      <w:r w:rsidR="006578EE" w:rsidRPr="005E1137">
        <w:rPr>
          <w:rFonts w:ascii="Times New Roman" w:hAnsi="Times New Roman" w:cs="Times New Roman"/>
          <w:noProof/>
          <w:color w:val="000000" w:themeColor="text1"/>
          <w:sz w:val="24"/>
          <w:szCs w:val="24"/>
          <w:lang w:val="en-US"/>
        </w:rPr>
        <w:fldChar w:fldCharType="end"/>
      </w:r>
      <w:r w:rsidR="00234B23" w:rsidRPr="005E1137">
        <w:rPr>
          <w:rFonts w:ascii="Times New Roman" w:hAnsi="Times New Roman" w:cs="Times New Roman"/>
          <w:noProof/>
          <w:color w:val="000000" w:themeColor="text1"/>
          <w:sz w:val="24"/>
          <w:szCs w:val="24"/>
          <w:lang w:val="en-US"/>
        </w:rPr>
        <w:t xml:space="preserve">. </w:t>
      </w:r>
      <w:r w:rsidR="00374F13" w:rsidRPr="005E1137">
        <w:rPr>
          <w:rFonts w:ascii="Times New Roman" w:hAnsi="Times New Roman" w:cs="Times New Roman"/>
          <w:color w:val="000000" w:themeColor="text1"/>
          <w:sz w:val="24"/>
          <w:szCs w:val="24"/>
        </w:rPr>
        <w:t xml:space="preserve">The </w:t>
      </w:r>
      <w:r w:rsidR="00C6036E">
        <w:rPr>
          <w:rFonts w:ascii="Times New Roman" w:hAnsi="Times New Roman" w:cs="Times New Roman"/>
          <w:noProof/>
          <w:color w:val="000000" w:themeColor="text1"/>
          <w:sz w:val="24"/>
          <w:szCs w:val="24"/>
          <w:lang w:val="en-US"/>
        </w:rPr>
        <w:t>ecological footprint</w:t>
      </w:r>
      <w:r w:rsidR="00374F13" w:rsidRPr="005E1137">
        <w:rPr>
          <w:rFonts w:ascii="Times New Roman" w:hAnsi="Times New Roman" w:cs="Times New Roman"/>
          <w:color w:val="000000" w:themeColor="text1"/>
          <w:sz w:val="24"/>
          <w:szCs w:val="24"/>
        </w:rPr>
        <w:t xml:space="preserve"> has </w:t>
      </w:r>
      <w:r w:rsidR="005E1137" w:rsidRPr="005E1137">
        <w:rPr>
          <w:rFonts w:ascii="Times New Roman" w:hAnsi="Times New Roman" w:cs="Times New Roman"/>
          <w:color w:val="000000" w:themeColor="text1"/>
          <w:sz w:val="24"/>
          <w:szCs w:val="24"/>
        </w:rPr>
        <w:t>turned to be</w:t>
      </w:r>
      <w:r w:rsidR="00374F13" w:rsidRPr="005E1137">
        <w:rPr>
          <w:rFonts w:ascii="Times New Roman" w:hAnsi="Times New Roman" w:cs="Times New Roman"/>
          <w:color w:val="000000" w:themeColor="text1"/>
          <w:sz w:val="24"/>
          <w:szCs w:val="24"/>
        </w:rPr>
        <w:t xml:space="preserve"> one of the most popular and widespread indicator</w:t>
      </w:r>
      <w:r w:rsidR="005E1137" w:rsidRPr="005E1137">
        <w:rPr>
          <w:rFonts w:ascii="Times New Roman" w:hAnsi="Times New Roman" w:cs="Times New Roman"/>
          <w:color w:val="000000" w:themeColor="text1"/>
          <w:sz w:val="24"/>
          <w:szCs w:val="24"/>
        </w:rPr>
        <w:t>s</w:t>
      </w:r>
      <w:r w:rsidR="00374F13" w:rsidRPr="005E1137">
        <w:rPr>
          <w:rFonts w:ascii="Times New Roman" w:hAnsi="Times New Roman" w:cs="Times New Roman"/>
          <w:color w:val="000000" w:themeColor="text1"/>
          <w:sz w:val="24"/>
          <w:szCs w:val="24"/>
        </w:rPr>
        <w:t xml:space="preserve"> for sustainability assessment and resource management</w:t>
      </w:r>
      <w:r w:rsidR="005E1137" w:rsidRPr="005E1137">
        <w:rPr>
          <w:rFonts w:ascii="Times New Roman" w:hAnsi="Times New Roman" w:cs="Times New Roman"/>
          <w:color w:val="000000" w:themeColor="text1"/>
          <w:sz w:val="24"/>
          <w:szCs w:val="24"/>
        </w:rPr>
        <w:t>,</w:t>
      </w:r>
      <w:r w:rsidR="00374F13" w:rsidRPr="005E1137">
        <w:rPr>
          <w:rFonts w:ascii="Times New Roman" w:hAnsi="Times New Roman" w:cs="Times New Roman"/>
          <w:color w:val="000000" w:themeColor="text1"/>
          <w:sz w:val="24"/>
          <w:szCs w:val="24"/>
        </w:rPr>
        <w:t xml:space="preserve"> since it provides a basis for setting goals, identifying options for action, and tracking progress toward stated goals </w:t>
      </w:r>
      <w:r w:rsidR="006578EE" w:rsidRPr="005E1137">
        <w:rPr>
          <w:rFonts w:ascii="Times New Roman" w:hAnsi="Times New Roman" w:cs="Times New Roman"/>
          <w:color w:val="000000" w:themeColor="text1"/>
          <w:sz w:val="24"/>
          <w:szCs w:val="24"/>
        </w:rPr>
        <w:fldChar w:fldCharType="begin" w:fldLock="1"/>
      </w:r>
      <w:r w:rsidR="002B242F">
        <w:rPr>
          <w:rFonts w:ascii="Times New Roman" w:hAnsi="Times New Roman" w:cs="Times New Roman"/>
          <w:color w:val="000000" w:themeColor="text1"/>
          <w:sz w:val="24"/>
          <w:szCs w:val="24"/>
        </w:rPr>
        <w:instrText>ADDIN CSL_CITATION { "citationItems" : [ { "id" : "ITEM-1", "itemData" : { "DOI" : "10.1016/j.ecolind.2017.01.033", "ISSN" : "1470160X", "abstract" : "Over the past decade, Ecological Footprint has become one of the most popular and widespread indicators for sustainability assessment and resource management. However, its popularity has been coupled, especially in recent years, by the emergence of critical views on the indicator\u2019s rationale, methodology and policy usefulness. Most of these criticisms commonly point to the inability of the Ecological Footprint to track the human-induced depletion of natural capital stocks as one of the main shortcomings of the methodology. Fully addressing this issue will require research efforts and, most likely, further methodological refinements. The aim of this paper is therefore to outline the basis of a new area of investigation in Ecological Footprint research, primarily aimed at implementing the distinction between the use of stocks and the use of flows in Ecological Footprint Accounting and debating its implications.", "author" : [ { "dropping-particle" : "", "family" : "Mancini", "given" : "Maria Serena", "non-dropping-particle" : "", "parse-names" : false, "suffix" : "" }, { "dropping-particle" : "", "family" : "Galli", "given" : "Alessandro", "non-dropping-particle" : "", "parse-names" : false, "suffix" : "" }, { "dropping-particle" : "", "family" : "Niccolucci", "given" : "Valentina", "non-dropping-particle" : "", "parse-names" : false, "suffix" : "" }, { "dropping-particle" : "", "family" : "Lin", "given" : "David", "non-dropping-particle" : "", "parse-names" : false, "suffix" : "" }, { "dropping-particle" : "", "family" : "Hanscom", "given" : "Laurel", "non-dropping-particle" : "", "parse-names" : false, "suffix" : "" }, { "dropping-particle" : "", "family" : "Wackernagel", "given" : "Mathis", "non-dropping-particle" : "", "parse-names" : false, "suffix" : "" }, { "dropping-particle" : "", "family" : "Bastianoni", "given" : "Simone", "non-dropping-particle" : "", "parse-names" : false, "suffix" : "" }, { "dropping-particle" : "", "family" : "Marchettini", "given" : "Nadia", "non-dropping-particle" : "", "parse-names" : false, "suffix" : "" } ], "container-title" : "Ecological Indicators", "id" : "ITEM-1", "issued" : { "date-parts" : [ [ "2017" ] ] }, "number-of-pages" : "123-128", "title" : "Stocks and flows of natural capital: Implications for Ecological Footprint", "type" : "report", "volume" : "77" }, "uris" : [ "http://www.mendeley.com/documents/?uuid=9d9e18bb-a003-3f47-8da6-0b52890c9c95" ] }, { "id" : "ITEM-2", "itemData" : { "DOI" : "10.1016/j.ecolind.2017.05.020", "ISSN" : "1470160X", "abstract" : "This is the first study that aims to investigate policy shocks to Ecological Footprint of the USA. More precisely, we analyze the stochastic behaviors of the Ecological Footprint and its components (carbon Footprint, cropland, grazing land, forest products, built-up-land, and fishing grounds) by using Fourier unit root tests that are more powerful under an unknown number of breaks. The stationarity of a time series gives information about its future behavior based on past behavior. More specifically, stationarity properties give information on whether shocks have transitory or permanent effects on a variable; therefore, the stationarity of a time series has important implications to the formation of appropriate policies by decision makers. Stochastic properties of the Ecological Footprint are important considerations to the implementation of global and local policies targeting global warming, climate change and environmental degradation. Empirical results show that the Ecological Footprint is non-stationary which suggests that policies affecting the Ecological Footprint will have long-term and permanent effects. Findings and policy implications are further discussed.", "author" : [ { "dropping-particle" : "", "family" : "Ulucak", "given" : "Recep", "non-dropping-particle" : "", "parse-names" : false, "suffix" : "" }, { "dropping-particle" : "", "family" : "Lin", "given" : "David", "non-dropping-particle" : "", "parse-names" : false, "suffix" : "" } ], "container-title" : "Ecological Indicators", "id" : "ITEM-2", "issued" : { "date-parts" : [ [ "2017" ] ] }, "page" : "337-343", "title" : "Persistence of policy shocks to Ecological Footprint of the USA", "type" : "article-journal", "volume" : "80" }, "uris" : [ "http://www.mendeley.com/documents/?uuid=ddcca8ac-291c-3bf7-82e3-36fca0207630" ] }, { "id" : "ITEM-3", "itemData" : { "abstract" : "Human demand on ecosystem services continues to increase, and evidence suggests that this demand is outpacing the regenerative and absorptive capacity of the biosphere. As a result, the productivity of natural capital may increasingly become a limiting factor for the human endeavor. Metrics tracking human demand on, and availability of, regenerative and waste absorptive capacity within the biosphere are therefore needed. Ecological Footprint analysis is such a metric; it measures human appropriation (Ecological Footprint) and the biosphere's supply (biocapacity) of ecosystem products and services in terms of the amount of bioproductive land and sea area (ecological assets) needed to supply these products and services. This paper documents the latest method for estimating the Ecological Footprint and biocapacity of nations, using the National Footprint Accounts (NFA) applied to more than 200 countries and for the world overall. Results are also compared with those obtained from previous editions of the NFA. According to the 2011 Edition of the National Footprint Accounts, humanity demanded the resources and services of 1.5 planets in 2008; this human demand was 0.7 planets in 1961. Situations in which total demand for ecological goods and services exceed the available supply for a given location, are called 'overshoot'. 'Global overshoot' indicates that stocks of ecological capital are depleting and/or that waste is accumulating. As the methodology keeps being improved, each new edition of the NFA supports the findings of a global overshoot. ?? 2012 Elsevier Ltd. All rights reserved.", "author" : [ { "dropping-particle" : "", "family" : "Borucke", "given" : "Michael", "non-dropping-particle" : "", "parse-names" : false, "suffix" : "" }, { "dropping-particle" : "", "family" : "Moore", "given" : "David", "non-dropping-particle" : "", "parse-names" : false, "suffix" : "" }, { "dropping-particle" : "", "family" : "Cranston", "given" : "Gemma", "non-dropping-particle" : "", "parse-names" : false, "suffix" : "" }, { "dropping-particle" : "", "family" : "Gracey", "given" : "Kyle", "non-dropping-particle" : "", "parse-names" : false, "suffix" : "" }, { "dropping-particle" : "", "family" : "Iha", "given" : "Katsunori", "non-dropping-particle" : "", "parse-names" : false, "suffix" : "" }, { "dropping-particle" : "", "family" : "Larson", "given" : "Joy", "non-dropping-particle" : "", "parse-names" : false, "suffix" : "" }, { "dropping-particle" : "", "family" : "Lazarus", "given" : "Elias", "non-dropping-particle" : "", "parse-names" : false, "suffix" : "" }, { "dropping-particle" : "", "family" : "Morales", "given" : "Juan Carlos", "non-dropping-particle" : "", "parse-names" : false, "suffix" : "" }, { "dropping-particle" : "", "family" : "Wackernagel", "given" : "Mathis", "non-dropping-particle" : "", "parse-names" : false, "suffix" : "" }, { "dropping-particle" : "", "family" : "Galli", "given" : "Alessandro", "non-dropping-particle" : "", "parse-names" : false, "suffix" : "" } ], "container-title" : "Ecological Indicators", "id" : "ITEM-3", "issued" : { "date-parts" : [ [ "2013" ] ] }, "page" : "518-533", "title" : "Accounting for demand and supply of the biosphere's regenerative capacity: The National Footprint Accounts' underlying methodology and framework", "type" : "article-journal", "volume" : "24" }, "uris" : [ "http://www.mendeley.com/documents/?uuid=4d3df92d-5f4f-4202-b3f5-d40effcec589" ] } ], "mendeley" : { "formattedCitation" : "(Mancini et al. 2017; Ulucak and Lin 2017; Borucke et al. 2013)", "plainTextFormattedCitation" : "(Mancini et al. 2017; Ulucak and Lin 2017; Borucke et al. 2013)", "previouslyFormattedCitation" : "(Mancini et al. 2017; Ulucak and Lin 2017; Borucke et al. 2013)" }, "properties" : { "noteIndex" : 0 }, "schema" : "https://github.com/citation-style-language/schema/raw/master/csl-citation.json" }</w:instrText>
      </w:r>
      <w:r w:rsidR="006578EE" w:rsidRPr="005E1137">
        <w:rPr>
          <w:rFonts w:ascii="Times New Roman" w:hAnsi="Times New Roman" w:cs="Times New Roman"/>
          <w:color w:val="000000" w:themeColor="text1"/>
          <w:sz w:val="24"/>
          <w:szCs w:val="24"/>
        </w:rPr>
        <w:fldChar w:fldCharType="separate"/>
      </w:r>
      <w:r w:rsidR="00216FA4" w:rsidRPr="00216FA4">
        <w:rPr>
          <w:rFonts w:ascii="Times New Roman" w:hAnsi="Times New Roman" w:cs="Times New Roman"/>
          <w:noProof/>
          <w:color w:val="000000" w:themeColor="text1"/>
          <w:sz w:val="24"/>
          <w:szCs w:val="24"/>
        </w:rPr>
        <w:t>(Mancini et al. 2017; Ulucak and Lin 2017; Borucke et al. 2013)</w:t>
      </w:r>
      <w:r w:rsidR="006578EE" w:rsidRPr="005E1137">
        <w:rPr>
          <w:rFonts w:ascii="Times New Roman" w:hAnsi="Times New Roman" w:cs="Times New Roman"/>
          <w:color w:val="000000" w:themeColor="text1"/>
          <w:sz w:val="24"/>
          <w:szCs w:val="24"/>
        </w:rPr>
        <w:fldChar w:fldCharType="end"/>
      </w:r>
      <w:r w:rsidR="00374F13" w:rsidRPr="005E1137">
        <w:rPr>
          <w:rFonts w:ascii="Times New Roman" w:hAnsi="Times New Roman" w:cs="Times New Roman"/>
          <w:color w:val="000000" w:themeColor="text1"/>
          <w:sz w:val="24"/>
          <w:szCs w:val="24"/>
        </w:rPr>
        <w:t xml:space="preserve">. </w:t>
      </w:r>
      <w:r w:rsidR="00CF2BA7" w:rsidRPr="005E1137">
        <w:rPr>
          <w:rFonts w:ascii="Times New Roman" w:hAnsi="Times New Roman" w:cs="Times New Roman"/>
          <w:noProof/>
          <w:color w:val="000000" w:themeColor="text1"/>
          <w:sz w:val="24"/>
          <w:szCs w:val="24"/>
          <w:lang w:val="en-US"/>
        </w:rPr>
        <w:t xml:space="preserve">The concept of convergence in terms of </w:t>
      </w:r>
      <w:r w:rsidR="000D1729" w:rsidRPr="005E1137">
        <w:rPr>
          <w:rFonts w:ascii="Times New Roman" w:hAnsi="Times New Roman" w:cs="Times New Roman"/>
          <w:noProof/>
          <w:color w:val="000000" w:themeColor="text1"/>
          <w:sz w:val="24"/>
          <w:szCs w:val="24"/>
          <w:lang w:val="en-US"/>
        </w:rPr>
        <w:t xml:space="preserve">the </w:t>
      </w:r>
      <w:r w:rsidR="00374F13" w:rsidRPr="005E1137">
        <w:rPr>
          <w:rFonts w:ascii="Times New Roman" w:hAnsi="Times New Roman" w:cs="Times New Roman"/>
          <w:noProof/>
          <w:color w:val="000000" w:themeColor="text1"/>
          <w:sz w:val="24"/>
          <w:szCs w:val="24"/>
          <w:lang w:val="en-US"/>
        </w:rPr>
        <w:t>ecological footprint</w:t>
      </w:r>
      <w:r w:rsidR="00CF2BA7" w:rsidRPr="005E1137">
        <w:rPr>
          <w:rFonts w:ascii="Times New Roman" w:hAnsi="Times New Roman" w:cs="Times New Roman"/>
          <w:noProof/>
          <w:color w:val="000000" w:themeColor="text1"/>
          <w:sz w:val="24"/>
          <w:szCs w:val="24"/>
          <w:lang w:val="en-US"/>
        </w:rPr>
        <w:t xml:space="preserve"> </w:t>
      </w:r>
      <w:r w:rsidR="000D1729" w:rsidRPr="005E1137">
        <w:rPr>
          <w:rFonts w:ascii="Times New Roman" w:hAnsi="Times New Roman" w:cs="Times New Roman"/>
          <w:noProof/>
          <w:color w:val="000000" w:themeColor="text1"/>
          <w:sz w:val="24"/>
          <w:szCs w:val="24"/>
          <w:lang w:val="en-US"/>
        </w:rPr>
        <w:t xml:space="preserve">implies </w:t>
      </w:r>
      <w:r w:rsidR="00CF2BA7" w:rsidRPr="005E1137">
        <w:rPr>
          <w:rFonts w:ascii="Times New Roman" w:hAnsi="Times New Roman" w:cs="Times New Roman"/>
          <w:noProof/>
          <w:color w:val="000000" w:themeColor="text1"/>
          <w:sz w:val="24"/>
          <w:szCs w:val="24"/>
          <w:lang w:val="en-US"/>
        </w:rPr>
        <w:t>that per capita valu</w:t>
      </w:r>
      <w:r w:rsidR="00CF2BA7" w:rsidRPr="005517C4">
        <w:rPr>
          <w:rFonts w:ascii="Times New Roman" w:hAnsi="Times New Roman" w:cs="Times New Roman"/>
          <w:noProof/>
          <w:sz w:val="24"/>
          <w:szCs w:val="24"/>
          <w:lang w:val="en-US"/>
        </w:rPr>
        <w:t xml:space="preserve">es of </w:t>
      </w:r>
      <w:r w:rsidR="000D1729">
        <w:rPr>
          <w:rFonts w:ascii="Times New Roman" w:hAnsi="Times New Roman" w:cs="Times New Roman"/>
          <w:noProof/>
          <w:sz w:val="24"/>
          <w:szCs w:val="24"/>
          <w:lang w:val="en-US"/>
        </w:rPr>
        <w:t xml:space="preserve">the </w:t>
      </w:r>
      <w:r w:rsidR="00CF2BA7" w:rsidRPr="005517C4">
        <w:rPr>
          <w:rFonts w:ascii="Times New Roman" w:hAnsi="Times New Roman" w:cs="Times New Roman"/>
          <w:noProof/>
          <w:sz w:val="24"/>
          <w:szCs w:val="24"/>
          <w:lang w:val="en-US"/>
        </w:rPr>
        <w:t xml:space="preserve">environmental degradation are </w:t>
      </w:r>
      <w:r w:rsidR="000D1729">
        <w:rPr>
          <w:rFonts w:ascii="Times New Roman" w:hAnsi="Times New Roman" w:cs="Times New Roman"/>
          <w:noProof/>
          <w:sz w:val="24"/>
          <w:szCs w:val="24"/>
          <w:lang w:val="en-US"/>
        </w:rPr>
        <w:t>getting</w:t>
      </w:r>
      <w:r w:rsidR="00CF2BA7" w:rsidRPr="005517C4">
        <w:rPr>
          <w:rFonts w:ascii="Times New Roman" w:hAnsi="Times New Roman" w:cs="Times New Roman"/>
          <w:noProof/>
          <w:sz w:val="24"/>
          <w:szCs w:val="24"/>
          <w:lang w:val="en-US"/>
        </w:rPr>
        <w:t xml:space="preserve"> more equal</w:t>
      </w:r>
      <w:r w:rsidR="000D1729">
        <w:rPr>
          <w:rFonts w:ascii="Times New Roman" w:hAnsi="Times New Roman" w:cs="Times New Roman"/>
          <w:noProof/>
          <w:sz w:val="24"/>
          <w:szCs w:val="24"/>
          <w:lang w:val="en-US"/>
        </w:rPr>
        <w:t>,</w:t>
      </w:r>
      <w:r w:rsidR="00CF2BA7" w:rsidRPr="005517C4">
        <w:rPr>
          <w:rFonts w:ascii="Times New Roman" w:hAnsi="Times New Roman" w:cs="Times New Roman"/>
          <w:noProof/>
          <w:sz w:val="24"/>
          <w:szCs w:val="24"/>
          <w:lang w:val="en-US"/>
        </w:rPr>
        <w:t xml:space="preserve"> while </w:t>
      </w:r>
      <w:r w:rsidR="000D1729">
        <w:rPr>
          <w:rFonts w:ascii="Times New Roman" w:hAnsi="Times New Roman" w:cs="Times New Roman"/>
          <w:noProof/>
          <w:sz w:val="24"/>
          <w:szCs w:val="24"/>
          <w:lang w:val="en-US"/>
        </w:rPr>
        <w:t xml:space="preserve">the presence of a </w:t>
      </w:r>
      <w:r w:rsidR="00CF2BA7" w:rsidRPr="005517C4">
        <w:rPr>
          <w:rFonts w:ascii="Times New Roman" w:hAnsi="Times New Roman" w:cs="Times New Roman"/>
          <w:noProof/>
          <w:sz w:val="24"/>
          <w:szCs w:val="24"/>
          <w:lang w:val="en-US"/>
        </w:rPr>
        <w:t xml:space="preserve">divergence </w:t>
      </w:r>
      <w:r w:rsidR="000D1729">
        <w:rPr>
          <w:rFonts w:ascii="Times New Roman" w:hAnsi="Times New Roman" w:cs="Times New Roman"/>
          <w:noProof/>
          <w:sz w:val="24"/>
          <w:szCs w:val="24"/>
          <w:lang w:val="en-US"/>
        </w:rPr>
        <w:t>status implies the</w:t>
      </w:r>
      <w:r w:rsidR="00CF2BA7" w:rsidRPr="005517C4">
        <w:rPr>
          <w:rFonts w:ascii="Times New Roman" w:hAnsi="Times New Roman" w:cs="Times New Roman"/>
          <w:noProof/>
          <w:sz w:val="24"/>
          <w:szCs w:val="24"/>
          <w:lang w:val="en-US"/>
        </w:rPr>
        <w:t xml:space="preserve"> differentiation a</w:t>
      </w:r>
      <w:r w:rsidR="000D1729">
        <w:rPr>
          <w:rFonts w:ascii="Times New Roman" w:hAnsi="Times New Roman" w:cs="Times New Roman"/>
          <w:noProof/>
          <w:sz w:val="24"/>
          <w:szCs w:val="24"/>
          <w:lang w:val="en-US"/>
        </w:rPr>
        <w:t>cross</w:t>
      </w:r>
      <w:r w:rsidR="00CF2BA7" w:rsidRPr="005517C4">
        <w:rPr>
          <w:rFonts w:ascii="Times New Roman" w:hAnsi="Times New Roman" w:cs="Times New Roman"/>
          <w:noProof/>
          <w:sz w:val="24"/>
          <w:szCs w:val="24"/>
          <w:lang w:val="en-US"/>
        </w:rPr>
        <w:t xml:space="preserve"> countries. </w:t>
      </w:r>
      <w:r w:rsidR="00664A73" w:rsidRPr="005517C4">
        <w:rPr>
          <w:rFonts w:ascii="Times New Roman" w:hAnsi="Times New Roman" w:cs="Times New Roman"/>
          <w:noProof/>
          <w:sz w:val="24"/>
          <w:szCs w:val="24"/>
          <w:lang w:val="en-US"/>
        </w:rPr>
        <w:t xml:space="preserve">The critical point here is considering </w:t>
      </w:r>
      <w:r w:rsidR="000D1729">
        <w:rPr>
          <w:rFonts w:ascii="Times New Roman" w:hAnsi="Times New Roman" w:cs="Times New Roman"/>
          <w:noProof/>
          <w:sz w:val="24"/>
          <w:szCs w:val="24"/>
          <w:lang w:val="en-US"/>
        </w:rPr>
        <w:t>certain</w:t>
      </w:r>
      <w:r w:rsidR="00664A73" w:rsidRPr="005517C4">
        <w:rPr>
          <w:rFonts w:ascii="Times New Roman" w:hAnsi="Times New Roman" w:cs="Times New Roman"/>
          <w:noProof/>
          <w:sz w:val="24"/>
          <w:szCs w:val="24"/>
          <w:lang w:val="en-US"/>
        </w:rPr>
        <w:t xml:space="preserve"> possibilities</w:t>
      </w:r>
      <w:r w:rsidR="000D1729">
        <w:rPr>
          <w:rFonts w:ascii="Times New Roman" w:hAnsi="Times New Roman" w:cs="Times New Roman"/>
          <w:noProof/>
          <w:sz w:val="24"/>
          <w:szCs w:val="24"/>
          <w:lang w:val="en-US"/>
        </w:rPr>
        <w:t>,</w:t>
      </w:r>
      <w:r w:rsidR="00664A73" w:rsidRPr="005517C4">
        <w:rPr>
          <w:rFonts w:ascii="Times New Roman" w:hAnsi="Times New Roman" w:cs="Times New Roman"/>
          <w:noProof/>
          <w:sz w:val="24"/>
          <w:szCs w:val="24"/>
          <w:lang w:val="en-US"/>
        </w:rPr>
        <w:t xml:space="preserve"> such as geographical factors, the volume of economis activities, </w:t>
      </w:r>
      <w:r w:rsidR="000D1729">
        <w:rPr>
          <w:rFonts w:ascii="Times New Roman" w:hAnsi="Times New Roman" w:cs="Times New Roman"/>
          <w:noProof/>
          <w:sz w:val="24"/>
          <w:szCs w:val="24"/>
          <w:lang w:val="en-US"/>
        </w:rPr>
        <w:t xml:space="preserve">and </w:t>
      </w:r>
      <w:r w:rsidR="00664A73" w:rsidRPr="005517C4">
        <w:rPr>
          <w:rFonts w:ascii="Times New Roman" w:hAnsi="Times New Roman" w:cs="Times New Roman"/>
          <w:noProof/>
          <w:sz w:val="24"/>
          <w:szCs w:val="24"/>
          <w:lang w:val="en-US"/>
        </w:rPr>
        <w:t>energy resources or consumption</w:t>
      </w:r>
      <w:r w:rsidR="000D1729">
        <w:rPr>
          <w:rFonts w:ascii="Times New Roman" w:hAnsi="Times New Roman" w:cs="Times New Roman"/>
          <w:noProof/>
          <w:sz w:val="24"/>
          <w:szCs w:val="24"/>
          <w:lang w:val="en-US"/>
        </w:rPr>
        <w:t>.</w:t>
      </w:r>
      <w:r w:rsidR="00664A73" w:rsidRPr="005517C4">
        <w:rPr>
          <w:rFonts w:ascii="Times New Roman" w:hAnsi="Times New Roman" w:cs="Times New Roman"/>
          <w:noProof/>
          <w:sz w:val="24"/>
          <w:szCs w:val="24"/>
          <w:lang w:val="en-US"/>
        </w:rPr>
        <w:t xml:space="preserve"> In this </w:t>
      </w:r>
      <w:r w:rsidR="000D1729">
        <w:rPr>
          <w:rFonts w:ascii="Times New Roman" w:hAnsi="Times New Roman" w:cs="Times New Roman"/>
          <w:noProof/>
          <w:sz w:val="24"/>
          <w:szCs w:val="24"/>
          <w:lang w:val="en-US"/>
        </w:rPr>
        <w:t>respect</w:t>
      </w:r>
      <w:r w:rsidR="00664A73" w:rsidRPr="005517C4">
        <w:rPr>
          <w:rFonts w:ascii="Times New Roman" w:hAnsi="Times New Roman" w:cs="Times New Roman"/>
          <w:noProof/>
          <w:sz w:val="24"/>
          <w:szCs w:val="24"/>
          <w:lang w:val="en-US"/>
        </w:rPr>
        <w:t>, countries may diverge</w:t>
      </w:r>
      <w:r w:rsidR="00AD39B8" w:rsidRPr="005517C4">
        <w:rPr>
          <w:rFonts w:ascii="Times New Roman" w:hAnsi="Times New Roman" w:cs="Times New Roman"/>
          <w:noProof/>
          <w:sz w:val="24"/>
          <w:szCs w:val="24"/>
          <w:lang w:val="en-US"/>
        </w:rPr>
        <w:t xml:space="preserve"> as a whole</w:t>
      </w:r>
      <w:r w:rsidR="000D1729">
        <w:rPr>
          <w:rFonts w:ascii="Times New Roman" w:hAnsi="Times New Roman" w:cs="Times New Roman"/>
          <w:noProof/>
          <w:sz w:val="24"/>
          <w:szCs w:val="24"/>
          <w:lang w:val="en-US"/>
        </w:rPr>
        <w:t>,</w:t>
      </w:r>
      <w:r w:rsidR="00AD39B8" w:rsidRPr="005517C4">
        <w:rPr>
          <w:rFonts w:ascii="Times New Roman" w:hAnsi="Times New Roman" w:cs="Times New Roman"/>
          <w:noProof/>
          <w:sz w:val="24"/>
          <w:szCs w:val="24"/>
          <w:lang w:val="en-US"/>
        </w:rPr>
        <w:t xml:space="preserve"> but </w:t>
      </w:r>
      <w:r w:rsidR="000D1729">
        <w:rPr>
          <w:rFonts w:ascii="Times New Roman" w:hAnsi="Times New Roman" w:cs="Times New Roman"/>
          <w:noProof/>
          <w:sz w:val="24"/>
          <w:szCs w:val="24"/>
          <w:lang w:val="en-US"/>
        </w:rPr>
        <w:t xml:space="preserve">they can </w:t>
      </w:r>
      <w:r w:rsidR="00AD39B8" w:rsidRPr="005517C4">
        <w:rPr>
          <w:rFonts w:ascii="Times New Roman" w:hAnsi="Times New Roman" w:cs="Times New Roman"/>
          <w:noProof/>
          <w:sz w:val="24"/>
          <w:szCs w:val="24"/>
          <w:lang w:val="en-US"/>
        </w:rPr>
        <w:t xml:space="preserve">converge into clubs or a spesific steady state. </w:t>
      </w:r>
      <w:r w:rsidR="000D1729">
        <w:rPr>
          <w:rFonts w:ascii="Times New Roman" w:hAnsi="Times New Roman" w:cs="Times New Roman"/>
          <w:noProof/>
          <w:sz w:val="24"/>
          <w:szCs w:val="24"/>
          <w:lang w:val="en-US"/>
        </w:rPr>
        <w:t>Therefore</w:t>
      </w:r>
      <w:r w:rsidR="00E3079A" w:rsidRPr="005517C4">
        <w:rPr>
          <w:rFonts w:ascii="Times New Roman" w:hAnsi="Times New Roman" w:cs="Times New Roman"/>
          <w:noProof/>
          <w:sz w:val="24"/>
          <w:szCs w:val="24"/>
          <w:lang w:val="en-US"/>
        </w:rPr>
        <w:t xml:space="preserve">, a common environmental policy </w:t>
      </w:r>
      <w:r w:rsidR="000D1729">
        <w:rPr>
          <w:rFonts w:ascii="Times New Roman" w:hAnsi="Times New Roman" w:cs="Times New Roman"/>
          <w:noProof/>
          <w:sz w:val="24"/>
          <w:szCs w:val="24"/>
          <w:lang w:val="en-US"/>
        </w:rPr>
        <w:t>across</w:t>
      </w:r>
      <w:r w:rsidR="00E3079A" w:rsidRPr="005517C4">
        <w:rPr>
          <w:rFonts w:ascii="Times New Roman" w:hAnsi="Times New Roman" w:cs="Times New Roman"/>
          <w:noProof/>
          <w:sz w:val="24"/>
          <w:szCs w:val="24"/>
          <w:lang w:val="en-US"/>
        </w:rPr>
        <w:t xml:space="preserve"> all countries may fail</w:t>
      </w:r>
      <w:r w:rsidR="00664A73" w:rsidRPr="005517C4">
        <w:rPr>
          <w:rFonts w:ascii="Times New Roman" w:hAnsi="Times New Roman" w:cs="Times New Roman"/>
          <w:noProof/>
          <w:sz w:val="24"/>
          <w:szCs w:val="24"/>
          <w:lang w:val="en-US"/>
        </w:rPr>
        <w:t xml:space="preserve"> </w:t>
      </w:r>
      <w:r w:rsidR="006578EE" w:rsidRPr="005517C4">
        <w:rPr>
          <w:rFonts w:ascii="Times New Roman" w:hAnsi="Times New Roman" w:cs="Times New Roman"/>
          <w:noProof/>
          <w:sz w:val="24"/>
          <w:szCs w:val="24"/>
          <w:lang w:val="en-US"/>
        </w:rPr>
        <w:fldChar w:fldCharType="begin" w:fldLock="1"/>
      </w:r>
      <w:r w:rsidR="00216FA4">
        <w:rPr>
          <w:rFonts w:ascii="Times New Roman" w:hAnsi="Times New Roman" w:cs="Times New Roman"/>
          <w:noProof/>
          <w:sz w:val="24"/>
          <w:szCs w:val="24"/>
          <w:lang w:val="en-US"/>
        </w:rPr>
        <w:instrText>ADDIN CSL_CITATION { "citationItems" : [ { "id" : "ITEM-1", "itemData" : { "DOI" : "10.1016/j.enpol.2013.06.120", "ISSN" : "03014215", "abstract" : "The aim of this paper is to investigate the environmental convergence hypothesis in carbon dioxide emissions for a large group of developed and developing countries from 1980 to 2009. The novel aspect of this work is that we distinguish among carbon dioxide emissions according to the source of energy (coal, natural gas and petroleum) instead of considering the aggregate measure of per capita carbon dioxide emissions, where notable interest is given to the regional dimension due to the application of new club convergence tests. This allows us to determine the convergence behaviour of emissions in a more precise way and to detect it according to the source of energy used, thereby helping to address the environmental targets. More specifically, the convergence hypothesis is examined with a pair-wise test and another one is used to test for the existence of club convergence. Our results from using the pair-wise test indicate that carbon dioxide emissions for each type of energy diverge. However, club convergence is found for a large group of countries, although some still display divergence. These findings point to the need to apply specific environmental policies to each club detected, since specific countries converge to different clubs.", "author" : [ { "dropping-particle" : "", "family" : "Herrerias", "given" : "M.J.", "non-dropping-particle" : "", "parse-names" : false, "suffix" : "" } ], "container-title" : "Energy Policy", "id" : "ITEM-1", "issued" : { "date-parts" : [ [ "2013" ] ] }, "page" : "1140-1150", "title" : "The environmental convergence hypothesis: Carbon dioxide emissions according to the source of energy", "type" : "article-journal", "volume" : "61" }, "uris" : [ "http://www.mendeley.com/documents/?uuid=67ed589c-6a1d-3577-9e63-6cef6c7c446c" ] } ], "mendeley" : { "formattedCitation" : "(Herrerias 2013)", "plainTextFormattedCitation" : "(Herrerias 2013)", "previouslyFormattedCitation" : "(Herrerias 2013)" }, "properties" : { "noteIndex" : 0 }, "schema" : "https://github.com/citation-style-language/schema/raw/master/csl-citation.json" }</w:instrText>
      </w:r>
      <w:r w:rsidR="006578EE" w:rsidRPr="005517C4">
        <w:rPr>
          <w:rFonts w:ascii="Times New Roman" w:hAnsi="Times New Roman" w:cs="Times New Roman"/>
          <w:noProof/>
          <w:sz w:val="24"/>
          <w:szCs w:val="24"/>
          <w:lang w:val="en-US"/>
        </w:rPr>
        <w:fldChar w:fldCharType="separate"/>
      </w:r>
      <w:r w:rsidR="003D379B" w:rsidRPr="003D379B">
        <w:rPr>
          <w:rFonts w:ascii="Times New Roman" w:hAnsi="Times New Roman" w:cs="Times New Roman"/>
          <w:noProof/>
          <w:sz w:val="24"/>
          <w:szCs w:val="24"/>
          <w:lang w:val="en-US"/>
        </w:rPr>
        <w:t>(Herrerias 2013)</w:t>
      </w:r>
      <w:r w:rsidR="006578EE" w:rsidRPr="005517C4">
        <w:rPr>
          <w:rFonts w:ascii="Times New Roman" w:hAnsi="Times New Roman" w:cs="Times New Roman"/>
          <w:noProof/>
          <w:sz w:val="24"/>
          <w:szCs w:val="24"/>
          <w:lang w:val="en-US"/>
        </w:rPr>
        <w:fldChar w:fldCharType="end"/>
      </w:r>
      <w:r w:rsidR="00E3079A" w:rsidRPr="005517C4">
        <w:rPr>
          <w:rFonts w:ascii="Times New Roman" w:hAnsi="Times New Roman" w:cs="Times New Roman"/>
          <w:noProof/>
          <w:sz w:val="24"/>
          <w:szCs w:val="24"/>
          <w:lang w:val="en-US"/>
        </w:rPr>
        <w:t xml:space="preserve">. </w:t>
      </w:r>
      <w:r w:rsidR="006578EE" w:rsidRPr="005517C4">
        <w:rPr>
          <w:rFonts w:ascii="Times New Roman" w:hAnsi="Times New Roman" w:cs="Times New Roman"/>
          <w:noProof/>
          <w:sz w:val="24"/>
          <w:szCs w:val="24"/>
          <w:lang w:val="en-US"/>
        </w:rPr>
        <w:fldChar w:fldCharType="begin" w:fldLock="1"/>
      </w:r>
      <w:r w:rsidR="00DF4C54" w:rsidRPr="005517C4">
        <w:rPr>
          <w:rFonts w:ascii="Times New Roman" w:hAnsi="Times New Roman" w:cs="Times New Roman"/>
          <w:noProof/>
          <w:sz w:val="24"/>
          <w:szCs w:val="24"/>
          <w:lang w:val="en-US"/>
        </w:rPr>
        <w:instrText>ADDIN CSL_CITATION { "citationItems" : [ { "id" : "ITEM-1", "itemData" : { "DOI" : "10.1111/j.1468-0262.2007.00811.x", "ISSN" : "0012-9682", "author" : [ { "dropping-particle" : "", "family" : "Phillips", "given" : "Peter C. B.", "non-dropping-particle" : "", "parse-names" : false, "suffix" : "" }, { "dropping-particle" : "", "family" : "Sul", "given" : "Donggyu", "non-dropping-particle" : "", "parse-names" : false, "suffix" : "" } ], "container-title" : "Econometrica", "id" : "ITEM-1", "issue" : "6", "issued" : { "date-parts" : [ [ "2007", "11" ] ] }, "page" : "1771-1855", "publisher" : "Blackwell Publishing Ltd", "title" : "Transition Modeling and Econometric Convergence Tests", "type" : "article-journal", "volume" : "75" }, "uris" : [ "http://www.mendeley.com/documents/?uuid=fdd5387e-1c8d-3c46-b2e6-e4653867fe7f" ] } ], "mendeley" : { "formattedCitation" : "(Phillips and Sul 2007a)", "manualFormatting" : "Phillips and Sul (2007)", "plainTextFormattedCitation" : "(Phillips and Sul 2007a)", "previouslyFormattedCitation" : "(Phillips and Sul 2007a)" }, "properties" : { "noteIndex" : 0 }, "schema" : "https://github.com/citation-style-language/schema/raw/master/csl-citation.json" }</w:instrText>
      </w:r>
      <w:r w:rsidR="006578EE" w:rsidRPr="005517C4">
        <w:rPr>
          <w:rFonts w:ascii="Times New Roman" w:hAnsi="Times New Roman" w:cs="Times New Roman"/>
          <w:noProof/>
          <w:sz w:val="24"/>
          <w:szCs w:val="24"/>
          <w:lang w:val="en-US"/>
        </w:rPr>
        <w:fldChar w:fldCharType="separate"/>
      </w:r>
      <w:r w:rsidR="00F7797C" w:rsidRPr="005517C4">
        <w:rPr>
          <w:rFonts w:ascii="Times New Roman" w:hAnsi="Times New Roman" w:cs="Times New Roman"/>
          <w:noProof/>
          <w:sz w:val="24"/>
          <w:szCs w:val="24"/>
          <w:lang w:val="en-US"/>
        </w:rPr>
        <w:t>Phillips and Sul (2007)</w:t>
      </w:r>
      <w:r w:rsidR="006578EE" w:rsidRPr="005517C4">
        <w:rPr>
          <w:rFonts w:ascii="Times New Roman" w:hAnsi="Times New Roman" w:cs="Times New Roman"/>
          <w:noProof/>
          <w:sz w:val="24"/>
          <w:szCs w:val="24"/>
          <w:lang w:val="en-US"/>
        </w:rPr>
        <w:fldChar w:fldCharType="end"/>
      </w:r>
      <w:r w:rsidR="00F7797C" w:rsidRPr="005517C4">
        <w:rPr>
          <w:rFonts w:ascii="Times New Roman" w:hAnsi="Times New Roman" w:cs="Times New Roman"/>
          <w:noProof/>
          <w:sz w:val="24"/>
          <w:szCs w:val="24"/>
          <w:lang w:val="en-US"/>
        </w:rPr>
        <w:t xml:space="preserve"> </w:t>
      </w:r>
      <w:r w:rsidR="000D1729">
        <w:rPr>
          <w:rFonts w:ascii="Times New Roman" w:hAnsi="Times New Roman" w:cs="Times New Roman"/>
          <w:noProof/>
          <w:sz w:val="24"/>
          <w:szCs w:val="24"/>
          <w:lang w:val="en-US"/>
        </w:rPr>
        <w:t>recommend</w:t>
      </w:r>
      <w:r w:rsidR="00F7797C" w:rsidRPr="005517C4">
        <w:rPr>
          <w:rFonts w:ascii="Times New Roman" w:hAnsi="Times New Roman" w:cs="Times New Roman"/>
          <w:noProof/>
          <w:sz w:val="24"/>
          <w:szCs w:val="24"/>
          <w:lang w:val="en-US"/>
        </w:rPr>
        <w:t xml:space="preserve"> a club convergence test </w:t>
      </w:r>
      <w:r w:rsidR="00043CD2" w:rsidRPr="005517C4">
        <w:rPr>
          <w:rFonts w:ascii="Times New Roman" w:hAnsi="Times New Roman" w:cs="Times New Roman"/>
          <w:noProof/>
          <w:sz w:val="24"/>
          <w:szCs w:val="24"/>
          <w:lang w:val="en-US"/>
        </w:rPr>
        <w:t>(PS test</w:t>
      </w:r>
      <w:r w:rsidR="000D1729">
        <w:rPr>
          <w:rFonts w:ascii="Times New Roman" w:hAnsi="Times New Roman" w:cs="Times New Roman"/>
          <w:noProof/>
          <w:sz w:val="24"/>
          <w:szCs w:val="24"/>
          <w:lang w:val="en-US"/>
        </w:rPr>
        <w:t>,</w:t>
      </w:r>
      <w:r w:rsidR="00043CD2" w:rsidRPr="005517C4">
        <w:rPr>
          <w:rFonts w:ascii="Times New Roman" w:hAnsi="Times New Roman" w:cs="Times New Roman"/>
          <w:noProof/>
          <w:sz w:val="24"/>
          <w:szCs w:val="24"/>
          <w:lang w:val="en-US"/>
        </w:rPr>
        <w:t xml:space="preserve"> hereafter) </w:t>
      </w:r>
      <w:r w:rsidR="00F7797C" w:rsidRPr="005517C4">
        <w:rPr>
          <w:rFonts w:ascii="Times New Roman" w:hAnsi="Times New Roman" w:cs="Times New Roman"/>
          <w:noProof/>
          <w:sz w:val="24"/>
          <w:szCs w:val="24"/>
          <w:lang w:val="en-US"/>
        </w:rPr>
        <w:t>to avoid the possibilities mentioned above.</w:t>
      </w:r>
      <w:r w:rsidR="00C602F1" w:rsidRPr="005517C4">
        <w:rPr>
          <w:rFonts w:ascii="Times New Roman" w:hAnsi="Times New Roman" w:cs="Times New Roman"/>
          <w:noProof/>
          <w:sz w:val="24"/>
          <w:szCs w:val="24"/>
          <w:lang w:val="en-US"/>
        </w:rPr>
        <w:t xml:space="preserve"> The </w:t>
      </w:r>
      <w:r w:rsidR="00570C94" w:rsidRPr="005517C4">
        <w:rPr>
          <w:rFonts w:ascii="Times New Roman" w:hAnsi="Times New Roman" w:cs="Times New Roman"/>
          <w:noProof/>
          <w:sz w:val="24"/>
          <w:szCs w:val="24"/>
          <w:lang w:val="en-US"/>
        </w:rPr>
        <w:t xml:space="preserve">PS methodology, named as </w:t>
      </w:r>
      <w:r w:rsidR="000D1729">
        <w:rPr>
          <w:rFonts w:ascii="Times New Roman" w:hAnsi="Times New Roman" w:cs="Times New Roman"/>
          <w:noProof/>
          <w:sz w:val="24"/>
          <w:szCs w:val="24"/>
          <w:lang w:val="en-US"/>
        </w:rPr>
        <w:t xml:space="preserve">the </w:t>
      </w:r>
      <w:r w:rsidR="00570C94" w:rsidRPr="005517C4">
        <w:rPr>
          <w:rFonts w:ascii="Times New Roman" w:hAnsi="Times New Roman" w:cs="Times New Roman"/>
          <w:i/>
          <w:noProof/>
          <w:sz w:val="24"/>
          <w:szCs w:val="24"/>
          <w:lang w:val="en-US"/>
        </w:rPr>
        <w:t>log t test</w:t>
      </w:r>
      <w:r w:rsidR="00570C94" w:rsidRPr="005517C4">
        <w:rPr>
          <w:rFonts w:ascii="Times New Roman" w:hAnsi="Times New Roman" w:cs="Times New Roman"/>
          <w:noProof/>
          <w:sz w:val="24"/>
          <w:szCs w:val="24"/>
          <w:lang w:val="en-US"/>
        </w:rPr>
        <w:t xml:space="preserve">, classifies </w:t>
      </w:r>
      <w:r w:rsidR="000D1729">
        <w:rPr>
          <w:rFonts w:ascii="Times New Roman" w:hAnsi="Times New Roman" w:cs="Times New Roman"/>
          <w:noProof/>
          <w:sz w:val="24"/>
          <w:szCs w:val="24"/>
          <w:lang w:val="en-US"/>
        </w:rPr>
        <w:t>countries</w:t>
      </w:r>
      <w:r w:rsidR="00570C94" w:rsidRPr="005517C4">
        <w:rPr>
          <w:rFonts w:ascii="Times New Roman" w:hAnsi="Times New Roman" w:cs="Times New Roman"/>
          <w:noProof/>
          <w:sz w:val="24"/>
          <w:szCs w:val="24"/>
          <w:lang w:val="en-US"/>
        </w:rPr>
        <w:t xml:space="preserve"> into convergence groups or clubs. </w:t>
      </w:r>
      <w:r w:rsidR="00F7797C" w:rsidRPr="005517C4">
        <w:rPr>
          <w:rFonts w:ascii="Times New Roman" w:hAnsi="Times New Roman" w:cs="Times New Roman"/>
          <w:noProof/>
          <w:sz w:val="24"/>
          <w:szCs w:val="24"/>
          <w:lang w:val="en-US"/>
        </w:rPr>
        <w:t>Several</w:t>
      </w:r>
      <w:r w:rsidR="009C10BE" w:rsidRPr="005517C4">
        <w:rPr>
          <w:rFonts w:ascii="Times New Roman" w:hAnsi="Times New Roman" w:cs="Times New Roman"/>
          <w:noProof/>
          <w:sz w:val="24"/>
          <w:szCs w:val="24"/>
          <w:lang w:val="en-US"/>
        </w:rPr>
        <w:t xml:space="preserve"> advantages come to the forefront </w:t>
      </w:r>
      <w:r w:rsidR="00965820" w:rsidRPr="005517C4">
        <w:rPr>
          <w:rFonts w:ascii="Times New Roman" w:hAnsi="Times New Roman" w:cs="Times New Roman"/>
          <w:noProof/>
          <w:sz w:val="24"/>
          <w:szCs w:val="24"/>
          <w:lang w:val="en-US"/>
        </w:rPr>
        <w:t>by</w:t>
      </w:r>
      <w:r w:rsidR="009C10BE" w:rsidRPr="005517C4">
        <w:rPr>
          <w:rFonts w:ascii="Times New Roman" w:hAnsi="Times New Roman" w:cs="Times New Roman"/>
          <w:noProof/>
          <w:sz w:val="24"/>
          <w:szCs w:val="24"/>
          <w:lang w:val="en-US"/>
        </w:rPr>
        <w:t xml:space="preserve"> </w:t>
      </w:r>
      <w:r w:rsidR="00F7797C" w:rsidRPr="005517C4">
        <w:rPr>
          <w:rFonts w:ascii="Times New Roman" w:hAnsi="Times New Roman" w:cs="Times New Roman"/>
          <w:noProof/>
          <w:sz w:val="24"/>
          <w:szCs w:val="24"/>
          <w:lang w:val="en-US"/>
        </w:rPr>
        <w:t>apply</w:t>
      </w:r>
      <w:r w:rsidR="009C10BE" w:rsidRPr="005517C4">
        <w:rPr>
          <w:rFonts w:ascii="Times New Roman" w:hAnsi="Times New Roman" w:cs="Times New Roman"/>
          <w:noProof/>
          <w:sz w:val="24"/>
          <w:szCs w:val="24"/>
          <w:lang w:val="en-US"/>
        </w:rPr>
        <w:t xml:space="preserve">ing </w:t>
      </w:r>
      <w:r w:rsidR="00570C94" w:rsidRPr="005517C4">
        <w:rPr>
          <w:rFonts w:ascii="Times New Roman" w:hAnsi="Times New Roman" w:cs="Times New Roman"/>
          <w:noProof/>
          <w:sz w:val="24"/>
          <w:szCs w:val="24"/>
          <w:lang w:val="en-US"/>
        </w:rPr>
        <w:t>this</w:t>
      </w:r>
      <w:r w:rsidR="009C10BE" w:rsidRPr="005517C4">
        <w:rPr>
          <w:rFonts w:ascii="Times New Roman" w:hAnsi="Times New Roman" w:cs="Times New Roman"/>
          <w:noProof/>
          <w:sz w:val="24"/>
          <w:szCs w:val="24"/>
          <w:lang w:val="en-US"/>
        </w:rPr>
        <w:t xml:space="preserve"> methodology: (</w:t>
      </w:r>
      <w:r w:rsidR="000D1729">
        <w:rPr>
          <w:rFonts w:ascii="Times New Roman" w:hAnsi="Times New Roman" w:cs="Times New Roman"/>
          <w:noProof/>
          <w:sz w:val="24"/>
          <w:szCs w:val="24"/>
          <w:lang w:val="en-US"/>
        </w:rPr>
        <w:t>i</w:t>
      </w:r>
      <w:r w:rsidR="009C10BE" w:rsidRPr="005517C4">
        <w:rPr>
          <w:rFonts w:ascii="Times New Roman" w:hAnsi="Times New Roman" w:cs="Times New Roman"/>
          <w:noProof/>
          <w:sz w:val="24"/>
          <w:szCs w:val="24"/>
          <w:lang w:val="en-US"/>
        </w:rPr>
        <w:t xml:space="preserve">) </w:t>
      </w:r>
      <w:r w:rsidR="00C602F1" w:rsidRPr="005517C4">
        <w:rPr>
          <w:rFonts w:ascii="Times New Roman" w:hAnsi="Times New Roman" w:cs="Times New Roman"/>
          <w:noProof/>
          <w:sz w:val="24"/>
          <w:szCs w:val="24"/>
          <w:lang w:val="en-US"/>
        </w:rPr>
        <w:t>it</w:t>
      </w:r>
      <w:r w:rsidR="009C10BE" w:rsidRPr="005517C4">
        <w:rPr>
          <w:rFonts w:ascii="Times New Roman" w:hAnsi="Times New Roman" w:cs="Times New Roman"/>
          <w:noProof/>
          <w:sz w:val="24"/>
          <w:szCs w:val="24"/>
          <w:lang w:val="en-US"/>
        </w:rPr>
        <w:t xml:space="preserve"> measures the relative converge</w:t>
      </w:r>
      <w:r w:rsidR="000D1729">
        <w:rPr>
          <w:rFonts w:ascii="Times New Roman" w:hAnsi="Times New Roman" w:cs="Times New Roman"/>
          <w:noProof/>
          <w:sz w:val="24"/>
          <w:szCs w:val="24"/>
          <w:lang w:val="en-US"/>
        </w:rPr>
        <w:t>nce of cross-sectional averages,</w:t>
      </w:r>
      <w:r w:rsidR="009C10BE" w:rsidRPr="005517C4">
        <w:rPr>
          <w:rFonts w:ascii="Times New Roman" w:hAnsi="Times New Roman" w:cs="Times New Roman"/>
          <w:noProof/>
          <w:sz w:val="24"/>
          <w:szCs w:val="24"/>
          <w:lang w:val="en-US"/>
        </w:rPr>
        <w:t xml:space="preserve"> (</w:t>
      </w:r>
      <w:r w:rsidR="000D1729">
        <w:rPr>
          <w:rFonts w:ascii="Times New Roman" w:hAnsi="Times New Roman" w:cs="Times New Roman"/>
          <w:noProof/>
          <w:sz w:val="24"/>
          <w:szCs w:val="24"/>
          <w:lang w:val="en-US"/>
        </w:rPr>
        <w:t>ii</w:t>
      </w:r>
      <w:r w:rsidR="009C10BE" w:rsidRPr="005517C4">
        <w:rPr>
          <w:rFonts w:ascii="Times New Roman" w:hAnsi="Times New Roman" w:cs="Times New Roman"/>
          <w:noProof/>
          <w:sz w:val="24"/>
          <w:szCs w:val="24"/>
          <w:lang w:val="en-US"/>
        </w:rPr>
        <w:t>)</w:t>
      </w:r>
      <w:r w:rsidR="00F7797C" w:rsidRPr="005517C4">
        <w:rPr>
          <w:rFonts w:ascii="Times New Roman" w:hAnsi="Times New Roman" w:cs="Times New Roman"/>
          <w:noProof/>
          <w:sz w:val="24"/>
          <w:szCs w:val="24"/>
          <w:lang w:val="en-US"/>
        </w:rPr>
        <w:t xml:space="preserve"> </w:t>
      </w:r>
      <w:r w:rsidR="009C10BE" w:rsidRPr="005517C4">
        <w:rPr>
          <w:rFonts w:ascii="Times New Roman" w:hAnsi="Times New Roman" w:cs="Times New Roman"/>
          <w:noProof/>
          <w:sz w:val="24"/>
          <w:szCs w:val="24"/>
          <w:lang w:val="en-US"/>
        </w:rPr>
        <w:t xml:space="preserve">panel unit root test may </w:t>
      </w:r>
      <w:r w:rsidR="006754AF" w:rsidRPr="005517C4">
        <w:rPr>
          <w:rFonts w:ascii="Times New Roman" w:hAnsi="Times New Roman" w:cs="Times New Roman"/>
          <w:noProof/>
          <w:sz w:val="24"/>
          <w:szCs w:val="24"/>
          <w:lang w:val="en-US"/>
        </w:rPr>
        <w:t>yield that series ha</w:t>
      </w:r>
      <w:r w:rsidR="000D1729">
        <w:rPr>
          <w:rFonts w:ascii="Times New Roman" w:hAnsi="Times New Roman" w:cs="Times New Roman"/>
          <w:noProof/>
          <w:sz w:val="24"/>
          <w:szCs w:val="24"/>
          <w:lang w:val="en-US"/>
        </w:rPr>
        <w:t>ve</w:t>
      </w:r>
      <w:r w:rsidR="006754AF" w:rsidRPr="005517C4">
        <w:rPr>
          <w:rFonts w:ascii="Times New Roman" w:hAnsi="Times New Roman" w:cs="Times New Roman"/>
          <w:noProof/>
          <w:sz w:val="24"/>
          <w:szCs w:val="24"/>
          <w:lang w:val="en-US"/>
        </w:rPr>
        <w:t xml:space="preserve"> </w:t>
      </w:r>
      <w:r w:rsidR="000D1729">
        <w:rPr>
          <w:rFonts w:ascii="Times New Roman" w:hAnsi="Times New Roman" w:cs="Times New Roman"/>
          <w:noProof/>
          <w:sz w:val="24"/>
          <w:szCs w:val="24"/>
          <w:lang w:val="en-US"/>
        </w:rPr>
        <w:t xml:space="preserve">a </w:t>
      </w:r>
      <w:r w:rsidR="006754AF" w:rsidRPr="005517C4">
        <w:rPr>
          <w:rFonts w:ascii="Times New Roman" w:hAnsi="Times New Roman" w:cs="Times New Roman"/>
          <w:noProof/>
          <w:sz w:val="24"/>
          <w:szCs w:val="24"/>
          <w:lang w:val="en-US"/>
        </w:rPr>
        <w:t xml:space="preserve">unit root for the gradually converging series, while </w:t>
      </w:r>
      <w:r w:rsidR="000D1729">
        <w:rPr>
          <w:rFonts w:ascii="Times New Roman" w:hAnsi="Times New Roman" w:cs="Times New Roman"/>
          <w:noProof/>
          <w:sz w:val="24"/>
          <w:szCs w:val="24"/>
          <w:lang w:val="en-US"/>
        </w:rPr>
        <w:t xml:space="preserve">the </w:t>
      </w:r>
      <w:r w:rsidR="00043CD2" w:rsidRPr="005517C4">
        <w:rPr>
          <w:rFonts w:ascii="Times New Roman" w:hAnsi="Times New Roman" w:cs="Times New Roman"/>
          <w:noProof/>
          <w:sz w:val="24"/>
          <w:szCs w:val="24"/>
          <w:lang w:val="en-US"/>
        </w:rPr>
        <w:t>PS</w:t>
      </w:r>
      <w:r w:rsidR="006754AF" w:rsidRPr="005517C4">
        <w:rPr>
          <w:rFonts w:ascii="Times New Roman" w:hAnsi="Times New Roman" w:cs="Times New Roman"/>
          <w:noProof/>
          <w:sz w:val="24"/>
          <w:szCs w:val="24"/>
          <w:lang w:val="en-US"/>
        </w:rPr>
        <w:t xml:space="preserve"> methodology outperforms </w:t>
      </w:r>
      <w:r w:rsidR="000D1729">
        <w:rPr>
          <w:rFonts w:ascii="Times New Roman" w:hAnsi="Times New Roman" w:cs="Times New Roman"/>
          <w:noProof/>
          <w:sz w:val="24"/>
          <w:szCs w:val="24"/>
          <w:lang w:val="en-US"/>
        </w:rPr>
        <w:t xml:space="preserve">it, </w:t>
      </w:r>
      <w:r w:rsidR="006754AF" w:rsidRPr="005517C4">
        <w:rPr>
          <w:rFonts w:ascii="Times New Roman" w:hAnsi="Times New Roman" w:cs="Times New Roman"/>
          <w:noProof/>
          <w:sz w:val="24"/>
          <w:szCs w:val="24"/>
          <w:lang w:val="en-US"/>
        </w:rPr>
        <w:t>since it consider</w:t>
      </w:r>
      <w:r w:rsidR="00965820" w:rsidRPr="005517C4">
        <w:rPr>
          <w:rFonts w:ascii="Times New Roman" w:hAnsi="Times New Roman" w:cs="Times New Roman"/>
          <w:noProof/>
          <w:sz w:val="24"/>
          <w:szCs w:val="24"/>
          <w:lang w:val="en-US"/>
        </w:rPr>
        <w:t>s</w:t>
      </w:r>
      <w:r w:rsidR="006754AF" w:rsidRPr="005517C4">
        <w:rPr>
          <w:rFonts w:ascii="Times New Roman" w:hAnsi="Times New Roman" w:cs="Times New Roman"/>
          <w:noProof/>
          <w:sz w:val="24"/>
          <w:szCs w:val="24"/>
          <w:lang w:val="en-US"/>
        </w:rPr>
        <w:t xml:space="preserve"> gradual changes</w:t>
      </w:r>
      <w:r w:rsidR="000D1729">
        <w:rPr>
          <w:rFonts w:ascii="Times New Roman" w:hAnsi="Times New Roman" w:cs="Times New Roman"/>
          <w:noProof/>
          <w:sz w:val="24"/>
          <w:szCs w:val="24"/>
          <w:lang w:val="en-US"/>
        </w:rPr>
        <w:t>,</w:t>
      </w:r>
      <w:r w:rsidR="006754AF" w:rsidRPr="005517C4">
        <w:rPr>
          <w:rFonts w:ascii="Times New Roman" w:hAnsi="Times New Roman" w:cs="Times New Roman"/>
          <w:noProof/>
          <w:sz w:val="24"/>
          <w:szCs w:val="24"/>
          <w:lang w:val="en-US"/>
        </w:rPr>
        <w:t xml:space="preserve"> (</w:t>
      </w:r>
      <w:r w:rsidR="000D1729">
        <w:rPr>
          <w:rFonts w:ascii="Times New Roman" w:hAnsi="Times New Roman" w:cs="Times New Roman"/>
          <w:noProof/>
          <w:sz w:val="24"/>
          <w:szCs w:val="24"/>
          <w:lang w:val="en-US"/>
        </w:rPr>
        <w:t>iii</w:t>
      </w:r>
      <w:r w:rsidR="006754AF" w:rsidRPr="005517C4">
        <w:rPr>
          <w:rFonts w:ascii="Times New Roman" w:hAnsi="Times New Roman" w:cs="Times New Roman"/>
          <w:noProof/>
          <w:sz w:val="24"/>
          <w:szCs w:val="24"/>
          <w:lang w:val="en-US"/>
        </w:rPr>
        <w:t xml:space="preserve">) </w:t>
      </w:r>
      <w:r w:rsidR="000D1729">
        <w:rPr>
          <w:rFonts w:ascii="Times New Roman" w:hAnsi="Times New Roman" w:cs="Times New Roman"/>
          <w:noProof/>
          <w:sz w:val="24"/>
          <w:szCs w:val="24"/>
          <w:lang w:val="en-US"/>
        </w:rPr>
        <w:t xml:space="preserve">the methodology </w:t>
      </w:r>
      <w:r w:rsidR="006754AF" w:rsidRPr="005517C4">
        <w:rPr>
          <w:rFonts w:ascii="Times New Roman" w:hAnsi="Times New Roman" w:cs="Times New Roman"/>
          <w:noProof/>
          <w:sz w:val="24"/>
          <w:szCs w:val="24"/>
          <w:lang w:val="en-US"/>
        </w:rPr>
        <w:t xml:space="preserve">may yield </w:t>
      </w:r>
      <w:r w:rsidR="000D1729">
        <w:rPr>
          <w:rFonts w:ascii="Times New Roman" w:hAnsi="Times New Roman" w:cs="Times New Roman"/>
          <w:noProof/>
          <w:sz w:val="24"/>
          <w:szCs w:val="24"/>
          <w:lang w:val="en-US"/>
        </w:rPr>
        <w:t xml:space="preserve">the presence of </w:t>
      </w:r>
      <w:r w:rsidR="006754AF" w:rsidRPr="005517C4">
        <w:rPr>
          <w:rFonts w:ascii="Times New Roman" w:hAnsi="Times New Roman" w:cs="Times New Roman"/>
          <w:noProof/>
          <w:sz w:val="24"/>
          <w:szCs w:val="24"/>
          <w:lang w:val="en-US"/>
        </w:rPr>
        <w:t xml:space="preserve">cointegration if the series are slowly </w:t>
      </w:r>
      <w:r w:rsidR="00714952" w:rsidRPr="005517C4">
        <w:rPr>
          <w:rFonts w:ascii="Times New Roman" w:hAnsi="Times New Roman" w:cs="Times New Roman"/>
          <w:noProof/>
          <w:sz w:val="24"/>
          <w:szCs w:val="24"/>
          <w:lang w:val="en-US"/>
        </w:rPr>
        <w:t>approaching a long</w:t>
      </w:r>
      <w:r w:rsidR="000D1729">
        <w:rPr>
          <w:rFonts w:ascii="Times New Roman" w:hAnsi="Times New Roman" w:cs="Times New Roman"/>
          <w:noProof/>
          <w:sz w:val="24"/>
          <w:szCs w:val="24"/>
          <w:lang w:val="en-US"/>
        </w:rPr>
        <w:t>-</w:t>
      </w:r>
      <w:r w:rsidR="00714952" w:rsidRPr="005517C4">
        <w:rPr>
          <w:rFonts w:ascii="Times New Roman" w:hAnsi="Times New Roman" w:cs="Times New Roman"/>
          <w:noProof/>
          <w:sz w:val="24"/>
          <w:szCs w:val="24"/>
          <w:lang w:val="en-US"/>
        </w:rPr>
        <w:t xml:space="preserve">run equilibrum or </w:t>
      </w:r>
      <w:r w:rsidR="000D1729">
        <w:rPr>
          <w:rFonts w:ascii="Times New Roman" w:hAnsi="Times New Roman" w:cs="Times New Roman"/>
          <w:noProof/>
          <w:sz w:val="24"/>
          <w:szCs w:val="24"/>
          <w:lang w:val="en-US"/>
        </w:rPr>
        <w:t>indicate</w:t>
      </w:r>
      <w:r w:rsidR="00714952" w:rsidRPr="005517C4">
        <w:rPr>
          <w:rFonts w:ascii="Times New Roman" w:hAnsi="Times New Roman" w:cs="Times New Roman"/>
          <w:noProof/>
          <w:sz w:val="24"/>
          <w:szCs w:val="24"/>
          <w:lang w:val="en-US"/>
        </w:rPr>
        <w:t xml:space="preserve"> </w:t>
      </w:r>
      <w:r w:rsidR="000D1729">
        <w:rPr>
          <w:rFonts w:ascii="Times New Roman" w:hAnsi="Times New Roman" w:cs="Times New Roman"/>
          <w:noProof/>
          <w:sz w:val="24"/>
          <w:szCs w:val="24"/>
          <w:lang w:val="en-US"/>
        </w:rPr>
        <w:t>a non-linear process;</w:t>
      </w:r>
      <w:r w:rsidR="00714952" w:rsidRPr="005517C4">
        <w:rPr>
          <w:rFonts w:ascii="Times New Roman" w:hAnsi="Times New Roman" w:cs="Times New Roman"/>
          <w:noProof/>
          <w:sz w:val="24"/>
          <w:szCs w:val="24"/>
          <w:lang w:val="en-US"/>
        </w:rPr>
        <w:t xml:space="preserve"> </w:t>
      </w:r>
      <w:r w:rsidR="000D1729">
        <w:rPr>
          <w:rFonts w:ascii="Times New Roman" w:hAnsi="Times New Roman" w:cs="Times New Roman"/>
          <w:noProof/>
          <w:sz w:val="24"/>
          <w:szCs w:val="24"/>
          <w:lang w:val="en-US"/>
        </w:rPr>
        <w:t>i</w:t>
      </w:r>
      <w:r w:rsidR="00714952" w:rsidRPr="005517C4">
        <w:rPr>
          <w:rFonts w:ascii="Times New Roman" w:hAnsi="Times New Roman" w:cs="Times New Roman"/>
          <w:noProof/>
          <w:sz w:val="24"/>
          <w:szCs w:val="24"/>
          <w:lang w:val="en-US"/>
        </w:rPr>
        <w:t>n this case</w:t>
      </w:r>
      <w:r w:rsidR="000D1729">
        <w:rPr>
          <w:rFonts w:ascii="Times New Roman" w:hAnsi="Times New Roman" w:cs="Times New Roman"/>
          <w:noProof/>
          <w:sz w:val="24"/>
          <w:szCs w:val="24"/>
          <w:lang w:val="en-US"/>
        </w:rPr>
        <w:t>,</w:t>
      </w:r>
      <w:r w:rsidR="00714952" w:rsidRPr="005517C4">
        <w:rPr>
          <w:rFonts w:ascii="Times New Roman" w:hAnsi="Times New Roman" w:cs="Times New Roman"/>
          <w:noProof/>
          <w:sz w:val="24"/>
          <w:szCs w:val="24"/>
          <w:lang w:val="en-US"/>
        </w:rPr>
        <w:t xml:space="preserve"> standard cointegration tests may </w:t>
      </w:r>
      <w:r w:rsidR="00B61132" w:rsidRPr="005517C4">
        <w:rPr>
          <w:rFonts w:ascii="Times New Roman" w:hAnsi="Times New Roman" w:cs="Times New Roman"/>
          <w:noProof/>
          <w:sz w:val="24"/>
          <w:szCs w:val="24"/>
          <w:lang w:val="en-US"/>
        </w:rPr>
        <w:t xml:space="preserve">reject the </w:t>
      </w:r>
      <w:r w:rsidR="000D1729">
        <w:rPr>
          <w:rFonts w:ascii="Times New Roman" w:hAnsi="Times New Roman" w:cs="Times New Roman"/>
          <w:noProof/>
          <w:sz w:val="24"/>
          <w:szCs w:val="24"/>
          <w:lang w:val="en-US"/>
        </w:rPr>
        <w:t xml:space="preserve">presence of a </w:t>
      </w:r>
      <w:r w:rsidR="00B61132" w:rsidRPr="005517C4">
        <w:rPr>
          <w:rFonts w:ascii="Times New Roman" w:hAnsi="Times New Roman" w:cs="Times New Roman"/>
          <w:noProof/>
          <w:sz w:val="24"/>
          <w:szCs w:val="24"/>
          <w:lang w:val="en-US"/>
        </w:rPr>
        <w:t>cointegrati</w:t>
      </w:r>
      <w:r w:rsidR="000D1729">
        <w:rPr>
          <w:rFonts w:ascii="Times New Roman" w:hAnsi="Times New Roman" w:cs="Times New Roman"/>
          <w:noProof/>
          <w:sz w:val="24"/>
          <w:szCs w:val="24"/>
          <w:lang w:val="en-US"/>
        </w:rPr>
        <w:t>ng association</w:t>
      </w:r>
      <w:r w:rsidR="00B61132" w:rsidRPr="005517C4">
        <w:rPr>
          <w:rFonts w:ascii="Times New Roman" w:hAnsi="Times New Roman" w:cs="Times New Roman"/>
          <w:noProof/>
          <w:sz w:val="24"/>
          <w:szCs w:val="24"/>
          <w:lang w:val="en-US"/>
        </w:rPr>
        <w:t>.</w:t>
      </w:r>
      <w:r w:rsidR="000D1729">
        <w:rPr>
          <w:rFonts w:ascii="Times New Roman" w:hAnsi="Times New Roman" w:cs="Times New Roman"/>
          <w:noProof/>
          <w:sz w:val="24"/>
          <w:szCs w:val="24"/>
          <w:lang w:val="en-US"/>
        </w:rPr>
        <w:t xml:space="preserve">, </w:t>
      </w:r>
      <w:r w:rsidR="00B61132" w:rsidRPr="005517C4">
        <w:rPr>
          <w:rFonts w:ascii="Times New Roman" w:hAnsi="Times New Roman" w:cs="Times New Roman"/>
          <w:noProof/>
          <w:sz w:val="24"/>
          <w:szCs w:val="24"/>
          <w:lang w:val="en-US"/>
        </w:rPr>
        <w:t>(</w:t>
      </w:r>
      <w:r w:rsidR="000D1729">
        <w:rPr>
          <w:rFonts w:ascii="Times New Roman" w:hAnsi="Times New Roman" w:cs="Times New Roman"/>
          <w:noProof/>
          <w:sz w:val="24"/>
          <w:szCs w:val="24"/>
          <w:lang w:val="en-US"/>
        </w:rPr>
        <w:t>iv</w:t>
      </w:r>
      <w:r w:rsidR="00B61132" w:rsidRPr="005517C4">
        <w:rPr>
          <w:rFonts w:ascii="Times New Roman" w:hAnsi="Times New Roman" w:cs="Times New Roman"/>
          <w:noProof/>
          <w:sz w:val="24"/>
          <w:szCs w:val="24"/>
          <w:lang w:val="en-US"/>
        </w:rPr>
        <w:t>) panel unit root tests are imposed by stationarity properties of each cross section. The general result for the panel may be stationary or non-stationary if very few sections in the panel are strongly stationary or non-stationary</w:t>
      </w:r>
      <w:r w:rsidR="0048261A" w:rsidRPr="005517C4">
        <w:rPr>
          <w:rFonts w:ascii="Times New Roman" w:hAnsi="Times New Roman" w:cs="Times New Roman"/>
          <w:noProof/>
          <w:sz w:val="24"/>
          <w:szCs w:val="24"/>
          <w:lang w:val="en-US"/>
        </w:rPr>
        <w:t xml:space="preserve"> </w:t>
      </w:r>
      <w:r w:rsidR="006578EE" w:rsidRPr="005517C4">
        <w:rPr>
          <w:rFonts w:ascii="Times New Roman" w:hAnsi="Times New Roman" w:cs="Times New Roman"/>
          <w:noProof/>
          <w:sz w:val="24"/>
          <w:szCs w:val="24"/>
          <w:lang w:val="en-US"/>
        </w:rPr>
        <w:fldChar w:fldCharType="begin" w:fldLock="1"/>
      </w:r>
      <w:r w:rsidR="002B242F">
        <w:rPr>
          <w:rFonts w:ascii="Times New Roman" w:hAnsi="Times New Roman" w:cs="Times New Roman"/>
          <w:noProof/>
          <w:sz w:val="24"/>
          <w:szCs w:val="24"/>
          <w:lang w:val="en-US"/>
        </w:rPr>
        <w:instrText>ADDIN CSL_CITATION { "citationItems" : [ { "id" : "ITEM-1", "itemData" : { "abstract" : "This paper proposes the use of covariate unit root tests and the exploitation of the information on the cross-sectional dependence when the panel data null hypothesis of a unit root is rejected or when N is relatively small in order to help the interpretation of the test results. In particular, it investigates the optimal point optimal covariate unit root test by Juhl and Xiao (2003), which is based on the theory by Hansen (1995) and Elliott and Jansson (2003). We first compare the asymptotic power function of the covariate test with those of panel unit root tests and show that the covariate unit root test can be potentially more powerful than panel unit root tests when the cross-sectional dimension is not so large. We also suggest several methods to choose appropriate covariates. The Monte Carlo simulations show that some of our methods work fairly well compared with the simple method of using only one covariate. Using our methods, we investigate the Prebish-Singer hypothesis for nine commodity prices and find that this hypothesis holds except for the price of petroleum. We also examine the PPP hypothesis employing eight real exchange rates of developed economies relative to the US dollar.", "author" : [ { "dropping-particle" : "", "family" : "Kurozumi", "given" : "Eiji", "non-dropping-particle" : "", "parse-names" : false, "suffix" : "" }, { "dropping-particle" : "", "family" : "Yamazaki", "given" : "Daisuke", "non-dropping-particle" : "", "parse-names" : false, "suffix" : "" }, { "dropping-particle" : "", "family" : "Hadri", "given" : "Kaddour", "non-dropping-particle" : "", "parse-names" : false, "suffix" : "" } ], "collection-title" : "QUEEN\u2019S MANAGEMENT SCHOOL ECONOMICS WORKING PAPER SERIES", "id" : "ITEM-1", "issued" : { "date-parts" : [ [ "2013" ] ] }, "number" : "2013-01", "number-of-pages" : "1-34", "title" : "COVARIATE UNIT ROOT TEST FOR CROSS-SECTIONALLY DEPENDENT PANEL DATA", "type" : "report" }, "uris" : [ "http://www.mendeley.com/documents/?uuid=fa34d13c-92bc-3907-8868-a3fdb42400dd" ] } ], "mendeley" : { "formattedCitation" : "(Kurozumi, Yamazaki, and Hadri 2013)", "manualFormatting" : "(Kurozumi et al. 2013)", "plainTextFormattedCitation" : "(Kurozumi, Yamazaki, and Hadri 2013)", "previouslyFormattedCitation" : "(Kurozumi, Yamazaki, and Hadri 2013)" }, "properties" : { "noteIndex" : 0 }, "schema" : "https://github.com/citation-style-language/schema/raw/master/csl-citation.json" }</w:instrText>
      </w:r>
      <w:r w:rsidR="006578EE" w:rsidRPr="005517C4">
        <w:rPr>
          <w:rFonts w:ascii="Times New Roman" w:hAnsi="Times New Roman" w:cs="Times New Roman"/>
          <w:noProof/>
          <w:sz w:val="24"/>
          <w:szCs w:val="24"/>
          <w:lang w:val="en-US"/>
        </w:rPr>
        <w:fldChar w:fldCharType="separate"/>
      </w:r>
      <w:r w:rsidR="003D379B" w:rsidRPr="003D379B">
        <w:rPr>
          <w:rFonts w:ascii="Times New Roman" w:hAnsi="Times New Roman" w:cs="Times New Roman"/>
          <w:noProof/>
          <w:sz w:val="24"/>
          <w:szCs w:val="24"/>
          <w:lang w:val="en-US"/>
        </w:rPr>
        <w:t>(Kurozumi</w:t>
      </w:r>
      <w:r w:rsidR="002B242F">
        <w:rPr>
          <w:rFonts w:ascii="Times New Roman" w:hAnsi="Times New Roman" w:cs="Times New Roman"/>
          <w:noProof/>
          <w:sz w:val="24"/>
          <w:szCs w:val="24"/>
          <w:lang w:val="en-US"/>
        </w:rPr>
        <w:t xml:space="preserve"> et al. </w:t>
      </w:r>
      <w:r w:rsidR="003D379B" w:rsidRPr="003D379B">
        <w:rPr>
          <w:rFonts w:ascii="Times New Roman" w:hAnsi="Times New Roman" w:cs="Times New Roman"/>
          <w:noProof/>
          <w:sz w:val="24"/>
          <w:szCs w:val="24"/>
          <w:lang w:val="en-US"/>
        </w:rPr>
        <w:t>2013)</w:t>
      </w:r>
      <w:r w:rsidR="006578EE" w:rsidRPr="005517C4">
        <w:rPr>
          <w:rFonts w:ascii="Times New Roman" w:hAnsi="Times New Roman" w:cs="Times New Roman"/>
          <w:noProof/>
          <w:sz w:val="24"/>
          <w:szCs w:val="24"/>
          <w:lang w:val="en-US"/>
        </w:rPr>
        <w:fldChar w:fldCharType="end"/>
      </w:r>
      <w:r w:rsidR="00B61132" w:rsidRPr="005517C4">
        <w:rPr>
          <w:rFonts w:ascii="Times New Roman" w:hAnsi="Times New Roman" w:cs="Times New Roman"/>
          <w:noProof/>
          <w:sz w:val="24"/>
          <w:szCs w:val="24"/>
          <w:lang w:val="en-US"/>
        </w:rPr>
        <w:t>.</w:t>
      </w:r>
      <w:r w:rsidR="0048261A" w:rsidRPr="005517C4">
        <w:rPr>
          <w:rFonts w:ascii="Times New Roman" w:hAnsi="Times New Roman" w:cs="Times New Roman"/>
          <w:noProof/>
          <w:sz w:val="24"/>
          <w:szCs w:val="24"/>
          <w:lang w:val="en-US"/>
        </w:rPr>
        <w:t xml:space="preserve"> However, </w:t>
      </w:r>
      <w:r w:rsidR="00C602F1" w:rsidRPr="005517C4">
        <w:rPr>
          <w:rFonts w:ascii="Times New Roman" w:hAnsi="Times New Roman" w:cs="Times New Roman"/>
          <w:noProof/>
          <w:sz w:val="24"/>
          <w:szCs w:val="24"/>
          <w:lang w:val="en-US"/>
        </w:rPr>
        <w:t xml:space="preserve">the </w:t>
      </w:r>
      <w:r w:rsidR="00043CD2" w:rsidRPr="005517C4">
        <w:rPr>
          <w:rFonts w:ascii="Times New Roman" w:hAnsi="Times New Roman" w:cs="Times New Roman"/>
          <w:noProof/>
          <w:sz w:val="24"/>
          <w:szCs w:val="24"/>
          <w:lang w:val="en-US"/>
        </w:rPr>
        <w:t>PS procedure</w:t>
      </w:r>
      <w:r w:rsidR="0048261A" w:rsidRPr="005517C4">
        <w:rPr>
          <w:rFonts w:ascii="Times New Roman" w:hAnsi="Times New Roman" w:cs="Times New Roman"/>
          <w:noProof/>
          <w:sz w:val="24"/>
          <w:szCs w:val="24"/>
          <w:lang w:val="en-US"/>
        </w:rPr>
        <w:t xml:space="preserve"> does not rely on </w:t>
      </w:r>
      <w:r w:rsidR="000D1729">
        <w:rPr>
          <w:rFonts w:ascii="Times New Roman" w:hAnsi="Times New Roman" w:cs="Times New Roman"/>
          <w:noProof/>
          <w:sz w:val="24"/>
          <w:szCs w:val="24"/>
          <w:lang w:val="en-US"/>
        </w:rPr>
        <w:t xml:space="preserve">the </w:t>
      </w:r>
      <w:r w:rsidR="0048261A" w:rsidRPr="005517C4">
        <w:rPr>
          <w:rFonts w:ascii="Times New Roman" w:hAnsi="Times New Roman" w:cs="Times New Roman"/>
          <w:noProof/>
          <w:sz w:val="24"/>
          <w:szCs w:val="24"/>
          <w:lang w:val="en-US"/>
        </w:rPr>
        <w:t xml:space="preserve">unit root </w:t>
      </w:r>
      <w:r w:rsidR="000D1729">
        <w:rPr>
          <w:rFonts w:ascii="Times New Roman" w:hAnsi="Times New Roman" w:cs="Times New Roman"/>
          <w:noProof/>
          <w:sz w:val="24"/>
          <w:szCs w:val="24"/>
          <w:lang w:val="en-US"/>
        </w:rPr>
        <w:t>testing</w:t>
      </w:r>
      <w:r w:rsidR="0048261A" w:rsidRPr="005517C4">
        <w:rPr>
          <w:rFonts w:ascii="Times New Roman" w:hAnsi="Times New Roman" w:cs="Times New Roman"/>
          <w:noProof/>
          <w:sz w:val="24"/>
          <w:szCs w:val="24"/>
          <w:lang w:val="en-US"/>
        </w:rPr>
        <w:t xml:space="preserve"> </w:t>
      </w:r>
      <w:r w:rsidR="006578EE" w:rsidRPr="005517C4">
        <w:rPr>
          <w:rFonts w:ascii="Times New Roman" w:hAnsi="Times New Roman" w:cs="Times New Roman"/>
          <w:noProof/>
          <w:sz w:val="24"/>
          <w:szCs w:val="24"/>
          <w:lang w:val="en-US"/>
        </w:rPr>
        <w:fldChar w:fldCharType="begin" w:fldLock="1"/>
      </w:r>
      <w:r w:rsidR="00216FA4">
        <w:rPr>
          <w:rFonts w:ascii="Times New Roman" w:hAnsi="Times New Roman" w:cs="Times New Roman"/>
          <w:noProof/>
          <w:sz w:val="24"/>
          <w:szCs w:val="24"/>
          <w:lang w:val="en-US"/>
        </w:rPr>
        <w:instrText>ADDIN CSL_CITATION { "citationItems" : [ { "id" : "ITEM-1", "itemData" : { "DOI" : "10.1016/j.eneco.2016.11.027", "ISSN" : "01409883", "abstract" : "This study extends the literature on the convergence of per capita carbon dioxide emissions by examining the 50 U.S. states including the District of Columbia in the aggregate, by sector, and by fossil fuel source using the Phillips-Sul club convergence approach for the period 1980 to 2013. The results indicate multiple convergence clubs in the aggregate, by sector (residential, commercial, industrial, transport, and electric power), and for two of the three fossil fuel sources (natural gas and coal) with full panel club convergence in the case of petroleum. The presence of multiple equilibria suggests that environmental policies should recognize the distinctive convergence paths associated with each cluster of states.", "author" : [ { "dropping-particle" : "", "family" : "Apergis", "given" : "Nicholas", "non-dropping-particle" : "", "parse-names" : false, "suffix" : "" }, { "dropping-particle" : "", "family" : "Payne", "given" : "James E.", "non-dropping-particle" : "", "parse-names" : false, "suffix" : "" } ], "container-title" : "Energy Economics", "id" : "ITEM-1", "issued" : { "date-parts" : [ [ "2017" ] ] }, "title" : "Per capita carbon dioxide emissions across U.S. states by sector and fossil fuel source: Evidence from club convergence tests", "type" : "article-journal" }, "uris" : [ "http://www.mendeley.com/documents/?uuid=32029b65-60e3-3fc5-b740-fe431f35cf3d" ] } ], "mendeley" : { "formattedCitation" : "(Apergis and Payne 2017)", "plainTextFormattedCitation" : "(Apergis and Payne 2017)", "previouslyFormattedCitation" : "(Apergis and Payne 2017)" }, "properties" : { "noteIndex" : 0 }, "schema" : "https://github.com/citation-style-language/schema/raw/master/csl-citation.json" }</w:instrText>
      </w:r>
      <w:r w:rsidR="006578EE" w:rsidRPr="005517C4">
        <w:rPr>
          <w:rFonts w:ascii="Times New Roman" w:hAnsi="Times New Roman" w:cs="Times New Roman"/>
          <w:noProof/>
          <w:sz w:val="24"/>
          <w:szCs w:val="24"/>
          <w:lang w:val="en-US"/>
        </w:rPr>
        <w:fldChar w:fldCharType="separate"/>
      </w:r>
      <w:r w:rsidR="003D379B" w:rsidRPr="003D379B">
        <w:rPr>
          <w:rFonts w:ascii="Times New Roman" w:hAnsi="Times New Roman" w:cs="Times New Roman"/>
          <w:noProof/>
          <w:sz w:val="24"/>
          <w:szCs w:val="24"/>
          <w:lang w:val="en-US"/>
        </w:rPr>
        <w:t>(Apergis and Payne 2017)</w:t>
      </w:r>
      <w:r w:rsidR="006578EE" w:rsidRPr="005517C4">
        <w:rPr>
          <w:rFonts w:ascii="Times New Roman" w:hAnsi="Times New Roman" w:cs="Times New Roman"/>
          <w:noProof/>
          <w:sz w:val="24"/>
          <w:szCs w:val="24"/>
          <w:lang w:val="en-US"/>
        </w:rPr>
        <w:fldChar w:fldCharType="end"/>
      </w:r>
      <w:r w:rsidR="000D1729">
        <w:rPr>
          <w:rFonts w:ascii="Times New Roman" w:hAnsi="Times New Roman" w:cs="Times New Roman"/>
          <w:noProof/>
          <w:sz w:val="24"/>
          <w:szCs w:val="24"/>
          <w:lang w:val="en-US"/>
        </w:rPr>
        <w:t>,</w:t>
      </w:r>
      <w:r w:rsidR="00043CD2" w:rsidRPr="005517C4">
        <w:rPr>
          <w:rFonts w:ascii="Times New Roman" w:hAnsi="Times New Roman" w:cs="Times New Roman"/>
          <w:noProof/>
          <w:sz w:val="24"/>
          <w:szCs w:val="24"/>
          <w:lang w:val="en-US"/>
        </w:rPr>
        <w:t xml:space="preserve"> (</w:t>
      </w:r>
      <w:r w:rsidR="000D1729">
        <w:rPr>
          <w:rFonts w:ascii="Times New Roman" w:hAnsi="Times New Roman" w:cs="Times New Roman"/>
          <w:noProof/>
          <w:sz w:val="24"/>
          <w:szCs w:val="24"/>
          <w:lang w:val="en-US"/>
        </w:rPr>
        <w:t>v</w:t>
      </w:r>
      <w:r w:rsidR="00043CD2" w:rsidRPr="005517C4">
        <w:rPr>
          <w:rFonts w:ascii="Times New Roman" w:hAnsi="Times New Roman" w:cs="Times New Roman"/>
          <w:noProof/>
          <w:sz w:val="24"/>
          <w:szCs w:val="24"/>
          <w:lang w:val="en-US"/>
        </w:rPr>
        <w:t xml:space="preserve">) </w:t>
      </w:r>
      <w:r w:rsidR="00C602F1" w:rsidRPr="005517C4">
        <w:rPr>
          <w:rFonts w:ascii="Times New Roman" w:hAnsi="Times New Roman" w:cs="Times New Roman"/>
          <w:noProof/>
          <w:sz w:val="24"/>
          <w:szCs w:val="24"/>
          <w:lang w:val="en-US"/>
        </w:rPr>
        <w:t xml:space="preserve">the </w:t>
      </w:r>
      <w:r w:rsidR="00043CD2" w:rsidRPr="005517C4">
        <w:rPr>
          <w:rFonts w:ascii="Times New Roman" w:hAnsi="Times New Roman" w:cs="Times New Roman"/>
          <w:noProof/>
          <w:sz w:val="24"/>
          <w:szCs w:val="24"/>
          <w:lang w:val="en-US"/>
        </w:rPr>
        <w:t xml:space="preserve">PS test </w:t>
      </w:r>
      <w:r w:rsidR="00570C94" w:rsidRPr="005517C4">
        <w:rPr>
          <w:rFonts w:ascii="Times New Roman" w:hAnsi="Times New Roman" w:cs="Times New Roman"/>
          <w:noProof/>
          <w:sz w:val="24"/>
          <w:szCs w:val="24"/>
          <w:lang w:val="en-US"/>
        </w:rPr>
        <w:t>is formulated as a non-linear time-varying factor model and it allows individual heterogeneit</w:t>
      </w:r>
      <w:r w:rsidR="000D1729">
        <w:rPr>
          <w:rFonts w:ascii="Times New Roman" w:hAnsi="Times New Roman" w:cs="Times New Roman"/>
          <w:noProof/>
          <w:sz w:val="24"/>
          <w:szCs w:val="24"/>
          <w:lang w:val="en-US"/>
        </w:rPr>
        <w:t>ies, while</w:t>
      </w:r>
      <w:r w:rsidR="00570C94" w:rsidRPr="005517C4">
        <w:rPr>
          <w:rFonts w:ascii="Times New Roman" w:hAnsi="Times New Roman" w:cs="Times New Roman"/>
          <w:noProof/>
          <w:sz w:val="24"/>
          <w:szCs w:val="24"/>
          <w:lang w:val="en-US"/>
        </w:rPr>
        <w:t xml:space="preserve"> it is robust under the </w:t>
      </w:r>
      <w:r w:rsidR="000D1729">
        <w:rPr>
          <w:rFonts w:ascii="Times New Roman" w:hAnsi="Times New Roman" w:cs="Times New Roman"/>
          <w:noProof/>
          <w:sz w:val="24"/>
          <w:szCs w:val="24"/>
          <w:lang w:val="en-US"/>
        </w:rPr>
        <w:t xml:space="preserve">presence of </w:t>
      </w:r>
      <w:r w:rsidR="00570C94" w:rsidRPr="005517C4">
        <w:rPr>
          <w:rFonts w:ascii="Times New Roman" w:hAnsi="Times New Roman" w:cs="Times New Roman"/>
          <w:noProof/>
          <w:sz w:val="24"/>
          <w:szCs w:val="24"/>
          <w:lang w:val="en-US"/>
        </w:rPr>
        <w:t>heterogeneity and stationarity of the series</w:t>
      </w:r>
      <w:r w:rsidR="000D1729">
        <w:rPr>
          <w:rFonts w:ascii="Times New Roman" w:hAnsi="Times New Roman" w:cs="Times New Roman"/>
          <w:noProof/>
          <w:sz w:val="24"/>
          <w:szCs w:val="24"/>
          <w:lang w:val="en-US"/>
        </w:rPr>
        <w:t xml:space="preserve"> under investigation</w:t>
      </w:r>
      <w:r w:rsidR="00570C94" w:rsidRPr="005517C4">
        <w:rPr>
          <w:rFonts w:ascii="Times New Roman" w:hAnsi="Times New Roman" w:cs="Times New Roman"/>
          <w:noProof/>
          <w:sz w:val="24"/>
          <w:szCs w:val="24"/>
          <w:lang w:val="en-US"/>
        </w:rPr>
        <w:t xml:space="preserve"> </w:t>
      </w:r>
      <w:r w:rsidR="006578EE" w:rsidRPr="005517C4">
        <w:rPr>
          <w:rFonts w:ascii="Times New Roman" w:hAnsi="Times New Roman" w:cs="Times New Roman"/>
          <w:noProof/>
          <w:sz w:val="24"/>
          <w:szCs w:val="24"/>
          <w:lang w:val="en-US"/>
        </w:rPr>
        <w:fldChar w:fldCharType="begin" w:fldLock="1"/>
      </w:r>
      <w:r w:rsidR="00216FA4">
        <w:rPr>
          <w:rFonts w:ascii="Times New Roman" w:hAnsi="Times New Roman" w:cs="Times New Roman"/>
          <w:noProof/>
          <w:sz w:val="24"/>
          <w:szCs w:val="24"/>
          <w:lang w:val="en-US"/>
        </w:rPr>
        <w:instrText>ADDIN CSL_CITATION { "citationItems" : [ { "id" : "ITEM-1", "itemData" : { "DOI" : "10.1016/j.reseneeco.2016.09.001", "ISSN" : "09287655", "author" : [ { "dropping-particle" : "", "family" : "Burnett", "given" : "J. Wesley", "non-dropping-particle" : "", "parse-names" : false, "suffix" : "" } ], "container-title" : "Resource and Energy Economics", "id" : "ITEM-1", "issued" : { "date-parts" : [ [ "2016", "11" ] ] }, "page" : "62-84", "title" : "Club convergence and clustering of U.S. energy-related CO2 emissions", "type" : "article-journal", "volume" : "46" }, "uris" : [ "http://www.mendeley.com/documents/?uuid=1d9d9979-9c3e-3144-a2bd-483f662f90da" ] } ], "mendeley" : { "formattedCitation" : "(Burnett 2016)", "plainTextFormattedCitation" : "(Burnett 2016)", "previouslyFormattedCitation" : "(Burnett 2016)" }, "properties" : { "noteIndex" : 0 }, "schema" : "https://github.com/citation-style-language/schema/raw/master/csl-citation.json" }</w:instrText>
      </w:r>
      <w:r w:rsidR="006578EE" w:rsidRPr="005517C4">
        <w:rPr>
          <w:rFonts w:ascii="Times New Roman" w:hAnsi="Times New Roman" w:cs="Times New Roman"/>
          <w:noProof/>
          <w:sz w:val="24"/>
          <w:szCs w:val="24"/>
          <w:lang w:val="en-US"/>
        </w:rPr>
        <w:fldChar w:fldCharType="separate"/>
      </w:r>
      <w:r w:rsidR="003D379B" w:rsidRPr="003D379B">
        <w:rPr>
          <w:rFonts w:ascii="Times New Roman" w:hAnsi="Times New Roman" w:cs="Times New Roman"/>
          <w:noProof/>
          <w:sz w:val="24"/>
          <w:szCs w:val="24"/>
          <w:lang w:val="en-US"/>
        </w:rPr>
        <w:t>(Burnett 2016)</w:t>
      </w:r>
      <w:r w:rsidR="006578EE" w:rsidRPr="005517C4">
        <w:rPr>
          <w:rFonts w:ascii="Times New Roman" w:hAnsi="Times New Roman" w:cs="Times New Roman"/>
          <w:noProof/>
          <w:sz w:val="24"/>
          <w:szCs w:val="24"/>
          <w:lang w:val="en-US"/>
        </w:rPr>
        <w:fldChar w:fldCharType="end"/>
      </w:r>
      <w:r w:rsidR="00570C94" w:rsidRPr="005517C4">
        <w:rPr>
          <w:rFonts w:ascii="Times New Roman" w:hAnsi="Times New Roman" w:cs="Times New Roman"/>
          <w:noProof/>
          <w:sz w:val="24"/>
          <w:szCs w:val="24"/>
          <w:lang w:val="en-US"/>
        </w:rPr>
        <w:t xml:space="preserve">. </w:t>
      </w:r>
      <w:r w:rsidR="000D1729">
        <w:rPr>
          <w:rFonts w:ascii="Times New Roman" w:hAnsi="Times New Roman" w:cs="Times New Roman"/>
          <w:noProof/>
          <w:sz w:val="24"/>
          <w:szCs w:val="24"/>
          <w:lang w:val="en-US"/>
        </w:rPr>
        <w:t xml:space="preserve"> </w:t>
      </w:r>
    </w:p>
    <w:p w:rsidR="00007E0E" w:rsidRPr="005517C4" w:rsidRDefault="00C602F1" w:rsidP="00722FAC">
      <w:pPr>
        <w:spacing w:line="360" w:lineRule="auto"/>
        <w:ind w:firstLine="708"/>
        <w:jc w:val="both"/>
        <w:rPr>
          <w:rFonts w:ascii="Times New Roman" w:hAnsi="Times New Roman" w:cs="Times New Roman"/>
          <w:noProof/>
          <w:sz w:val="24"/>
          <w:szCs w:val="24"/>
          <w:lang w:val="en-US"/>
        </w:rPr>
      </w:pPr>
      <w:r w:rsidRPr="005517C4">
        <w:rPr>
          <w:rFonts w:ascii="Times New Roman" w:hAnsi="Times New Roman" w:cs="Times New Roman"/>
          <w:noProof/>
          <w:sz w:val="24"/>
          <w:szCs w:val="24"/>
          <w:lang w:val="en-US"/>
        </w:rPr>
        <w:t xml:space="preserve">The starting point of the test for </w:t>
      </w:r>
      <w:r w:rsidR="00AD5407" w:rsidRPr="005517C4">
        <w:rPr>
          <w:rFonts w:ascii="Times New Roman" w:hAnsi="Times New Roman" w:cs="Times New Roman"/>
          <w:noProof/>
          <w:sz w:val="24"/>
          <w:szCs w:val="24"/>
          <w:lang w:val="en-US"/>
        </w:rPr>
        <w:t xml:space="preserve">a panel data variable </w:t>
      </w:r>
      <m:oMath>
        <m:sSub>
          <m:sSubPr>
            <m:ctrlPr>
              <w:rPr>
                <w:rFonts w:ascii="Cambria Math" w:hAnsi="Cambria Math" w:cs="Times New Roman"/>
                <w:i/>
                <w:noProof/>
                <w:sz w:val="24"/>
                <w:szCs w:val="24"/>
                <w:lang w:val="en-US"/>
              </w:rPr>
            </m:ctrlPr>
          </m:sSubPr>
          <m:e>
            <m:r>
              <w:rPr>
                <w:rFonts w:ascii="Cambria Math" w:hAnsi="Cambria Math" w:cs="Times New Roman"/>
                <w:noProof/>
                <w:sz w:val="24"/>
                <w:szCs w:val="24"/>
                <w:lang w:val="en-US"/>
              </w:rPr>
              <m:t>y</m:t>
            </m:r>
          </m:e>
          <m:sub>
            <m:r>
              <w:rPr>
                <w:rFonts w:ascii="Cambria Math" w:hAnsi="Cambria Math" w:cs="Times New Roman"/>
                <w:noProof/>
                <w:sz w:val="24"/>
                <w:szCs w:val="24"/>
                <w:lang w:val="en-US"/>
              </w:rPr>
              <m:t>it</m:t>
            </m:r>
          </m:sub>
        </m:sSub>
      </m:oMath>
      <w:r w:rsidR="00AD5407" w:rsidRPr="005517C4">
        <w:rPr>
          <w:rFonts w:ascii="Times New Roman" w:eastAsiaTheme="minorEastAsia" w:hAnsi="Times New Roman" w:cs="Times New Roman"/>
          <w:noProof/>
          <w:sz w:val="24"/>
          <w:szCs w:val="24"/>
          <w:lang w:val="en-US"/>
        </w:rPr>
        <w:t xml:space="preserve">, where </w:t>
      </w:r>
      <w:r w:rsidR="00AD5407" w:rsidRPr="005517C4">
        <w:rPr>
          <w:rFonts w:ascii="Times New Roman" w:eastAsiaTheme="minorEastAsia" w:hAnsi="Times New Roman" w:cs="Times New Roman"/>
          <w:i/>
          <w:noProof/>
          <w:sz w:val="24"/>
          <w:szCs w:val="24"/>
          <w:lang w:val="en-US"/>
        </w:rPr>
        <w:t>i= 1….N</w:t>
      </w:r>
      <w:r w:rsidR="00AD5407" w:rsidRPr="005517C4">
        <w:rPr>
          <w:rFonts w:ascii="Times New Roman" w:eastAsiaTheme="minorEastAsia" w:hAnsi="Times New Roman" w:cs="Times New Roman"/>
          <w:noProof/>
          <w:sz w:val="24"/>
          <w:szCs w:val="24"/>
          <w:lang w:val="en-US"/>
        </w:rPr>
        <w:t xml:space="preserve"> and </w:t>
      </w:r>
      <w:r w:rsidR="00AD5407" w:rsidRPr="005517C4">
        <w:rPr>
          <w:rFonts w:ascii="Times New Roman" w:eastAsiaTheme="minorEastAsia" w:hAnsi="Times New Roman" w:cs="Times New Roman"/>
          <w:i/>
          <w:noProof/>
          <w:sz w:val="24"/>
          <w:szCs w:val="24"/>
          <w:lang w:val="en-US"/>
        </w:rPr>
        <w:t>t=1….T</w:t>
      </w:r>
      <w:r w:rsidR="00AD5407" w:rsidRPr="005517C4">
        <w:rPr>
          <w:rFonts w:ascii="Times New Roman" w:eastAsiaTheme="minorEastAsia" w:hAnsi="Times New Roman" w:cs="Times New Roman"/>
          <w:noProof/>
          <w:sz w:val="24"/>
          <w:szCs w:val="24"/>
          <w:lang w:val="en-US"/>
        </w:rPr>
        <w:t xml:space="preserve">, with </w:t>
      </w:r>
      <w:r w:rsidR="00AD5407" w:rsidRPr="005517C4">
        <w:rPr>
          <w:rFonts w:ascii="Times New Roman" w:eastAsiaTheme="minorEastAsia" w:hAnsi="Times New Roman" w:cs="Times New Roman"/>
          <w:i/>
          <w:noProof/>
          <w:sz w:val="24"/>
          <w:szCs w:val="24"/>
          <w:lang w:val="en-US"/>
        </w:rPr>
        <w:t>N</w:t>
      </w:r>
      <w:r w:rsidR="00AD5407" w:rsidRPr="005517C4">
        <w:rPr>
          <w:rFonts w:ascii="Times New Roman" w:eastAsiaTheme="minorEastAsia" w:hAnsi="Times New Roman" w:cs="Times New Roman"/>
          <w:noProof/>
          <w:sz w:val="24"/>
          <w:szCs w:val="24"/>
          <w:lang w:val="en-US"/>
        </w:rPr>
        <w:t xml:space="preserve"> </w:t>
      </w:r>
      <w:r w:rsidR="000D1729">
        <w:rPr>
          <w:rFonts w:ascii="Times New Roman" w:eastAsiaTheme="minorEastAsia" w:hAnsi="Times New Roman" w:cs="Times New Roman"/>
          <w:noProof/>
          <w:sz w:val="24"/>
          <w:szCs w:val="24"/>
          <w:lang w:val="en-US"/>
        </w:rPr>
        <w:t>being</w:t>
      </w:r>
      <w:r w:rsidR="00AD5407" w:rsidRPr="005517C4">
        <w:rPr>
          <w:rFonts w:ascii="Times New Roman" w:eastAsiaTheme="minorEastAsia" w:hAnsi="Times New Roman" w:cs="Times New Roman"/>
          <w:noProof/>
          <w:sz w:val="24"/>
          <w:szCs w:val="24"/>
          <w:lang w:val="en-US"/>
        </w:rPr>
        <w:t xml:space="preserve"> </w:t>
      </w:r>
      <w:r w:rsidR="000D1729">
        <w:rPr>
          <w:rFonts w:ascii="Times New Roman" w:eastAsiaTheme="minorEastAsia" w:hAnsi="Times New Roman" w:cs="Times New Roman"/>
          <w:noProof/>
          <w:sz w:val="24"/>
          <w:szCs w:val="24"/>
          <w:lang w:val="en-US"/>
        </w:rPr>
        <w:t xml:space="preserve">the </w:t>
      </w:r>
      <w:r w:rsidR="00AD5407" w:rsidRPr="005517C4">
        <w:rPr>
          <w:rFonts w:ascii="Times New Roman" w:eastAsiaTheme="minorEastAsia" w:hAnsi="Times New Roman" w:cs="Times New Roman"/>
          <w:noProof/>
          <w:sz w:val="24"/>
          <w:szCs w:val="24"/>
          <w:lang w:val="en-US"/>
        </w:rPr>
        <w:t xml:space="preserve">number of countries in the panel and </w:t>
      </w:r>
      <w:r w:rsidR="00AD5407" w:rsidRPr="005517C4">
        <w:rPr>
          <w:rFonts w:ascii="Times New Roman" w:eastAsiaTheme="minorEastAsia" w:hAnsi="Times New Roman" w:cs="Times New Roman"/>
          <w:i/>
          <w:noProof/>
          <w:sz w:val="24"/>
          <w:szCs w:val="24"/>
          <w:lang w:val="en-US"/>
        </w:rPr>
        <w:t>T</w:t>
      </w:r>
      <w:r w:rsidR="00AD5407" w:rsidRPr="005517C4">
        <w:rPr>
          <w:rFonts w:ascii="Times New Roman" w:eastAsiaTheme="minorEastAsia" w:hAnsi="Times New Roman" w:cs="Times New Roman"/>
          <w:noProof/>
          <w:sz w:val="24"/>
          <w:szCs w:val="24"/>
          <w:lang w:val="en-US"/>
        </w:rPr>
        <w:t xml:space="preserve"> is </w:t>
      </w:r>
      <w:r w:rsidR="000D1729">
        <w:rPr>
          <w:rFonts w:ascii="Times New Roman" w:eastAsiaTheme="minorEastAsia" w:hAnsi="Times New Roman" w:cs="Times New Roman"/>
          <w:noProof/>
          <w:sz w:val="24"/>
          <w:szCs w:val="24"/>
          <w:lang w:val="en-US"/>
        </w:rPr>
        <w:t xml:space="preserve">the </w:t>
      </w:r>
      <w:r w:rsidR="00AD5407" w:rsidRPr="005517C4">
        <w:rPr>
          <w:rFonts w:ascii="Times New Roman" w:eastAsiaTheme="minorEastAsia" w:hAnsi="Times New Roman" w:cs="Times New Roman"/>
          <w:noProof/>
          <w:sz w:val="24"/>
          <w:szCs w:val="24"/>
          <w:lang w:val="en-US"/>
        </w:rPr>
        <w:t xml:space="preserve">time dimension. Using </w:t>
      </w:r>
      <m:oMath>
        <m:sSub>
          <m:sSubPr>
            <m:ctrlPr>
              <w:rPr>
                <w:rFonts w:ascii="Cambria Math" w:hAnsi="Cambria Math" w:cs="Times New Roman"/>
                <w:i/>
                <w:noProof/>
                <w:sz w:val="24"/>
                <w:szCs w:val="24"/>
                <w:lang w:val="en-US"/>
              </w:rPr>
            </m:ctrlPr>
          </m:sSubPr>
          <m:e>
            <m:r>
              <w:rPr>
                <w:rFonts w:ascii="Cambria Math" w:hAnsi="Cambria Math" w:cs="Times New Roman"/>
                <w:noProof/>
                <w:sz w:val="24"/>
                <w:szCs w:val="24"/>
                <w:lang w:val="en-US"/>
              </w:rPr>
              <m:t>y</m:t>
            </m:r>
          </m:e>
          <m:sub>
            <m:r>
              <w:rPr>
                <w:rFonts w:ascii="Cambria Math" w:hAnsi="Cambria Math" w:cs="Times New Roman"/>
                <w:noProof/>
                <w:sz w:val="24"/>
                <w:szCs w:val="24"/>
                <w:lang w:val="en-US"/>
              </w:rPr>
              <m:t>it</m:t>
            </m:r>
          </m:sub>
        </m:sSub>
      </m:oMath>
      <w:r w:rsidR="00AD5407" w:rsidRPr="005517C4">
        <w:rPr>
          <w:rFonts w:ascii="Times New Roman" w:eastAsiaTheme="minorEastAsia" w:hAnsi="Times New Roman" w:cs="Times New Roman"/>
          <w:noProof/>
          <w:sz w:val="24"/>
          <w:szCs w:val="24"/>
          <w:lang w:val="en-US"/>
        </w:rPr>
        <w:t xml:space="preserve"> for </w:t>
      </w:r>
      <w:r w:rsidR="000D1729">
        <w:rPr>
          <w:rFonts w:ascii="Times New Roman" w:eastAsiaTheme="minorEastAsia" w:hAnsi="Times New Roman" w:cs="Times New Roman"/>
          <w:noProof/>
          <w:sz w:val="24"/>
          <w:szCs w:val="24"/>
          <w:lang w:val="en-US"/>
        </w:rPr>
        <w:t xml:space="preserve">the </w:t>
      </w:r>
      <w:r w:rsidRPr="005517C4">
        <w:rPr>
          <w:rFonts w:ascii="Times New Roman" w:hAnsi="Times New Roman" w:cs="Times New Roman"/>
          <w:noProof/>
          <w:sz w:val="24"/>
          <w:szCs w:val="24"/>
          <w:lang w:val="en-US"/>
        </w:rPr>
        <w:t xml:space="preserve">log of </w:t>
      </w:r>
      <w:r w:rsidR="000D1729">
        <w:rPr>
          <w:rFonts w:ascii="Times New Roman" w:hAnsi="Times New Roman" w:cs="Times New Roman"/>
          <w:noProof/>
          <w:sz w:val="24"/>
          <w:szCs w:val="24"/>
          <w:lang w:val="en-US"/>
        </w:rPr>
        <w:t xml:space="preserve">the </w:t>
      </w:r>
      <w:r w:rsidR="00C6036E">
        <w:rPr>
          <w:rFonts w:ascii="Times New Roman" w:hAnsi="Times New Roman" w:cs="Times New Roman"/>
          <w:noProof/>
          <w:color w:val="000000" w:themeColor="text1"/>
          <w:sz w:val="24"/>
          <w:szCs w:val="24"/>
          <w:lang w:val="en-US"/>
        </w:rPr>
        <w:t>ecological footprint</w:t>
      </w:r>
      <w:r w:rsidR="00AD5407" w:rsidRPr="005517C4">
        <w:rPr>
          <w:rFonts w:ascii="Times New Roman" w:hAnsi="Times New Roman" w:cs="Times New Roman"/>
          <w:noProof/>
          <w:sz w:val="24"/>
          <w:szCs w:val="24"/>
          <w:lang w:val="en-US"/>
        </w:rPr>
        <w:t xml:space="preserve"> per capita, it</w:t>
      </w:r>
      <w:r w:rsidR="000D1729">
        <w:rPr>
          <w:rFonts w:ascii="Times New Roman" w:hAnsi="Times New Roman" w:cs="Times New Roman"/>
          <w:noProof/>
          <w:sz w:val="24"/>
          <w:szCs w:val="24"/>
          <w:lang w:val="en-US"/>
        </w:rPr>
        <w:t xml:space="preserve"> i</w:t>
      </w:r>
      <w:r w:rsidR="00AD5407" w:rsidRPr="005517C4">
        <w:rPr>
          <w:rFonts w:ascii="Times New Roman" w:hAnsi="Times New Roman" w:cs="Times New Roman"/>
          <w:noProof/>
          <w:sz w:val="24"/>
          <w:szCs w:val="24"/>
          <w:lang w:val="en-US"/>
        </w:rPr>
        <w:t xml:space="preserve">s  decomposed  into two </w:t>
      </w:r>
      <w:r w:rsidR="00530D06" w:rsidRPr="005517C4">
        <w:rPr>
          <w:rFonts w:ascii="Times New Roman" w:hAnsi="Times New Roman" w:cs="Times New Roman"/>
          <w:noProof/>
          <w:sz w:val="24"/>
          <w:szCs w:val="24"/>
          <w:lang w:val="en-US"/>
        </w:rPr>
        <w:t xml:space="preserve">time-varying </w:t>
      </w:r>
      <w:r w:rsidR="00AD5407" w:rsidRPr="005517C4">
        <w:rPr>
          <w:rFonts w:ascii="Times New Roman" w:hAnsi="Times New Roman" w:cs="Times New Roman"/>
          <w:noProof/>
          <w:sz w:val="24"/>
          <w:szCs w:val="24"/>
          <w:lang w:val="en-US"/>
        </w:rPr>
        <w:t>components:</w:t>
      </w:r>
    </w:p>
    <w:p w:rsidR="00D67D4D" w:rsidRPr="005517C4" w:rsidRDefault="006578EE" w:rsidP="00234B23">
      <w:pPr>
        <w:spacing w:line="360" w:lineRule="auto"/>
        <w:jc w:val="both"/>
        <w:rPr>
          <w:rFonts w:ascii="Times New Roman" w:eastAsiaTheme="minorEastAsia" w:hAnsi="Times New Roman" w:cs="Times New Roman"/>
          <w:noProof/>
          <w:sz w:val="24"/>
          <w:szCs w:val="24"/>
          <w:lang w:val="en-US"/>
        </w:rPr>
      </w:pPr>
      <m:oMath>
        <m:sSub>
          <m:sSubPr>
            <m:ctrlPr>
              <w:rPr>
                <w:rFonts w:ascii="Cambria Math" w:hAnsi="Cambria Math" w:cs="Times New Roman"/>
                <w:i/>
                <w:noProof/>
                <w:sz w:val="24"/>
                <w:szCs w:val="24"/>
                <w:lang w:val="en-US"/>
              </w:rPr>
            </m:ctrlPr>
          </m:sSubPr>
          <m:e>
            <m:r>
              <w:rPr>
                <w:rFonts w:ascii="Cambria Math" w:hAnsi="Cambria Math" w:cs="Times New Roman"/>
                <w:noProof/>
                <w:sz w:val="24"/>
                <w:szCs w:val="24"/>
                <w:lang w:val="en-US"/>
              </w:rPr>
              <m:t>y</m:t>
            </m:r>
          </m:e>
          <m:sub>
            <m:r>
              <w:rPr>
                <w:rFonts w:ascii="Cambria Math" w:hAnsi="Cambria Math" w:cs="Times New Roman"/>
                <w:noProof/>
                <w:sz w:val="24"/>
                <w:szCs w:val="24"/>
                <w:lang w:val="en-US"/>
              </w:rPr>
              <m:t>it</m:t>
            </m:r>
          </m:sub>
        </m:sSub>
        <m:r>
          <w:rPr>
            <w:rFonts w:ascii="Cambria Math" w:hAnsi="Cambria Math" w:cs="Times New Roman"/>
            <w:noProof/>
            <w:sz w:val="24"/>
            <w:szCs w:val="24"/>
            <w:lang w:val="en-US"/>
          </w:rPr>
          <m:t>=</m:t>
        </m:r>
        <m:sSub>
          <m:sSubPr>
            <m:ctrlPr>
              <w:rPr>
                <w:rFonts w:ascii="Cambria Math" w:hAnsi="Cambria Math" w:cs="Times New Roman"/>
                <w:i/>
                <w:noProof/>
                <w:sz w:val="24"/>
                <w:szCs w:val="24"/>
                <w:lang w:val="en-US"/>
              </w:rPr>
            </m:ctrlPr>
          </m:sSubPr>
          <m:e>
            <m:r>
              <w:rPr>
                <w:rFonts w:ascii="Cambria Math" w:hAnsi="Cambria Math" w:cs="Times New Roman"/>
                <w:noProof/>
                <w:sz w:val="24"/>
                <w:szCs w:val="24"/>
                <w:lang w:val="en-US"/>
              </w:rPr>
              <m:t>r</m:t>
            </m:r>
          </m:e>
          <m:sub>
            <m:r>
              <w:rPr>
                <w:rFonts w:ascii="Cambria Math" w:hAnsi="Cambria Math" w:cs="Times New Roman"/>
                <w:noProof/>
                <w:sz w:val="24"/>
                <w:szCs w:val="24"/>
                <w:lang w:val="en-US"/>
              </w:rPr>
              <m:t>it</m:t>
            </m:r>
          </m:sub>
        </m:sSub>
        <m:sSub>
          <m:sSubPr>
            <m:ctrlPr>
              <w:rPr>
                <w:rFonts w:ascii="Cambria Math" w:hAnsi="Cambria Math" w:cs="Times New Roman"/>
                <w:i/>
                <w:noProof/>
                <w:sz w:val="24"/>
                <w:szCs w:val="24"/>
                <w:lang w:val="en-US"/>
              </w:rPr>
            </m:ctrlPr>
          </m:sSubPr>
          <m:e>
            <m:r>
              <w:rPr>
                <w:rFonts w:ascii="Cambria Math" w:hAnsi="Cambria Math" w:cs="Times New Roman"/>
                <w:noProof/>
                <w:sz w:val="24"/>
                <w:szCs w:val="24"/>
                <w:lang w:val="en-US"/>
              </w:rPr>
              <m:t>e</m:t>
            </m:r>
          </m:e>
          <m:sub>
            <m:r>
              <w:rPr>
                <w:rFonts w:ascii="Cambria Math" w:hAnsi="Cambria Math" w:cs="Times New Roman"/>
                <w:noProof/>
                <w:sz w:val="24"/>
                <w:szCs w:val="24"/>
                <w:lang w:val="en-US"/>
              </w:rPr>
              <m:t>t</m:t>
            </m:r>
          </m:sub>
        </m:sSub>
      </m:oMath>
      <w:r w:rsidR="00D67D4D" w:rsidRPr="005517C4">
        <w:rPr>
          <w:rFonts w:ascii="Times New Roman" w:eastAsiaTheme="minorEastAsia" w:hAnsi="Times New Roman" w:cs="Times New Roman"/>
          <w:noProof/>
          <w:sz w:val="24"/>
          <w:szCs w:val="24"/>
          <w:lang w:val="en-US"/>
        </w:rPr>
        <w:t xml:space="preserve"> </w:t>
      </w:r>
      <w:r w:rsidR="00D67D4D" w:rsidRPr="005517C4">
        <w:rPr>
          <w:rFonts w:ascii="Times New Roman" w:eastAsiaTheme="minorEastAsia" w:hAnsi="Times New Roman" w:cs="Times New Roman"/>
          <w:noProof/>
          <w:sz w:val="24"/>
          <w:szCs w:val="24"/>
          <w:lang w:val="en-US"/>
        </w:rPr>
        <w:tab/>
      </w:r>
      <w:r w:rsidR="00D67D4D" w:rsidRPr="005517C4">
        <w:rPr>
          <w:rFonts w:ascii="Times New Roman" w:eastAsiaTheme="minorEastAsia" w:hAnsi="Times New Roman" w:cs="Times New Roman"/>
          <w:noProof/>
          <w:sz w:val="24"/>
          <w:szCs w:val="24"/>
          <w:lang w:val="en-US"/>
        </w:rPr>
        <w:tab/>
      </w:r>
      <w:r w:rsidR="00D67D4D" w:rsidRPr="005517C4">
        <w:rPr>
          <w:rFonts w:ascii="Times New Roman" w:eastAsiaTheme="minorEastAsia" w:hAnsi="Times New Roman" w:cs="Times New Roman"/>
          <w:noProof/>
          <w:sz w:val="24"/>
          <w:szCs w:val="24"/>
          <w:lang w:val="en-US"/>
        </w:rPr>
        <w:tab/>
      </w:r>
      <w:r w:rsidR="00D67D4D" w:rsidRPr="005517C4">
        <w:rPr>
          <w:rFonts w:ascii="Times New Roman" w:eastAsiaTheme="minorEastAsia" w:hAnsi="Times New Roman" w:cs="Times New Roman"/>
          <w:noProof/>
          <w:sz w:val="24"/>
          <w:szCs w:val="24"/>
          <w:lang w:val="en-US"/>
        </w:rPr>
        <w:tab/>
      </w:r>
      <w:r w:rsidR="00D67D4D" w:rsidRPr="005517C4">
        <w:rPr>
          <w:rFonts w:ascii="Times New Roman" w:eastAsiaTheme="minorEastAsia" w:hAnsi="Times New Roman" w:cs="Times New Roman"/>
          <w:noProof/>
          <w:sz w:val="24"/>
          <w:szCs w:val="24"/>
          <w:lang w:val="en-US"/>
        </w:rPr>
        <w:tab/>
      </w:r>
      <w:r w:rsidR="00D67D4D" w:rsidRPr="005517C4">
        <w:rPr>
          <w:rFonts w:ascii="Times New Roman" w:eastAsiaTheme="minorEastAsia" w:hAnsi="Times New Roman" w:cs="Times New Roman"/>
          <w:noProof/>
          <w:sz w:val="24"/>
          <w:szCs w:val="24"/>
          <w:lang w:val="en-US"/>
        </w:rPr>
        <w:tab/>
      </w:r>
      <w:r w:rsidR="00D67D4D" w:rsidRPr="005517C4">
        <w:rPr>
          <w:rFonts w:ascii="Times New Roman" w:eastAsiaTheme="minorEastAsia" w:hAnsi="Times New Roman" w:cs="Times New Roman"/>
          <w:noProof/>
          <w:sz w:val="24"/>
          <w:szCs w:val="24"/>
          <w:lang w:val="en-US"/>
        </w:rPr>
        <w:tab/>
      </w:r>
      <w:r w:rsidR="00D67D4D" w:rsidRPr="005517C4">
        <w:rPr>
          <w:rFonts w:ascii="Times New Roman" w:eastAsiaTheme="minorEastAsia" w:hAnsi="Times New Roman" w:cs="Times New Roman"/>
          <w:noProof/>
          <w:sz w:val="24"/>
          <w:szCs w:val="24"/>
          <w:lang w:val="en-US"/>
        </w:rPr>
        <w:tab/>
      </w:r>
      <w:r w:rsidR="00D67D4D" w:rsidRPr="005517C4">
        <w:rPr>
          <w:rFonts w:ascii="Times New Roman" w:eastAsiaTheme="minorEastAsia" w:hAnsi="Times New Roman" w:cs="Times New Roman"/>
          <w:noProof/>
          <w:sz w:val="24"/>
          <w:szCs w:val="24"/>
          <w:lang w:val="en-US"/>
        </w:rPr>
        <w:tab/>
      </w:r>
      <w:r w:rsidR="00530D06" w:rsidRPr="005517C4">
        <w:rPr>
          <w:rFonts w:ascii="Times New Roman" w:eastAsiaTheme="minorEastAsia" w:hAnsi="Times New Roman" w:cs="Times New Roman"/>
          <w:noProof/>
          <w:sz w:val="24"/>
          <w:szCs w:val="24"/>
          <w:lang w:val="en-US"/>
        </w:rPr>
        <w:tab/>
      </w:r>
      <w:r w:rsidR="00D67D4D" w:rsidRPr="005517C4">
        <w:rPr>
          <w:rFonts w:ascii="Times New Roman" w:eastAsiaTheme="minorEastAsia" w:hAnsi="Times New Roman" w:cs="Times New Roman"/>
          <w:noProof/>
          <w:sz w:val="24"/>
          <w:szCs w:val="24"/>
          <w:lang w:val="en-US"/>
        </w:rPr>
        <w:tab/>
      </w:r>
      <w:r w:rsidR="00D67D4D" w:rsidRPr="005517C4">
        <w:rPr>
          <w:rFonts w:ascii="Times New Roman" w:eastAsiaTheme="minorEastAsia" w:hAnsi="Times New Roman" w:cs="Times New Roman"/>
          <w:noProof/>
          <w:sz w:val="24"/>
          <w:szCs w:val="24"/>
          <w:lang w:val="en-US"/>
        </w:rPr>
        <w:tab/>
        <w:t>(7)</w:t>
      </w:r>
      <w:r w:rsidR="00AD5407" w:rsidRPr="005517C4">
        <w:rPr>
          <w:rFonts w:ascii="Times New Roman" w:eastAsiaTheme="minorEastAsia" w:hAnsi="Times New Roman" w:cs="Times New Roman"/>
          <w:noProof/>
          <w:sz w:val="24"/>
          <w:szCs w:val="24"/>
          <w:lang w:val="en-US"/>
        </w:rPr>
        <w:t xml:space="preserve"> </w:t>
      </w:r>
    </w:p>
    <w:p w:rsidR="00AD5407" w:rsidRPr="005517C4" w:rsidRDefault="00D67D4D" w:rsidP="00234B23">
      <w:pPr>
        <w:spacing w:line="360" w:lineRule="auto"/>
        <w:jc w:val="both"/>
        <w:rPr>
          <w:rFonts w:ascii="Times New Roman" w:eastAsiaTheme="minorEastAsia" w:hAnsi="Times New Roman" w:cs="Times New Roman"/>
          <w:noProof/>
          <w:sz w:val="24"/>
          <w:szCs w:val="24"/>
          <w:lang w:val="en-US"/>
        </w:rPr>
      </w:pPr>
      <w:r w:rsidRPr="005517C4">
        <w:rPr>
          <w:rFonts w:ascii="Times New Roman" w:eastAsiaTheme="minorEastAsia" w:hAnsi="Times New Roman" w:cs="Times New Roman"/>
          <w:noProof/>
          <w:sz w:val="24"/>
          <w:szCs w:val="24"/>
          <w:lang w:val="en-US"/>
        </w:rPr>
        <w:t xml:space="preserve">where  </w:t>
      </w:r>
      <m:oMath>
        <m:sSub>
          <m:sSubPr>
            <m:ctrlPr>
              <w:rPr>
                <w:rFonts w:ascii="Cambria Math" w:hAnsi="Cambria Math" w:cs="Times New Roman"/>
                <w:i/>
                <w:noProof/>
                <w:sz w:val="24"/>
                <w:szCs w:val="24"/>
                <w:lang w:val="en-US"/>
              </w:rPr>
            </m:ctrlPr>
          </m:sSubPr>
          <m:e>
            <m:r>
              <w:rPr>
                <w:rFonts w:ascii="Cambria Math" w:hAnsi="Cambria Math" w:cs="Times New Roman"/>
                <w:noProof/>
                <w:sz w:val="24"/>
                <w:szCs w:val="24"/>
                <w:lang w:val="en-US"/>
              </w:rPr>
              <m:t>e</m:t>
            </m:r>
          </m:e>
          <m:sub>
            <m:r>
              <w:rPr>
                <w:rFonts w:ascii="Cambria Math" w:hAnsi="Cambria Math" w:cs="Times New Roman"/>
                <w:noProof/>
                <w:sz w:val="24"/>
                <w:szCs w:val="24"/>
                <w:lang w:val="en-US"/>
              </w:rPr>
              <m:t>t</m:t>
            </m:r>
          </m:sub>
        </m:sSub>
      </m:oMath>
      <w:r w:rsidRPr="005517C4">
        <w:rPr>
          <w:rFonts w:ascii="Times New Roman" w:eastAsiaTheme="minorEastAsia" w:hAnsi="Times New Roman" w:cs="Times New Roman"/>
          <w:noProof/>
          <w:sz w:val="24"/>
          <w:szCs w:val="24"/>
          <w:lang w:val="en-US"/>
        </w:rPr>
        <w:t xml:space="preserve"> is </w:t>
      </w:r>
      <w:r w:rsidR="000D1729">
        <w:rPr>
          <w:rFonts w:ascii="Times New Roman" w:eastAsiaTheme="minorEastAsia" w:hAnsi="Times New Roman" w:cs="Times New Roman"/>
          <w:noProof/>
          <w:sz w:val="24"/>
          <w:szCs w:val="24"/>
          <w:lang w:val="en-US"/>
        </w:rPr>
        <w:t xml:space="preserve">the </w:t>
      </w:r>
      <w:r w:rsidRPr="005517C4">
        <w:rPr>
          <w:rFonts w:ascii="Times New Roman" w:eastAsiaTheme="minorEastAsia" w:hAnsi="Times New Roman" w:cs="Times New Roman"/>
          <w:noProof/>
          <w:sz w:val="24"/>
          <w:szCs w:val="24"/>
          <w:lang w:val="en-US"/>
        </w:rPr>
        <w:t xml:space="preserve">common </w:t>
      </w:r>
      <w:r w:rsidR="00D61921" w:rsidRPr="005517C4">
        <w:rPr>
          <w:rFonts w:ascii="Times New Roman" w:eastAsiaTheme="minorEastAsia" w:hAnsi="Times New Roman" w:cs="Times New Roman"/>
          <w:noProof/>
          <w:sz w:val="24"/>
          <w:szCs w:val="24"/>
          <w:lang w:val="en-US"/>
        </w:rPr>
        <w:t xml:space="preserve">factor </w:t>
      </w:r>
      <w:r w:rsidR="00BE6947" w:rsidRPr="005517C4">
        <w:rPr>
          <w:rFonts w:ascii="Times New Roman" w:eastAsiaTheme="minorEastAsia" w:hAnsi="Times New Roman" w:cs="Times New Roman"/>
          <w:noProof/>
          <w:sz w:val="24"/>
          <w:szCs w:val="24"/>
          <w:lang w:val="en-US"/>
        </w:rPr>
        <w:t xml:space="preserve">across </w:t>
      </w:r>
      <w:r w:rsidR="000D1729">
        <w:rPr>
          <w:rFonts w:ascii="Times New Roman" w:eastAsiaTheme="minorEastAsia" w:hAnsi="Times New Roman" w:cs="Times New Roman"/>
          <w:noProof/>
          <w:sz w:val="24"/>
          <w:szCs w:val="24"/>
          <w:lang w:val="en-US"/>
        </w:rPr>
        <w:t>countries</w:t>
      </w:r>
      <w:r w:rsidR="00BE6947" w:rsidRPr="005517C4">
        <w:rPr>
          <w:rFonts w:ascii="Times New Roman" w:eastAsiaTheme="minorEastAsia" w:hAnsi="Times New Roman" w:cs="Times New Roman"/>
          <w:noProof/>
          <w:sz w:val="24"/>
          <w:szCs w:val="24"/>
          <w:lang w:val="en-US"/>
        </w:rPr>
        <w:t xml:space="preserve"> </w:t>
      </w:r>
      <w:r w:rsidR="00D61921" w:rsidRPr="005517C4">
        <w:rPr>
          <w:rFonts w:ascii="Times New Roman" w:eastAsiaTheme="minorEastAsia" w:hAnsi="Times New Roman" w:cs="Times New Roman"/>
          <w:noProof/>
          <w:sz w:val="24"/>
          <w:szCs w:val="24"/>
          <w:lang w:val="en-US"/>
        </w:rPr>
        <w:t>in the panel</w:t>
      </w:r>
      <w:r w:rsidR="00E65247" w:rsidRPr="005517C4">
        <w:rPr>
          <w:rFonts w:ascii="Times New Roman" w:eastAsiaTheme="minorEastAsia" w:hAnsi="Times New Roman" w:cs="Times New Roman"/>
          <w:noProof/>
          <w:sz w:val="24"/>
          <w:szCs w:val="24"/>
          <w:lang w:val="en-US"/>
        </w:rPr>
        <w:t xml:space="preserve"> and represents the aggregate common action of </w:t>
      </w:r>
      <m:oMath>
        <m:sSub>
          <m:sSubPr>
            <m:ctrlPr>
              <w:rPr>
                <w:rFonts w:ascii="Cambria Math" w:hAnsi="Cambria Math" w:cs="Times New Roman"/>
                <w:i/>
                <w:noProof/>
                <w:sz w:val="24"/>
                <w:szCs w:val="24"/>
                <w:lang w:val="en-US"/>
              </w:rPr>
            </m:ctrlPr>
          </m:sSubPr>
          <m:e>
            <m:r>
              <w:rPr>
                <w:rFonts w:ascii="Cambria Math" w:hAnsi="Cambria Math" w:cs="Times New Roman"/>
                <w:noProof/>
                <w:sz w:val="24"/>
                <w:szCs w:val="24"/>
                <w:lang w:val="en-US"/>
              </w:rPr>
              <m:t>y</m:t>
            </m:r>
          </m:e>
          <m:sub>
            <m:r>
              <w:rPr>
                <w:rFonts w:ascii="Cambria Math" w:hAnsi="Cambria Math" w:cs="Times New Roman"/>
                <w:noProof/>
                <w:sz w:val="24"/>
                <w:szCs w:val="24"/>
                <w:lang w:val="en-US"/>
              </w:rPr>
              <m:t>it</m:t>
            </m:r>
          </m:sub>
        </m:sSub>
      </m:oMath>
      <w:r w:rsidR="006E4ECA" w:rsidRPr="005517C4">
        <w:rPr>
          <w:rFonts w:ascii="Times New Roman" w:eastAsiaTheme="minorEastAsia" w:hAnsi="Times New Roman" w:cs="Times New Roman"/>
          <w:noProof/>
          <w:sz w:val="24"/>
          <w:szCs w:val="24"/>
          <w:lang w:val="en-US"/>
        </w:rPr>
        <w:t>,</w:t>
      </w:r>
      <w:r w:rsidR="00E65247" w:rsidRPr="005517C4">
        <w:rPr>
          <w:rFonts w:ascii="Times New Roman" w:eastAsiaTheme="minorEastAsia" w:hAnsi="Times New Roman" w:cs="Times New Roman"/>
          <w:noProof/>
          <w:sz w:val="24"/>
          <w:szCs w:val="24"/>
          <w:lang w:val="en-US"/>
        </w:rPr>
        <w:t xml:space="preserve"> </w:t>
      </w:r>
      <w:r w:rsidR="000D1729">
        <w:rPr>
          <w:rFonts w:ascii="Times New Roman" w:eastAsiaTheme="minorEastAsia" w:hAnsi="Times New Roman" w:cs="Times New Roman"/>
          <w:noProof/>
          <w:sz w:val="24"/>
          <w:szCs w:val="24"/>
          <w:lang w:val="en-US"/>
        </w:rPr>
        <w:t>i.e. the</w:t>
      </w:r>
      <w:r w:rsidR="006E4ECA" w:rsidRPr="005517C4">
        <w:rPr>
          <w:rFonts w:ascii="Times New Roman" w:eastAsiaTheme="minorEastAsia" w:hAnsi="Times New Roman" w:cs="Times New Roman"/>
          <w:noProof/>
          <w:sz w:val="24"/>
          <w:szCs w:val="24"/>
          <w:lang w:val="en-US"/>
        </w:rPr>
        <w:t xml:space="preserve"> ecological footprint, but it could be any common variable that has an effect on it, such as CO</w:t>
      </w:r>
      <w:r w:rsidR="006E4ECA" w:rsidRPr="005517C4">
        <w:rPr>
          <w:rFonts w:ascii="Times New Roman" w:eastAsiaTheme="minorEastAsia" w:hAnsi="Times New Roman" w:cs="Times New Roman"/>
          <w:noProof/>
          <w:sz w:val="24"/>
          <w:szCs w:val="24"/>
          <w:vertAlign w:val="subscript"/>
          <w:lang w:val="en-US"/>
        </w:rPr>
        <w:t>2</w:t>
      </w:r>
      <w:r w:rsidR="006E4ECA" w:rsidRPr="005517C4">
        <w:rPr>
          <w:rFonts w:ascii="Times New Roman" w:eastAsiaTheme="minorEastAsia" w:hAnsi="Times New Roman" w:cs="Times New Roman"/>
          <w:noProof/>
          <w:sz w:val="24"/>
          <w:szCs w:val="24"/>
          <w:lang w:val="en-US"/>
        </w:rPr>
        <w:t xml:space="preserve">, fossil fuels and </w:t>
      </w:r>
      <w:r w:rsidR="000D1729">
        <w:rPr>
          <w:rFonts w:ascii="Times New Roman" w:eastAsiaTheme="minorEastAsia" w:hAnsi="Times New Roman" w:cs="Times New Roman"/>
          <w:noProof/>
          <w:sz w:val="24"/>
          <w:szCs w:val="24"/>
          <w:lang w:val="en-US"/>
        </w:rPr>
        <w:t>others</w:t>
      </w:r>
      <w:r w:rsidR="006E4ECA" w:rsidRPr="005517C4">
        <w:rPr>
          <w:rFonts w:ascii="Times New Roman" w:eastAsiaTheme="minorEastAsia" w:hAnsi="Times New Roman" w:cs="Times New Roman"/>
          <w:noProof/>
          <w:sz w:val="24"/>
          <w:szCs w:val="24"/>
          <w:lang w:val="en-US"/>
        </w:rPr>
        <w:t>.</w:t>
      </w:r>
      <w:r w:rsidR="00E65247" w:rsidRPr="005517C4">
        <w:rPr>
          <w:rFonts w:ascii="Times New Roman" w:eastAsiaTheme="minorEastAsia" w:hAnsi="Times New Roman" w:cs="Times New Roman"/>
          <w:noProof/>
          <w:sz w:val="24"/>
          <w:szCs w:val="24"/>
          <w:lang w:val="en-US"/>
        </w:rPr>
        <w:t xml:space="preserve"> </w:t>
      </w:r>
      <m:oMath>
        <m:sSub>
          <m:sSubPr>
            <m:ctrlPr>
              <w:rPr>
                <w:rFonts w:ascii="Cambria Math" w:hAnsi="Cambria Math" w:cs="Times New Roman"/>
                <w:i/>
                <w:noProof/>
                <w:sz w:val="24"/>
                <w:szCs w:val="24"/>
                <w:lang w:val="en-US"/>
              </w:rPr>
            </m:ctrlPr>
          </m:sSubPr>
          <m:e>
            <m:r>
              <w:rPr>
                <w:rFonts w:ascii="Cambria Math" w:hAnsi="Cambria Math" w:cs="Times New Roman"/>
                <w:noProof/>
                <w:sz w:val="24"/>
                <w:szCs w:val="24"/>
                <w:lang w:val="en-US"/>
              </w:rPr>
              <m:t>r</m:t>
            </m:r>
          </m:e>
          <m:sub>
            <m:r>
              <w:rPr>
                <w:rFonts w:ascii="Cambria Math" w:hAnsi="Cambria Math" w:cs="Times New Roman"/>
                <w:noProof/>
                <w:sz w:val="24"/>
                <w:szCs w:val="24"/>
                <w:lang w:val="en-US"/>
              </w:rPr>
              <m:t>it</m:t>
            </m:r>
          </m:sub>
        </m:sSub>
      </m:oMath>
      <w:r w:rsidRPr="005517C4">
        <w:rPr>
          <w:rFonts w:ascii="Times New Roman" w:eastAsiaTheme="minorEastAsia" w:hAnsi="Times New Roman" w:cs="Times New Roman"/>
          <w:noProof/>
          <w:sz w:val="24"/>
          <w:szCs w:val="24"/>
          <w:lang w:val="en-US"/>
        </w:rPr>
        <w:t xml:space="preserve"> is </w:t>
      </w:r>
      <w:r w:rsidR="000D1729">
        <w:rPr>
          <w:rFonts w:ascii="Times New Roman" w:eastAsiaTheme="minorEastAsia" w:hAnsi="Times New Roman" w:cs="Times New Roman"/>
          <w:noProof/>
          <w:sz w:val="24"/>
          <w:szCs w:val="24"/>
          <w:lang w:val="en-US"/>
        </w:rPr>
        <w:t xml:space="preserve">the </w:t>
      </w:r>
      <w:r w:rsidRPr="005517C4">
        <w:rPr>
          <w:rFonts w:ascii="Times New Roman" w:eastAsiaTheme="minorEastAsia" w:hAnsi="Times New Roman" w:cs="Times New Roman"/>
          <w:noProof/>
          <w:sz w:val="24"/>
          <w:szCs w:val="24"/>
          <w:lang w:val="en-US"/>
        </w:rPr>
        <w:t>idiosyncratic component</w:t>
      </w:r>
      <w:r w:rsidR="00D61921" w:rsidRPr="005517C4">
        <w:rPr>
          <w:rFonts w:ascii="Times New Roman" w:eastAsiaTheme="minorEastAsia" w:hAnsi="Times New Roman" w:cs="Times New Roman"/>
          <w:noProof/>
          <w:sz w:val="24"/>
          <w:szCs w:val="24"/>
          <w:lang w:val="en-US"/>
        </w:rPr>
        <w:t xml:space="preserve"> and represents individual </w:t>
      </w:r>
      <w:r w:rsidR="00D61921" w:rsidRPr="005517C4">
        <w:rPr>
          <w:rFonts w:ascii="Times New Roman" w:eastAsiaTheme="minorEastAsia" w:hAnsi="Times New Roman" w:cs="Times New Roman"/>
          <w:noProof/>
          <w:sz w:val="24"/>
          <w:szCs w:val="24"/>
          <w:lang w:val="en-US"/>
        </w:rPr>
        <w:lastRenderedPageBreak/>
        <w:t>transition</w:t>
      </w:r>
      <w:r w:rsidR="00E65247" w:rsidRPr="005517C4">
        <w:rPr>
          <w:rFonts w:ascii="Times New Roman" w:eastAsiaTheme="minorEastAsia" w:hAnsi="Times New Roman" w:cs="Times New Roman"/>
          <w:noProof/>
          <w:sz w:val="24"/>
          <w:szCs w:val="24"/>
          <w:lang w:val="en-US"/>
        </w:rPr>
        <w:t>s</w:t>
      </w:r>
      <w:r w:rsidR="00D61921" w:rsidRPr="005517C4">
        <w:rPr>
          <w:rFonts w:ascii="Times New Roman" w:eastAsiaTheme="minorEastAsia" w:hAnsi="Times New Roman" w:cs="Times New Roman"/>
          <w:noProof/>
          <w:sz w:val="24"/>
          <w:szCs w:val="24"/>
          <w:lang w:val="en-US"/>
        </w:rPr>
        <w:t xml:space="preserve"> factors that measure the idiosyncratic distance between the common factor </w:t>
      </w:r>
      <m:oMath>
        <m:sSub>
          <m:sSubPr>
            <m:ctrlPr>
              <w:rPr>
                <w:rFonts w:ascii="Cambria Math" w:hAnsi="Cambria Math" w:cs="Times New Roman"/>
                <w:i/>
                <w:noProof/>
                <w:sz w:val="24"/>
                <w:szCs w:val="24"/>
                <w:lang w:val="en-US"/>
              </w:rPr>
            </m:ctrlPr>
          </m:sSubPr>
          <m:e>
            <m:r>
              <w:rPr>
                <w:rFonts w:ascii="Cambria Math" w:hAnsi="Cambria Math" w:cs="Times New Roman"/>
                <w:noProof/>
                <w:sz w:val="24"/>
                <w:szCs w:val="24"/>
                <w:lang w:val="en-US"/>
              </w:rPr>
              <m:t>e</m:t>
            </m:r>
          </m:e>
          <m:sub>
            <m:r>
              <w:rPr>
                <w:rFonts w:ascii="Cambria Math" w:hAnsi="Cambria Math" w:cs="Times New Roman"/>
                <w:noProof/>
                <w:sz w:val="24"/>
                <w:szCs w:val="24"/>
                <w:lang w:val="en-US"/>
              </w:rPr>
              <m:t>t</m:t>
            </m:r>
          </m:sub>
        </m:sSub>
      </m:oMath>
      <w:r w:rsidR="00D61921" w:rsidRPr="005517C4">
        <w:rPr>
          <w:rFonts w:ascii="Times New Roman" w:eastAsiaTheme="minorEastAsia" w:hAnsi="Times New Roman" w:cs="Times New Roman"/>
          <w:noProof/>
          <w:sz w:val="24"/>
          <w:szCs w:val="24"/>
          <w:lang w:val="en-US"/>
        </w:rPr>
        <w:t xml:space="preserve"> and </w:t>
      </w:r>
      <w:r w:rsidR="000D1729">
        <w:rPr>
          <w:rFonts w:ascii="Times New Roman" w:eastAsiaTheme="minorEastAsia" w:hAnsi="Times New Roman" w:cs="Times New Roman"/>
          <w:noProof/>
          <w:sz w:val="24"/>
          <w:szCs w:val="24"/>
          <w:lang w:val="en-US"/>
        </w:rPr>
        <w:t xml:space="preserve">the </w:t>
      </w:r>
      <w:r w:rsidR="00D61921" w:rsidRPr="005517C4">
        <w:rPr>
          <w:rFonts w:ascii="Times New Roman" w:eastAsiaTheme="minorEastAsia" w:hAnsi="Times New Roman" w:cs="Times New Roman"/>
          <w:noProof/>
          <w:sz w:val="24"/>
          <w:szCs w:val="24"/>
          <w:lang w:val="en-US"/>
        </w:rPr>
        <w:t xml:space="preserve">systematic part of </w:t>
      </w:r>
      <m:oMath>
        <m:sSub>
          <m:sSubPr>
            <m:ctrlPr>
              <w:rPr>
                <w:rFonts w:ascii="Cambria Math" w:hAnsi="Cambria Math" w:cs="Times New Roman"/>
                <w:i/>
                <w:noProof/>
                <w:sz w:val="24"/>
                <w:szCs w:val="24"/>
                <w:lang w:val="en-US"/>
              </w:rPr>
            </m:ctrlPr>
          </m:sSubPr>
          <m:e>
            <m:r>
              <w:rPr>
                <w:rFonts w:ascii="Cambria Math" w:hAnsi="Cambria Math" w:cs="Times New Roman"/>
                <w:noProof/>
                <w:sz w:val="24"/>
                <w:szCs w:val="24"/>
                <w:lang w:val="en-US"/>
              </w:rPr>
              <m:t>y</m:t>
            </m:r>
          </m:e>
          <m:sub>
            <m:r>
              <w:rPr>
                <w:rFonts w:ascii="Cambria Math" w:hAnsi="Cambria Math" w:cs="Times New Roman"/>
                <w:noProof/>
                <w:sz w:val="24"/>
                <w:szCs w:val="24"/>
                <w:lang w:val="en-US"/>
              </w:rPr>
              <m:t>it</m:t>
            </m:r>
          </m:sub>
        </m:sSub>
      </m:oMath>
      <w:r w:rsidRPr="005517C4">
        <w:rPr>
          <w:rFonts w:ascii="Times New Roman" w:eastAsiaTheme="minorEastAsia" w:hAnsi="Times New Roman" w:cs="Times New Roman"/>
          <w:noProof/>
          <w:sz w:val="24"/>
          <w:szCs w:val="24"/>
          <w:lang w:val="en-US"/>
        </w:rPr>
        <w:t>.</w:t>
      </w:r>
      <w:r w:rsidR="002769B7" w:rsidRPr="005517C4">
        <w:rPr>
          <w:rFonts w:ascii="Times New Roman" w:eastAsiaTheme="minorEastAsia" w:hAnsi="Times New Roman" w:cs="Times New Roman"/>
          <w:noProof/>
          <w:sz w:val="24"/>
          <w:szCs w:val="24"/>
          <w:lang w:val="en-US"/>
        </w:rPr>
        <w:t xml:space="preserve"> It</w:t>
      </w:r>
      <w:r w:rsidR="000D1729">
        <w:rPr>
          <w:rFonts w:ascii="Times New Roman" w:eastAsiaTheme="minorEastAsia" w:hAnsi="Times New Roman" w:cs="Times New Roman"/>
          <w:noProof/>
          <w:sz w:val="24"/>
          <w:szCs w:val="24"/>
          <w:lang w:val="en-US"/>
        </w:rPr>
        <w:t xml:space="preserve"> is</w:t>
      </w:r>
      <w:r w:rsidR="002769B7" w:rsidRPr="005517C4">
        <w:rPr>
          <w:rFonts w:ascii="Times New Roman" w:eastAsiaTheme="minorEastAsia" w:hAnsi="Times New Roman" w:cs="Times New Roman"/>
          <w:noProof/>
          <w:sz w:val="24"/>
          <w:szCs w:val="24"/>
          <w:lang w:val="en-US"/>
        </w:rPr>
        <w:t xml:space="preserve"> assumed that </w:t>
      </w:r>
      <m:oMath>
        <m:sSub>
          <m:sSubPr>
            <m:ctrlPr>
              <w:rPr>
                <w:rFonts w:ascii="Cambria Math" w:hAnsi="Cambria Math" w:cs="Times New Roman"/>
                <w:i/>
                <w:noProof/>
                <w:sz w:val="24"/>
                <w:szCs w:val="24"/>
                <w:lang w:val="en-US"/>
              </w:rPr>
            </m:ctrlPr>
          </m:sSubPr>
          <m:e>
            <m:r>
              <w:rPr>
                <w:rFonts w:ascii="Cambria Math" w:hAnsi="Cambria Math" w:cs="Times New Roman"/>
                <w:noProof/>
                <w:sz w:val="24"/>
                <w:szCs w:val="24"/>
                <w:lang w:val="en-US"/>
              </w:rPr>
              <m:t>r</m:t>
            </m:r>
          </m:e>
          <m:sub>
            <m:r>
              <w:rPr>
                <w:rFonts w:ascii="Cambria Math" w:hAnsi="Cambria Math" w:cs="Times New Roman"/>
                <w:noProof/>
                <w:sz w:val="24"/>
                <w:szCs w:val="24"/>
                <w:lang w:val="en-US"/>
              </w:rPr>
              <m:t>it</m:t>
            </m:r>
          </m:sub>
        </m:sSub>
      </m:oMath>
      <w:r w:rsidR="002769B7" w:rsidRPr="005517C4">
        <w:rPr>
          <w:rFonts w:ascii="Times New Roman" w:eastAsiaTheme="minorEastAsia" w:hAnsi="Times New Roman" w:cs="Times New Roman"/>
          <w:noProof/>
          <w:sz w:val="24"/>
          <w:szCs w:val="24"/>
          <w:lang w:val="en-US"/>
        </w:rPr>
        <w:t xml:space="preserve"> converges to some limiting value </w:t>
      </w:r>
      <m:oMath>
        <m:sSub>
          <m:sSubPr>
            <m:ctrlPr>
              <w:rPr>
                <w:rFonts w:ascii="Cambria Math" w:hAnsi="Cambria Math" w:cs="Times New Roman"/>
                <w:i/>
                <w:noProof/>
                <w:sz w:val="24"/>
                <w:szCs w:val="24"/>
                <w:lang w:val="en-US"/>
              </w:rPr>
            </m:ctrlPr>
          </m:sSubPr>
          <m:e>
            <m:r>
              <w:rPr>
                <w:rFonts w:ascii="Cambria Math" w:hAnsi="Cambria Math" w:cs="Times New Roman"/>
                <w:noProof/>
                <w:sz w:val="24"/>
                <w:szCs w:val="24"/>
                <w:lang w:val="en-US"/>
              </w:rPr>
              <m:t>r</m:t>
            </m:r>
          </m:e>
          <m:sub>
            <m:r>
              <w:rPr>
                <w:rFonts w:ascii="Cambria Math" w:hAnsi="Cambria Math" w:cs="Times New Roman"/>
                <w:noProof/>
                <w:sz w:val="24"/>
                <w:szCs w:val="24"/>
                <w:lang w:val="en-US"/>
              </w:rPr>
              <m:t xml:space="preserve">i </m:t>
            </m:r>
          </m:sub>
        </m:sSub>
      </m:oMath>
      <w:r w:rsidR="000D1729">
        <w:rPr>
          <w:rFonts w:ascii="Times New Roman" w:eastAsiaTheme="minorEastAsia" w:hAnsi="Times New Roman" w:cs="Times New Roman"/>
          <w:noProof/>
          <w:sz w:val="24"/>
          <w:szCs w:val="24"/>
          <w:lang w:val="en-US"/>
        </w:rPr>
        <w:t xml:space="preserve"> </w:t>
      </w:r>
      <w:r w:rsidR="002769B7" w:rsidRPr="005517C4">
        <w:rPr>
          <w:rFonts w:ascii="Times New Roman" w:eastAsiaTheme="minorEastAsia" w:hAnsi="Times New Roman" w:cs="Times New Roman"/>
          <w:noProof/>
          <w:sz w:val="24"/>
          <w:szCs w:val="24"/>
          <w:lang w:val="en-US"/>
        </w:rPr>
        <w:t>for each country</w:t>
      </w:r>
      <w:r w:rsidR="00F56FC8" w:rsidRPr="005517C4">
        <w:rPr>
          <w:rFonts w:ascii="Times New Roman" w:eastAsiaTheme="minorEastAsia" w:hAnsi="Times New Roman" w:cs="Times New Roman"/>
          <w:noProof/>
          <w:sz w:val="24"/>
          <w:szCs w:val="24"/>
          <w:lang w:val="en-US"/>
        </w:rPr>
        <w:t xml:space="preserve">. Considering </w:t>
      </w:r>
      <w:r w:rsidR="000D1729">
        <w:rPr>
          <w:rFonts w:ascii="Times New Roman" w:eastAsiaTheme="minorEastAsia" w:hAnsi="Times New Roman" w:cs="Times New Roman"/>
          <w:noProof/>
          <w:sz w:val="24"/>
          <w:szCs w:val="24"/>
          <w:lang w:val="en-US"/>
        </w:rPr>
        <w:t xml:space="preserve">the </w:t>
      </w:r>
      <w:r w:rsidR="00F56FC8" w:rsidRPr="005517C4">
        <w:rPr>
          <w:rFonts w:ascii="Times New Roman" w:eastAsiaTheme="minorEastAsia" w:hAnsi="Times New Roman" w:cs="Times New Roman"/>
          <w:noProof/>
          <w:sz w:val="24"/>
          <w:szCs w:val="24"/>
          <w:lang w:val="en-US"/>
        </w:rPr>
        <w:t xml:space="preserve">convergence hypothesis, the average difference between </w:t>
      </w:r>
      <m:oMath>
        <m:sSub>
          <m:sSubPr>
            <m:ctrlPr>
              <w:rPr>
                <w:rFonts w:ascii="Cambria Math" w:hAnsi="Cambria Math" w:cs="Times New Roman"/>
                <w:i/>
                <w:noProof/>
                <w:sz w:val="24"/>
                <w:szCs w:val="24"/>
                <w:lang w:val="en-US"/>
              </w:rPr>
            </m:ctrlPr>
          </m:sSubPr>
          <m:e>
            <m:r>
              <w:rPr>
                <w:rFonts w:ascii="Cambria Math" w:hAnsi="Cambria Math" w:cs="Times New Roman"/>
                <w:noProof/>
                <w:sz w:val="24"/>
                <w:szCs w:val="24"/>
                <w:lang w:val="en-US"/>
              </w:rPr>
              <m:t>r</m:t>
            </m:r>
          </m:e>
          <m:sub>
            <m:r>
              <w:rPr>
                <w:rFonts w:ascii="Cambria Math" w:hAnsi="Cambria Math" w:cs="Times New Roman"/>
                <w:noProof/>
                <w:sz w:val="24"/>
                <w:szCs w:val="24"/>
                <w:lang w:val="en-US"/>
              </w:rPr>
              <m:t>it</m:t>
            </m:r>
          </m:sub>
        </m:sSub>
      </m:oMath>
      <w:r w:rsidR="00F56FC8" w:rsidRPr="005517C4">
        <w:rPr>
          <w:rFonts w:ascii="Times New Roman" w:eastAsiaTheme="minorEastAsia" w:hAnsi="Times New Roman" w:cs="Times New Roman"/>
          <w:noProof/>
          <w:sz w:val="24"/>
          <w:szCs w:val="24"/>
          <w:lang w:val="en-US"/>
        </w:rPr>
        <w:t xml:space="preserve"> and </w:t>
      </w:r>
      <m:oMath>
        <m:sSub>
          <m:sSubPr>
            <m:ctrlPr>
              <w:rPr>
                <w:rFonts w:ascii="Cambria Math" w:hAnsi="Cambria Math" w:cs="Times New Roman"/>
                <w:i/>
                <w:noProof/>
                <w:sz w:val="24"/>
                <w:szCs w:val="24"/>
                <w:lang w:val="en-US"/>
              </w:rPr>
            </m:ctrlPr>
          </m:sSubPr>
          <m:e>
            <m:r>
              <w:rPr>
                <w:rFonts w:ascii="Cambria Math" w:hAnsi="Cambria Math" w:cs="Times New Roman"/>
                <w:noProof/>
                <w:sz w:val="24"/>
                <w:szCs w:val="24"/>
                <w:lang w:val="en-US"/>
              </w:rPr>
              <m:t>r</m:t>
            </m:r>
          </m:e>
          <m:sub>
            <m:r>
              <w:rPr>
                <w:rFonts w:ascii="Cambria Math" w:hAnsi="Cambria Math" w:cs="Times New Roman"/>
                <w:noProof/>
                <w:sz w:val="24"/>
                <w:szCs w:val="24"/>
                <w:lang w:val="en-US"/>
              </w:rPr>
              <m:t>i</m:t>
            </m:r>
          </m:sub>
        </m:sSub>
      </m:oMath>
      <w:r w:rsidR="000D1729">
        <w:rPr>
          <w:rFonts w:ascii="Times New Roman" w:eastAsiaTheme="minorEastAsia" w:hAnsi="Times New Roman" w:cs="Times New Roman"/>
          <w:noProof/>
          <w:sz w:val="24"/>
          <w:szCs w:val="24"/>
          <w:lang w:val="en-US"/>
        </w:rPr>
        <w:t xml:space="preserve"> </w:t>
      </w:r>
      <w:r w:rsidR="00F56FC8" w:rsidRPr="005517C4">
        <w:rPr>
          <w:rFonts w:ascii="Times New Roman" w:eastAsiaTheme="minorEastAsia" w:hAnsi="Times New Roman" w:cs="Times New Roman"/>
          <w:noProof/>
          <w:sz w:val="24"/>
          <w:szCs w:val="24"/>
          <w:lang w:val="en-US"/>
        </w:rPr>
        <w:t xml:space="preserve">decreases </w:t>
      </w:r>
      <w:r w:rsidR="000D1729">
        <w:rPr>
          <w:rFonts w:ascii="Times New Roman" w:eastAsiaTheme="minorEastAsia" w:hAnsi="Times New Roman" w:cs="Times New Roman"/>
          <w:noProof/>
          <w:sz w:val="24"/>
          <w:szCs w:val="24"/>
          <w:lang w:val="en-US"/>
        </w:rPr>
        <w:t>over</w:t>
      </w:r>
      <w:r w:rsidR="00F56FC8" w:rsidRPr="005517C4">
        <w:rPr>
          <w:rFonts w:ascii="Times New Roman" w:eastAsiaTheme="minorEastAsia" w:hAnsi="Times New Roman" w:cs="Times New Roman"/>
          <w:noProof/>
          <w:sz w:val="24"/>
          <w:szCs w:val="24"/>
          <w:lang w:val="en-US"/>
        </w:rPr>
        <w:t xml:space="preserve"> time at a rate proportional to </w:t>
      </w:r>
      <m:oMath>
        <m:f>
          <m:fPr>
            <m:type m:val="lin"/>
            <m:ctrlPr>
              <w:rPr>
                <w:rFonts w:ascii="Cambria Math" w:eastAsiaTheme="minorEastAsia" w:hAnsi="Cambria Math" w:cs="Times New Roman"/>
                <w:i/>
                <w:noProof/>
                <w:sz w:val="24"/>
                <w:szCs w:val="24"/>
                <w:lang w:val="en-US"/>
              </w:rPr>
            </m:ctrlPr>
          </m:fPr>
          <m:num>
            <m:r>
              <w:rPr>
                <w:rFonts w:ascii="Cambria Math" w:eastAsiaTheme="minorEastAsia" w:hAnsi="Cambria Math" w:cs="Times New Roman"/>
                <w:noProof/>
                <w:sz w:val="24"/>
                <w:szCs w:val="24"/>
                <w:lang w:val="en-US"/>
              </w:rPr>
              <m:t>1</m:t>
            </m:r>
          </m:num>
          <m:den>
            <m:r>
              <w:rPr>
                <w:rFonts w:ascii="Cambria Math" w:eastAsiaTheme="minorEastAsia" w:hAnsi="Cambria Math" w:cs="Times New Roman"/>
                <w:noProof/>
                <w:sz w:val="24"/>
                <w:szCs w:val="24"/>
                <w:lang w:val="en-US"/>
              </w:rPr>
              <m:t>(</m:t>
            </m:r>
            <m:sSup>
              <m:sSupPr>
                <m:ctrlPr>
                  <w:rPr>
                    <w:rFonts w:ascii="Cambria Math" w:eastAsiaTheme="minorEastAsia" w:hAnsi="Cambria Math" w:cs="Times New Roman"/>
                    <w:i/>
                    <w:noProof/>
                    <w:sz w:val="24"/>
                    <w:szCs w:val="24"/>
                    <w:lang w:val="en-US"/>
                  </w:rPr>
                </m:ctrlPr>
              </m:sSupPr>
              <m:e>
                <m:r>
                  <w:rPr>
                    <w:rFonts w:ascii="Cambria Math" w:eastAsiaTheme="minorEastAsia" w:hAnsi="Cambria Math" w:cs="Times New Roman"/>
                    <w:noProof/>
                    <w:sz w:val="24"/>
                    <w:szCs w:val="24"/>
                    <w:lang w:val="en-US"/>
                  </w:rPr>
                  <m:t>t</m:t>
                </m:r>
              </m:e>
              <m:sup>
                <m:r>
                  <w:rPr>
                    <w:rFonts w:ascii="Cambria Math" w:eastAsiaTheme="minorEastAsia" w:hAnsi="Cambria Math" w:cs="Times New Roman"/>
                    <w:noProof/>
                    <w:sz w:val="24"/>
                    <w:szCs w:val="24"/>
                    <w:lang w:val="en-US"/>
                  </w:rPr>
                  <m:t>α</m:t>
                </m:r>
              </m:sup>
            </m:sSup>
          </m:den>
        </m:f>
      </m:oMath>
      <w:r w:rsidR="00F56FC8" w:rsidRPr="005517C4">
        <w:rPr>
          <w:rFonts w:ascii="Times New Roman" w:eastAsiaTheme="minorEastAsia" w:hAnsi="Times New Roman" w:cs="Times New Roman"/>
          <w:noProof/>
          <w:sz w:val="24"/>
          <w:szCs w:val="24"/>
          <w:lang w:val="en-US"/>
        </w:rPr>
        <w:t xml:space="preserve">log(t+1)) for </w:t>
      </w:r>
      <m:oMath>
        <m:r>
          <w:rPr>
            <w:rFonts w:ascii="Cambria Math" w:eastAsiaTheme="minorEastAsia" w:hAnsi="Cambria Math" w:cs="Times New Roman"/>
            <w:noProof/>
            <w:sz w:val="24"/>
            <w:szCs w:val="24"/>
            <w:lang w:val="en-US"/>
          </w:rPr>
          <m:t>α≥0</m:t>
        </m:r>
      </m:oMath>
      <w:r w:rsidR="00F56FC8" w:rsidRPr="005517C4">
        <w:rPr>
          <w:rFonts w:ascii="Times New Roman" w:eastAsiaTheme="minorEastAsia" w:hAnsi="Times New Roman" w:cs="Times New Roman"/>
          <w:noProof/>
          <w:sz w:val="24"/>
          <w:szCs w:val="24"/>
          <w:lang w:val="en-US"/>
        </w:rPr>
        <w:t xml:space="preserve"> and </w:t>
      </w:r>
      <m:oMath>
        <m:sSub>
          <m:sSubPr>
            <m:ctrlPr>
              <w:rPr>
                <w:rFonts w:ascii="Cambria Math" w:hAnsi="Cambria Math" w:cs="Times New Roman"/>
                <w:i/>
                <w:noProof/>
                <w:sz w:val="24"/>
                <w:szCs w:val="24"/>
                <w:lang w:val="en-US"/>
              </w:rPr>
            </m:ctrlPr>
          </m:sSubPr>
          <m:e>
            <m:r>
              <w:rPr>
                <w:rFonts w:ascii="Cambria Math" w:hAnsi="Cambria Math" w:cs="Times New Roman"/>
                <w:noProof/>
                <w:sz w:val="24"/>
                <w:szCs w:val="24"/>
                <w:lang w:val="en-US"/>
              </w:rPr>
              <m:t>r</m:t>
            </m:r>
          </m:e>
          <m:sub>
            <m:r>
              <w:rPr>
                <w:rFonts w:ascii="Cambria Math" w:hAnsi="Cambria Math" w:cs="Times New Roman"/>
                <w:noProof/>
                <w:sz w:val="24"/>
                <w:szCs w:val="24"/>
                <w:lang w:val="en-US"/>
              </w:rPr>
              <m:t>i</m:t>
            </m:r>
          </m:sub>
        </m:sSub>
        <m:r>
          <w:rPr>
            <w:rFonts w:ascii="Cambria Math" w:eastAsiaTheme="minorEastAsia" w:hAnsi="Cambria Math" w:cs="Times New Roman"/>
            <w:noProof/>
            <w:sz w:val="24"/>
            <w:szCs w:val="24"/>
            <w:lang w:val="en-US"/>
          </w:rPr>
          <m:t>=</m:t>
        </m:r>
        <m:r>
          <w:rPr>
            <w:rFonts w:ascii="Cambria Math" w:hAnsi="Cambria Math" w:cs="Times New Roman"/>
            <w:noProof/>
            <w:sz w:val="24"/>
            <w:szCs w:val="24"/>
            <w:lang w:val="en-US"/>
          </w:rPr>
          <m:t>r</m:t>
        </m:r>
      </m:oMath>
      <w:r w:rsidR="004B548F" w:rsidRPr="005517C4">
        <w:rPr>
          <w:rFonts w:ascii="Times New Roman" w:eastAsiaTheme="minorEastAsia" w:hAnsi="Times New Roman" w:cs="Times New Roman"/>
          <w:noProof/>
          <w:sz w:val="24"/>
          <w:szCs w:val="24"/>
          <w:lang w:val="en-US"/>
        </w:rPr>
        <w:t xml:space="preserve"> for each country. </w:t>
      </w:r>
      <w:r w:rsidR="009123AF" w:rsidRPr="005517C4">
        <w:rPr>
          <w:rFonts w:ascii="Times New Roman" w:eastAsiaTheme="minorEastAsia" w:hAnsi="Times New Roman" w:cs="Times New Roman"/>
          <w:noProof/>
          <w:sz w:val="24"/>
          <w:szCs w:val="24"/>
          <w:lang w:val="en-US"/>
        </w:rPr>
        <w:t xml:space="preserve">This procedure enables </w:t>
      </w:r>
      <w:r w:rsidR="002553F0">
        <w:rPr>
          <w:rFonts w:ascii="Times New Roman" w:eastAsiaTheme="minorEastAsia" w:hAnsi="Times New Roman" w:cs="Times New Roman"/>
          <w:noProof/>
          <w:sz w:val="24"/>
          <w:szCs w:val="24"/>
          <w:lang w:val="en-US"/>
        </w:rPr>
        <w:t xml:space="preserve">us </w:t>
      </w:r>
      <w:r w:rsidR="009123AF" w:rsidRPr="005517C4">
        <w:rPr>
          <w:rFonts w:ascii="Times New Roman" w:eastAsiaTheme="minorEastAsia" w:hAnsi="Times New Roman" w:cs="Times New Roman"/>
          <w:noProof/>
          <w:sz w:val="24"/>
          <w:szCs w:val="24"/>
          <w:lang w:val="en-US"/>
        </w:rPr>
        <w:t xml:space="preserve">to determine convergence by testing whether factor loadings </w:t>
      </w:r>
      <m:oMath>
        <m:sSub>
          <m:sSubPr>
            <m:ctrlPr>
              <w:rPr>
                <w:rFonts w:ascii="Cambria Math" w:hAnsi="Cambria Math" w:cs="Times New Roman"/>
                <w:i/>
                <w:noProof/>
                <w:sz w:val="24"/>
                <w:szCs w:val="24"/>
                <w:lang w:val="en-US"/>
              </w:rPr>
            </m:ctrlPr>
          </m:sSubPr>
          <m:e>
            <m:r>
              <w:rPr>
                <w:rFonts w:ascii="Cambria Math" w:hAnsi="Cambria Math" w:cs="Times New Roman"/>
                <w:noProof/>
                <w:sz w:val="24"/>
                <w:szCs w:val="24"/>
                <w:lang w:val="en-US"/>
              </w:rPr>
              <m:t>r</m:t>
            </m:r>
          </m:e>
          <m:sub>
            <m:r>
              <w:rPr>
                <w:rFonts w:ascii="Cambria Math" w:hAnsi="Cambria Math" w:cs="Times New Roman"/>
                <w:noProof/>
                <w:sz w:val="24"/>
                <w:szCs w:val="24"/>
                <w:lang w:val="en-US"/>
              </w:rPr>
              <m:t>it</m:t>
            </m:r>
          </m:sub>
        </m:sSub>
      </m:oMath>
      <w:r w:rsidR="009123AF" w:rsidRPr="005517C4">
        <w:rPr>
          <w:rFonts w:ascii="Times New Roman" w:eastAsiaTheme="minorEastAsia" w:hAnsi="Times New Roman" w:cs="Times New Roman"/>
          <w:noProof/>
          <w:sz w:val="24"/>
          <w:szCs w:val="24"/>
          <w:lang w:val="en-US"/>
        </w:rPr>
        <w:t xml:space="preserve"> converge.</w:t>
      </w:r>
      <w:r w:rsidR="00997122" w:rsidRPr="005517C4">
        <w:rPr>
          <w:rFonts w:ascii="Times New Roman" w:eastAsiaTheme="minorEastAsia" w:hAnsi="Times New Roman" w:cs="Times New Roman"/>
          <w:noProof/>
          <w:sz w:val="24"/>
          <w:szCs w:val="24"/>
          <w:lang w:val="en-US"/>
        </w:rPr>
        <w:t xml:space="preserve"> Then, the transition path</w:t>
      </w:r>
      <w:r w:rsidR="00C54EE3" w:rsidRPr="005517C4">
        <w:rPr>
          <w:rFonts w:ascii="Times New Roman" w:eastAsiaTheme="minorEastAsia" w:hAnsi="Times New Roman" w:cs="Times New Roman"/>
          <w:noProof/>
          <w:sz w:val="24"/>
          <w:szCs w:val="24"/>
          <w:lang w:val="en-US"/>
        </w:rPr>
        <w:t xml:space="preserve"> </w:t>
      </w:r>
      <m:oMath>
        <m:sSub>
          <m:sSubPr>
            <m:ctrlPr>
              <w:rPr>
                <w:rFonts w:ascii="Cambria Math" w:hAnsi="Cambria Math" w:cs="Times New Roman"/>
                <w:i/>
                <w:noProof/>
                <w:sz w:val="24"/>
                <w:szCs w:val="24"/>
              </w:rPr>
            </m:ctrlPr>
          </m:sSubPr>
          <m:e>
            <m:r>
              <w:rPr>
                <w:rFonts w:ascii="Cambria Math" w:hAnsi="Cambria Math" w:cs="Times New Roman"/>
                <w:noProof/>
                <w:sz w:val="24"/>
                <w:szCs w:val="24"/>
              </w:rPr>
              <m:t>h</m:t>
            </m:r>
          </m:e>
          <m:sub>
            <m:r>
              <w:rPr>
                <w:rFonts w:ascii="Cambria Math" w:hAnsi="Cambria Math" w:cs="Times New Roman"/>
                <w:noProof/>
                <w:sz w:val="24"/>
                <w:szCs w:val="24"/>
              </w:rPr>
              <m:t>it</m:t>
            </m:r>
          </m:sub>
        </m:sSub>
      </m:oMath>
      <w:r w:rsidR="00997122" w:rsidRPr="005517C4">
        <w:rPr>
          <w:rFonts w:ascii="Times New Roman" w:eastAsiaTheme="minorEastAsia" w:hAnsi="Times New Roman" w:cs="Times New Roman"/>
          <w:noProof/>
          <w:sz w:val="24"/>
          <w:szCs w:val="24"/>
          <w:lang w:val="en-US"/>
        </w:rPr>
        <w:t xml:space="preserve"> is calculated </w:t>
      </w:r>
      <w:r w:rsidR="002553F0">
        <w:rPr>
          <w:rFonts w:ascii="Times New Roman" w:eastAsiaTheme="minorEastAsia" w:hAnsi="Times New Roman" w:cs="Times New Roman"/>
          <w:noProof/>
          <w:sz w:val="24"/>
          <w:szCs w:val="24"/>
          <w:lang w:val="en-US"/>
        </w:rPr>
        <w:t>as</w:t>
      </w:r>
      <w:r w:rsidR="00997122" w:rsidRPr="005517C4">
        <w:rPr>
          <w:rFonts w:ascii="Times New Roman" w:eastAsiaTheme="minorEastAsia" w:hAnsi="Times New Roman" w:cs="Times New Roman"/>
          <w:noProof/>
          <w:sz w:val="24"/>
          <w:szCs w:val="24"/>
          <w:lang w:val="en-US"/>
        </w:rPr>
        <w:t xml:space="preserve"> the cross section average of the log per capita values for the series </w:t>
      </w:r>
      <m:oMath>
        <m:acc>
          <m:accPr>
            <m:chr m:val="̅"/>
            <m:ctrlPr>
              <w:rPr>
                <w:rFonts w:ascii="Cambria Math" w:eastAsiaTheme="minorEastAsia" w:hAnsi="Cambria Math" w:cs="Times New Roman"/>
                <w:i/>
                <w:noProof/>
                <w:sz w:val="24"/>
                <w:szCs w:val="24"/>
                <w:lang w:val="en-US"/>
              </w:rPr>
            </m:ctrlPr>
          </m:accPr>
          <m:e>
            <m:sSub>
              <m:sSubPr>
                <m:ctrlPr>
                  <w:rPr>
                    <w:rFonts w:ascii="Cambria Math" w:eastAsiaTheme="minorEastAsia" w:hAnsi="Cambria Math" w:cs="Times New Roman"/>
                    <w:i/>
                    <w:noProof/>
                    <w:sz w:val="24"/>
                    <w:szCs w:val="24"/>
                    <w:lang w:val="en-US"/>
                  </w:rPr>
                </m:ctrlPr>
              </m:sSubPr>
              <m:e>
                <m:r>
                  <w:rPr>
                    <w:rFonts w:ascii="Cambria Math" w:eastAsiaTheme="minorEastAsia" w:hAnsi="Cambria Math" w:cs="Times New Roman"/>
                    <w:noProof/>
                    <w:sz w:val="24"/>
                    <w:szCs w:val="24"/>
                    <w:lang w:val="en-US"/>
                  </w:rPr>
                  <m:t>log</m:t>
                </m:r>
              </m:e>
              <m:sub>
                <m:r>
                  <w:rPr>
                    <w:rFonts w:ascii="Cambria Math" w:eastAsiaTheme="minorEastAsia" w:hAnsi="Cambria Math" w:cs="Times New Roman"/>
                    <w:noProof/>
                    <w:sz w:val="24"/>
                    <w:szCs w:val="24"/>
                    <w:lang w:val="en-US"/>
                  </w:rPr>
                  <m:t>t</m:t>
                </m:r>
              </m:sub>
            </m:sSub>
          </m:e>
        </m:acc>
      </m:oMath>
      <w:r w:rsidR="00997122" w:rsidRPr="005517C4">
        <w:rPr>
          <w:rFonts w:ascii="Times New Roman" w:eastAsiaTheme="minorEastAsia" w:hAnsi="Times New Roman" w:cs="Times New Roman"/>
          <w:noProof/>
          <w:sz w:val="24"/>
          <w:szCs w:val="24"/>
          <w:lang w:val="en-US"/>
        </w:rPr>
        <w:t xml:space="preserve"> as follows:</w:t>
      </w:r>
    </w:p>
    <w:p w:rsidR="00997122" w:rsidRPr="005517C4" w:rsidRDefault="006578EE" w:rsidP="00234B23">
      <w:pPr>
        <w:spacing w:line="360" w:lineRule="auto"/>
        <w:jc w:val="both"/>
        <w:rPr>
          <w:rFonts w:ascii="Times New Roman" w:hAnsi="Times New Roman" w:cs="Times New Roman"/>
          <w:noProof/>
          <w:sz w:val="24"/>
          <w:szCs w:val="24"/>
        </w:rPr>
      </w:pPr>
      <m:oMath>
        <m:sSub>
          <m:sSubPr>
            <m:ctrlPr>
              <w:rPr>
                <w:rFonts w:ascii="Cambria Math" w:hAnsi="Cambria Math" w:cs="Times New Roman"/>
                <w:i/>
                <w:noProof/>
                <w:sz w:val="24"/>
                <w:szCs w:val="24"/>
              </w:rPr>
            </m:ctrlPr>
          </m:sSubPr>
          <m:e>
            <m:r>
              <w:rPr>
                <w:rFonts w:ascii="Cambria Math" w:hAnsi="Cambria Math" w:cs="Times New Roman"/>
                <w:noProof/>
                <w:sz w:val="24"/>
                <w:szCs w:val="24"/>
              </w:rPr>
              <m:t>h</m:t>
            </m:r>
          </m:e>
          <m:sub>
            <m:r>
              <w:rPr>
                <w:rFonts w:ascii="Cambria Math" w:hAnsi="Cambria Math" w:cs="Times New Roman"/>
                <w:noProof/>
                <w:sz w:val="24"/>
                <w:szCs w:val="24"/>
              </w:rPr>
              <m:t>it</m:t>
            </m:r>
          </m:sub>
        </m:sSub>
        <m:r>
          <w:rPr>
            <w:rFonts w:ascii="Cambria Math" w:hAnsi="Cambria Math" w:cs="Times New Roman"/>
            <w:noProof/>
            <w:sz w:val="24"/>
            <w:szCs w:val="24"/>
          </w:rPr>
          <m:t>=log</m:t>
        </m:r>
        <m:f>
          <m:fPr>
            <m:type m:val="lin"/>
            <m:ctrlPr>
              <w:rPr>
                <w:rFonts w:ascii="Cambria Math" w:hAnsi="Cambria Math" w:cs="Times New Roman"/>
                <w:i/>
                <w:noProof/>
                <w:sz w:val="24"/>
                <w:szCs w:val="24"/>
              </w:rPr>
            </m:ctrlPr>
          </m:fPr>
          <m:num>
            <m:sSub>
              <m:sSubPr>
                <m:ctrlPr>
                  <w:rPr>
                    <w:rFonts w:ascii="Cambria Math" w:hAnsi="Cambria Math" w:cs="Times New Roman"/>
                    <w:i/>
                    <w:noProof/>
                    <w:sz w:val="24"/>
                    <w:szCs w:val="24"/>
                  </w:rPr>
                </m:ctrlPr>
              </m:sSubPr>
              <m:e>
                <m:r>
                  <w:rPr>
                    <w:rFonts w:ascii="Cambria Math" w:hAnsi="Cambria Math" w:cs="Times New Roman"/>
                    <w:noProof/>
                    <w:sz w:val="24"/>
                    <w:szCs w:val="24"/>
                  </w:rPr>
                  <m:t>y</m:t>
                </m:r>
              </m:e>
              <m:sub>
                <m:r>
                  <w:rPr>
                    <w:rFonts w:ascii="Cambria Math" w:hAnsi="Cambria Math" w:cs="Times New Roman"/>
                    <w:noProof/>
                    <w:sz w:val="24"/>
                    <w:szCs w:val="24"/>
                  </w:rPr>
                  <m:t>it</m:t>
                </m:r>
              </m:sub>
            </m:sSub>
          </m:num>
          <m:den>
            <m:acc>
              <m:accPr>
                <m:chr m:val="̅"/>
                <m:ctrlPr>
                  <w:rPr>
                    <w:rFonts w:ascii="Cambria Math" w:hAnsi="Cambria Math" w:cs="Times New Roman"/>
                    <w:i/>
                    <w:noProof/>
                    <w:sz w:val="24"/>
                    <w:szCs w:val="24"/>
                  </w:rPr>
                </m:ctrlPr>
              </m:accPr>
              <m:e>
                <m:sSub>
                  <m:sSubPr>
                    <m:ctrlPr>
                      <w:rPr>
                        <w:rFonts w:ascii="Cambria Math" w:hAnsi="Cambria Math" w:cs="Times New Roman"/>
                        <w:i/>
                        <w:noProof/>
                        <w:sz w:val="24"/>
                        <w:szCs w:val="24"/>
                      </w:rPr>
                    </m:ctrlPr>
                  </m:sSubPr>
                  <m:e>
                    <m:r>
                      <w:rPr>
                        <w:rFonts w:ascii="Cambria Math" w:hAnsi="Cambria Math" w:cs="Times New Roman"/>
                        <w:noProof/>
                        <w:sz w:val="24"/>
                        <w:szCs w:val="24"/>
                      </w:rPr>
                      <m:t>log</m:t>
                    </m:r>
                  </m:e>
                  <m:sub>
                    <m:r>
                      <w:rPr>
                        <w:rFonts w:ascii="Cambria Math" w:hAnsi="Cambria Math" w:cs="Times New Roman"/>
                        <w:noProof/>
                        <w:sz w:val="24"/>
                        <w:szCs w:val="24"/>
                      </w:rPr>
                      <m:t>t</m:t>
                    </m:r>
                  </m:sub>
                </m:sSub>
              </m:e>
            </m:acc>
          </m:den>
        </m:f>
      </m:oMath>
      <w:r w:rsidR="00997122" w:rsidRPr="005517C4">
        <w:rPr>
          <w:rFonts w:ascii="Times New Roman" w:eastAsiaTheme="minorEastAsia" w:hAnsi="Times New Roman" w:cs="Times New Roman"/>
          <w:noProof/>
          <w:sz w:val="24"/>
          <w:szCs w:val="24"/>
        </w:rPr>
        <w:t xml:space="preserve"> </w:t>
      </w:r>
      <w:r w:rsidR="00997122" w:rsidRPr="005517C4">
        <w:rPr>
          <w:rFonts w:ascii="Times New Roman" w:eastAsiaTheme="minorEastAsia" w:hAnsi="Times New Roman" w:cs="Times New Roman"/>
          <w:noProof/>
          <w:sz w:val="24"/>
          <w:szCs w:val="24"/>
        </w:rPr>
        <w:tab/>
      </w:r>
      <w:r w:rsidR="00997122" w:rsidRPr="005517C4">
        <w:rPr>
          <w:rFonts w:ascii="Times New Roman" w:eastAsiaTheme="minorEastAsia" w:hAnsi="Times New Roman" w:cs="Times New Roman"/>
          <w:noProof/>
          <w:sz w:val="24"/>
          <w:szCs w:val="24"/>
        </w:rPr>
        <w:tab/>
      </w:r>
      <w:r w:rsidR="00997122" w:rsidRPr="005517C4">
        <w:rPr>
          <w:rFonts w:ascii="Times New Roman" w:eastAsiaTheme="minorEastAsia" w:hAnsi="Times New Roman" w:cs="Times New Roman"/>
          <w:noProof/>
          <w:sz w:val="24"/>
          <w:szCs w:val="24"/>
        </w:rPr>
        <w:tab/>
      </w:r>
      <w:r w:rsidR="00997122" w:rsidRPr="005517C4">
        <w:rPr>
          <w:rFonts w:ascii="Times New Roman" w:eastAsiaTheme="minorEastAsia" w:hAnsi="Times New Roman" w:cs="Times New Roman"/>
          <w:noProof/>
          <w:sz w:val="24"/>
          <w:szCs w:val="24"/>
        </w:rPr>
        <w:tab/>
      </w:r>
      <w:r w:rsidR="00997122" w:rsidRPr="005517C4">
        <w:rPr>
          <w:rFonts w:ascii="Times New Roman" w:eastAsiaTheme="minorEastAsia" w:hAnsi="Times New Roman" w:cs="Times New Roman"/>
          <w:noProof/>
          <w:sz w:val="24"/>
          <w:szCs w:val="24"/>
        </w:rPr>
        <w:tab/>
      </w:r>
      <w:r w:rsidR="00997122" w:rsidRPr="005517C4">
        <w:rPr>
          <w:rFonts w:ascii="Times New Roman" w:eastAsiaTheme="minorEastAsia" w:hAnsi="Times New Roman" w:cs="Times New Roman"/>
          <w:noProof/>
          <w:sz w:val="24"/>
          <w:szCs w:val="24"/>
        </w:rPr>
        <w:tab/>
      </w:r>
      <w:r w:rsidR="00997122" w:rsidRPr="005517C4">
        <w:rPr>
          <w:rFonts w:ascii="Times New Roman" w:eastAsiaTheme="minorEastAsia" w:hAnsi="Times New Roman" w:cs="Times New Roman"/>
          <w:noProof/>
          <w:sz w:val="24"/>
          <w:szCs w:val="24"/>
        </w:rPr>
        <w:tab/>
      </w:r>
      <w:r w:rsidR="00997122" w:rsidRPr="005517C4">
        <w:rPr>
          <w:rFonts w:ascii="Times New Roman" w:eastAsiaTheme="minorEastAsia" w:hAnsi="Times New Roman" w:cs="Times New Roman"/>
          <w:noProof/>
          <w:sz w:val="24"/>
          <w:szCs w:val="24"/>
        </w:rPr>
        <w:tab/>
      </w:r>
      <w:r w:rsidR="00997122" w:rsidRPr="005517C4">
        <w:rPr>
          <w:rFonts w:ascii="Times New Roman" w:eastAsiaTheme="minorEastAsia" w:hAnsi="Times New Roman" w:cs="Times New Roman"/>
          <w:noProof/>
          <w:sz w:val="24"/>
          <w:szCs w:val="24"/>
        </w:rPr>
        <w:tab/>
      </w:r>
      <w:r w:rsidR="00997122" w:rsidRPr="005517C4">
        <w:rPr>
          <w:rFonts w:ascii="Times New Roman" w:eastAsiaTheme="minorEastAsia" w:hAnsi="Times New Roman" w:cs="Times New Roman"/>
          <w:noProof/>
          <w:sz w:val="24"/>
          <w:szCs w:val="24"/>
        </w:rPr>
        <w:tab/>
      </w:r>
      <w:r w:rsidR="00997122" w:rsidRPr="005517C4">
        <w:rPr>
          <w:rFonts w:ascii="Times New Roman" w:eastAsiaTheme="minorEastAsia" w:hAnsi="Times New Roman" w:cs="Times New Roman"/>
          <w:noProof/>
          <w:sz w:val="24"/>
          <w:szCs w:val="24"/>
        </w:rPr>
        <w:tab/>
        <w:t>(8)</w:t>
      </w:r>
    </w:p>
    <w:p w:rsidR="00B06B39" w:rsidRPr="005517C4" w:rsidRDefault="00C54EE3" w:rsidP="0040040A">
      <w:pPr>
        <w:spacing w:line="360" w:lineRule="auto"/>
        <w:jc w:val="both"/>
        <w:rPr>
          <w:rFonts w:ascii="Times New Roman" w:eastAsiaTheme="minorEastAsia" w:hAnsi="Times New Roman" w:cs="Times New Roman"/>
          <w:noProof/>
          <w:sz w:val="24"/>
          <w:szCs w:val="24"/>
        </w:rPr>
      </w:pPr>
      <w:r w:rsidRPr="005517C4">
        <w:rPr>
          <w:rFonts w:ascii="Times New Roman" w:hAnsi="Times New Roman" w:cs="Times New Roman"/>
          <w:noProof/>
          <w:sz w:val="24"/>
          <w:szCs w:val="24"/>
          <w:lang w:val="en-US"/>
        </w:rPr>
        <w:t xml:space="preserve">Having applied </w:t>
      </w:r>
      <w:r w:rsidR="002553F0">
        <w:rPr>
          <w:rFonts w:ascii="Times New Roman" w:hAnsi="Times New Roman" w:cs="Times New Roman"/>
          <w:noProof/>
          <w:sz w:val="24"/>
          <w:szCs w:val="24"/>
          <w:lang w:val="en-US"/>
        </w:rPr>
        <w:t>E</w:t>
      </w:r>
      <w:r w:rsidRPr="005517C4">
        <w:rPr>
          <w:rFonts w:ascii="Times New Roman" w:hAnsi="Times New Roman" w:cs="Times New Roman"/>
          <w:noProof/>
          <w:sz w:val="24"/>
          <w:szCs w:val="24"/>
          <w:lang w:val="en-US"/>
        </w:rPr>
        <w:t xml:space="preserve">quation 8, </w:t>
      </w:r>
      <w:r w:rsidR="002553F0">
        <w:rPr>
          <w:rFonts w:ascii="Times New Roman" w:hAnsi="Times New Roman" w:cs="Times New Roman"/>
          <w:noProof/>
          <w:sz w:val="24"/>
          <w:szCs w:val="24"/>
          <w:lang w:val="en-US"/>
        </w:rPr>
        <w:t xml:space="preserve">the </w:t>
      </w:r>
      <w:r w:rsidR="00B06B39" w:rsidRPr="005517C4">
        <w:rPr>
          <w:rFonts w:ascii="Times New Roman" w:hAnsi="Times New Roman" w:cs="Times New Roman"/>
          <w:noProof/>
          <w:sz w:val="24"/>
          <w:szCs w:val="24"/>
          <w:lang w:val="en-US"/>
        </w:rPr>
        <w:t xml:space="preserve">cross sectional variaton ratio </w:t>
      </w:r>
      <m:oMath>
        <m:f>
          <m:fPr>
            <m:type m:val="lin"/>
            <m:ctrlPr>
              <w:rPr>
                <w:rFonts w:ascii="Cambria Math" w:hAnsi="Cambria Math" w:cs="Times New Roman"/>
                <w:i/>
                <w:noProof/>
                <w:sz w:val="24"/>
                <w:szCs w:val="24"/>
              </w:rPr>
            </m:ctrlPr>
          </m:fPr>
          <m:num>
            <m:sSub>
              <m:sSubPr>
                <m:ctrlPr>
                  <w:rPr>
                    <w:rFonts w:ascii="Cambria Math" w:hAnsi="Cambria Math" w:cs="Times New Roman"/>
                    <w:i/>
                    <w:noProof/>
                    <w:sz w:val="24"/>
                    <w:szCs w:val="24"/>
                  </w:rPr>
                </m:ctrlPr>
              </m:sSubPr>
              <m:e>
                <m:r>
                  <w:rPr>
                    <w:rFonts w:ascii="Cambria Math" w:hAnsi="Cambria Math" w:cs="Times New Roman"/>
                    <w:noProof/>
                    <w:sz w:val="24"/>
                    <w:szCs w:val="24"/>
                  </w:rPr>
                  <m:t>H</m:t>
                </m:r>
              </m:e>
              <m:sub>
                <m:r>
                  <w:rPr>
                    <w:rFonts w:ascii="Cambria Math" w:hAnsi="Cambria Math" w:cs="Times New Roman"/>
                    <w:noProof/>
                    <w:sz w:val="24"/>
                    <w:szCs w:val="24"/>
                  </w:rPr>
                  <m:t>1</m:t>
                </m:r>
              </m:sub>
            </m:sSub>
          </m:num>
          <m:den>
            <m:sSub>
              <m:sSubPr>
                <m:ctrlPr>
                  <w:rPr>
                    <w:rFonts w:ascii="Cambria Math" w:hAnsi="Cambria Math" w:cs="Times New Roman"/>
                    <w:i/>
                    <w:noProof/>
                    <w:sz w:val="24"/>
                    <w:szCs w:val="24"/>
                  </w:rPr>
                </m:ctrlPr>
              </m:sSubPr>
              <m:e>
                <m:r>
                  <w:rPr>
                    <w:rFonts w:ascii="Cambria Math" w:hAnsi="Cambria Math" w:cs="Times New Roman"/>
                    <w:noProof/>
                    <w:sz w:val="24"/>
                    <w:szCs w:val="24"/>
                  </w:rPr>
                  <m:t>H</m:t>
                </m:r>
              </m:e>
              <m:sub>
                <m:r>
                  <w:rPr>
                    <w:rFonts w:ascii="Cambria Math" w:hAnsi="Cambria Math" w:cs="Times New Roman"/>
                    <w:noProof/>
                    <w:sz w:val="24"/>
                    <w:szCs w:val="24"/>
                  </w:rPr>
                  <m:t>t</m:t>
                </m:r>
              </m:sub>
            </m:sSub>
          </m:den>
        </m:f>
      </m:oMath>
      <w:r w:rsidR="00B06B39" w:rsidRPr="005517C4">
        <w:rPr>
          <w:rFonts w:ascii="Times New Roman" w:eastAsiaTheme="minorEastAsia" w:hAnsi="Times New Roman" w:cs="Times New Roman"/>
          <w:noProof/>
          <w:sz w:val="24"/>
          <w:szCs w:val="24"/>
        </w:rPr>
        <w:t xml:space="preserve"> is constructed as in </w:t>
      </w:r>
      <w:r w:rsidR="002553F0">
        <w:rPr>
          <w:rFonts w:ascii="Times New Roman" w:eastAsiaTheme="minorEastAsia" w:hAnsi="Times New Roman" w:cs="Times New Roman"/>
          <w:noProof/>
          <w:sz w:val="24"/>
          <w:szCs w:val="24"/>
        </w:rPr>
        <w:t>E</w:t>
      </w:r>
      <w:r w:rsidR="00B06B39" w:rsidRPr="005517C4">
        <w:rPr>
          <w:rFonts w:ascii="Times New Roman" w:eastAsiaTheme="minorEastAsia" w:hAnsi="Times New Roman" w:cs="Times New Roman"/>
          <w:noProof/>
          <w:sz w:val="24"/>
          <w:szCs w:val="24"/>
        </w:rPr>
        <w:t>quation 9</w:t>
      </w:r>
      <w:r w:rsidR="002553F0">
        <w:rPr>
          <w:rFonts w:ascii="Times New Roman" w:eastAsiaTheme="minorEastAsia" w:hAnsi="Times New Roman" w:cs="Times New Roman"/>
          <w:noProof/>
          <w:sz w:val="24"/>
          <w:szCs w:val="24"/>
        </w:rPr>
        <w:t xml:space="preserve"> below</w:t>
      </w:r>
      <w:r w:rsidR="00B06B39" w:rsidRPr="005517C4">
        <w:rPr>
          <w:rFonts w:ascii="Times New Roman" w:eastAsiaTheme="minorEastAsia" w:hAnsi="Times New Roman" w:cs="Times New Roman"/>
          <w:noProof/>
          <w:sz w:val="24"/>
          <w:szCs w:val="24"/>
        </w:rPr>
        <w:t>:</w:t>
      </w:r>
    </w:p>
    <w:p w:rsidR="00654290" w:rsidRPr="005517C4" w:rsidRDefault="006578EE" w:rsidP="0040040A">
      <w:pPr>
        <w:spacing w:line="360" w:lineRule="auto"/>
        <w:jc w:val="both"/>
        <w:rPr>
          <w:rFonts w:ascii="Times New Roman" w:hAnsi="Times New Roman" w:cs="Times New Roman"/>
          <w:noProof/>
          <w:sz w:val="24"/>
          <w:szCs w:val="24"/>
          <w:lang w:val="en-US"/>
        </w:rPr>
      </w:pPr>
      <m:oMath>
        <m:sSub>
          <m:sSubPr>
            <m:ctrlPr>
              <w:rPr>
                <w:rFonts w:ascii="Cambria Math" w:eastAsiaTheme="minorEastAsia" w:hAnsi="Cambria Math" w:cs="Times New Roman"/>
                <w:i/>
                <w:noProof/>
                <w:sz w:val="24"/>
                <w:szCs w:val="24"/>
              </w:rPr>
            </m:ctrlPr>
          </m:sSubPr>
          <m:e>
            <m:r>
              <w:rPr>
                <w:rFonts w:ascii="Cambria Math" w:eastAsiaTheme="minorEastAsia" w:hAnsi="Cambria Math" w:cs="Times New Roman"/>
                <w:noProof/>
                <w:sz w:val="24"/>
                <w:szCs w:val="24"/>
              </w:rPr>
              <m:t>H</m:t>
            </m:r>
          </m:e>
          <m:sub>
            <m:r>
              <w:rPr>
                <w:rFonts w:ascii="Cambria Math" w:eastAsiaTheme="minorEastAsia" w:hAnsi="Cambria Math" w:cs="Times New Roman"/>
                <w:noProof/>
                <w:sz w:val="24"/>
                <w:szCs w:val="24"/>
              </w:rPr>
              <m:t>t</m:t>
            </m:r>
          </m:sub>
        </m:sSub>
        <m:r>
          <w:rPr>
            <w:rFonts w:ascii="Cambria Math" w:eastAsiaTheme="minorEastAsia" w:hAnsi="Cambria Math" w:cs="Times New Roman"/>
            <w:noProof/>
            <w:sz w:val="24"/>
            <w:szCs w:val="24"/>
          </w:rPr>
          <m:t>=</m:t>
        </m:r>
        <m:f>
          <m:fPr>
            <m:ctrlPr>
              <w:rPr>
                <w:rFonts w:ascii="Cambria Math" w:eastAsiaTheme="minorEastAsia" w:hAnsi="Cambria Math" w:cs="Times New Roman"/>
                <w:i/>
                <w:noProof/>
                <w:sz w:val="24"/>
                <w:szCs w:val="24"/>
              </w:rPr>
            </m:ctrlPr>
          </m:fPr>
          <m:num>
            <m:r>
              <w:rPr>
                <w:rFonts w:ascii="Cambria Math" w:eastAsiaTheme="minorEastAsia" w:hAnsi="Cambria Math" w:cs="Times New Roman"/>
                <w:noProof/>
                <w:sz w:val="24"/>
                <w:szCs w:val="24"/>
              </w:rPr>
              <m:t>1</m:t>
            </m:r>
          </m:num>
          <m:den>
            <m:r>
              <w:rPr>
                <w:rFonts w:ascii="Cambria Math" w:eastAsiaTheme="minorEastAsia" w:hAnsi="Cambria Math" w:cs="Times New Roman"/>
                <w:noProof/>
                <w:sz w:val="24"/>
                <w:szCs w:val="24"/>
              </w:rPr>
              <m:t>N</m:t>
            </m:r>
          </m:den>
        </m:f>
        <m:nary>
          <m:naryPr>
            <m:chr m:val="∑"/>
            <m:limLoc m:val="undOvr"/>
            <m:ctrlPr>
              <w:rPr>
                <w:rFonts w:ascii="Cambria Math" w:eastAsiaTheme="minorEastAsia" w:hAnsi="Cambria Math" w:cs="Times New Roman"/>
                <w:i/>
                <w:noProof/>
                <w:sz w:val="24"/>
                <w:szCs w:val="24"/>
              </w:rPr>
            </m:ctrlPr>
          </m:naryPr>
          <m:sub>
            <m:r>
              <w:rPr>
                <w:rFonts w:ascii="Cambria Math" w:eastAsiaTheme="minorEastAsia" w:hAnsi="Cambria Math" w:cs="Times New Roman"/>
                <w:noProof/>
                <w:sz w:val="24"/>
                <w:szCs w:val="24"/>
              </w:rPr>
              <m:t>i=1</m:t>
            </m:r>
          </m:sub>
          <m:sup>
            <m:r>
              <w:rPr>
                <w:rFonts w:ascii="Cambria Math" w:eastAsiaTheme="minorEastAsia" w:hAnsi="Cambria Math" w:cs="Times New Roman"/>
                <w:noProof/>
                <w:sz w:val="24"/>
                <w:szCs w:val="24"/>
              </w:rPr>
              <m:t>N</m:t>
            </m:r>
          </m:sup>
          <m:e>
            <m:sSup>
              <m:sSupPr>
                <m:ctrlPr>
                  <w:rPr>
                    <w:rFonts w:ascii="Cambria Math" w:eastAsiaTheme="minorEastAsia" w:hAnsi="Cambria Math" w:cs="Times New Roman"/>
                    <w:i/>
                    <w:noProof/>
                    <w:sz w:val="24"/>
                    <w:szCs w:val="24"/>
                  </w:rPr>
                </m:ctrlPr>
              </m:sSupPr>
              <m:e>
                <m:d>
                  <m:dPr>
                    <m:ctrlPr>
                      <w:rPr>
                        <w:rFonts w:ascii="Cambria Math" w:eastAsiaTheme="minorEastAsia" w:hAnsi="Cambria Math" w:cs="Times New Roman"/>
                        <w:i/>
                        <w:noProof/>
                        <w:sz w:val="24"/>
                        <w:szCs w:val="24"/>
                      </w:rPr>
                    </m:ctrlPr>
                  </m:dPr>
                  <m:e>
                    <m:sSub>
                      <m:sSubPr>
                        <m:ctrlPr>
                          <w:rPr>
                            <w:rFonts w:ascii="Cambria Math" w:eastAsiaTheme="minorEastAsia" w:hAnsi="Cambria Math" w:cs="Times New Roman"/>
                            <w:i/>
                            <w:noProof/>
                            <w:sz w:val="24"/>
                            <w:szCs w:val="24"/>
                          </w:rPr>
                        </m:ctrlPr>
                      </m:sSubPr>
                      <m:e>
                        <m:r>
                          <w:rPr>
                            <w:rFonts w:ascii="Cambria Math" w:eastAsiaTheme="minorEastAsia" w:hAnsi="Cambria Math" w:cs="Times New Roman"/>
                            <w:noProof/>
                            <w:sz w:val="24"/>
                            <w:szCs w:val="24"/>
                          </w:rPr>
                          <m:t>h</m:t>
                        </m:r>
                      </m:e>
                      <m:sub>
                        <m:r>
                          <w:rPr>
                            <w:rFonts w:ascii="Cambria Math" w:eastAsiaTheme="minorEastAsia" w:hAnsi="Cambria Math" w:cs="Times New Roman"/>
                            <w:noProof/>
                            <w:sz w:val="24"/>
                            <w:szCs w:val="24"/>
                          </w:rPr>
                          <m:t>it</m:t>
                        </m:r>
                      </m:sub>
                    </m:sSub>
                    <m:r>
                      <w:rPr>
                        <w:rFonts w:ascii="Cambria Math" w:eastAsiaTheme="minorEastAsia" w:hAnsi="Cambria Math" w:cs="Times New Roman"/>
                        <w:noProof/>
                        <w:sz w:val="24"/>
                        <w:szCs w:val="24"/>
                      </w:rPr>
                      <m:t>-1</m:t>
                    </m:r>
                  </m:e>
                </m:d>
              </m:e>
              <m:sup>
                <m:r>
                  <w:rPr>
                    <w:rFonts w:ascii="Cambria Math" w:eastAsiaTheme="minorEastAsia" w:hAnsi="Cambria Math" w:cs="Times New Roman"/>
                    <w:noProof/>
                    <w:sz w:val="24"/>
                    <w:szCs w:val="24"/>
                  </w:rPr>
                  <m:t>2</m:t>
                </m:r>
              </m:sup>
            </m:sSup>
          </m:e>
        </m:nary>
      </m:oMath>
      <w:r w:rsidR="00B06B39" w:rsidRPr="005517C4">
        <w:rPr>
          <w:rFonts w:ascii="Times New Roman" w:eastAsiaTheme="minorEastAsia" w:hAnsi="Times New Roman" w:cs="Times New Roman"/>
          <w:noProof/>
          <w:sz w:val="24"/>
          <w:szCs w:val="24"/>
        </w:rPr>
        <w:t xml:space="preserve"> </w:t>
      </w:r>
      <w:r w:rsidR="00C54EE3" w:rsidRPr="005517C4">
        <w:rPr>
          <w:rFonts w:ascii="Times New Roman" w:hAnsi="Times New Roman" w:cs="Times New Roman"/>
          <w:noProof/>
          <w:sz w:val="24"/>
          <w:szCs w:val="24"/>
          <w:lang w:val="en-US"/>
        </w:rPr>
        <w:t xml:space="preserve"> </w:t>
      </w:r>
      <w:r w:rsidR="00654290" w:rsidRPr="005517C4">
        <w:rPr>
          <w:rFonts w:ascii="Times New Roman" w:hAnsi="Times New Roman" w:cs="Times New Roman"/>
          <w:noProof/>
          <w:sz w:val="24"/>
          <w:szCs w:val="24"/>
          <w:lang w:val="en-US"/>
        </w:rPr>
        <w:tab/>
      </w:r>
      <w:r w:rsidR="00654290" w:rsidRPr="005517C4">
        <w:rPr>
          <w:rFonts w:ascii="Times New Roman" w:hAnsi="Times New Roman" w:cs="Times New Roman"/>
          <w:noProof/>
          <w:sz w:val="24"/>
          <w:szCs w:val="24"/>
          <w:lang w:val="en-US"/>
        </w:rPr>
        <w:tab/>
      </w:r>
      <w:r w:rsidR="00654290" w:rsidRPr="005517C4">
        <w:rPr>
          <w:rFonts w:ascii="Times New Roman" w:hAnsi="Times New Roman" w:cs="Times New Roman"/>
          <w:noProof/>
          <w:sz w:val="24"/>
          <w:szCs w:val="24"/>
          <w:lang w:val="en-US"/>
        </w:rPr>
        <w:tab/>
      </w:r>
      <w:r w:rsidR="00654290" w:rsidRPr="005517C4">
        <w:rPr>
          <w:rFonts w:ascii="Times New Roman" w:hAnsi="Times New Roman" w:cs="Times New Roman"/>
          <w:noProof/>
          <w:sz w:val="24"/>
          <w:szCs w:val="24"/>
          <w:lang w:val="en-US"/>
        </w:rPr>
        <w:tab/>
      </w:r>
      <w:r w:rsidR="00654290" w:rsidRPr="005517C4">
        <w:rPr>
          <w:rFonts w:ascii="Times New Roman" w:hAnsi="Times New Roman" w:cs="Times New Roman"/>
          <w:noProof/>
          <w:sz w:val="24"/>
          <w:szCs w:val="24"/>
          <w:lang w:val="en-US"/>
        </w:rPr>
        <w:tab/>
      </w:r>
      <w:r w:rsidR="00654290" w:rsidRPr="005517C4">
        <w:rPr>
          <w:rFonts w:ascii="Times New Roman" w:hAnsi="Times New Roman" w:cs="Times New Roman"/>
          <w:noProof/>
          <w:sz w:val="24"/>
          <w:szCs w:val="24"/>
          <w:lang w:val="en-US"/>
        </w:rPr>
        <w:tab/>
      </w:r>
      <w:r w:rsidR="00654290" w:rsidRPr="005517C4">
        <w:rPr>
          <w:rFonts w:ascii="Times New Roman" w:hAnsi="Times New Roman" w:cs="Times New Roman"/>
          <w:noProof/>
          <w:sz w:val="24"/>
          <w:szCs w:val="24"/>
          <w:lang w:val="en-US"/>
        </w:rPr>
        <w:tab/>
      </w:r>
      <w:r w:rsidR="00654290" w:rsidRPr="005517C4">
        <w:rPr>
          <w:rFonts w:ascii="Times New Roman" w:hAnsi="Times New Roman" w:cs="Times New Roman"/>
          <w:noProof/>
          <w:sz w:val="24"/>
          <w:szCs w:val="24"/>
          <w:lang w:val="en-US"/>
        </w:rPr>
        <w:tab/>
      </w:r>
      <w:r w:rsidR="00654290" w:rsidRPr="005517C4">
        <w:rPr>
          <w:rFonts w:ascii="Times New Roman" w:hAnsi="Times New Roman" w:cs="Times New Roman"/>
          <w:noProof/>
          <w:sz w:val="24"/>
          <w:szCs w:val="24"/>
          <w:lang w:val="en-US"/>
        </w:rPr>
        <w:tab/>
      </w:r>
      <w:r w:rsidR="00654290" w:rsidRPr="005517C4">
        <w:rPr>
          <w:rFonts w:ascii="Times New Roman" w:hAnsi="Times New Roman" w:cs="Times New Roman"/>
          <w:noProof/>
          <w:sz w:val="24"/>
          <w:szCs w:val="24"/>
          <w:lang w:val="en-US"/>
        </w:rPr>
        <w:tab/>
        <w:t>(9)</w:t>
      </w:r>
    </w:p>
    <w:p w:rsidR="00314992" w:rsidRPr="005517C4" w:rsidRDefault="002553F0" w:rsidP="0040040A">
      <w:pPr>
        <w:spacing w:line="360" w:lineRule="auto"/>
        <w:jc w:val="both"/>
        <w:rPr>
          <w:rFonts w:ascii="Times New Roman" w:hAnsi="Times New Roman" w:cs="Times New Roman"/>
          <w:noProof/>
          <w:sz w:val="24"/>
          <w:szCs w:val="24"/>
          <w:lang w:val="en-US"/>
        </w:rPr>
      </w:pPr>
      <w:r>
        <w:rPr>
          <w:rFonts w:ascii="Times New Roman" w:hAnsi="Times New Roman" w:cs="Times New Roman"/>
          <w:noProof/>
          <w:sz w:val="24"/>
          <w:szCs w:val="24"/>
          <w:lang w:val="en-US"/>
        </w:rPr>
        <w:t>E</w:t>
      </w:r>
      <w:r w:rsidR="00654290" w:rsidRPr="005517C4">
        <w:rPr>
          <w:rFonts w:ascii="Times New Roman" w:hAnsi="Times New Roman" w:cs="Times New Roman"/>
          <w:noProof/>
          <w:sz w:val="24"/>
          <w:szCs w:val="24"/>
          <w:lang w:val="en-US"/>
        </w:rPr>
        <w:t xml:space="preserve">ach cross sectional variance </w:t>
      </w:r>
      <w:r>
        <w:rPr>
          <w:rFonts w:ascii="Times New Roman" w:hAnsi="Times New Roman" w:cs="Times New Roman"/>
          <w:noProof/>
          <w:sz w:val="24"/>
          <w:szCs w:val="24"/>
          <w:lang w:val="en-US"/>
        </w:rPr>
        <w:t xml:space="preserve">is </w:t>
      </w:r>
      <w:r w:rsidR="00654290" w:rsidRPr="005517C4">
        <w:rPr>
          <w:rFonts w:ascii="Times New Roman" w:hAnsi="Times New Roman" w:cs="Times New Roman"/>
          <w:noProof/>
          <w:sz w:val="24"/>
          <w:szCs w:val="24"/>
          <w:lang w:val="en-US"/>
        </w:rPr>
        <w:t xml:space="preserve">calculated </w:t>
      </w:r>
      <w:r>
        <w:rPr>
          <w:rFonts w:ascii="Times New Roman" w:hAnsi="Times New Roman" w:cs="Times New Roman"/>
          <w:noProof/>
          <w:sz w:val="24"/>
          <w:szCs w:val="24"/>
          <w:lang w:val="en-US"/>
        </w:rPr>
        <w:t>through</w:t>
      </w:r>
      <w:r w:rsidR="00654290" w:rsidRPr="005517C4">
        <w:rPr>
          <w:rFonts w:ascii="Times New Roman" w:hAnsi="Times New Roman" w:cs="Times New Roman"/>
          <w:noProof/>
          <w:sz w:val="24"/>
          <w:szCs w:val="24"/>
          <w:lang w:val="en-US"/>
        </w:rPr>
        <w:t xml:space="preserve"> </w:t>
      </w:r>
      <w:r>
        <w:rPr>
          <w:rFonts w:ascii="Times New Roman" w:hAnsi="Times New Roman" w:cs="Times New Roman"/>
          <w:noProof/>
          <w:sz w:val="24"/>
          <w:szCs w:val="24"/>
          <w:lang w:val="en-US"/>
        </w:rPr>
        <w:t>E</w:t>
      </w:r>
      <w:r w:rsidR="00654290" w:rsidRPr="005517C4">
        <w:rPr>
          <w:rFonts w:ascii="Times New Roman" w:hAnsi="Times New Roman" w:cs="Times New Roman"/>
          <w:noProof/>
          <w:sz w:val="24"/>
          <w:szCs w:val="24"/>
          <w:lang w:val="en-US"/>
        </w:rPr>
        <w:t xml:space="preserve">quation 9 </w:t>
      </w:r>
      <w:r>
        <w:rPr>
          <w:rFonts w:ascii="Times New Roman" w:hAnsi="Times New Roman" w:cs="Times New Roman"/>
          <w:noProof/>
          <w:sz w:val="24"/>
          <w:szCs w:val="24"/>
          <w:lang w:val="en-US"/>
        </w:rPr>
        <w:t xml:space="preserve">which </w:t>
      </w:r>
      <w:r w:rsidR="00654290" w:rsidRPr="005517C4">
        <w:rPr>
          <w:rFonts w:ascii="Times New Roman" w:hAnsi="Times New Roman" w:cs="Times New Roman"/>
          <w:noProof/>
          <w:sz w:val="24"/>
          <w:szCs w:val="24"/>
          <w:lang w:val="en-US"/>
        </w:rPr>
        <w:t>indicates the distance of the panel from the common limit. Then, the null</w:t>
      </w:r>
      <w:r w:rsidR="0012336C" w:rsidRPr="005517C4">
        <w:rPr>
          <w:rFonts w:ascii="Times New Roman" w:hAnsi="Times New Roman" w:cs="Times New Roman"/>
          <w:noProof/>
          <w:sz w:val="24"/>
          <w:szCs w:val="24"/>
          <w:lang w:val="en-US"/>
        </w:rPr>
        <w:t xml:space="preserve"> (and alternative)</w:t>
      </w:r>
      <w:r w:rsidR="00654290" w:rsidRPr="005517C4">
        <w:rPr>
          <w:rFonts w:ascii="Times New Roman" w:hAnsi="Times New Roman" w:cs="Times New Roman"/>
          <w:noProof/>
          <w:sz w:val="24"/>
          <w:szCs w:val="24"/>
          <w:lang w:val="en-US"/>
        </w:rPr>
        <w:t xml:space="preserve"> hypothes</w:t>
      </w:r>
      <w:r w:rsidR="00314992" w:rsidRPr="005517C4">
        <w:rPr>
          <w:rFonts w:ascii="Times New Roman" w:hAnsi="Times New Roman" w:cs="Times New Roman"/>
          <w:noProof/>
          <w:sz w:val="24"/>
          <w:szCs w:val="24"/>
          <w:lang w:val="en-US"/>
        </w:rPr>
        <w:t>is of convergence</w:t>
      </w:r>
      <w:r w:rsidR="0012336C" w:rsidRPr="005517C4">
        <w:rPr>
          <w:rFonts w:ascii="Times New Roman" w:hAnsi="Times New Roman" w:cs="Times New Roman"/>
          <w:noProof/>
          <w:sz w:val="24"/>
          <w:szCs w:val="24"/>
          <w:lang w:val="en-US"/>
        </w:rPr>
        <w:t xml:space="preserve"> (and non-convergence) </w:t>
      </w:r>
      <w:r w:rsidR="00314992" w:rsidRPr="005517C4">
        <w:rPr>
          <w:rFonts w:ascii="Times New Roman" w:hAnsi="Times New Roman" w:cs="Times New Roman"/>
          <w:noProof/>
          <w:sz w:val="24"/>
          <w:szCs w:val="24"/>
          <w:lang w:val="en-US"/>
        </w:rPr>
        <w:t>for each secti</w:t>
      </w:r>
      <w:r w:rsidR="00654290" w:rsidRPr="005517C4">
        <w:rPr>
          <w:rFonts w:ascii="Times New Roman" w:hAnsi="Times New Roman" w:cs="Times New Roman"/>
          <w:noProof/>
          <w:sz w:val="24"/>
          <w:szCs w:val="24"/>
          <w:lang w:val="en-US"/>
        </w:rPr>
        <w:t xml:space="preserve">on or country </w:t>
      </w:r>
      <w:r w:rsidR="00314992" w:rsidRPr="005517C4">
        <w:rPr>
          <w:rFonts w:ascii="Times New Roman" w:hAnsi="Times New Roman" w:cs="Times New Roman"/>
          <w:noProof/>
          <w:sz w:val="24"/>
          <w:szCs w:val="24"/>
          <w:lang w:val="en-US"/>
        </w:rPr>
        <w:t>is established as:</w:t>
      </w:r>
    </w:p>
    <w:p w:rsidR="00C54EE3" w:rsidRPr="005517C4" w:rsidRDefault="006578EE" w:rsidP="0040040A">
      <w:pPr>
        <w:spacing w:line="360" w:lineRule="auto"/>
        <w:jc w:val="both"/>
        <w:rPr>
          <w:rFonts w:ascii="Times New Roman" w:hAnsi="Times New Roman" w:cs="Times New Roman"/>
          <w:i/>
          <w:noProof/>
          <w:sz w:val="24"/>
          <w:szCs w:val="24"/>
          <w:lang w:val="en-US"/>
        </w:rPr>
      </w:pPr>
      <m:oMath>
        <m:sSub>
          <m:sSubPr>
            <m:ctrlPr>
              <w:rPr>
                <w:rFonts w:ascii="Cambria Math" w:hAnsi="Cambria Math" w:cs="Times New Roman"/>
                <w:i/>
                <w:noProof/>
                <w:sz w:val="24"/>
                <w:szCs w:val="24"/>
                <w:lang w:val="en-US"/>
              </w:rPr>
            </m:ctrlPr>
          </m:sSubPr>
          <m:e>
            <m:r>
              <w:rPr>
                <w:rFonts w:ascii="Cambria Math" w:hAnsi="Cambria Math" w:cs="Times New Roman"/>
                <w:noProof/>
                <w:sz w:val="24"/>
                <w:szCs w:val="24"/>
                <w:lang w:val="en-US"/>
              </w:rPr>
              <m:t>H</m:t>
            </m:r>
          </m:e>
          <m:sub>
            <m:r>
              <w:rPr>
                <w:rFonts w:ascii="Cambria Math" w:hAnsi="Cambria Math" w:cs="Times New Roman"/>
                <w:noProof/>
                <w:sz w:val="24"/>
                <w:szCs w:val="24"/>
                <w:lang w:val="en-US"/>
              </w:rPr>
              <m:t>0</m:t>
            </m:r>
          </m:sub>
        </m:sSub>
        <m:r>
          <w:rPr>
            <w:rFonts w:ascii="Cambria Math" w:hAnsi="Cambria Math" w:cs="Times New Roman"/>
            <w:noProof/>
            <w:sz w:val="24"/>
            <w:szCs w:val="24"/>
            <w:lang w:val="en-US"/>
          </w:rPr>
          <m:t>:</m:t>
        </m:r>
        <m:sSub>
          <m:sSubPr>
            <m:ctrlPr>
              <w:rPr>
                <w:rFonts w:ascii="Cambria Math" w:hAnsi="Cambria Math" w:cs="Times New Roman"/>
                <w:i/>
                <w:noProof/>
                <w:sz w:val="24"/>
                <w:szCs w:val="24"/>
                <w:lang w:val="en-US"/>
              </w:rPr>
            </m:ctrlPr>
          </m:sSubPr>
          <m:e>
            <m:r>
              <w:rPr>
                <w:rFonts w:ascii="Cambria Math" w:hAnsi="Cambria Math" w:cs="Times New Roman"/>
                <w:noProof/>
                <w:sz w:val="24"/>
                <w:szCs w:val="24"/>
                <w:lang w:val="en-US"/>
              </w:rPr>
              <m:t>r</m:t>
            </m:r>
          </m:e>
          <m:sub>
            <m:r>
              <w:rPr>
                <w:rFonts w:ascii="Cambria Math" w:hAnsi="Cambria Math" w:cs="Times New Roman"/>
                <w:noProof/>
                <w:sz w:val="24"/>
                <w:szCs w:val="24"/>
                <w:lang w:val="en-US"/>
              </w:rPr>
              <m:t>i</m:t>
            </m:r>
          </m:sub>
        </m:sSub>
        <m:r>
          <w:rPr>
            <w:rFonts w:ascii="Cambria Math" w:hAnsi="Cambria Math" w:cs="Times New Roman"/>
            <w:noProof/>
            <w:sz w:val="24"/>
            <w:szCs w:val="24"/>
            <w:lang w:val="en-US"/>
          </w:rPr>
          <m:t>=</m:t>
        </m:r>
        <m:sSub>
          <m:sSubPr>
            <m:ctrlPr>
              <w:rPr>
                <w:rFonts w:ascii="Cambria Math" w:hAnsi="Cambria Math" w:cs="Times New Roman"/>
                <w:i/>
                <w:noProof/>
                <w:sz w:val="24"/>
                <w:szCs w:val="24"/>
                <w:lang w:val="en-US"/>
              </w:rPr>
            </m:ctrlPr>
          </m:sSubPr>
          <m:e>
            <m:r>
              <w:rPr>
                <w:rFonts w:ascii="Cambria Math" w:hAnsi="Cambria Math" w:cs="Times New Roman"/>
                <w:noProof/>
                <w:sz w:val="24"/>
                <w:szCs w:val="24"/>
                <w:lang w:val="en-US"/>
              </w:rPr>
              <m:t>r</m:t>
            </m:r>
          </m:e>
          <m:sub>
            <m:r>
              <w:rPr>
                <w:rFonts w:ascii="Cambria Math" w:hAnsi="Cambria Math" w:cs="Times New Roman"/>
                <w:noProof/>
                <w:sz w:val="24"/>
                <w:szCs w:val="24"/>
                <w:lang w:val="en-US"/>
              </w:rPr>
              <m:t xml:space="preserve">t </m:t>
            </m:r>
          </m:sub>
        </m:sSub>
        <m:r>
          <w:rPr>
            <w:rFonts w:ascii="Cambria Math" w:hAnsi="Cambria Math" w:cs="Times New Roman"/>
            <w:noProof/>
            <w:sz w:val="24"/>
            <w:szCs w:val="24"/>
            <w:lang w:val="en-US"/>
          </w:rPr>
          <m:t>and α≥0</m:t>
        </m:r>
      </m:oMath>
      <w:r w:rsidR="00C54EE3" w:rsidRPr="005517C4">
        <w:rPr>
          <w:rFonts w:ascii="Times New Roman" w:hAnsi="Times New Roman" w:cs="Times New Roman"/>
          <w:i/>
          <w:noProof/>
          <w:sz w:val="24"/>
          <w:szCs w:val="24"/>
          <w:lang w:val="en-US"/>
        </w:rPr>
        <w:t xml:space="preserve">  </w:t>
      </w:r>
    </w:p>
    <w:p w:rsidR="00C54EE3" w:rsidRPr="005517C4" w:rsidRDefault="006578EE" w:rsidP="0040040A">
      <w:pPr>
        <w:spacing w:line="360" w:lineRule="auto"/>
        <w:jc w:val="both"/>
        <w:rPr>
          <w:rFonts w:ascii="Times New Roman" w:hAnsi="Times New Roman" w:cs="Times New Roman"/>
          <w:i/>
          <w:noProof/>
          <w:sz w:val="24"/>
          <w:szCs w:val="24"/>
          <w:lang w:val="en-US"/>
        </w:rPr>
      </w:pPr>
      <m:oMath>
        <m:sSub>
          <m:sSubPr>
            <m:ctrlPr>
              <w:rPr>
                <w:rFonts w:ascii="Cambria Math" w:hAnsi="Cambria Math" w:cs="Times New Roman"/>
                <w:i/>
                <w:noProof/>
                <w:sz w:val="24"/>
                <w:szCs w:val="24"/>
                <w:lang w:val="en-US"/>
              </w:rPr>
            </m:ctrlPr>
          </m:sSubPr>
          <m:e>
            <m:r>
              <w:rPr>
                <w:rFonts w:ascii="Cambria Math" w:hAnsi="Cambria Math" w:cs="Times New Roman"/>
                <w:noProof/>
                <w:sz w:val="24"/>
                <w:szCs w:val="24"/>
                <w:lang w:val="en-US"/>
              </w:rPr>
              <m:t>H</m:t>
            </m:r>
          </m:e>
          <m:sub>
            <m:r>
              <w:rPr>
                <w:rFonts w:ascii="Cambria Math" w:hAnsi="Cambria Math" w:cs="Times New Roman"/>
                <w:noProof/>
                <w:sz w:val="24"/>
                <w:szCs w:val="24"/>
                <w:lang w:val="en-US"/>
              </w:rPr>
              <m:t>0</m:t>
            </m:r>
          </m:sub>
        </m:sSub>
        <m:r>
          <w:rPr>
            <w:rFonts w:ascii="Cambria Math" w:hAnsi="Cambria Math" w:cs="Times New Roman"/>
            <w:noProof/>
            <w:sz w:val="24"/>
            <w:szCs w:val="24"/>
            <w:lang w:val="en-US"/>
          </w:rPr>
          <m:t>:</m:t>
        </m:r>
        <m:sSub>
          <m:sSubPr>
            <m:ctrlPr>
              <w:rPr>
                <w:rFonts w:ascii="Cambria Math" w:hAnsi="Cambria Math" w:cs="Times New Roman"/>
                <w:i/>
                <w:noProof/>
                <w:sz w:val="24"/>
                <w:szCs w:val="24"/>
                <w:lang w:val="en-US"/>
              </w:rPr>
            </m:ctrlPr>
          </m:sSubPr>
          <m:e>
            <m:r>
              <w:rPr>
                <w:rFonts w:ascii="Cambria Math" w:hAnsi="Cambria Math" w:cs="Times New Roman"/>
                <w:noProof/>
                <w:sz w:val="24"/>
                <w:szCs w:val="24"/>
                <w:lang w:val="en-US"/>
              </w:rPr>
              <m:t>r</m:t>
            </m:r>
          </m:e>
          <m:sub>
            <m:r>
              <w:rPr>
                <w:rFonts w:ascii="Cambria Math" w:hAnsi="Cambria Math" w:cs="Times New Roman"/>
                <w:noProof/>
                <w:sz w:val="24"/>
                <w:szCs w:val="24"/>
                <w:lang w:val="en-US"/>
              </w:rPr>
              <m:t>i</m:t>
            </m:r>
          </m:sub>
        </m:sSub>
        <m:r>
          <w:rPr>
            <w:rFonts w:ascii="Cambria Math" w:hAnsi="Cambria Math" w:cs="Times New Roman"/>
            <w:noProof/>
            <w:sz w:val="24"/>
            <w:szCs w:val="24"/>
            <w:lang w:val="en-US"/>
          </w:rPr>
          <m:t>≠</m:t>
        </m:r>
        <m:sSub>
          <m:sSubPr>
            <m:ctrlPr>
              <w:rPr>
                <w:rFonts w:ascii="Cambria Math" w:hAnsi="Cambria Math" w:cs="Times New Roman"/>
                <w:i/>
                <w:noProof/>
                <w:sz w:val="24"/>
                <w:szCs w:val="24"/>
                <w:lang w:val="en-US"/>
              </w:rPr>
            </m:ctrlPr>
          </m:sSubPr>
          <m:e>
            <m:r>
              <w:rPr>
                <w:rFonts w:ascii="Cambria Math" w:hAnsi="Cambria Math" w:cs="Times New Roman"/>
                <w:noProof/>
                <w:sz w:val="24"/>
                <w:szCs w:val="24"/>
                <w:lang w:val="en-US"/>
              </w:rPr>
              <m:t>r</m:t>
            </m:r>
          </m:e>
          <m:sub>
            <m:r>
              <w:rPr>
                <w:rFonts w:ascii="Cambria Math" w:hAnsi="Cambria Math" w:cs="Times New Roman"/>
                <w:noProof/>
                <w:sz w:val="24"/>
                <w:szCs w:val="24"/>
                <w:lang w:val="en-US"/>
              </w:rPr>
              <m:t xml:space="preserve">t </m:t>
            </m:r>
          </m:sub>
        </m:sSub>
        <m:r>
          <w:rPr>
            <w:rFonts w:ascii="Cambria Math" w:hAnsi="Cambria Math" w:cs="Times New Roman"/>
            <w:noProof/>
            <w:sz w:val="24"/>
            <w:szCs w:val="24"/>
            <w:lang w:val="en-US"/>
          </w:rPr>
          <m:t>and α &lt;0</m:t>
        </m:r>
      </m:oMath>
      <w:r w:rsidR="0012336C" w:rsidRPr="005517C4">
        <w:rPr>
          <w:rFonts w:ascii="Times New Roman" w:eastAsiaTheme="minorEastAsia" w:hAnsi="Times New Roman" w:cs="Times New Roman"/>
          <w:i/>
          <w:noProof/>
          <w:sz w:val="24"/>
          <w:szCs w:val="24"/>
          <w:lang w:val="en-US"/>
        </w:rPr>
        <w:t xml:space="preserve"> </w:t>
      </w:r>
    </w:p>
    <w:p w:rsidR="0012336C" w:rsidRPr="005517C4" w:rsidRDefault="0012336C" w:rsidP="0040040A">
      <w:pPr>
        <w:spacing w:line="360" w:lineRule="auto"/>
        <w:jc w:val="both"/>
        <w:rPr>
          <w:rFonts w:ascii="Times New Roman" w:hAnsi="Times New Roman" w:cs="Times New Roman"/>
          <w:noProof/>
          <w:sz w:val="24"/>
          <w:szCs w:val="24"/>
          <w:lang w:val="en-US"/>
        </w:rPr>
      </w:pPr>
      <w:r w:rsidRPr="005517C4">
        <w:rPr>
          <w:rFonts w:ascii="Times New Roman" w:hAnsi="Times New Roman" w:cs="Times New Roman"/>
          <w:noProof/>
          <w:sz w:val="24"/>
          <w:szCs w:val="24"/>
          <w:lang w:val="en-US"/>
        </w:rPr>
        <w:t xml:space="preserve">Using </w:t>
      </w:r>
      <w:r w:rsidR="002553F0">
        <w:rPr>
          <w:rFonts w:ascii="Times New Roman" w:hAnsi="Times New Roman" w:cs="Times New Roman"/>
          <w:noProof/>
          <w:sz w:val="24"/>
          <w:szCs w:val="24"/>
          <w:lang w:val="en-US"/>
        </w:rPr>
        <w:t xml:space="preserve">the </w:t>
      </w:r>
      <w:r w:rsidR="00965820" w:rsidRPr="005517C4">
        <w:rPr>
          <w:rFonts w:ascii="Times New Roman" w:hAnsi="Times New Roman" w:cs="Times New Roman"/>
          <w:i/>
          <w:noProof/>
          <w:sz w:val="24"/>
          <w:szCs w:val="24"/>
          <w:lang w:val="en-US"/>
        </w:rPr>
        <w:t>Log t</w:t>
      </w:r>
      <w:r w:rsidR="00965820" w:rsidRPr="005517C4">
        <w:rPr>
          <w:rFonts w:ascii="Times New Roman" w:hAnsi="Times New Roman" w:cs="Times New Roman"/>
          <w:noProof/>
          <w:sz w:val="24"/>
          <w:szCs w:val="24"/>
          <w:lang w:val="en-US"/>
        </w:rPr>
        <w:t xml:space="preserve"> </w:t>
      </w:r>
      <w:r w:rsidRPr="005517C4">
        <w:rPr>
          <w:rFonts w:ascii="Times New Roman" w:hAnsi="Times New Roman" w:cs="Times New Roman"/>
          <w:noProof/>
          <w:sz w:val="24"/>
          <w:szCs w:val="24"/>
          <w:lang w:val="en-US"/>
        </w:rPr>
        <w:t xml:space="preserve">regression in </w:t>
      </w:r>
      <w:r w:rsidR="002553F0">
        <w:rPr>
          <w:rFonts w:ascii="Times New Roman" w:hAnsi="Times New Roman" w:cs="Times New Roman"/>
          <w:noProof/>
          <w:sz w:val="24"/>
          <w:szCs w:val="24"/>
          <w:lang w:val="en-US"/>
        </w:rPr>
        <w:t>E</w:t>
      </w:r>
      <w:r w:rsidRPr="005517C4">
        <w:rPr>
          <w:rFonts w:ascii="Times New Roman" w:hAnsi="Times New Roman" w:cs="Times New Roman"/>
          <w:noProof/>
          <w:sz w:val="24"/>
          <w:szCs w:val="24"/>
          <w:lang w:val="en-US"/>
        </w:rPr>
        <w:t xml:space="preserve">quation 10, these hypotheses </w:t>
      </w:r>
      <w:r w:rsidR="002553F0">
        <w:rPr>
          <w:rFonts w:ascii="Times New Roman" w:hAnsi="Times New Roman" w:cs="Times New Roman"/>
          <w:noProof/>
          <w:sz w:val="24"/>
          <w:szCs w:val="24"/>
          <w:lang w:val="en-US"/>
        </w:rPr>
        <w:t>can be</w:t>
      </w:r>
      <w:r w:rsidRPr="005517C4">
        <w:rPr>
          <w:rFonts w:ascii="Times New Roman" w:hAnsi="Times New Roman" w:cs="Times New Roman"/>
          <w:noProof/>
          <w:sz w:val="24"/>
          <w:szCs w:val="24"/>
          <w:lang w:val="en-US"/>
        </w:rPr>
        <w:t xml:space="preserve"> statistically </w:t>
      </w:r>
      <w:r w:rsidR="00965820" w:rsidRPr="005517C4">
        <w:rPr>
          <w:rFonts w:ascii="Times New Roman" w:hAnsi="Times New Roman" w:cs="Times New Roman"/>
          <w:noProof/>
          <w:sz w:val="24"/>
          <w:szCs w:val="24"/>
          <w:lang w:val="en-US"/>
        </w:rPr>
        <w:t>test</w:t>
      </w:r>
      <w:r w:rsidRPr="005517C4">
        <w:rPr>
          <w:rFonts w:ascii="Times New Roman" w:hAnsi="Times New Roman" w:cs="Times New Roman"/>
          <w:noProof/>
          <w:sz w:val="24"/>
          <w:szCs w:val="24"/>
          <w:lang w:val="en-US"/>
        </w:rPr>
        <w:t>ed</w:t>
      </w:r>
      <w:r w:rsidR="002553F0">
        <w:rPr>
          <w:rFonts w:ascii="Times New Roman" w:hAnsi="Times New Roman" w:cs="Times New Roman"/>
          <w:noProof/>
          <w:sz w:val="24"/>
          <w:szCs w:val="24"/>
          <w:lang w:val="en-US"/>
        </w:rPr>
        <w:t>:</w:t>
      </w:r>
    </w:p>
    <w:p w:rsidR="00007E0E" w:rsidRPr="005517C4" w:rsidRDefault="006578EE" w:rsidP="0040040A">
      <w:pPr>
        <w:spacing w:line="360" w:lineRule="auto"/>
        <w:jc w:val="both"/>
        <w:rPr>
          <w:rFonts w:ascii="Times New Roman" w:eastAsiaTheme="minorEastAsia" w:hAnsi="Times New Roman" w:cs="Times New Roman"/>
          <w:noProof/>
          <w:sz w:val="24"/>
          <w:szCs w:val="24"/>
          <w:lang w:val="en-US"/>
        </w:rPr>
      </w:pPr>
      <m:oMath>
        <m:func>
          <m:funcPr>
            <m:ctrlPr>
              <w:rPr>
                <w:rFonts w:ascii="Cambria Math" w:hAnsi="Cambria Math" w:cs="Times New Roman"/>
                <w:noProof/>
                <w:sz w:val="24"/>
                <w:szCs w:val="24"/>
                <w:lang w:val="en-US"/>
              </w:rPr>
            </m:ctrlPr>
          </m:funcPr>
          <m:fName>
            <m:r>
              <m:rPr>
                <m:sty m:val="p"/>
              </m:rPr>
              <w:rPr>
                <w:rFonts w:ascii="Cambria Math" w:hAnsi="Cambria Math" w:cs="Times New Roman"/>
                <w:noProof/>
                <w:sz w:val="24"/>
                <w:szCs w:val="24"/>
                <w:lang w:val="en-US"/>
              </w:rPr>
              <m:t>log</m:t>
            </m:r>
          </m:fName>
          <m:e>
            <m:d>
              <m:dPr>
                <m:ctrlPr>
                  <w:rPr>
                    <w:rFonts w:ascii="Cambria Math" w:hAnsi="Cambria Math" w:cs="Times New Roman"/>
                    <w:i/>
                    <w:noProof/>
                    <w:sz w:val="24"/>
                    <w:szCs w:val="24"/>
                    <w:lang w:val="en-US"/>
                  </w:rPr>
                </m:ctrlPr>
              </m:dPr>
              <m:e>
                <m:f>
                  <m:fPr>
                    <m:type m:val="lin"/>
                    <m:ctrlPr>
                      <w:rPr>
                        <w:rFonts w:ascii="Cambria Math" w:hAnsi="Cambria Math" w:cs="Times New Roman"/>
                        <w:i/>
                        <w:noProof/>
                        <w:sz w:val="24"/>
                        <w:szCs w:val="24"/>
                        <w:lang w:val="en-US"/>
                      </w:rPr>
                    </m:ctrlPr>
                  </m:fPr>
                  <m:num>
                    <m:sSub>
                      <m:sSubPr>
                        <m:ctrlPr>
                          <w:rPr>
                            <w:rFonts w:ascii="Cambria Math" w:hAnsi="Cambria Math" w:cs="Times New Roman"/>
                            <w:i/>
                            <w:noProof/>
                            <w:sz w:val="24"/>
                            <w:szCs w:val="24"/>
                            <w:lang w:val="en-US"/>
                          </w:rPr>
                        </m:ctrlPr>
                      </m:sSubPr>
                      <m:e>
                        <m:r>
                          <w:rPr>
                            <w:rFonts w:ascii="Cambria Math" w:hAnsi="Cambria Math" w:cs="Times New Roman"/>
                            <w:noProof/>
                            <w:sz w:val="24"/>
                            <w:szCs w:val="24"/>
                            <w:lang w:val="en-US"/>
                          </w:rPr>
                          <m:t>H</m:t>
                        </m:r>
                      </m:e>
                      <m:sub>
                        <m:r>
                          <w:rPr>
                            <w:rFonts w:ascii="Cambria Math" w:hAnsi="Cambria Math" w:cs="Times New Roman"/>
                            <w:noProof/>
                            <w:sz w:val="24"/>
                            <w:szCs w:val="24"/>
                            <w:lang w:val="en-US"/>
                          </w:rPr>
                          <m:t>1</m:t>
                        </m:r>
                      </m:sub>
                    </m:sSub>
                  </m:num>
                  <m:den>
                    <m:sSub>
                      <m:sSubPr>
                        <m:ctrlPr>
                          <w:rPr>
                            <w:rFonts w:ascii="Cambria Math" w:hAnsi="Cambria Math" w:cs="Times New Roman"/>
                            <w:i/>
                            <w:noProof/>
                            <w:sz w:val="24"/>
                            <w:szCs w:val="24"/>
                            <w:lang w:val="en-US"/>
                          </w:rPr>
                        </m:ctrlPr>
                      </m:sSubPr>
                      <m:e>
                        <m:r>
                          <w:rPr>
                            <w:rFonts w:ascii="Cambria Math" w:hAnsi="Cambria Math" w:cs="Times New Roman"/>
                            <w:noProof/>
                            <w:sz w:val="24"/>
                            <w:szCs w:val="24"/>
                            <w:lang w:val="en-US"/>
                          </w:rPr>
                          <m:t>H</m:t>
                        </m:r>
                      </m:e>
                      <m:sub>
                        <m:r>
                          <w:rPr>
                            <w:rFonts w:ascii="Cambria Math" w:hAnsi="Cambria Math" w:cs="Times New Roman"/>
                            <w:noProof/>
                            <w:sz w:val="24"/>
                            <w:szCs w:val="24"/>
                            <w:lang w:val="en-US"/>
                          </w:rPr>
                          <m:t>t</m:t>
                        </m:r>
                      </m:sub>
                    </m:sSub>
                  </m:den>
                </m:f>
              </m:e>
            </m:d>
          </m:e>
        </m:func>
        <m:r>
          <w:rPr>
            <w:rFonts w:ascii="Cambria Math" w:eastAsiaTheme="minorEastAsia" w:hAnsi="Cambria Math" w:cs="Times New Roman"/>
            <w:noProof/>
            <w:sz w:val="24"/>
            <w:szCs w:val="24"/>
            <w:lang w:val="en-US"/>
          </w:rPr>
          <m:t>-2logL</m:t>
        </m:r>
        <m:d>
          <m:dPr>
            <m:ctrlPr>
              <w:rPr>
                <w:rFonts w:ascii="Cambria Math" w:eastAsiaTheme="minorEastAsia" w:hAnsi="Cambria Math" w:cs="Times New Roman"/>
                <w:i/>
                <w:noProof/>
                <w:sz w:val="24"/>
                <w:szCs w:val="24"/>
                <w:lang w:val="en-US"/>
              </w:rPr>
            </m:ctrlPr>
          </m:dPr>
          <m:e>
            <m:r>
              <w:rPr>
                <w:rFonts w:ascii="Cambria Math" w:eastAsiaTheme="minorEastAsia" w:hAnsi="Cambria Math" w:cs="Times New Roman"/>
                <w:noProof/>
                <w:sz w:val="24"/>
                <w:szCs w:val="24"/>
                <w:lang w:val="en-US"/>
              </w:rPr>
              <m:t>t</m:t>
            </m:r>
          </m:e>
        </m:d>
        <m:r>
          <w:rPr>
            <w:rFonts w:ascii="Cambria Math" w:eastAsiaTheme="minorEastAsia" w:hAnsi="Cambria Math" w:cs="Times New Roman"/>
            <w:noProof/>
            <w:sz w:val="24"/>
            <w:szCs w:val="24"/>
            <w:lang w:val="en-US"/>
          </w:rPr>
          <m:t>=c+b logt+</m:t>
        </m:r>
        <m:sSub>
          <m:sSubPr>
            <m:ctrlPr>
              <w:rPr>
                <w:rFonts w:ascii="Cambria Math" w:eastAsiaTheme="minorEastAsia" w:hAnsi="Cambria Math" w:cs="Times New Roman"/>
                <w:i/>
                <w:noProof/>
                <w:sz w:val="24"/>
                <w:szCs w:val="24"/>
                <w:lang w:val="en-US"/>
              </w:rPr>
            </m:ctrlPr>
          </m:sSubPr>
          <m:e>
            <m:r>
              <w:rPr>
                <w:rFonts w:ascii="Cambria Math" w:eastAsiaTheme="minorEastAsia" w:hAnsi="Cambria Math" w:cs="Times New Roman"/>
                <w:noProof/>
                <w:sz w:val="24"/>
                <w:szCs w:val="24"/>
                <w:lang w:val="en-US"/>
              </w:rPr>
              <m:t>u</m:t>
            </m:r>
          </m:e>
          <m:sub>
            <m:r>
              <w:rPr>
                <w:rFonts w:ascii="Cambria Math" w:eastAsiaTheme="minorEastAsia" w:hAnsi="Cambria Math" w:cs="Times New Roman"/>
                <w:noProof/>
                <w:sz w:val="24"/>
                <w:szCs w:val="24"/>
                <w:lang w:val="en-US"/>
              </w:rPr>
              <m:t>t</m:t>
            </m:r>
          </m:sub>
        </m:sSub>
      </m:oMath>
      <w:r w:rsidR="00965820" w:rsidRPr="005517C4">
        <w:rPr>
          <w:rFonts w:ascii="Times New Roman" w:hAnsi="Times New Roman" w:cs="Times New Roman"/>
          <w:noProof/>
          <w:sz w:val="24"/>
          <w:szCs w:val="24"/>
          <w:lang w:val="en-US"/>
        </w:rPr>
        <w:t xml:space="preserve"> </w:t>
      </w:r>
      <w:r w:rsidR="00FB2586" w:rsidRPr="005517C4">
        <w:rPr>
          <w:rFonts w:ascii="Times New Roman" w:hAnsi="Times New Roman" w:cs="Times New Roman"/>
          <w:noProof/>
          <w:sz w:val="24"/>
          <w:szCs w:val="24"/>
          <w:lang w:val="en-US"/>
        </w:rPr>
        <w:t xml:space="preserve">        for </w:t>
      </w:r>
      <m:oMath>
        <m:r>
          <w:rPr>
            <w:rFonts w:ascii="Cambria Math" w:hAnsi="Cambria Math" w:cs="Times New Roman"/>
            <w:noProof/>
            <w:sz w:val="24"/>
            <w:szCs w:val="24"/>
            <w:lang w:val="en-US"/>
          </w:rPr>
          <m:t>t=</m:t>
        </m:r>
        <m:d>
          <m:dPr>
            <m:begChr m:val="["/>
            <m:endChr m:val="]"/>
            <m:ctrlPr>
              <w:rPr>
                <w:rFonts w:ascii="Cambria Math" w:hAnsi="Cambria Math" w:cs="Times New Roman"/>
                <w:i/>
                <w:noProof/>
                <w:sz w:val="24"/>
                <w:szCs w:val="24"/>
                <w:lang w:val="en-US"/>
              </w:rPr>
            </m:ctrlPr>
          </m:dPr>
          <m:e>
            <m:r>
              <w:rPr>
                <w:rFonts w:ascii="Cambria Math" w:hAnsi="Cambria Math" w:cs="Times New Roman"/>
                <w:noProof/>
                <w:sz w:val="24"/>
                <w:szCs w:val="24"/>
                <w:lang w:val="en-US"/>
              </w:rPr>
              <m:t>τT</m:t>
            </m:r>
          </m:e>
        </m:d>
        <m:r>
          <w:rPr>
            <w:rFonts w:ascii="Cambria Math" w:hAnsi="Cambria Math" w:cs="Times New Roman"/>
            <w:noProof/>
            <w:sz w:val="24"/>
            <w:szCs w:val="24"/>
            <w:lang w:val="en-US"/>
          </w:rPr>
          <m:t xml:space="preserve">, </m:t>
        </m:r>
        <m:d>
          <m:dPr>
            <m:begChr m:val="["/>
            <m:endChr m:val="]"/>
            <m:ctrlPr>
              <w:rPr>
                <w:rFonts w:ascii="Cambria Math" w:hAnsi="Cambria Math" w:cs="Times New Roman"/>
                <w:i/>
                <w:noProof/>
                <w:sz w:val="24"/>
                <w:szCs w:val="24"/>
                <w:lang w:val="en-US"/>
              </w:rPr>
            </m:ctrlPr>
          </m:dPr>
          <m:e>
            <m:r>
              <w:rPr>
                <w:rFonts w:ascii="Cambria Math" w:hAnsi="Cambria Math" w:cs="Times New Roman"/>
                <w:noProof/>
                <w:sz w:val="24"/>
                <w:szCs w:val="24"/>
                <w:lang w:val="en-US"/>
              </w:rPr>
              <m:t>τT</m:t>
            </m:r>
          </m:e>
        </m:d>
        <m:r>
          <w:rPr>
            <w:rFonts w:ascii="Cambria Math" w:hAnsi="Cambria Math" w:cs="Times New Roman"/>
            <w:noProof/>
            <w:sz w:val="24"/>
            <w:szCs w:val="24"/>
            <w:lang w:val="en-US"/>
          </w:rPr>
          <m:t>+1….,T       τ&gt;0</m:t>
        </m:r>
      </m:oMath>
      <w:r w:rsidR="0032405C" w:rsidRPr="005517C4">
        <w:rPr>
          <w:rFonts w:ascii="Times New Roman" w:eastAsiaTheme="minorEastAsia" w:hAnsi="Times New Roman" w:cs="Times New Roman"/>
          <w:noProof/>
          <w:sz w:val="24"/>
          <w:szCs w:val="24"/>
          <w:lang w:val="en-US"/>
        </w:rPr>
        <w:tab/>
      </w:r>
      <w:r w:rsidR="0032405C" w:rsidRPr="005517C4">
        <w:rPr>
          <w:rFonts w:ascii="Times New Roman" w:eastAsiaTheme="minorEastAsia" w:hAnsi="Times New Roman" w:cs="Times New Roman"/>
          <w:noProof/>
          <w:sz w:val="24"/>
          <w:szCs w:val="24"/>
          <w:lang w:val="en-US"/>
        </w:rPr>
        <w:tab/>
        <w:t>(10)</w:t>
      </w:r>
    </w:p>
    <w:p w:rsidR="008D5723" w:rsidRDefault="00FB2586" w:rsidP="00086306">
      <w:pPr>
        <w:spacing w:line="360" w:lineRule="auto"/>
        <w:jc w:val="both"/>
        <w:rPr>
          <w:rFonts w:ascii="Times New Roman" w:eastAsiaTheme="minorEastAsia" w:hAnsi="Times New Roman" w:cs="Times New Roman"/>
          <w:noProof/>
          <w:sz w:val="24"/>
          <w:szCs w:val="24"/>
          <w:lang w:val="en-US"/>
        </w:rPr>
      </w:pPr>
      <w:r w:rsidRPr="005517C4">
        <w:rPr>
          <w:rFonts w:ascii="Times New Roman" w:hAnsi="Times New Roman" w:cs="Times New Roman"/>
          <w:noProof/>
          <w:sz w:val="24"/>
          <w:szCs w:val="24"/>
          <w:lang w:val="en-US"/>
        </w:rPr>
        <w:t xml:space="preserve">where </w:t>
      </w:r>
      <m:oMath>
        <m:r>
          <w:rPr>
            <w:rFonts w:ascii="Cambria Math" w:eastAsiaTheme="minorEastAsia" w:hAnsi="Cambria Math" w:cs="Times New Roman"/>
            <w:noProof/>
            <w:sz w:val="24"/>
            <w:szCs w:val="24"/>
            <w:lang w:val="en-US"/>
          </w:rPr>
          <m:t>L</m:t>
        </m:r>
        <m:d>
          <m:dPr>
            <m:ctrlPr>
              <w:rPr>
                <w:rFonts w:ascii="Cambria Math" w:eastAsiaTheme="minorEastAsia" w:hAnsi="Cambria Math" w:cs="Times New Roman"/>
                <w:i/>
                <w:noProof/>
                <w:sz w:val="24"/>
                <w:szCs w:val="24"/>
                <w:lang w:val="en-US"/>
              </w:rPr>
            </m:ctrlPr>
          </m:dPr>
          <m:e>
            <m:r>
              <w:rPr>
                <w:rFonts w:ascii="Cambria Math" w:eastAsiaTheme="minorEastAsia" w:hAnsi="Cambria Math" w:cs="Times New Roman"/>
                <w:noProof/>
                <w:sz w:val="24"/>
                <w:szCs w:val="24"/>
                <w:lang w:val="en-US"/>
              </w:rPr>
              <m:t>t</m:t>
            </m:r>
          </m:e>
        </m:d>
        <m:r>
          <w:rPr>
            <w:rFonts w:ascii="Cambria Math" w:eastAsiaTheme="minorEastAsia" w:hAnsi="Cambria Math" w:cs="Times New Roman"/>
            <w:noProof/>
            <w:sz w:val="24"/>
            <w:szCs w:val="24"/>
            <w:lang w:val="en-US"/>
          </w:rPr>
          <m:t>=</m:t>
        </m:r>
        <m:r>
          <m:rPr>
            <m:sty m:val="p"/>
          </m:rPr>
          <w:rPr>
            <w:rFonts w:ascii="Cambria Math" w:eastAsiaTheme="minorEastAsia" w:hAnsi="Cambria Math" w:cs="Times New Roman"/>
            <w:noProof/>
            <w:sz w:val="24"/>
            <w:szCs w:val="24"/>
            <w:lang w:val="en-US"/>
          </w:rPr>
          <m:t>log⁡</m:t>
        </m:r>
        <m:r>
          <w:rPr>
            <w:rFonts w:ascii="Cambria Math" w:eastAsiaTheme="minorEastAsia" w:hAnsi="Cambria Math" w:cs="Times New Roman"/>
            <w:noProof/>
            <w:sz w:val="24"/>
            <w:szCs w:val="24"/>
            <w:lang w:val="en-US"/>
          </w:rPr>
          <m:t>(t)</m:t>
        </m:r>
      </m:oMath>
      <w:r w:rsidRPr="005517C4">
        <w:rPr>
          <w:rFonts w:ascii="Times New Roman" w:eastAsiaTheme="minorEastAsia" w:hAnsi="Times New Roman" w:cs="Times New Roman"/>
          <w:noProof/>
          <w:sz w:val="24"/>
          <w:szCs w:val="24"/>
          <w:lang w:val="en-US"/>
        </w:rPr>
        <w:t xml:space="preserve"> and </w:t>
      </w:r>
      <m:oMath>
        <m:r>
          <w:rPr>
            <w:rFonts w:ascii="Cambria Math" w:hAnsi="Cambria Math" w:cs="Times New Roman"/>
            <w:noProof/>
            <w:sz w:val="24"/>
            <w:szCs w:val="24"/>
            <w:lang w:val="en-US"/>
          </w:rPr>
          <m:t>τ</m:t>
        </m:r>
      </m:oMath>
      <w:r w:rsidRPr="005517C4">
        <w:rPr>
          <w:rFonts w:ascii="Times New Roman" w:eastAsiaTheme="minorEastAsia" w:hAnsi="Times New Roman" w:cs="Times New Roman"/>
          <w:noProof/>
          <w:sz w:val="24"/>
          <w:szCs w:val="24"/>
          <w:lang w:val="en-US"/>
        </w:rPr>
        <w:t xml:space="preserve"> </w:t>
      </w:r>
      <w:r w:rsidR="00DF4C54" w:rsidRPr="005517C4">
        <w:rPr>
          <w:rFonts w:ascii="Times New Roman" w:eastAsiaTheme="minorEastAsia" w:hAnsi="Times New Roman" w:cs="Times New Roman"/>
          <w:noProof/>
          <w:sz w:val="24"/>
          <w:szCs w:val="24"/>
          <w:lang w:val="en-US"/>
        </w:rPr>
        <w:t xml:space="preserve">symbolises a discarded fraction from the sample </w:t>
      </w:r>
      <w:r w:rsidR="0032405C" w:rsidRPr="005517C4">
        <w:rPr>
          <w:rFonts w:ascii="Times New Roman" w:eastAsiaTheme="minorEastAsia" w:hAnsi="Times New Roman" w:cs="Times New Roman"/>
          <w:noProof/>
          <w:sz w:val="24"/>
          <w:szCs w:val="24"/>
          <w:lang w:val="en-US"/>
        </w:rPr>
        <w:t xml:space="preserve">and it is </w:t>
      </w:r>
      <w:r w:rsidR="00DF4C54" w:rsidRPr="005517C4">
        <w:rPr>
          <w:rFonts w:ascii="Times New Roman" w:eastAsiaTheme="minorEastAsia" w:hAnsi="Times New Roman" w:cs="Times New Roman"/>
          <w:noProof/>
          <w:sz w:val="24"/>
          <w:szCs w:val="24"/>
          <w:lang w:val="en-US"/>
        </w:rPr>
        <w:t xml:space="preserve">recommended by </w:t>
      </w:r>
      <w:r w:rsidR="006578EE" w:rsidRPr="005517C4">
        <w:rPr>
          <w:rFonts w:ascii="Times New Roman" w:eastAsiaTheme="minorEastAsia" w:hAnsi="Times New Roman" w:cs="Times New Roman"/>
          <w:noProof/>
          <w:sz w:val="24"/>
          <w:szCs w:val="24"/>
          <w:lang w:val="en-US"/>
        </w:rPr>
        <w:fldChar w:fldCharType="begin" w:fldLock="1"/>
      </w:r>
      <w:r w:rsidR="00DF4C54" w:rsidRPr="005517C4">
        <w:rPr>
          <w:rFonts w:ascii="Times New Roman" w:eastAsiaTheme="minorEastAsia" w:hAnsi="Times New Roman" w:cs="Times New Roman"/>
          <w:noProof/>
          <w:sz w:val="24"/>
          <w:szCs w:val="24"/>
          <w:lang w:val="en-US"/>
        </w:rPr>
        <w:instrText>ADDIN CSL_CITATION { "citationItems" : [ { "id" : "ITEM-1", "itemData" : { "DOI" : "10.1111/j.1468-0262.2007.00811.x", "ISSN" : "0012-9682", "author" : [ { "dropping-particle" : "", "family" : "Phillips", "given" : "Peter C. B.", "non-dropping-particle" : "", "parse-names" : false, "suffix" : "" }, { "dropping-particle" : "", "family" : "Sul", "given" : "Donggyu", "non-dropping-particle" : "", "parse-names" : false, "suffix" : "" } ], "container-title" : "Econometrica", "id" : "ITEM-1", "issue" : "6", "issued" : { "date-parts" : [ [ "2007", "11" ] ] }, "page" : "1771-1855", "publisher" : "Blackwell Publishing Ltd", "title" : "Transition Modeling and Econometric Convergence Tests", "type" : "article-journal", "volume" : "75" }, "uris" : [ "http://www.mendeley.com/documents/?uuid=a6dc0e46-8be0-36d0-a0fe-030a8e4ac173" ] } ], "mendeley" : { "formattedCitation" : "(Phillips and Sul 2007b)", "manualFormatting" : "Phillips and Sul (2007)", "plainTextFormattedCitation" : "(Phillips and Sul 2007b)", "previouslyFormattedCitation" : "(Phillips and Sul 2007b)" }, "properties" : { "noteIndex" : 0 }, "schema" : "https://github.com/citation-style-language/schema/raw/master/csl-citation.json" }</w:instrText>
      </w:r>
      <w:r w:rsidR="006578EE" w:rsidRPr="005517C4">
        <w:rPr>
          <w:rFonts w:ascii="Times New Roman" w:eastAsiaTheme="minorEastAsia" w:hAnsi="Times New Roman" w:cs="Times New Roman"/>
          <w:noProof/>
          <w:sz w:val="24"/>
          <w:szCs w:val="24"/>
          <w:lang w:val="en-US"/>
        </w:rPr>
        <w:fldChar w:fldCharType="separate"/>
      </w:r>
      <w:r w:rsidR="00DF4C54" w:rsidRPr="005517C4">
        <w:rPr>
          <w:rFonts w:ascii="Times New Roman" w:eastAsiaTheme="minorEastAsia" w:hAnsi="Times New Roman" w:cs="Times New Roman"/>
          <w:noProof/>
          <w:sz w:val="24"/>
          <w:szCs w:val="24"/>
          <w:lang w:val="en-US"/>
        </w:rPr>
        <w:t>Phillips and Sul (2007)</w:t>
      </w:r>
      <w:r w:rsidR="006578EE" w:rsidRPr="005517C4">
        <w:rPr>
          <w:rFonts w:ascii="Times New Roman" w:eastAsiaTheme="minorEastAsia" w:hAnsi="Times New Roman" w:cs="Times New Roman"/>
          <w:noProof/>
          <w:sz w:val="24"/>
          <w:szCs w:val="24"/>
          <w:lang w:val="en-US"/>
        </w:rPr>
        <w:fldChar w:fldCharType="end"/>
      </w:r>
      <w:r w:rsidR="00DF4C54" w:rsidRPr="005517C4">
        <w:rPr>
          <w:rFonts w:ascii="Times New Roman" w:eastAsiaTheme="minorEastAsia" w:hAnsi="Times New Roman" w:cs="Times New Roman"/>
          <w:noProof/>
          <w:sz w:val="24"/>
          <w:szCs w:val="24"/>
          <w:lang w:val="en-US"/>
        </w:rPr>
        <w:t xml:space="preserve"> </w:t>
      </w:r>
      <w:r w:rsidR="002553F0">
        <w:rPr>
          <w:rFonts w:ascii="Times New Roman" w:eastAsiaTheme="minorEastAsia" w:hAnsi="Times New Roman" w:cs="Times New Roman"/>
          <w:noProof/>
          <w:sz w:val="24"/>
          <w:szCs w:val="24"/>
          <w:lang w:val="en-US"/>
        </w:rPr>
        <w:t xml:space="preserve">to be </w:t>
      </w:r>
      <m:oMath>
        <m:r>
          <w:rPr>
            <w:rFonts w:ascii="Cambria Math" w:hAnsi="Cambria Math" w:cs="Times New Roman"/>
            <w:noProof/>
            <w:sz w:val="24"/>
            <w:szCs w:val="24"/>
            <w:lang w:val="en-US"/>
          </w:rPr>
          <m:t>0.3</m:t>
        </m:r>
      </m:oMath>
      <w:r w:rsidR="00DF4C54" w:rsidRPr="005517C4">
        <w:rPr>
          <w:rFonts w:ascii="Times New Roman" w:eastAsiaTheme="minorEastAsia" w:hAnsi="Times New Roman" w:cs="Times New Roman"/>
          <w:noProof/>
          <w:sz w:val="24"/>
          <w:szCs w:val="24"/>
          <w:lang w:val="en-US"/>
        </w:rPr>
        <w:t xml:space="preserve">. </w:t>
      </w:r>
      <w:r w:rsidR="00EF0E6A" w:rsidRPr="005517C4">
        <w:rPr>
          <w:rFonts w:ascii="Times New Roman" w:eastAsiaTheme="minorEastAsia" w:hAnsi="Times New Roman" w:cs="Times New Roman"/>
          <w:noProof/>
          <w:sz w:val="24"/>
          <w:szCs w:val="24"/>
          <w:lang w:val="en-US"/>
        </w:rPr>
        <w:t>Standard errors are calculated using a heteroskedasticity and autocorrelation consistent estimator for the long</w:t>
      </w:r>
      <w:r w:rsidR="002553F0">
        <w:rPr>
          <w:rFonts w:ascii="Times New Roman" w:eastAsiaTheme="minorEastAsia" w:hAnsi="Times New Roman" w:cs="Times New Roman"/>
          <w:noProof/>
          <w:sz w:val="24"/>
          <w:szCs w:val="24"/>
          <w:lang w:val="en-US"/>
        </w:rPr>
        <w:t>-</w:t>
      </w:r>
      <w:r w:rsidR="00EF0E6A" w:rsidRPr="005517C4">
        <w:rPr>
          <w:rFonts w:ascii="Times New Roman" w:eastAsiaTheme="minorEastAsia" w:hAnsi="Times New Roman" w:cs="Times New Roman"/>
          <w:noProof/>
          <w:sz w:val="24"/>
          <w:szCs w:val="24"/>
          <w:lang w:val="en-US"/>
        </w:rPr>
        <w:t>run variance of the resduals.</w:t>
      </w:r>
      <w:r w:rsidR="00017A68" w:rsidRPr="005517C4">
        <w:rPr>
          <w:rFonts w:ascii="Times New Roman" w:eastAsiaTheme="minorEastAsia" w:hAnsi="Times New Roman" w:cs="Times New Roman"/>
          <w:noProof/>
          <w:sz w:val="24"/>
          <w:szCs w:val="24"/>
          <w:lang w:val="en-US"/>
        </w:rPr>
        <w:t xml:space="preserve"> The t-test is performed and the null hypothesis is rejected </w:t>
      </w:r>
      <w:r w:rsidR="002B23D3" w:rsidRPr="005517C4">
        <w:rPr>
          <w:rFonts w:ascii="Times New Roman" w:eastAsiaTheme="minorEastAsia" w:hAnsi="Times New Roman" w:cs="Times New Roman"/>
          <w:noProof/>
          <w:sz w:val="24"/>
          <w:szCs w:val="24"/>
          <w:lang w:val="en-US"/>
        </w:rPr>
        <w:t xml:space="preserve">at </w:t>
      </w:r>
      <w:r w:rsidR="002553F0">
        <w:rPr>
          <w:rFonts w:ascii="Times New Roman" w:eastAsiaTheme="minorEastAsia" w:hAnsi="Times New Roman" w:cs="Times New Roman"/>
          <w:noProof/>
          <w:sz w:val="24"/>
          <w:szCs w:val="24"/>
          <w:lang w:val="en-US"/>
        </w:rPr>
        <w:t xml:space="preserve">the </w:t>
      </w:r>
      <w:r w:rsidR="002B23D3" w:rsidRPr="005517C4">
        <w:rPr>
          <w:rFonts w:ascii="Times New Roman" w:eastAsiaTheme="minorEastAsia" w:hAnsi="Times New Roman" w:cs="Times New Roman"/>
          <w:noProof/>
          <w:sz w:val="24"/>
          <w:szCs w:val="24"/>
          <w:lang w:val="en-US"/>
        </w:rPr>
        <w:t xml:space="preserve">five percent significance level </w:t>
      </w:r>
      <w:r w:rsidR="00017A68" w:rsidRPr="005517C4">
        <w:rPr>
          <w:rFonts w:ascii="Times New Roman" w:eastAsiaTheme="minorEastAsia" w:hAnsi="Times New Roman" w:cs="Times New Roman"/>
          <w:noProof/>
          <w:sz w:val="24"/>
          <w:szCs w:val="24"/>
          <w:lang w:val="en-US"/>
        </w:rPr>
        <w:t xml:space="preserve">if </w:t>
      </w:r>
      <w:r w:rsidR="002553F0">
        <w:rPr>
          <w:rFonts w:ascii="Times New Roman" w:eastAsiaTheme="minorEastAsia" w:hAnsi="Times New Roman" w:cs="Times New Roman"/>
          <w:noProof/>
          <w:sz w:val="24"/>
          <w:szCs w:val="24"/>
          <w:lang w:val="en-US"/>
        </w:rPr>
        <w:t>the one-</w:t>
      </w:r>
      <w:r w:rsidR="002B23D3" w:rsidRPr="005517C4">
        <w:rPr>
          <w:rFonts w:ascii="Times New Roman" w:eastAsiaTheme="minorEastAsia" w:hAnsi="Times New Roman" w:cs="Times New Roman"/>
          <w:noProof/>
          <w:sz w:val="24"/>
          <w:szCs w:val="24"/>
          <w:lang w:val="en-US"/>
        </w:rPr>
        <w:t xml:space="preserve">sided t test </w:t>
      </w:r>
      <w:r w:rsidR="002553F0">
        <w:rPr>
          <w:rFonts w:ascii="Times New Roman" w:eastAsiaTheme="minorEastAsia" w:hAnsi="Times New Roman" w:cs="Times New Roman"/>
          <w:noProof/>
          <w:sz w:val="24"/>
          <w:szCs w:val="24"/>
          <w:lang w:val="en-US"/>
        </w:rPr>
        <w:t>is less than</w:t>
      </w:r>
      <w:r w:rsidR="00017A68" w:rsidRPr="005517C4">
        <w:rPr>
          <w:rFonts w:ascii="Times New Roman" w:eastAsiaTheme="minorEastAsia" w:hAnsi="Times New Roman" w:cs="Times New Roman"/>
          <w:noProof/>
          <w:sz w:val="24"/>
          <w:szCs w:val="24"/>
          <w:lang w:val="en-US"/>
        </w:rPr>
        <w:t xml:space="preserve"> -1,65</w:t>
      </w:r>
      <w:r w:rsidR="002B23D3" w:rsidRPr="005517C4">
        <w:rPr>
          <w:rFonts w:ascii="Times New Roman" w:eastAsiaTheme="minorEastAsia" w:hAnsi="Times New Roman" w:cs="Times New Roman"/>
          <w:noProof/>
          <w:sz w:val="24"/>
          <w:szCs w:val="24"/>
          <w:lang w:val="en-US"/>
        </w:rPr>
        <w:t xml:space="preserve">. </w:t>
      </w:r>
      <w:r w:rsidR="003B4272" w:rsidRPr="005517C4">
        <w:rPr>
          <w:rFonts w:ascii="Times New Roman" w:hAnsi="Times New Roman" w:cs="Times New Roman"/>
          <w:noProof/>
          <w:sz w:val="24"/>
          <w:szCs w:val="24"/>
          <w:lang w:val="en-US"/>
        </w:rPr>
        <w:t>This nul</w:t>
      </w:r>
      <w:r w:rsidR="002553F0">
        <w:rPr>
          <w:rFonts w:ascii="Times New Roman" w:hAnsi="Times New Roman" w:cs="Times New Roman"/>
          <w:noProof/>
          <w:sz w:val="24"/>
          <w:szCs w:val="24"/>
          <w:lang w:val="en-US"/>
        </w:rPr>
        <w:t>l hypothesis defines</w:t>
      </w:r>
      <w:r w:rsidR="003B4272" w:rsidRPr="005517C4">
        <w:rPr>
          <w:rFonts w:ascii="Times New Roman" w:hAnsi="Times New Roman" w:cs="Times New Roman"/>
          <w:noProof/>
          <w:sz w:val="24"/>
          <w:szCs w:val="24"/>
          <w:lang w:val="en-US"/>
        </w:rPr>
        <w:t xml:space="preserve"> relative/conditional convergence</w:t>
      </w:r>
      <w:r w:rsidR="002553F0">
        <w:rPr>
          <w:rFonts w:ascii="Times New Roman" w:hAnsi="Times New Roman" w:cs="Times New Roman"/>
          <w:noProof/>
          <w:sz w:val="24"/>
          <w:szCs w:val="24"/>
          <w:lang w:val="en-US"/>
        </w:rPr>
        <w:t>, while</w:t>
      </w:r>
      <w:r w:rsidR="008E276F" w:rsidRPr="005517C4">
        <w:rPr>
          <w:rFonts w:ascii="Times New Roman" w:hAnsi="Times New Roman" w:cs="Times New Roman"/>
          <w:noProof/>
          <w:sz w:val="24"/>
          <w:szCs w:val="24"/>
          <w:lang w:val="en-US"/>
        </w:rPr>
        <w:t xml:space="preserve"> </w:t>
      </w:r>
      <w:r w:rsidR="003B4272" w:rsidRPr="005517C4">
        <w:rPr>
          <w:rFonts w:ascii="Times New Roman" w:hAnsi="Times New Roman" w:cs="Times New Roman"/>
          <w:noProof/>
          <w:sz w:val="24"/>
          <w:szCs w:val="24"/>
          <w:lang w:val="en-US"/>
        </w:rPr>
        <w:t xml:space="preserve">it is analogous with </w:t>
      </w:r>
      <w:r w:rsidR="002553F0">
        <w:rPr>
          <w:rFonts w:ascii="Times New Roman" w:hAnsi="Times New Roman" w:cs="Times New Roman"/>
          <w:noProof/>
          <w:sz w:val="24"/>
          <w:szCs w:val="24"/>
          <w:lang w:val="en-US"/>
        </w:rPr>
        <w:t xml:space="preserve">the </w:t>
      </w:r>
      <w:r w:rsidR="003B4272" w:rsidRPr="005517C4">
        <w:rPr>
          <w:rFonts w:ascii="Times New Roman" w:hAnsi="Times New Roman" w:cs="Times New Roman"/>
          <w:noProof/>
          <w:sz w:val="24"/>
          <w:szCs w:val="24"/>
          <w:lang w:val="en-US"/>
        </w:rPr>
        <w:t xml:space="preserve">conditional sigma convergence for the </w:t>
      </w:r>
      <w:r w:rsidR="002553F0">
        <w:rPr>
          <w:rFonts w:ascii="Times New Roman" w:hAnsi="Times New Roman" w:cs="Times New Roman"/>
          <w:noProof/>
          <w:sz w:val="24"/>
          <w:szCs w:val="24"/>
          <w:lang w:val="en-US"/>
        </w:rPr>
        <w:t xml:space="preserve">case of </w:t>
      </w:r>
      <w:r w:rsidR="003B4272" w:rsidRPr="005517C4">
        <w:rPr>
          <w:rFonts w:ascii="Times New Roman" w:hAnsi="Times New Roman" w:cs="Times New Roman"/>
          <w:noProof/>
          <w:sz w:val="24"/>
          <w:szCs w:val="24"/>
          <w:lang w:val="en-US"/>
        </w:rPr>
        <w:t>panel data (</w:t>
      </w:r>
      <w:r w:rsidR="006578EE" w:rsidRPr="005517C4">
        <w:rPr>
          <w:rFonts w:ascii="Times New Roman" w:eastAsiaTheme="minorEastAsia" w:hAnsi="Times New Roman" w:cs="Times New Roman"/>
          <w:noProof/>
          <w:sz w:val="24"/>
          <w:szCs w:val="24"/>
          <w:lang w:val="en-US"/>
        </w:rPr>
        <w:fldChar w:fldCharType="begin" w:fldLock="1"/>
      </w:r>
      <w:r w:rsidR="003D379B">
        <w:rPr>
          <w:rFonts w:ascii="Times New Roman" w:eastAsiaTheme="minorEastAsia" w:hAnsi="Times New Roman" w:cs="Times New Roman"/>
          <w:noProof/>
          <w:sz w:val="24"/>
          <w:szCs w:val="24"/>
          <w:lang w:val="en-US"/>
        </w:rPr>
        <w:instrText>ADDIN CSL_CITATION { "citationItems" : [ { "id" : "ITEM-1", "itemData" : { "DOI" : "10.1111/j.1468-0262.2007.00811.x", "ISSN" : "0012-9682", "author" : [ { "dropping-particle" : "", "family" : "Phillips", "given" : "Peter C. B.", "non-dropping-particle" : "", "parse-names" : false, "suffix" : "" }, { "dropping-particle" : "", "family" : "Sul", "given" : "Donggyu", "non-dropping-particle" : "", "parse-names" : false, "suffix" : "" } ], "container-title" : "Econometrica", "id" : "ITEM-1", "issue" : "6", "issued" : { "date-parts" : [ [ "2007", "11" ] ] }, "page" : "1771-1855", "publisher" : "Blackwell Publishing Ltd", "title" : "Transition Modeling and Econometric Convergence Tests", "type" : "article-journal", "volume" : "75" }, "uris" : [ "http://www.mendeley.com/documents/?uuid=a6dc0e46-8be0-36d0-a0fe-030a8e4ac173" ] } ], "mendeley" : { "formattedCitation" : "(Phillips and Sul 2007b)", "manualFormatting" : "Phillips and Sul, 2007)", "plainTextFormattedCitation" : "(Phillips and Sul 2007b)", "previouslyFormattedCitation" : "(Phillips and Sul 2007b)" }, "properties" : { "noteIndex" : 0 }, "schema" : "https://github.com/citation-style-language/schema/raw/master/csl-citation.json" }</w:instrText>
      </w:r>
      <w:r w:rsidR="006578EE" w:rsidRPr="005517C4">
        <w:rPr>
          <w:rFonts w:ascii="Times New Roman" w:eastAsiaTheme="minorEastAsia" w:hAnsi="Times New Roman" w:cs="Times New Roman"/>
          <w:noProof/>
          <w:sz w:val="24"/>
          <w:szCs w:val="24"/>
          <w:lang w:val="en-US"/>
        </w:rPr>
        <w:fldChar w:fldCharType="separate"/>
      </w:r>
      <w:r w:rsidR="003B4272" w:rsidRPr="005517C4">
        <w:rPr>
          <w:rFonts w:ascii="Times New Roman" w:eastAsiaTheme="minorEastAsia" w:hAnsi="Times New Roman" w:cs="Times New Roman"/>
          <w:noProof/>
          <w:sz w:val="24"/>
          <w:szCs w:val="24"/>
          <w:lang w:val="en-US"/>
        </w:rPr>
        <w:t>Phillips and Sul</w:t>
      </w:r>
      <w:r w:rsidR="002553F0">
        <w:rPr>
          <w:rFonts w:ascii="Times New Roman" w:eastAsiaTheme="minorEastAsia" w:hAnsi="Times New Roman" w:cs="Times New Roman"/>
          <w:noProof/>
          <w:sz w:val="24"/>
          <w:szCs w:val="24"/>
          <w:lang w:val="en-US"/>
        </w:rPr>
        <w:t>,</w:t>
      </w:r>
      <w:r w:rsidR="003B4272" w:rsidRPr="005517C4">
        <w:rPr>
          <w:rFonts w:ascii="Times New Roman" w:eastAsiaTheme="minorEastAsia" w:hAnsi="Times New Roman" w:cs="Times New Roman"/>
          <w:noProof/>
          <w:sz w:val="24"/>
          <w:szCs w:val="24"/>
          <w:lang w:val="en-US"/>
        </w:rPr>
        <w:t xml:space="preserve"> 2007)</w:t>
      </w:r>
      <w:r w:rsidR="006578EE" w:rsidRPr="005517C4">
        <w:rPr>
          <w:rFonts w:ascii="Times New Roman" w:eastAsiaTheme="minorEastAsia" w:hAnsi="Times New Roman" w:cs="Times New Roman"/>
          <w:noProof/>
          <w:sz w:val="24"/>
          <w:szCs w:val="24"/>
          <w:lang w:val="en-US"/>
        </w:rPr>
        <w:fldChar w:fldCharType="end"/>
      </w:r>
      <w:r w:rsidR="003B4272" w:rsidRPr="005517C4">
        <w:rPr>
          <w:rFonts w:ascii="Times New Roman" w:hAnsi="Times New Roman" w:cs="Times New Roman"/>
          <w:noProof/>
          <w:sz w:val="24"/>
          <w:szCs w:val="24"/>
          <w:lang w:val="en-US"/>
        </w:rPr>
        <w:t>.</w:t>
      </w:r>
      <w:r w:rsidR="008E276F" w:rsidRPr="005517C4">
        <w:rPr>
          <w:rFonts w:ascii="Times New Roman" w:hAnsi="Times New Roman" w:cs="Times New Roman"/>
          <w:noProof/>
          <w:sz w:val="24"/>
          <w:szCs w:val="24"/>
          <w:lang w:val="en-US"/>
        </w:rPr>
        <w:t xml:space="preserve"> If the convergence can not be v</w:t>
      </w:r>
      <w:r w:rsidR="008D5723" w:rsidRPr="005517C4">
        <w:rPr>
          <w:rFonts w:ascii="Times New Roman" w:hAnsi="Times New Roman" w:cs="Times New Roman"/>
          <w:noProof/>
          <w:sz w:val="24"/>
          <w:szCs w:val="24"/>
          <w:lang w:val="en-US"/>
        </w:rPr>
        <w:t>erified for the full sample</w:t>
      </w:r>
      <w:r w:rsidR="002553F0">
        <w:rPr>
          <w:rFonts w:ascii="Times New Roman" w:hAnsi="Times New Roman" w:cs="Times New Roman"/>
          <w:noProof/>
          <w:sz w:val="24"/>
          <w:szCs w:val="24"/>
          <w:lang w:val="en-US"/>
        </w:rPr>
        <w:t>,</w:t>
      </w:r>
      <w:r w:rsidR="008D5723" w:rsidRPr="005517C4">
        <w:rPr>
          <w:rFonts w:ascii="Times New Roman" w:hAnsi="Times New Roman" w:cs="Times New Roman"/>
          <w:noProof/>
          <w:sz w:val="24"/>
          <w:szCs w:val="24"/>
          <w:lang w:val="en-US"/>
        </w:rPr>
        <w:t xml:space="preserve"> it should be</w:t>
      </w:r>
      <w:r w:rsidR="008E276F" w:rsidRPr="005517C4">
        <w:rPr>
          <w:rFonts w:ascii="Times New Roman" w:hAnsi="Times New Roman" w:cs="Times New Roman"/>
          <w:noProof/>
          <w:sz w:val="24"/>
          <w:szCs w:val="24"/>
          <w:lang w:val="en-US"/>
        </w:rPr>
        <w:t xml:space="preserve"> investigated for </w:t>
      </w:r>
      <w:r w:rsidR="002553F0">
        <w:rPr>
          <w:rFonts w:ascii="Times New Roman" w:hAnsi="Times New Roman" w:cs="Times New Roman"/>
          <w:noProof/>
          <w:sz w:val="24"/>
          <w:szCs w:val="24"/>
          <w:lang w:val="en-US"/>
        </w:rPr>
        <w:t xml:space="preserve">the cases of </w:t>
      </w:r>
      <w:r w:rsidR="008E276F" w:rsidRPr="005517C4">
        <w:rPr>
          <w:rFonts w:ascii="Times New Roman" w:hAnsi="Times New Roman" w:cs="Times New Roman"/>
          <w:noProof/>
          <w:sz w:val="24"/>
          <w:szCs w:val="24"/>
          <w:lang w:val="en-US"/>
        </w:rPr>
        <w:t xml:space="preserve">sub-groups or clubs. </w:t>
      </w:r>
      <w:r w:rsidR="002553F0">
        <w:rPr>
          <w:rFonts w:ascii="Times New Roman" w:hAnsi="Times New Roman" w:cs="Times New Roman"/>
          <w:noProof/>
          <w:sz w:val="24"/>
          <w:szCs w:val="24"/>
          <w:lang w:val="en-US"/>
        </w:rPr>
        <w:t>To this end</w:t>
      </w:r>
      <w:r w:rsidR="008D5723" w:rsidRPr="005517C4">
        <w:rPr>
          <w:rFonts w:ascii="Times New Roman" w:hAnsi="Times New Roman" w:cs="Times New Roman"/>
          <w:noProof/>
          <w:sz w:val="24"/>
          <w:szCs w:val="24"/>
          <w:lang w:val="en-US"/>
        </w:rPr>
        <w:t xml:space="preserve">, a clustering procedure proposed by </w:t>
      </w:r>
      <w:r w:rsidR="008D5723" w:rsidRPr="005517C4">
        <w:rPr>
          <w:rFonts w:ascii="Times New Roman" w:eastAsiaTheme="minorEastAsia" w:hAnsi="Times New Roman" w:cs="Times New Roman"/>
          <w:noProof/>
          <w:sz w:val="24"/>
          <w:szCs w:val="24"/>
          <w:lang w:val="en-US"/>
        </w:rPr>
        <w:t xml:space="preserve">Phillips and Sul (2007) is </w:t>
      </w:r>
      <w:r w:rsidR="00086306" w:rsidRPr="005517C4">
        <w:rPr>
          <w:rFonts w:ascii="Times New Roman" w:eastAsiaTheme="minorEastAsia" w:hAnsi="Times New Roman" w:cs="Times New Roman"/>
          <w:noProof/>
          <w:sz w:val="24"/>
          <w:szCs w:val="24"/>
          <w:lang w:val="en-US"/>
        </w:rPr>
        <w:t>performed</w:t>
      </w:r>
      <w:r w:rsidR="008D5723" w:rsidRPr="005517C4">
        <w:rPr>
          <w:rFonts w:ascii="Times New Roman" w:eastAsiaTheme="minorEastAsia" w:hAnsi="Times New Roman" w:cs="Times New Roman"/>
          <w:noProof/>
          <w:sz w:val="24"/>
          <w:szCs w:val="24"/>
          <w:lang w:val="en-US"/>
        </w:rPr>
        <w:t xml:space="preserve"> to determine the </w:t>
      </w:r>
      <w:r w:rsidR="002553F0">
        <w:rPr>
          <w:rFonts w:ascii="Times New Roman" w:eastAsiaTheme="minorEastAsia" w:hAnsi="Times New Roman" w:cs="Times New Roman"/>
          <w:noProof/>
          <w:sz w:val="24"/>
          <w:szCs w:val="24"/>
          <w:lang w:val="en-US"/>
        </w:rPr>
        <w:t xml:space="preserve">number of those </w:t>
      </w:r>
      <w:r w:rsidR="008D5723" w:rsidRPr="005517C4">
        <w:rPr>
          <w:rFonts w:ascii="Times New Roman" w:eastAsiaTheme="minorEastAsia" w:hAnsi="Times New Roman" w:cs="Times New Roman"/>
          <w:noProof/>
          <w:sz w:val="24"/>
          <w:szCs w:val="24"/>
          <w:lang w:val="en-US"/>
        </w:rPr>
        <w:t>clubs.</w:t>
      </w:r>
      <w:r w:rsidR="00086306" w:rsidRPr="005517C4">
        <w:rPr>
          <w:rFonts w:ascii="Times New Roman" w:eastAsiaTheme="minorEastAsia" w:hAnsi="Times New Roman" w:cs="Times New Roman"/>
          <w:noProof/>
          <w:sz w:val="24"/>
          <w:szCs w:val="24"/>
          <w:lang w:val="en-US"/>
        </w:rPr>
        <w:t xml:space="preserve"> Firstly, countries in the panel are ordered by </w:t>
      </w:r>
      <w:r w:rsidR="002553F0">
        <w:rPr>
          <w:rFonts w:ascii="Times New Roman" w:eastAsiaTheme="minorEastAsia" w:hAnsi="Times New Roman" w:cs="Times New Roman"/>
          <w:noProof/>
          <w:sz w:val="24"/>
          <w:szCs w:val="24"/>
          <w:lang w:val="en-US"/>
        </w:rPr>
        <w:t xml:space="preserve">the </w:t>
      </w:r>
      <w:r w:rsidR="00086306" w:rsidRPr="005517C4">
        <w:rPr>
          <w:rFonts w:ascii="Times New Roman" w:eastAsiaTheme="minorEastAsia" w:hAnsi="Times New Roman" w:cs="Times New Roman"/>
          <w:noProof/>
          <w:sz w:val="24"/>
          <w:szCs w:val="24"/>
          <w:lang w:val="en-US"/>
        </w:rPr>
        <w:t>last observation. Then</w:t>
      </w:r>
      <w:r w:rsidR="002553F0">
        <w:rPr>
          <w:rFonts w:ascii="Times New Roman" w:eastAsiaTheme="minorEastAsia" w:hAnsi="Times New Roman" w:cs="Times New Roman"/>
          <w:noProof/>
          <w:sz w:val="24"/>
          <w:szCs w:val="24"/>
          <w:lang w:val="en-US"/>
        </w:rPr>
        <w:t>,</w:t>
      </w:r>
      <w:r w:rsidR="00086306" w:rsidRPr="005517C4">
        <w:rPr>
          <w:rFonts w:ascii="Times New Roman" w:eastAsiaTheme="minorEastAsia" w:hAnsi="Times New Roman" w:cs="Times New Roman"/>
          <w:noProof/>
          <w:sz w:val="24"/>
          <w:szCs w:val="24"/>
          <w:lang w:val="en-US"/>
        </w:rPr>
        <w:t xml:space="preserve"> the first </w:t>
      </w:r>
      <w:r w:rsidR="00086306" w:rsidRPr="005517C4">
        <w:rPr>
          <w:rFonts w:ascii="Times New Roman" w:eastAsiaTheme="minorEastAsia" w:hAnsi="Times New Roman" w:cs="Times New Roman"/>
          <w:i/>
          <w:noProof/>
          <w:sz w:val="24"/>
          <w:szCs w:val="24"/>
          <w:lang w:val="en-US"/>
        </w:rPr>
        <w:t>k</w:t>
      </w:r>
      <w:r w:rsidR="00086306" w:rsidRPr="005517C4">
        <w:rPr>
          <w:rFonts w:ascii="Times New Roman" w:eastAsiaTheme="minorEastAsia" w:hAnsi="Times New Roman" w:cs="Times New Roman"/>
          <w:noProof/>
          <w:sz w:val="24"/>
          <w:szCs w:val="24"/>
          <w:lang w:val="en-US"/>
        </w:rPr>
        <w:t xml:space="preserve"> highest </w:t>
      </w:r>
      <w:r w:rsidR="002553F0">
        <w:rPr>
          <w:rFonts w:ascii="Times New Roman" w:eastAsiaTheme="minorEastAsia" w:hAnsi="Times New Roman" w:cs="Times New Roman"/>
          <w:noProof/>
          <w:sz w:val="24"/>
          <w:szCs w:val="24"/>
          <w:lang w:val="en-US"/>
        </w:rPr>
        <w:t>countries</w:t>
      </w:r>
      <w:r w:rsidR="00086306" w:rsidRPr="005517C4">
        <w:rPr>
          <w:rFonts w:ascii="Times New Roman" w:eastAsiaTheme="minorEastAsia" w:hAnsi="Times New Roman" w:cs="Times New Roman"/>
          <w:noProof/>
          <w:sz w:val="24"/>
          <w:szCs w:val="24"/>
          <w:lang w:val="en-US"/>
        </w:rPr>
        <w:t xml:space="preserve"> are selected to form the sub-group </w:t>
      </w:r>
      <w:r w:rsidR="00086306" w:rsidRPr="005517C4">
        <w:rPr>
          <w:rFonts w:ascii="Times New Roman" w:eastAsiaTheme="minorEastAsia" w:hAnsi="Times New Roman" w:cs="Times New Roman"/>
          <w:i/>
          <w:noProof/>
          <w:sz w:val="24"/>
          <w:szCs w:val="24"/>
          <w:lang w:val="en-US"/>
        </w:rPr>
        <w:t>G</w:t>
      </w:r>
      <w:r w:rsidR="00086306" w:rsidRPr="005517C4">
        <w:rPr>
          <w:rFonts w:ascii="Times New Roman" w:eastAsiaTheme="minorEastAsia" w:hAnsi="Times New Roman" w:cs="Times New Roman"/>
          <w:i/>
          <w:noProof/>
          <w:sz w:val="24"/>
          <w:szCs w:val="24"/>
          <w:vertAlign w:val="subscript"/>
          <w:lang w:val="en-US"/>
        </w:rPr>
        <w:t>K</w:t>
      </w:r>
      <w:r w:rsidR="00086306" w:rsidRPr="005517C4">
        <w:rPr>
          <w:rFonts w:ascii="Times New Roman" w:eastAsiaTheme="minorEastAsia" w:hAnsi="Times New Roman" w:cs="Times New Roman"/>
          <w:noProof/>
          <w:sz w:val="24"/>
          <w:szCs w:val="24"/>
          <w:lang w:val="en-US"/>
        </w:rPr>
        <w:t xml:space="preserve"> for some </w:t>
      </w:r>
      <m:oMath>
        <m:r>
          <w:rPr>
            <w:rFonts w:ascii="Cambria Math" w:eastAsiaTheme="minorEastAsia" w:hAnsi="Cambria Math" w:cs="Times New Roman"/>
            <w:noProof/>
            <w:sz w:val="24"/>
            <w:szCs w:val="24"/>
            <w:lang w:val="en-US"/>
          </w:rPr>
          <m:t>N&gt;k≥2</m:t>
        </m:r>
      </m:oMath>
      <w:r w:rsidR="00410259" w:rsidRPr="005517C4">
        <w:rPr>
          <w:rFonts w:ascii="Times New Roman" w:eastAsiaTheme="minorEastAsia" w:hAnsi="Times New Roman" w:cs="Times New Roman"/>
          <w:noProof/>
          <w:sz w:val="24"/>
          <w:szCs w:val="24"/>
          <w:lang w:val="en-US"/>
        </w:rPr>
        <w:t xml:space="preserve">, and the </w:t>
      </w:r>
      <w:r w:rsidR="00410259" w:rsidRPr="005517C4">
        <w:rPr>
          <w:rFonts w:ascii="Times New Roman" w:hAnsi="Times New Roman" w:cs="Times New Roman"/>
          <w:i/>
          <w:noProof/>
          <w:sz w:val="24"/>
          <w:szCs w:val="24"/>
          <w:lang w:val="en-US"/>
        </w:rPr>
        <w:t>log t test</w:t>
      </w:r>
      <w:r w:rsidR="00410259" w:rsidRPr="005517C4">
        <w:rPr>
          <w:rFonts w:ascii="Times New Roman" w:hAnsi="Times New Roman" w:cs="Times New Roman"/>
          <w:noProof/>
          <w:sz w:val="24"/>
          <w:szCs w:val="24"/>
          <w:lang w:val="en-US"/>
        </w:rPr>
        <w:t xml:space="preserve"> is run in order to calculate </w:t>
      </w:r>
      <w:r w:rsidR="002553F0">
        <w:rPr>
          <w:rFonts w:ascii="Times New Roman" w:hAnsi="Times New Roman" w:cs="Times New Roman"/>
          <w:noProof/>
          <w:sz w:val="24"/>
          <w:szCs w:val="24"/>
          <w:lang w:val="en-US"/>
        </w:rPr>
        <w:t xml:space="preserve">the </w:t>
      </w:r>
      <w:r w:rsidR="00410259" w:rsidRPr="005517C4">
        <w:rPr>
          <w:rFonts w:ascii="Times New Roman" w:hAnsi="Times New Roman" w:cs="Times New Roman"/>
          <w:noProof/>
          <w:sz w:val="24"/>
          <w:szCs w:val="24"/>
          <w:lang w:val="en-US"/>
        </w:rPr>
        <w:t>convergence test</w:t>
      </w:r>
      <w:r w:rsidR="00DC17D1" w:rsidRPr="005517C4">
        <w:rPr>
          <w:rFonts w:ascii="Times New Roman" w:hAnsi="Times New Roman" w:cs="Times New Roman"/>
          <w:noProof/>
          <w:sz w:val="24"/>
          <w:szCs w:val="24"/>
          <w:lang w:val="en-US"/>
        </w:rPr>
        <w:t xml:space="preserve"> statistics </w:t>
      </w:r>
      <w:r w:rsidR="00DC17D1" w:rsidRPr="005517C4">
        <w:rPr>
          <w:rFonts w:ascii="Times New Roman" w:hAnsi="Times New Roman" w:cs="Times New Roman"/>
          <w:noProof/>
          <w:sz w:val="24"/>
          <w:szCs w:val="24"/>
          <w:lang w:val="en-US"/>
        </w:rPr>
        <w:lastRenderedPageBreak/>
        <w:t>for this sub-group</w:t>
      </w:r>
      <w:r w:rsidR="002553F0">
        <w:rPr>
          <w:rFonts w:ascii="Times New Roman" w:hAnsi="Times New Roman" w:cs="Times New Roman"/>
          <w:noProof/>
          <w:sz w:val="24"/>
          <w:szCs w:val="24"/>
          <w:lang w:val="en-US"/>
        </w:rPr>
        <w:t>, while</w:t>
      </w:r>
      <w:r w:rsidR="00DC17D1" w:rsidRPr="005517C4">
        <w:rPr>
          <w:rFonts w:ascii="Times New Roman" w:hAnsi="Times New Roman" w:cs="Times New Roman"/>
          <w:noProof/>
          <w:sz w:val="24"/>
          <w:szCs w:val="24"/>
          <w:lang w:val="en-US"/>
        </w:rPr>
        <w:t xml:space="preserve"> the core group size is determined by maximizing the test statistics of the sub-group over </w:t>
      </w:r>
      <w:r w:rsidR="00DC17D1" w:rsidRPr="005517C4">
        <w:rPr>
          <w:rFonts w:ascii="Times New Roman" w:hAnsi="Times New Roman" w:cs="Times New Roman"/>
          <w:i/>
          <w:noProof/>
          <w:sz w:val="24"/>
          <w:szCs w:val="24"/>
          <w:lang w:val="en-US"/>
        </w:rPr>
        <w:t>k</w:t>
      </w:r>
      <w:r w:rsidR="00DC17D1" w:rsidRPr="005517C4">
        <w:rPr>
          <w:rFonts w:ascii="Times New Roman" w:hAnsi="Times New Roman" w:cs="Times New Roman"/>
          <w:noProof/>
          <w:sz w:val="24"/>
          <w:szCs w:val="24"/>
          <w:lang w:val="en-US"/>
        </w:rPr>
        <w:t>.</w:t>
      </w:r>
      <w:r w:rsidR="00990974" w:rsidRPr="005517C4">
        <w:rPr>
          <w:rFonts w:ascii="Times New Roman" w:hAnsi="Times New Roman" w:cs="Times New Roman"/>
          <w:noProof/>
          <w:sz w:val="24"/>
          <w:szCs w:val="24"/>
          <w:lang w:val="en-US"/>
        </w:rPr>
        <w:t xml:space="preserve"> Having determined the sub-groups</w:t>
      </w:r>
      <w:r w:rsidR="00390C19" w:rsidRPr="005517C4">
        <w:rPr>
          <w:rFonts w:ascii="Times New Roman" w:hAnsi="Times New Roman" w:cs="Times New Roman"/>
          <w:noProof/>
          <w:sz w:val="24"/>
          <w:szCs w:val="24"/>
          <w:lang w:val="en-US"/>
        </w:rPr>
        <w:t xml:space="preserve">, if we denote the complementary set of the core group </w:t>
      </w:r>
      <m:oMath>
        <m:sSubSup>
          <m:sSubSupPr>
            <m:ctrlPr>
              <w:rPr>
                <w:rFonts w:ascii="Cambria Math" w:hAnsi="Cambria Math" w:cs="Times New Roman"/>
                <w:i/>
                <w:noProof/>
                <w:sz w:val="24"/>
                <w:szCs w:val="24"/>
                <w:lang w:val="en-US"/>
              </w:rPr>
            </m:ctrlPr>
          </m:sSubSupPr>
          <m:e>
            <m:r>
              <w:rPr>
                <w:rFonts w:ascii="Cambria Math" w:hAnsi="Cambria Math" w:cs="Times New Roman"/>
                <w:noProof/>
                <w:sz w:val="24"/>
                <w:szCs w:val="24"/>
                <w:lang w:val="en-US"/>
              </w:rPr>
              <m:t>G</m:t>
            </m:r>
          </m:e>
          <m:sub>
            <m:r>
              <w:rPr>
                <w:rFonts w:ascii="Cambria Math" w:hAnsi="Cambria Math" w:cs="Times New Roman"/>
                <w:noProof/>
                <w:sz w:val="24"/>
                <w:szCs w:val="24"/>
                <w:lang w:val="en-US"/>
              </w:rPr>
              <m:t>k</m:t>
            </m:r>
          </m:sub>
          <m:sup>
            <m:r>
              <w:rPr>
                <w:rFonts w:ascii="Cambria Math" w:hAnsi="Cambria Math" w:cs="Times New Roman"/>
                <w:noProof/>
                <w:sz w:val="24"/>
                <w:szCs w:val="24"/>
                <w:lang w:val="en-US"/>
              </w:rPr>
              <m:t>c</m:t>
            </m:r>
          </m:sup>
        </m:sSubSup>
      </m:oMath>
      <w:r w:rsidR="00390C19" w:rsidRPr="005517C4">
        <w:rPr>
          <w:rFonts w:ascii="Times New Roman" w:eastAsiaTheme="minorEastAsia" w:hAnsi="Times New Roman" w:cs="Times New Roman"/>
          <w:noProof/>
          <w:sz w:val="24"/>
          <w:szCs w:val="24"/>
          <w:lang w:val="en-US"/>
        </w:rPr>
        <w:t xml:space="preserve">, </w:t>
      </w:r>
      <w:r w:rsidR="002553F0">
        <w:rPr>
          <w:rFonts w:ascii="Times New Roman" w:eastAsiaTheme="minorEastAsia" w:hAnsi="Times New Roman" w:cs="Times New Roman"/>
          <w:noProof/>
          <w:sz w:val="24"/>
          <w:szCs w:val="24"/>
          <w:lang w:val="en-US"/>
        </w:rPr>
        <w:t xml:space="preserve">the </w:t>
      </w:r>
      <w:r w:rsidR="00390C19" w:rsidRPr="005517C4">
        <w:rPr>
          <w:rFonts w:ascii="Times New Roman" w:eastAsiaTheme="minorEastAsia" w:hAnsi="Times New Roman" w:cs="Times New Roman"/>
          <w:noProof/>
          <w:sz w:val="24"/>
          <w:szCs w:val="24"/>
          <w:lang w:val="en-US"/>
        </w:rPr>
        <w:t xml:space="preserve">remaining </w:t>
      </w:r>
      <w:r w:rsidR="002553F0">
        <w:rPr>
          <w:rFonts w:ascii="Times New Roman" w:eastAsiaTheme="minorEastAsia" w:hAnsi="Times New Roman" w:cs="Times New Roman"/>
          <w:noProof/>
          <w:sz w:val="24"/>
          <w:szCs w:val="24"/>
          <w:lang w:val="en-US"/>
        </w:rPr>
        <w:t>countries</w:t>
      </w:r>
      <w:r w:rsidR="00390C19" w:rsidRPr="005517C4">
        <w:rPr>
          <w:rFonts w:ascii="Times New Roman" w:eastAsiaTheme="minorEastAsia" w:hAnsi="Times New Roman" w:cs="Times New Roman"/>
          <w:noProof/>
          <w:sz w:val="24"/>
          <w:szCs w:val="24"/>
          <w:lang w:val="en-US"/>
        </w:rPr>
        <w:t xml:space="preserve"> are individually added </w:t>
      </w:r>
      <w:r w:rsidR="00017A56" w:rsidRPr="005517C4">
        <w:rPr>
          <w:rFonts w:ascii="Times New Roman" w:eastAsiaTheme="minorEastAsia" w:hAnsi="Times New Roman" w:cs="Times New Roman"/>
          <w:noProof/>
          <w:sz w:val="24"/>
          <w:szCs w:val="24"/>
          <w:lang w:val="en-US"/>
        </w:rPr>
        <w:t xml:space="preserve">to </w:t>
      </w:r>
      <m:oMath>
        <m:sSubSup>
          <m:sSubSupPr>
            <m:ctrlPr>
              <w:rPr>
                <w:rFonts w:ascii="Cambria Math" w:hAnsi="Cambria Math" w:cs="Times New Roman"/>
                <w:i/>
                <w:noProof/>
                <w:sz w:val="24"/>
                <w:szCs w:val="24"/>
                <w:lang w:val="en-US"/>
              </w:rPr>
            </m:ctrlPr>
          </m:sSubSupPr>
          <m:e>
            <m:r>
              <w:rPr>
                <w:rFonts w:ascii="Cambria Math" w:hAnsi="Cambria Math" w:cs="Times New Roman"/>
                <w:noProof/>
                <w:sz w:val="24"/>
                <w:szCs w:val="24"/>
                <w:lang w:val="en-US"/>
              </w:rPr>
              <m:t>G</m:t>
            </m:r>
          </m:e>
          <m:sub>
            <m:r>
              <w:rPr>
                <w:rFonts w:ascii="Cambria Math" w:hAnsi="Cambria Math" w:cs="Times New Roman"/>
                <w:noProof/>
                <w:sz w:val="24"/>
                <w:szCs w:val="24"/>
                <w:lang w:val="en-US"/>
              </w:rPr>
              <m:t>k</m:t>
            </m:r>
          </m:sub>
          <m:sup>
            <m:r>
              <w:rPr>
                <w:rFonts w:ascii="Cambria Math" w:hAnsi="Cambria Math" w:cs="Times New Roman"/>
                <w:noProof/>
                <w:sz w:val="24"/>
                <w:szCs w:val="24"/>
                <w:lang w:val="en-US"/>
              </w:rPr>
              <m:t>c</m:t>
            </m:r>
          </m:sup>
        </m:sSubSup>
      </m:oMath>
      <w:r w:rsidR="008434CE" w:rsidRPr="005517C4">
        <w:rPr>
          <w:rFonts w:ascii="Times New Roman" w:eastAsiaTheme="minorEastAsia" w:hAnsi="Times New Roman" w:cs="Times New Roman"/>
          <w:noProof/>
          <w:sz w:val="24"/>
          <w:szCs w:val="24"/>
          <w:lang w:val="en-US"/>
        </w:rPr>
        <w:t xml:space="preserve"> and </w:t>
      </w:r>
      <w:r w:rsidR="002553F0">
        <w:rPr>
          <w:rFonts w:ascii="Times New Roman" w:eastAsiaTheme="minorEastAsia" w:hAnsi="Times New Roman" w:cs="Times New Roman"/>
          <w:noProof/>
          <w:sz w:val="24"/>
          <w:szCs w:val="24"/>
          <w:lang w:val="en-US"/>
        </w:rPr>
        <w:t xml:space="preserve">the </w:t>
      </w:r>
      <w:r w:rsidR="008434CE" w:rsidRPr="005517C4">
        <w:rPr>
          <w:rFonts w:ascii="Times New Roman" w:eastAsiaTheme="minorEastAsia" w:hAnsi="Times New Roman" w:cs="Times New Roman"/>
          <w:i/>
          <w:noProof/>
          <w:sz w:val="24"/>
          <w:szCs w:val="24"/>
          <w:lang w:val="en-US"/>
        </w:rPr>
        <w:t>log t test</w:t>
      </w:r>
      <w:r w:rsidR="008434CE" w:rsidRPr="005517C4">
        <w:rPr>
          <w:rFonts w:ascii="Times New Roman" w:eastAsiaTheme="minorEastAsia" w:hAnsi="Times New Roman" w:cs="Times New Roman"/>
          <w:noProof/>
          <w:sz w:val="24"/>
          <w:szCs w:val="24"/>
          <w:lang w:val="en-US"/>
        </w:rPr>
        <w:t xml:space="preserve"> is rerun. </w:t>
      </w:r>
      <w:r w:rsidR="00017A56" w:rsidRPr="005517C4">
        <w:rPr>
          <w:rFonts w:ascii="Times New Roman" w:eastAsiaTheme="minorEastAsia" w:hAnsi="Times New Roman" w:cs="Times New Roman"/>
          <w:noProof/>
          <w:sz w:val="24"/>
          <w:szCs w:val="24"/>
          <w:lang w:val="en-US"/>
        </w:rPr>
        <w:t xml:space="preserve">If </w:t>
      </w:r>
      <w:r w:rsidR="002553F0">
        <w:rPr>
          <w:rFonts w:ascii="Times New Roman" w:eastAsiaTheme="minorEastAsia" w:hAnsi="Times New Roman" w:cs="Times New Roman"/>
          <w:noProof/>
          <w:sz w:val="24"/>
          <w:szCs w:val="24"/>
          <w:lang w:val="en-US"/>
        </w:rPr>
        <w:t xml:space="preserve">the </w:t>
      </w:r>
      <w:r w:rsidR="00390C19" w:rsidRPr="005517C4">
        <w:rPr>
          <w:rFonts w:ascii="Times New Roman" w:eastAsiaTheme="minorEastAsia" w:hAnsi="Times New Roman" w:cs="Times New Roman"/>
          <w:i/>
          <w:noProof/>
          <w:sz w:val="24"/>
          <w:szCs w:val="24"/>
          <w:lang w:val="en-US"/>
        </w:rPr>
        <w:t>t statistic</w:t>
      </w:r>
      <w:r w:rsidR="00390C19" w:rsidRPr="005517C4">
        <w:rPr>
          <w:rFonts w:ascii="Times New Roman" w:eastAsiaTheme="minorEastAsia" w:hAnsi="Times New Roman" w:cs="Times New Roman"/>
          <w:noProof/>
          <w:sz w:val="24"/>
          <w:szCs w:val="24"/>
          <w:lang w:val="en-US"/>
        </w:rPr>
        <w:t xml:space="preserve"> </w:t>
      </w:r>
      <w:r w:rsidR="008434CE" w:rsidRPr="005517C4">
        <w:rPr>
          <w:rFonts w:ascii="Times New Roman" w:eastAsiaTheme="minorEastAsia" w:hAnsi="Times New Roman" w:cs="Times New Roman"/>
          <w:noProof/>
          <w:sz w:val="24"/>
          <w:szCs w:val="24"/>
          <w:lang w:val="en-US"/>
        </w:rPr>
        <w:t>is</w:t>
      </w:r>
      <w:r w:rsidR="00017A56" w:rsidRPr="005517C4">
        <w:rPr>
          <w:rFonts w:ascii="Times New Roman" w:eastAsiaTheme="minorEastAsia" w:hAnsi="Times New Roman" w:cs="Times New Roman"/>
          <w:noProof/>
          <w:sz w:val="24"/>
          <w:szCs w:val="24"/>
          <w:lang w:val="en-US"/>
        </w:rPr>
        <w:t xml:space="preserve"> grater than </w:t>
      </w:r>
      <w:r w:rsidR="00017A56" w:rsidRPr="005517C4">
        <w:rPr>
          <w:rFonts w:ascii="Times New Roman" w:eastAsiaTheme="minorEastAsia" w:hAnsi="Times New Roman" w:cs="Times New Roman"/>
          <w:i/>
          <w:noProof/>
          <w:sz w:val="24"/>
          <w:szCs w:val="24"/>
          <w:lang w:val="en-US"/>
        </w:rPr>
        <w:t>c</w:t>
      </w:r>
      <w:r w:rsidR="00017A56" w:rsidRPr="005517C4">
        <w:rPr>
          <w:rFonts w:ascii="Times New Roman" w:eastAsiaTheme="minorEastAsia" w:hAnsi="Times New Roman" w:cs="Times New Roman"/>
          <w:noProof/>
          <w:sz w:val="24"/>
          <w:szCs w:val="24"/>
          <w:lang w:val="en-US"/>
        </w:rPr>
        <w:t xml:space="preserve">, where </w:t>
      </w:r>
      <w:r w:rsidR="00017A56" w:rsidRPr="005517C4">
        <w:rPr>
          <w:rFonts w:ascii="Times New Roman" w:eastAsiaTheme="minorEastAsia" w:hAnsi="Times New Roman" w:cs="Times New Roman"/>
          <w:i/>
          <w:noProof/>
          <w:sz w:val="24"/>
          <w:szCs w:val="24"/>
          <w:lang w:val="en-US"/>
        </w:rPr>
        <w:t>c</w:t>
      </w:r>
      <w:r w:rsidR="00017A56" w:rsidRPr="005517C4">
        <w:rPr>
          <w:rFonts w:ascii="Times New Roman" w:eastAsiaTheme="minorEastAsia" w:hAnsi="Times New Roman" w:cs="Times New Roman"/>
          <w:noProof/>
          <w:sz w:val="24"/>
          <w:szCs w:val="24"/>
          <w:lang w:val="en-US"/>
        </w:rPr>
        <w:t xml:space="preserve"> is  some chosen critical value discussed by the authors in </w:t>
      </w:r>
      <w:r w:rsidR="002553F0">
        <w:rPr>
          <w:rFonts w:ascii="Times New Roman" w:eastAsiaTheme="minorEastAsia" w:hAnsi="Times New Roman" w:cs="Times New Roman"/>
          <w:noProof/>
          <w:sz w:val="24"/>
          <w:szCs w:val="24"/>
          <w:lang w:val="en-US"/>
        </w:rPr>
        <w:t xml:space="preserve">the </w:t>
      </w:r>
      <w:r w:rsidR="00017A56" w:rsidRPr="005517C4">
        <w:rPr>
          <w:rFonts w:ascii="Times New Roman" w:eastAsiaTheme="minorEastAsia" w:hAnsi="Times New Roman" w:cs="Times New Roman"/>
          <w:noProof/>
          <w:sz w:val="24"/>
          <w:szCs w:val="24"/>
          <w:lang w:val="en-US"/>
        </w:rPr>
        <w:t>frame of Monte Carlo experiments,</w:t>
      </w:r>
      <w:r w:rsidR="008434CE" w:rsidRPr="005517C4">
        <w:rPr>
          <w:rFonts w:ascii="Times New Roman" w:eastAsiaTheme="minorEastAsia" w:hAnsi="Times New Roman" w:cs="Times New Roman"/>
          <w:noProof/>
          <w:sz w:val="24"/>
          <w:szCs w:val="24"/>
          <w:lang w:val="en-US"/>
        </w:rPr>
        <w:t xml:space="preserve"> the added section</w:t>
      </w:r>
      <w:r w:rsidR="00017A56" w:rsidRPr="005517C4">
        <w:rPr>
          <w:rFonts w:ascii="Times New Roman" w:eastAsiaTheme="minorEastAsia" w:hAnsi="Times New Roman" w:cs="Times New Roman"/>
          <w:noProof/>
          <w:sz w:val="24"/>
          <w:szCs w:val="24"/>
          <w:lang w:val="en-US"/>
        </w:rPr>
        <w:t xml:space="preserve"> </w:t>
      </w:r>
      <w:r w:rsidR="008434CE" w:rsidRPr="005517C4">
        <w:rPr>
          <w:rFonts w:ascii="Times New Roman" w:eastAsiaTheme="minorEastAsia" w:hAnsi="Times New Roman" w:cs="Times New Roman"/>
          <w:noProof/>
          <w:sz w:val="24"/>
          <w:szCs w:val="24"/>
          <w:lang w:val="en-US"/>
        </w:rPr>
        <w:t xml:space="preserve">is </w:t>
      </w:r>
      <w:r w:rsidR="00017A56" w:rsidRPr="005517C4">
        <w:rPr>
          <w:rFonts w:ascii="Times New Roman" w:eastAsiaTheme="minorEastAsia" w:hAnsi="Times New Roman" w:cs="Times New Roman"/>
          <w:noProof/>
          <w:sz w:val="24"/>
          <w:szCs w:val="24"/>
          <w:lang w:val="en-US"/>
        </w:rPr>
        <w:t>included into the convergence club</w:t>
      </w:r>
      <w:r w:rsidR="008434CE" w:rsidRPr="005517C4">
        <w:rPr>
          <w:rFonts w:ascii="Times New Roman" w:eastAsiaTheme="minorEastAsia" w:hAnsi="Times New Roman" w:cs="Times New Roman"/>
          <w:noProof/>
          <w:sz w:val="24"/>
          <w:szCs w:val="24"/>
          <w:lang w:val="en-US"/>
        </w:rPr>
        <w:t xml:space="preserve">. This procedure is repeated for </w:t>
      </w:r>
      <w:r w:rsidR="002553F0">
        <w:rPr>
          <w:rFonts w:ascii="Times New Roman" w:eastAsiaTheme="minorEastAsia" w:hAnsi="Times New Roman" w:cs="Times New Roman"/>
          <w:noProof/>
          <w:sz w:val="24"/>
          <w:szCs w:val="24"/>
          <w:lang w:val="en-US"/>
        </w:rPr>
        <w:t xml:space="preserve">the </w:t>
      </w:r>
      <w:r w:rsidR="008434CE" w:rsidRPr="005517C4">
        <w:rPr>
          <w:rFonts w:ascii="Times New Roman" w:eastAsiaTheme="minorEastAsia" w:hAnsi="Times New Roman" w:cs="Times New Roman"/>
          <w:noProof/>
          <w:sz w:val="24"/>
          <w:szCs w:val="24"/>
          <w:lang w:val="en-US"/>
        </w:rPr>
        <w:t xml:space="preserve">remaining </w:t>
      </w:r>
      <w:r w:rsidR="002553F0">
        <w:rPr>
          <w:rFonts w:ascii="Times New Roman" w:eastAsiaTheme="minorEastAsia" w:hAnsi="Times New Roman" w:cs="Times New Roman"/>
          <w:noProof/>
          <w:sz w:val="24"/>
          <w:szCs w:val="24"/>
          <w:lang w:val="en-US"/>
        </w:rPr>
        <w:t>countries</w:t>
      </w:r>
      <w:r w:rsidR="008434CE" w:rsidRPr="005517C4">
        <w:rPr>
          <w:rFonts w:ascii="Times New Roman" w:eastAsiaTheme="minorEastAsia" w:hAnsi="Times New Roman" w:cs="Times New Roman"/>
          <w:noProof/>
          <w:sz w:val="24"/>
          <w:szCs w:val="24"/>
          <w:lang w:val="en-US"/>
        </w:rPr>
        <w:t xml:space="preserve"> </w:t>
      </w:r>
      <w:r w:rsidR="00DC6AB1" w:rsidRPr="005517C4">
        <w:rPr>
          <w:rFonts w:ascii="Times New Roman" w:eastAsiaTheme="minorEastAsia" w:hAnsi="Times New Roman" w:cs="Times New Roman"/>
          <w:noProof/>
          <w:sz w:val="24"/>
          <w:szCs w:val="24"/>
          <w:lang w:val="en-US"/>
        </w:rPr>
        <w:t xml:space="preserve">to sieve each </w:t>
      </w:r>
      <w:r w:rsidR="002553F0">
        <w:rPr>
          <w:rFonts w:ascii="Times New Roman" w:eastAsiaTheme="minorEastAsia" w:hAnsi="Times New Roman" w:cs="Times New Roman"/>
          <w:noProof/>
          <w:sz w:val="24"/>
          <w:szCs w:val="24"/>
          <w:lang w:val="en-US"/>
        </w:rPr>
        <w:t>country</w:t>
      </w:r>
      <w:r w:rsidR="00DC6AB1" w:rsidRPr="005517C4">
        <w:rPr>
          <w:rFonts w:ascii="Times New Roman" w:eastAsiaTheme="minorEastAsia" w:hAnsi="Times New Roman" w:cs="Times New Roman"/>
          <w:noProof/>
          <w:sz w:val="24"/>
          <w:szCs w:val="24"/>
          <w:lang w:val="en-US"/>
        </w:rPr>
        <w:t xml:space="preserve"> for club membership and to form the </w:t>
      </w:r>
      <w:r w:rsidR="008434CE" w:rsidRPr="005517C4">
        <w:rPr>
          <w:rFonts w:ascii="Times New Roman" w:eastAsiaTheme="minorEastAsia" w:hAnsi="Times New Roman" w:cs="Times New Roman"/>
          <w:noProof/>
          <w:sz w:val="24"/>
          <w:szCs w:val="24"/>
          <w:lang w:val="en-US"/>
        </w:rPr>
        <w:t xml:space="preserve">first convergence club. </w:t>
      </w:r>
    </w:p>
    <w:p w:rsidR="00F77F09" w:rsidRPr="002553F0" w:rsidRDefault="002553F0" w:rsidP="00CC5796">
      <w:pPr>
        <w:spacing w:after="0" w:line="360" w:lineRule="auto"/>
        <w:jc w:val="both"/>
        <w:rPr>
          <w:rFonts w:ascii="Times New Roman" w:hAnsi="Times New Roman" w:cs="Times New Roman"/>
          <w:b/>
          <w:noProof/>
          <w:sz w:val="24"/>
          <w:szCs w:val="24"/>
          <w:lang w:val="en-US"/>
        </w:rPr>
      </w:pPr>
      <w:r>
        <w:rPr>
          <w:rFonts w:ascii="Times New Roman" w:hAnsi="Times New Roman" w:cs="Times New Roman"/>
          <w:b/>
          <w:noProof/>
          <w:sz w:val="24"/>
          <w:szCs w:val="24"/>
          <w:lang w:val="en-US"/>
        </w:rPr>
        <w:t xml:space="preserve">5. </w:t>
      </w:r>
      <w:r w:rsidR="00FC6718" w:rsidRPr="002553F0">
        <w:rPr>
          <w:rFonts w:ascii="Times New Roman" w:hAnsi="Times New Roman" w:cs="Times New Roman"/>
          <w:b/>
          <w:noProof/>
          <w:sz w:val="24"/>
          <w:szCs w:val="24"/>
          <w:lang w:val="en-US"/>
        </w:rPr>
        <w:t xml:space="preserve">Emprical </w:t>
      </w:r>
      <w:r>
        <w:rPr>
          <w:rFonts w:ascii="Times New Roman" w:hAnsi="Times New Roman" w:cs="Times New Roman"/>
          <w:b/>
          <w:noProof/>
          <w:sz w:val="24"/>
          <w:szCs w:val="24"/>
          <w:lang w:val="en-US"/>
        </w:rPr>
        <w:t>results</w:t>
      </w:r>
    </w:p>
    <w:p w:rsidR="00374F13" w:rsidRDefault="00374F13" w:rsidP="00374F13">
      <w:pPr>
        <w:spacing w:line="360" w:lineRule="auto"/>
        <w:jc w:val="both"/>
        <w:rPr>
          <w:rFonts w:ascii="Times New Roman" w:hAnsi="Times New Roman" w:cs="Times New Roman"/>
          <w:sz w:val="24"/>
          <w:szCs w:val="24"/>
          <w:shd w:val="clear" w:color="auto" w:fill="FFFFFF"/>
        </w:rPr>
      </w:pPr>
      <w:r w:rsidRPr="005517C4">
        <w:rPr>
          <w:rFonts w:ascii="Times New Roman" w:hAnsi="Times New Roman" w:cs="Times New Roman"/>
          <w:noProof/>
          <w:sz w:val="24"/>
          <w:szCs w:val="24"/>
          <w:lang w:val="en-US"/>
        </w:rPr>
        <w:t xml:space="preserve">Table </w:t>
      </w:r>
      <w:r w:rsidR="00021AA7">
        <w:rPr>
          <w:rFonts w:ascii="Times New Roman" w:hAnsi="Times New Roman" w:cs="Times New Roman"/>
          <w:noProof/>
          <w:sz w:val="24"/>
          <w:szCs w:val="24"/>
          <w:lang w:val="en-US"/>
        </w:rPr>
        <w:t>2</w:t>
      </w:r>
      <w:r w:rsidRPr="005517C4">
        <w:rPr>
          <w:rFonts w:ascii="Times New Roman" w:hAnsi="Times New Roman" w:cs="Times New Roman"/>
          <w:noProof/>
          <w:sz w:val="24"/>
          <w:szCs w:val="24"/>
          <w:lang w:val="en-US"/>
        </w:rPr>
        <w:t xml:space="preserve"> </w:t>
      </w:r>
      <w:r>
        <w:rPr>
          <w:rFonts w:ascii="Times New Roman" w:hAnsi="Times New Roman" w:cs="Times New Roman"/>
          <w:noProof/>
          <w:sz w:val="24"/>
          <w:szCs w:val="24"/>
          <w:lang w:val="en-US"/>
        </w:rPr>
        <w:t>illustrates</w:t>
      </w:r>
      <w:r w:rsidRPr="005517C4">
        <w:rPr>
          <w:rFonts w:ascii="Times New Roman" w:hAnsi="Times New Roman" w:cs="Times New Roman"/>
          <w:noProof/>
          <w:sz w:val="24"/>
          <w:szCs w:val="24"/>
          <w:lang w:val="en-US"/>
        </w:rPr>
        <w:t xml:space="preserve"> the findings </w:t>
      </w:r>
      <w:r w:rsidRPr="005517C4">
        <w:rPr>
          <w:rFonts w:ascii="Times New Roman" w:hAnsi="Times New Roman" w:cs="Times New Roman"/>
          <w:sz w:val="24"/>
          <w:szCs w:val="24"/>
          <w:shd w:val="clear" w:color="auto" w:fill="FFFFFF"/>
        </w:rPr>
        <w:t xml:space="preserve">of the club convergence methodology for the </w:t>
      </w:r>
      <w:r>
        <w:rPr>
          <w:rFonts w:ascii="Times New Roman" w:hAnsi="Times New Roman" w:cs="Times New Roman"/>
          <w:sz w:val="24"/>
          <w:szCs w:val="24"/>
          <w:shd w:val="clear" w:color="auto" w:fill="FFFFFF"/>
        </w:rPr>
        <w:t>ecological footprint</w:t>
      </w:r>
      <w:r w:rsidRPr="005517C4">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In the case where</w:t>
      </w:r>
      <w:r>
        <w:rPr>
          <w:rFonts w:ascii="Times New Roman" w:eastAsiaTheme="minorEastAsia" w:hAnsi="Times New Roman" w:cs="Times New Roman"/>
          <w:noProof/>
          <w:sz w:val="24"/>
          <w:szCs w:val="24"/>
          <w:lang w:val="en-US"/>
        </w:rPr>
        <w:t xml:space="preserve"> the one-</w:t>
      </w:r>
      <w:r w:rsidRPr="005517C4">
        <w:rPr>
          <w:rFonts w:ascii="Times New Roman" w:eastAsiaTheme="minorEastAsia" w:hAnsi="Times New Roman" w:cs="Times New Roman"/>
          <w:noProof/>
          <w:sz w:val="24"/>
          <w:szCs w:val="24"/>
          <w:lang w:val="en-US"/>
        </w:rPr>
        <w:t xml:space="preserve">sided t statistic </w:t>
      </w:r>
      <w:r>
        <w:rPr>
          <w:rFonts w:ascii="Times New Roman" w:eastAsiaTheme="minorEastAsia" w:hAnsi="Times New Roman" w:cs="Times New Roman"/>
          <w:noProof/>
          <w:sz w:val="24"/>
          <w:szCs w:val="24"/>
          <w:lang w:val="en-US"/>
        </w:rPr>
        <w:t xml:space="preserve">is </w:t>
      </w:r>
      <w:r w:rsidRPr="005517C4">
        <w:rPr>
          <w:rFonts w:ascii="Times New Roman" w:eastAsiaTheme="minorEastAsia" w:hAnsi="Times New Roman" w:cs="Times New Roman"/>
          <w:noProof/>
          <w:sz w:val="24"/>
          <w:szCs w:val="24"/>
          <w:lang w:val="en-US"/>
        </w:rPr>
        <w:t>&lt; -1,65</w:t>
      </w:r>
      <w:r>
        <w:rPr>
          <w:rFonts w:ascii="Times New Roman" w:eastAsiaTheme="minorEastAsia" w:hAnsi="Times New Roman" w:cs="Times New Roman"/>
          <w:noProof/>
          <w:sz w:val="24"/>
          <w:szCs w:val="24"/>
          <w:lang w:val="en-US"/>
        </w:rPr>
        <w:t>,</w:t>
      </w:r>
      <w:r w:rsidRPr="005517C4">
        <w:rPr>
          <w:rFonts w:ascii="Times New Roman" w:eastAsiaTheme="minorEastAsia" w:hAnsi="Times New Roman" w:cs="Times New Roman"/>
          <w:noProof/>
          <w:sz w:val="24"/>
          <w:szCs w:val="24"/>
          <w:lang w:val="en-US"/>
        </w:rPr>
        <w:t xml:space="preserve"> the null hypothesis of convergence is rejected at </w:t>
      </w:r>
      <w:r>
        <w:rPr>
          <w:rFonts w:ascii="Times New Roman" w:eastAsiaTheme="minorEastAsia" w:hAnsi="Times New Roman" w:cs="Times New Roman"/>
          <w:noProof/>
          <w:sz w:val="24"/>
          <w:szCs w:val="24"/>
          <w:lang w:val="en-US"/>
        </w:rPr>
        <w:t xml:space="preserve">the </w:t>
      </w:r>
      <w:r w:rsidRPr="005517C4">
        <w:rPr>
          <w:rFonts w:ascii="Times New Roman" w:eastAsiaTheme="minorEastAsia" w:hAnsi="Times New Roman" w:cs="Times New Roman"/>
          <w:noProof/>
          <w:sz w:val="24"/>
          <w:szCs w:val="24"/>
          <w:lang w:val="en-US"/>
        </w:rPr>
        <w:t xml:space="preserve">five percent significance level. </w:t>
      </w:r>
      <w:r>
        <w:rPr>
          <w:rFonts w:ascii="Times New Roman" w:eastAsiaTheme="minorEastAsia" w:hAnsi="Times New Roman" w:cs="Times New Roman"/>
          <w:noProof/>
          <w:sz w:val="24"/>
          <w:szCs w:val="24"/>
          <w:lang w:val="en-US"/>
        </w:rPr>
        <w:t>Given that</w:t>
      </w:r>
      <w:r w:rsidRPr="005517C4">
        <w:rPr>
          <w:rFonts w:ascii="Times New Roman" w:eastAsiaTheme="minorEastAsia" w:hAnsi="Times New Roman" w:cs="Times New Roman"/>
          <w:noProof/>
          <w:sz w:val="24"/>
          <w:szCs w:val="24"/>
          <w:lang w:val="en-US"/>
        </w:rPr>
        <w:t xml:space="preserve"> </w:t>
      </w:r>
      <w:r>
        <w:rPr>
          <w:rFonts w:ascii="Times New Roman" w:eastAsiaTheme="minorEastAsia" w:hAnsi="Times New Roman" w:cs="Times New Roman"/>
          <w:noProof/>
          <w:sz w:val="24"/>
          <w:szCs w:val="24"/>
          <w:lang w:val="en-US"/>
        </w:rPr>
        <w:t xml:space="preserve">the </w:t>
      </w:r>
      <w:r w:rsidRPr="005517C4">
        <w:rPr>
          <w:rFonts w:ascii="Times New Roman" w:eastAsiaTheme="minorEastAsia" w:hAnsi="Times New Roman" w:cs="Times New Roman"/>
          <w:noProof/>
          <w:sz w:val="24"/>
          <w:szCs w:val="24"/>
          <w:lang w:val="en-US"/>
        </w:rPr>
        <w:t xml:space="preserve">t-statistics </w:t>
      </w:r>
      <w:r>
        <w:rPr>
          <w:rFonts w:ascii="Times New Roman" w:eastAsiaTheme="minorEastAsia" w:hAnsi="Times New Roman" w:cs="Times New Roman"/>
          <w:noProof/>
          <w:sz w:val="24"/>
          <w:szCs w:val="24"/>
          <w:lang w:val="en-US"/>
        </w:rPr>
        <w:t>turn out to be</w:t>
      </w:r>
      <w:r w:rsidRPr="005517C4">
        <w:rPr>
          <w:rFonts w:ascii="Times New Roman" w:hAnsi="Times New Roman" w:cs="Times New Roman"/>
          <w:noProof/>
          <w:sz w:val="24"/>
          <w:szCs w:val="24"/>
          <w:lang w:val="en-US"/>
        </w:rPr>
        <w:t xml:space="preserve"> positive for </w:t>
      </w:r>
      <w:r>
        <w:rPr>
          <w:rFonts w:ascii="Times New Roman" w:hAnsi="Times New Roman" w:cs="Times New Roman"/>
          <w:noProof/>
          <w:sz w:val="24"/>
          <w:szCs w:val="24"/>
          <w:lang w:val="en-US"/>
        </w:rPr>
        <w:t xml:space="preserve">the cases of the </w:t>
      </w:r>
      <w:r w:rsidRPr="005517C4">
        <w:rPr>
          <w:rFonts w:ascii="Times New Roman" w:hAnsi="Times New Roman" w:cs="Times New Roman"/>
          <w:noProof/>
          <w:sz w:val="24"/>
          <w:szCs w:val="24"/>
          <w:lang w:val="en-US"/>
        </w:rPr>
        <w:t>first and third club</w:t>
      </w:r>
      <w:r>
        <w:rPr>
          <w:rFonts w:ascii="Times New Roman" w:hAnsi="Times New Roman" w:cs="Times New Roman"/>
          <w:noProof/>
          <w:sz w:val="24"/>
          <w:szCs w:val="24"/>
          <w:lang w:val="en-US"/>
        </w:rPr>
        <w:t>s</w:t>
      </w:r>
      <w:r w:rsidRPr="005517C4">
        <w:rPr>
          <w:rFonts w:ascii="Times New Roman" w:hAnsi="Times New Roman" w:cs="Times New Roman"/>
          <w:noProof/>
          <w:sz w:val="24"/>
          <w:szCs w:val="24"/>
          <w:lang w:val="en-US"/>
        </w:rPr>
        <w:t xml:space="preserve">, the null hypothesis can not be rejected </w:t>
      </w:r>
      <w:r w:rsidR="006578EE" w:rsidRPr="005517C4">
        <w:rPr>
          <w:rFonts w:ascii="Times New Roman" w:hAnsi="Times New Roman" w:cs="Times New Roman"/>
          <w:noProof/>
          <w:sz w:val="24"/>
          <w:szCs w:val="24"/>
          <w:lang w:val="en-US"/>
        </w:rPr>
        <w:fldChar w:fldCharType="begin" w:fldLock="1"/>
      </w:r>
      <w:r w:rsidR="003D379B">
        <w:rPr>
          <w:rFonts w:ascii="Times New Roman" w:hAnsi="Times New Roman" w:cs="Times New Roman"/>
          <w:noProof/>
          <w:sz w:val="24"/>
          <w:szCs w:val="24"/>
          <w:lang w:val="en-US"/>
        </w:rPr>
        <w:instrText>ADDIN CSL_CITATION { "citationItems" : [ { "id" : "ITEM-1", "itemData" : { "DOI" : "10.1111/j.1468-0262.2007.00811.x", "ISSN" : "0012-9682", "author" : [ { "dropping-particle" : "", "family" : "Phillips", "given" : "Peter C. B.", "non-dropping-particle" : "", "parse-names" : false, "suffix" : "" }, { "dropping-particle" : "", "family" : "Sul", "given" : "Donggyu", "non-dropping-particle" : "", "parse-names" : false, "suffix" : "" } ], "container-title" : "Econometrica", "id" : "ITEM-1", "issue" : "6", "issued" : { "date-parts" : [ [ "2007", "11" ] ] }, "page" : "1771-1855", "publisher" : "Blackwell Publishing Ltd", "title" : "Transition Modeling and Econometric Convergence Tests", "type" : "article-journal", "volume" : "75" }, "uris" : [ "http://www.mendeley.com/documents/?uuid=fdd5387e-1c8d-3c46-b2e6-e4653867fe7f" ] } ], "mendeley" : { "formattedCitation" : "(Phillips and Sul 2007a)", "manualFormatting" : "(Phillips and Sul, 2007)", "plainTextFormattedCitation" : "(Phillips and Sul 2007a)", "previouslyFormattedCitation" : "(Phillips and Sul 2007a)" }, "properties" : { "noteIndex" : 0 }, "schema" : "https://github.com/citation-style-language/schema/raw/master/csl-citation.json" }</w:instrText>
      </w:r>
      <w:r w:rsidR="006578EE" w:rsidRPr="005517C4">
        <w:rPr>
          <w:rFonts w:ascii="Times New Roman" w:hAnsi="Times New Roman" w:cs="Times New Roman"/>
          <w:noProof/>
          <w:sz w:val="24"/>
          <w:szCs w:val="24"/>
          <w:lang w:val="en-US"/>
        </w:rPr>
        <w:fldChar w:fldCharType="separate"/>
      </w:r>
      <w:r w:rsidRPr="005517C4">
        <w:rPr>
          <w:rFonts w:ascii="Times New Roman" w:hAnsi="Times New Roman" w:cs="Times New Roman"/>
          <w:noProof/>
          <w:sz w:val="24"/>
          <w:szCs w:val="24"/>
          <w:lang w:val="en-US"/>
        </w:rPr>
        <w:t xml:space="preserve">(Phillips </w:t>
      </w:r>
      <w:r>
        <w:rPr>
          <w:rFonts w:ascii="Times New Roman" w:hAnsi="Times New Roman" w:cs="Times New Roman"/>
          <w:noProof/>
          <w:sz w:val="24"/>
          <w:szCs w:val="24"/>
          <w:lang w:val="en-US"/>
        </w:rPr>
        <w:t>and</w:t>
      </w:r>
      <w:r w:rsidRPr="005517C4">
        <w:rPr>
          <w:rFonts w:ascii="Times New Roman" w:hAnsi="Times New Roman" w:cs="Times New Roman"/>
          <w:noProof/>
          <w:sz w:val="24"/>
          <w:szCs w:val="24"/>
          <w:lang w:val="en-US"/>
        </w:rPr>
        <w:t xml:space="preserve"> Sul, 2007)</w:t>
      </w:r>
      <w:r w:rsidR="006578EE" w:rsidRPr="005517C4">
        <w:rPr>
          <w:rFonts w:ascii="Times New Roman" w:hAnsi="Times New Roman" w:cs="Times New Roman"/>
          <w:noProof/>
          <w:sz w:val="24"/>
          <w:szCs w:val="24"/>
          <w:lang w:val="en-US"/>
        </w:rPr>
        <w:fldChar w:fldCharType="end"/>
      </w:r>
      <w:r w:rsidRPr="005517C4">
        <w:rPr>
          <w:rFonts w:ascii="Times New Roman" w:hAnsi="Times New Roman" w:cs="Times New Roman"/>
          <w:noProof/>
          <w:sz w:val="24"/>
          <w:szCs w:val="24"/>
          <w:lang w:val="en-US"/>
        </w:rPr>
        <w:t xml:space="preserve">. </w:t>
      </w:r>
      <w:r w:rsidRPr="005517C4">
        <w:rPr>
          <w:rFonts w:ascii="Times New Roman" w:hAnsi="Times New Roman" w:cs="Times New Roman"/>
          <w:sz w:val="24"/>
          <w:szCs w:val="24"/>
          <w:shd w:val="clear" w:color="auto" w:fill="FFFFFF"/>
        </w:rPr>
        <w:t>The rows indicate the findings of the club-clustering procedure for the first convergent club, the second convergent club and the third convergent club</w:t>
      </w:r>
      <w:r>
        <w:rPr>
          <w:rFonts w:ascii="Times New Roman" w:hAnsi="Times New Roman" w:cs="Times New Roman"/>
          <w:sz w:val="24"/>
          <w:szCs w:val="24"/>
          <w:shd w:val="clear" w:color="auto" w:fill="FFFFFF"/>
        </w:rPr>
        <w:t>, respectively,</w:t>
      </w:r>
      <w:r w:rsidRPr="005517C4">
        <w:rPr>
          <w:rFonts w:ascii="Times New Roman" w:hAnsi="Times New Roman" w:cs="Times New Roman"/>
          <w:sz w:val="24"/>
          <w:szCs w:val="24"/>
          <w:shd w:val="clear" w:color="auto" w:fill="FFFFFF"/>
        </w:rPr>
        <w:t xml:space="preserve"> wherein </w:t>
      </w:r>
      <w:r w:rsidRPr="005517C4">
        <w:rPr>
          <w:rFonts w:ascii="Times New Roman" w:hAnsi="Times New Roman" w:cs="Times New Roman"/>
          <w:sz w:val="24"/>
          <w:szCs w:val="24"/>
        </w:rPr>
        <w:t>the full-sample convergence test reject</w:t>
      </w:r>
      <w:r>
        <w:rPr>
          <w:rFonts w:ascii="Times New Roman" w:hAnsi="Times New Roman" w:cs="Times New Roman"/>
          <w:sz w:val="24"/>
          <w:szCs w:val="24"/>
        </w:rPr>
        <w:t>s</w:t>
      </w:r>
      <w:r w:rsidRPr="005517C4">
        <w:rPr>
          <w:rFonts w:ascii="Times New Roman" w:hAnsi="Times New Roman" w:cs="Times New Roman"/>
          <w:sz w:val="24"/>
          <w:szCs w:val="24"/>
        </w:rPr>
        <w:t xml:space="preserve"> the null hypothesis of the environmental degradation convergence</w:t>
      </w:r>
      <w:r w:rsidRPr="005517C4">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T</w:t>
      </w:r>
      <w:r w:rsidRPr="005517C4">
        <w:rPr>
          <w:rFonts w:ascii="Times New Roman" w:hAnsi="Times New Roman" w:cs="Times New Roman"/>
          <w:sz w:val="24"/>
          <w:szCs w:val="24"/>
          <w:shd w:val="clear" w:color="auto" w:fill="FFFFFF"/>
        </w:rPr>
        <w:t>he first club includes Greece and Cyprus, the second club consists of Austria, Spain, Portugal, Netherland and Italy, and</w:t>
      </w:r>
      <w:r>
        <w:rPr>
          <w:rFonts w:ascii="Times New Roman" w:hAnsi="Times New Roman" w:cs="Times New Roman"/>
          <w:sz w:val="24"/>
          <w:szCs w:val="24"/>
          <w:shd w:val="clear" w:color="auto" w:fill="FFFFFF"/>
        </w:rPr>
        <w:t>, finally,</w:t>
      </w:r>
      <w:r w:rsidRPr="005517C4">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the third club involves the remaining</w:t>
      </w:r>
      <w:r w:rsidRPr="005517C4">
        <w:rPr>
          <w:rFonts w:ascii="Times New Roman" w:hAnsi="Times New Roman" w:cs="Times New Roman"/>
          <w:sz w:val="24"/>
          <w:szCs w:val="24"/>
          <w:shd w:val="clear" w:color="auto" w:fill="FFFFFF"/>
        </w:rPr>
        <w:t xml:space="preserve"> of the EU countries</w:t>
      </w:r>
      <w:r>
        <w:rPr>
          <w:rFonts w:ascii="Times New Roman" w:hAnsi="Times New Roman" w:cs="Times New Roman"/>
          <w:sz w:val="24"/>
          <w:szCs w:val="24"/>
          <w:shd w:val="clear" w:color="auto" w:fill="FFFFFF"/>
        </w:rPr>
        <w:t>, i.e.</w:t>
      </w:r>
      <w:r w:rsidRPr="005517C4">
        <w:rPr>
          <w:rFonts w:ascii="Times New Roman" w:hAnsi="Times New Roman" w:cs="Times New Roman"/>
          <w:sz w:val="24"/>
          <w:szCs w:val="24"/>
          <w:shd w:val="clear" w:color="auto" w:fill="FFFFFF"/>
        </w:rPr>
        <w:t xml:space="preserve"> the U.K., Ireland, Belgium, Sweden, Romania, Luxemburg, Hungary, Germany, France, Findland, Denmark, Bulgaria and Poland. </w:t>
      </w:r>
    </w:p>
    <w:p w:rsidR="00374F13" w:rsidRPr="008636FA" w:rsidRDefault="00374F13" w:rsidP="00374F13">
      <w:pPr>
        <w:spacing w:after="0" w:line="240" w:lineRule="auto"/>
        <w:jc w:val="both"/>
        <w:rPr>
          <w:rFonts w:ascii="Times New Roman" w:hAnsi="Times New Roman" w:cs="Times New Roman"/>
          <w:noProof/>
          <w:sz w:val="24"/>
          <w:szCs w:val="24"/>
          <w:lang w:val="en-US"/>
        </w:rPr>
      </w:pPr>
      <w:r w:rsidRPr="00974DAC">
        <w:rPr>
          <w:rFonts w:ascii="Times New Roman" w:hAnsi="Times New Roman" w:cs="Times New Roman"/>
          <w:noProof/>
          <w:sz w:val="24"/>
          <w:szCs w:val="24"/>
          <w:lang w:val="en-US"/>
        </w:rPr>
        <w:t xml:space="preserve">Table </w:t>
      </w:r>
      <w:r w:rsidR="00021AA7">
        <w:rPr>
          <w:rFonts w:ascii="Times New Roman" w:hAnsi="Times New Roman" w:cs="Times New Roman"/>
          <w:noProof/>
          <w:sz w:val="24"/>
          <w:szCs w:val="24"/>
          <w:lang w:val="en-US"/>
        </w:rPr>
        <w:t>2</w:t>
      </w:r>
      <w:r w:rsidRPr="00974DAC">
        <w:rPr>
          <w:rFonts w:ascii="Times New Roman" w:hAnsi="Times New Roman" w:cs="Times New Roman"/>
          <w:noProof/>
          <w:sz w:val="24"/>
          <w:szCs w:val="24"/>
          <w:lang w:val="en-US"/>
        </w:rPr>
        <w:t>.</w:t>
      </w:r>
      <w:r w:rsidRPr="005517C4">
        <w:rPr>
          <w:rFonts w:ascii="Times New Roman" w:hAnsi="Times New Roman" w:cs="Times New Roman"/>
          <w:b/>
          <w:noProof/>
          <w:sz w:val="24"/>
          <w:szCs w:val="24"/>
          <w:lang w:val="en-US"/>
        </w:rPr>
        <w:t xml:space="preserve"> </w:t>
      </w:r>
      <w:r w:rsidRPr="008636FA">
        <w:rPr>
          <w:rFonts w:ascii="Times New Roman" w:hAnsi="Times New Roman" w:cs="Times New Roman"/>
          <w:noProof/>
          <w:sz w:val="24"/>
          <w:szCs w:val="24"/>
          <w:lang w:val="en-US"/>
        </w:rPr>
        <w:t>PS club convergence test results</w:t>
      </w:r>
    </w:p>
    <w:tbl>
      <w:tblPr>
        <w:tblStyle w:val="a8"/>
        <w:tblW w:w="9889" w:type="dxa"/>
        <w:jc w:val="center"/>
        <w:tblBorders>
          <w:left w:val="none" w:sz="0" w:space="0" w:color="auto"/>
          <w:right w:val="none" w:sz="0" w:space="0" w:color="auto"/>
          <w:insideH w:val="none" w:sz="0" w:space="0" w:color="auto"/>
          <w:insideV w:val="none" w:sz="0" w:space="0" w:color="auto"/>
        </w:tblBorders>
        <w:tblLook w:val="04A0"/>
      </w:tblPr>
      <w:tblGrid>
        <w:gridCol w:w="1483"/>
        <w:gridCol w:w="2754"/>
        <w:gridCol w:w="1258"/>
        <w:gridCol w:w="1134"/>
        <w:gridCol w:w="1559"/>
        <w:gridCol w:w="1701"/>
      </w:tblGrid>
      <w:tr w:rsidR="00374F13" w:rsidRPr="005517C4" w:rsidTr="00461E9B">
        <w:trPr>
          <w:jc w:val="center"/>
        </w:trPr>
        <w:tc>
          <w:tcPr>
            <w:tcW w:w="1483" w:type="dxa"/>
            <w:vMerge w:val="restart"/>
            <w:tcBorders>
              <w:top w:val="single" w:sz="4" w:space="0" w:color="auto"/>
              <w:bottom w:val="nil"/>
            </w:tcBorders>
            <w:vAlign w:val="center"/>
          </w:tcPr>
          <w:p w:rsidR="00374F13" w:rsidRPr="005517C4" w:rsidRDefault="00374F13" w:rsidP="00461E9B">
            <w:pPr>
              <w:jc w:val="center"/>
              <w:rPr>
                <w:rFonts w:ascii="Times New Roman" w:hAnsi="Times New Roman" w:cs="Times New Roman"/>
                <w:noProof/>
                <w:sz w:val="24"/>
                <w:szCs w:val="24"/>
                <w:lang w:val="en-US"/>
              </w:rPr>
            </w:pPr>
            <w:r w:rsidRPr="005517C4">
              <w:rPr>
                <w:rFonts w:ascii="Times New Roman" w:hAnsi="Times New Roman" w:cs="Times New Roman"/>
                <w:noProof/>
                <w:sz w:val="24"/>
                <w:szCs w:val="24"/>
                <w:lang w:val="en-US"/>
              </w:rPr>
              <w:t>First Convergence</w:t>
            </w:r>
          </w:p>
          <w:p w:rsidR="00374F13" w:rsidRPr="005517C4" w:rsidRDefault="00374F13" w:rsidP="00461E9B">
            <w:pPr>
              <w:jc w:val="center"/>
              <w:rPr>
                <w:rFonts w:ascii="Times New Roman" w:hAnsi="Times New Roman" w:cs="Times New Roman"/>
                <w:noProof/>
                <w:sz w:val="24"/>
                <w:szCs w:val="24"/>
                <w:lang w:val="en-US"/>
              </w:rPr>
            </w:pPr>
            <w:r w:rsidRPr="005517C4">
              <w:rPr>
                <w:rFonts w:ascii="Times New Roman" w:hAnsi="Times New Roman" w:cs="Times New Roman"/>
                <w:noProof/>
                <w:sz w:val="24"/>
                <w:szCs w:val="24"/>
                <w:lang w:val="en-US"/>
              </w:rPr>
              <w:t>Club</w:t>
            </w:r>
          </w:p>
        </w:tc>
        <w:tc>
          <w:tcPr>
            <w:tcW w:w="4012" w:type="dxa"/>
            <w:gridSpan w:val="2"/>
            <w:vMerge w:val="restart"/>
            <w:tcBorders>
              <w:top w:val="single" w:sz="4" w:space="0" w:color="auto"/>
              <w:bottom w:val="nil"/>
            </w:tcBorders>
            <w:vAlign w:val="center"/>
          </w:tcPr>
          <w:p w:rsidR="00374F13" w:rsidRPr="005517C4" w:rsidRDefault="00374F13" w:rsidP="00461E9B">
            <w:pPr>
              <w:jc w:val="center"/>
              <w:rPr>
                <w:rFonts w:ascii="Times New Roman" w:hAnsi="Times New Roman" w:cs="Times New Roman"/>
                <w:noProof/>
                <w:sz w:val="24"/>
                <w:szCs w:val="24"/>
                <w:lang w:val="en-US"/>
              </w:rPr>
            </w:pPr>
            <w:r w:rsidRPr="005517C4">
              <w:rPr>
                <w:rFonts w:ascii="Times New Roman" w:hAnsi="Times New Roman" w:cs="Times New Roman"/>
                <w:noProof/>
                <w:sz w:val="24"/>
                <w:szCs w:val="24"/>
                <w:lang w:val="en-US"/>
              </w:rPr>
              <w:t>Greece</w:t>
            </w:r>
          </w:p>
          <w:p w:rsidR="00374F13" w:rsidRPr="005517C4" w:rsidRDefault="00374F13" w:rsidP="00461E9B">
            <w:pPr>
              <w:jc w:val="center"/>
              <w:rPr>
                <w:rFonts w:ascii="Times New Roman" w:hAnsi="Times New Roman" w:cs="Times New Roman"/>
                <w:noProof/>
                <w:sz w:val="24"/>
                <w:szCs w:val="24"/>
                <w:lang w:val="en-US"/>
              </w:rPr>
            </w:pPr>
            <w:r w:rsidRPr="005517C4">
              <w:rPr>
                <w:rFonts w:ascii="Times New Roman" w:hAnsi="Times New Roman" w:cs="Times New Roman"/>
                <w:noProof/>
                <w:sz w:val="24"/>
                <w:szCs w:val="24"/>
                <w:lang w:val="en-US"/>
              </w:rPr>
              <w:t>Cyprus</w:t>
            </w:r>
          </w:p>
        </w:tc>
        <w:tc>
          <w:tcPr>
            <w:tcW w:w="1134" w:type="dxa"/>
            <w:tcBorders>
              <w:top w:val="single" w:sz="4" w:space="0" w:color="auto"/>
              <w:bottom w:val="nil"/>
            </w:tcBorders>
            <w:vAlign w:val="center"/>
          </w:tcPr>
          <w:p w:rsidR="00374F13" w:rsidRPr="005517C4" w:rsidRDefault="00374F13" w:rsidP="00461E9B">
            <w:pPr>
              <w:jc w:val="center"/>
              <w:rPr>
                <w:rFonts w:ascii="Times New Roman" w:hAnsi="Times New Roman" w:cs="Times New Roman"/>
                <w:noProof/>
                <w:sz w:val="24"/>
                <w:szCs w:val="24"/>
                <w:lang w:val="en-US"/>
              </w:rPr>
            </w:pPr>
          </w:p>
        </w:tc>
        <w:tc>
          <w:tcPr>
            <w:tcW w:w="1559" w:type="dxa"/>
            <w:tcBorders>
              <w:top w:val="single" w:sz="4" w:space="0" w:color="auto"/>
              <w:bottom w:val="nil"/>
            </w:tcBorders>
            <w:vAlign w:val="center"/>
          </w:tcPr>
          <w:p w:rsidR="00374F13" w:rsidRPr="005517C4" w:rsidRDefault="00374F13" w:rsidP="00461E9B">
            <w:pPr>
              <w:jc w:val="center"/>
              <w:rPr>
                <w:rFonts w:ascii="Times New Roman" w:hAnsi="Times New Roman" w:cs="Times New Roman"/>
                <w:i/>
                <w:noProof/>
                <w:sz w:val="24"/>
                <w:szCs w:val="24"/>
                <w:lang w:val="en-US"/>
              </w:rPr>
            </w:pPr>
            <w:r w:rsidRPr="005517C4">
              <w:rPr>
                <w:rFonts w:ascii="Times New Roman" w:hAnsi="Times New Roman" w:cs="Times New Roman"/>
                <w:i/>
                <w:noProof/>
                <w:sz w:val="24"/>
                <w:szCs w:val="24"/>
                <w:lang w:val="en-US"/>
              </w:rPr>
              <w:t>coefficient</w:t>
            </w:r>
          </w:p>
        </w:tc>
        <w:tc>
          <w:tcPr>
            <w:tcW w:w="1701" w:type="dxa"/>
            <w:tcBorders>
              <w:top w:val="single" w:sz="4" w:space="0" w:color="auto"/>
              <w:bottom w:val="nil"/>
            </w:tcBorders>
            <w:vAlign w:val="center"/>
          </w:tcPr>
          <w:p w:rsidR="00374F13" w:rsidRPr="005517C4" w:rsidRDefault="00374F13" w:rsidP="00461E9B">
            <w:pPr>
              <w:jc w:val="center"/>
              <w:rPr>
                <w:rFonts w:ascii="Times New Roman" w:hAnsi="Times New Roman" w:cs="Times New Roman"/>
                <w:i/>
                <w:noProof/>
                <w:sz w:val="24"/>
                <w:szCs w:val="24"/>
                <w:lang w:val="en-US"/>
              </w:rPr>
            </w:pPr>
            <w:r w:rsidRPr="005517C4">
              <w:rPr>
                <w:rFonts w:ascii="Times New Roman" w:hAnsi="Times New Roman" w:cs="Times New Roman"/>
                <w:i/>
                <w:noProof/>
                <w:sz w:val="24"/>
                <w:szCs w:val="24"/>
                <w:lang w:val="en-US"/>
              </w:rPr>
              <w:t>t statistics</w:t>
            </w:r>
          </w:p>
        </w:tc>
      </w:tr>
      <w:tr w:rsidR="00374F13" w:rsidRPr="005517C4" w:rsidTr="00461E9B">
        <w:trPr>
          <w:jc w:val="center"/>
        </w:trPr>
        <w:tc>
          <w:tcPr>
            <w:tcW w:w="1483" w:type="dxa"/>
            <w:vMerge/>
            <w:tcBorders>
              <w:top w:val="nil"/>
              <w:bottom w:val="nil"/>
            </w:tcBorders>
            <w:vAlign w:val="center"/>
          </w:tcPr>
          <w:p w:rsidR="00374F13" w:rsidRPr="005517C4" w:rsidRDefault="00374F13" w:rsidP="00461E9B">
            <w:pPr>
              <w:jc w:val="center"/>
              <w:rPr>
                <w:rFonts w:ascii="Times New Roman" w:hAnsi="Times New Roman" w:cs="Times New Roman"/>
                <w:noProof/>
                <w:sz w:val="24"/>
                <w:szCs w:val="24"/>
                <w:lang w:val="en-US"/>
              </w:rPr>
            </w:pPr>
          </w:p>
        </w:tc>
        <w:tc>
          <w:tcPr>
            <w:tcW w:w="4012" w:type="dxa"/>
            <w:gridSpan w:val="2"/>
            <w:vMerge/>
            <w:tcBorders>
              <w:top w:val="nil"/>
              <w:bottom w:val="nil"/>
            </w:tcBorders>
            <w:vAlign w:val="center"/>
          </w:tcPr>
          <w:p w:rsidR="00374F13" w:rsidRPr="005517C4" w:rsidRDefault="00374F13" w:rsidP="00461E9B">
            <w:pPr>
              <w:jc w:val="center"/>
              <w:rPr>
                <w:rFonts w:ascii="Times New Roman" w:hAnsi="Times New Roman" w:cs="Times New Roman"/>
                <w:noProof/>
                <w:sz w:val="24"/>
                <w:szCs w:val="24"/>
                <w:lang w:val="en-US"/>
              </w:rPr>
            </w:pPr>
          </w:p>
        </w:tc>
        <w:tc>
          <w:tcPr>
            <w:tcW w:w="1134" w:type="dxa"/>
            <w:tcBorders>
              <w:top w:val="nil"/>
              <w:bottom w:val="nil"/>
            </w:tcBorders>
            <w:vAlign w:val="center"/>
          </w:tcPr>
          <w:p w:rsidR="00374F13" w:rsidRPr="005517C4" w:rsidRDefault="00374F13" w:rsidP="00461E9B">
            <w:pPr>
              <w:jc w:val="center"/>
              <w:rPr>
                <w:rFonts w:ascii="Times New Roman" w:hAnsi="Times New Roman" w:cs="Times New Roman"/>
                <w:i/>
                <w:noProof/>
                <w:sz w:val="24"/>
                <w:szCs w:val="24"/>
                <w:lang w:val="en-US"/>
              </w:rPr>
            </w:pPr>
            <w:r w:rsidRPr="005517C4">
              <w:rPr>
                <w:rFonts w:ascii="Times New Roman" w:hAnsi="Times New Roman" w:cs="Times New Roman"/>
                <w:i/>
                <w:noProof/>
                <w:sz w:val="24"/>
                <w:szCs w:val="24"/>
                <w:lang w:val="en-US"/>
              </w:rPr>
              <w:t>Constant</w:t>
            </w:r>
          </w:p>
        </w:tc>
        <w:tc>
          <w:tcPr>
            <w:tcW w:w="1559" w:type="dxa"/>
            <w:tcBorders>
              <w:top w:val="nil"/>
              <w:bottom w:val="nil"/>
            </w:tcBorders>
            <w:vAlign w:val="center"/>
          </w:tcPr>
          <w:p w:rsidR="00374F13" w:rsidRPr="005517C4" w:rsidRDefault="00374F13" w:rsidP="00461E9B">
            <w:pPr>
              <w:jc w:val="center"/>
              <w:rPr>
                <w:rFonts w:ascii="Times New Roman" w:hAnsi="Times New Roman" w:cs="Times New Roman"/>
                <w:noProof/>
                <w:sz w:val="24"/>
                <w:szCs w:val="24"/>
                <w:lang w:val="en-US"/>
              </w:rPr>
            </w:pPr>
            <w:r w:rsidRPr="005517C4">
              <w:rPr>
                <w:rFonts w:ascii="Times New Roman" w:hAnsi="Times New Roman" w:cs="Times New Roman"/>
                <w:noProof/>
                <w:sz w:val="24"/>
                <w:szCs w:val="24"/>
                <w:lang w:val="en-US"/>
              </w:rPr>
              <w:t>-2.579</w:t>
            </w:r>
          </w:p>
        </w:tc>
        <w:tc>
          <w:tcPr>
            <w:tcW w:w="1701" w:type="dxa"/>
            <w:tcBorders>
              <w:top w:val="nil"/>
              <w:bottom w:val="nil"/>
            </w:tcBorders>
            <w:vAlign w:val="center"/>
          </w:tcPr>
          <w:p w:rsidR="00374F13" w:rsidRPr="005517C4" w:rsidRDefault="00374F13" w:rsidP="00461E9B">
            <w:pPr>
              <w:jc w:val="center"/>
              <w:rPr>
                <w:rFonts w:ascii="Times New Roman" w:hAnsi="Times New Roman" w:cs="Times New Roman"/>
                <w:noProof/>
                <w:sz w:val="24"/>
                <w:szCs w:val="24"/>
                <w:lang w:val="en-US"/>
              </w:rPr>
            </w:pPr>
            <w:r w:rsidRPr="005517C4">
              <w:rPr>
                <w:rFonts w:ascii="Times New Roman" w:hAnsi="Times New Roman" w:cs="Times New Roman"/>
                <w:noProof/>
                <w:sz w:val="24"/>
                <w:szCs w:val="24"/>
                <w:lang w:val="en-US"/>
              </w:rPr>
              <w:t>-1.262</w:t>
            </w:r>
          </w:p>
        </w:tc>
      </w:tr>
      <w:tr w:rsidR="00374F13" w:rsidRPr="005517C4" w:rsidTr="00461E9B">
        <w:trPr>
          <w:jc w:val="center"/>
        </w:trPr>
        <w:tc>
          <w:tcPr>
            <w:tcW w:w="1483" w:type="dxa"/>
            <w:vMerge/>
            <w:tcBorders>
              <w:top w:val="nil"/>
              <w:bottom w:val="single" w:sz="4" w:space="0" w:color="auto"/>
            </w:tcBorders>
            <w:vAlign w:val="center"/>
          </w:tcPr>
          <w:p w:rsidR="00374F13" w:rsidRPr="005517C4" w:rsidRDefault="00374F13" w:rsidP="00461E9B">
            <w:pPr>
              <w:jc w:val="center"/>
              <w:rPr>
                <w:rFonts w:ascii="Times New Roman" w:hAnsi="Times New Roman" w:cs="Times New Roman"/>
                <w:noProof/>
                <w:sz w:val="24"/>
                <w:szCs w:val="24"/>
                <w:lang w:val="en-US"/>
              </w:rPr>
            </w:pPr>
          </w:p>
        </w:tc>
        <w:tc>
          <w:tcPr>
            <w:tcW w:w="4012" w:type="dxa"/>
            <w:gridSpan w:val="2"/>
            <w:vMerge/>
            <w:tcBorders>
              <w:top w:val="nil"/>
              <w:bottom w:val="single" w:sz="4" w:space="0" w:color="auto"/>
            </w:tcBorders>
            <w:vAlign w:val="center"/>
          </w:tcPr>
          <w:p w:rsidR="00374F13" w:rsidRPr="005517C4" w:rsidRDefault="00374F13" w:rsidP="00461E9B">
            <w:pPr>
              <w:jc w:val="center"/>
              <w:rPr>
                <w:rFonts w:ascii="Times New Roman" w:hAnsi="Times New Roman" w:cs="Times New Roman"/>
                <w:noProof/>
                <w:sz w:val="24"/>
                <w:szCs w:val="24"/>
                <w:lang w:val="en-US"/>
              </w:rPr>
            </w:pPr>
          </w:p>
        </w:tc>
        <w:tc>
          <w:tcPr>
            <w:tcW w:w="1134" w:type="dxa"/>
            <w:tcBorders>
              <w:top w:val="nil"/>
              <w:bottom w:val="single" w:sz="4" w:space="0" w:color="auto"/>
            </w:tcBorders>
            <w:vAlign w:val="center"/>
          </w:tcPr>
          <w:p w:rsidR="00374F13" w:rsidRPr="005517C4" w:rsidRDefault="00374F13" w:rsidP="00461E9B">
            <w:pPr>
              <w:spacing w:line="276" w:lineRule="auto"/>
              <w:jc w:val="center"/>
              <w:rPr>
                <w:rFonts w:ascii="Times New Roman" w:hAnsi="Times New Roman" w:cs="Times New Roman"/>
                <w:i/>
                <w:noProof/>
                <w:sz w:val="24"/>
                <w:szCs w:val="24"/>
                <w:lang w:val="en-US"/>
              </w:rPr>
            </w:pPr>
            <w:r w:rsidRPr="005517C4">
              <w:rPr>
                <w:rFonts w:ascii="Times New Roman" w:hAnsi="Times New Roman" w:cs="Times New Roman"/>
                <w:i/>
                <w:noProof/>
                <w:sz w:val="24"/>
                <w:szCs w:val="24"/>
                <w:lang w:val="en-US"/>
              </w:rPr>
              <w:t>Log t</w:t>
            </w:r>
          </w:p>
        </w:tc>
        <w:tc>
          <w:tcPr>
            <w:tcW w:w="1559" w:type="dxa"/>
            <w:tcBorders>
              <w:top w:val="nil"/>
              <w:bottom w:val="single" w:sz="4" w:space="0" w:color="auto"/>
            </w:tcBorders>
            <w:vAlign w:val="center"/>
          </w:tcPr>
          <w:p w:rsidR="00374F13" w:rsidRPr="005517C4" w:rsidRDefault="00374F13" w:rsidP="00461E9B">
            <w:pPr>
              <w:jc w:val="center"/>
              <w:rPr>
                <w:rFonts w:ascii="Times New Roman" w:hAnsi="Times New Roman" w:cs="Times New Roman"/>
                <w:noProof/>
                <w:sz w:val="24"/>
                <w:szCs w:val="24"/>
                <w:lang w:val="en-US"/>
              </w:rPr>
            </w:pPr>
            <w:r w:rsidRPr="005517C4">
              <w:rPr>
                <w:rFonts w:ascii="Times New Roman" w:hAnsi="Times New Roman" w:cs="Times New Roman"/>
                <w:noProof/>
                <w:sz w:val="24"/>
                <w:szCs w:val="24"/>
                <w:lang w:val="en-US"/>
              </w:rPr>
              <w:t>0.766</w:t>
            </w:r>
          </w:p>
        </w:tc>
        <w:tc>
          <w:tcPr>
            <w:tcW w:w="1701" w:type="dxa"/>
            <w:tcBorders>
              <w:top w:val="nil"/>
              <w:bottom w:val="single" w:sz="4" w:space="0" w:color="auto"/>
            </w:tcBorders>
            <w:vAlign w:val="center"/>
          </w:tcPr>
          <w:p w:rsidR="00374F13" w:rsidRPr="005517C4" w:rsidRDefault="00374F13" w:rsidP="00461E9B">
            <w:pPr>
              <w:jc w:val="center"/>
              <w:rPr>
                <w:rFonts w:ascii="Times New Roman" w:hAnsi="Times New Roman" w:cs="Times New Roman"/>
                <w:noProof/>
                <w:sz w:val="24"/>
                <w:szCs w:val="24"/>
                <w:lang w:val="en-US"/>
              </w:rPr>
            </w:pPr>
            <w:r w:rsidRPr="005517C4">
              <w:rPr>
                <w:rFonts w:ascii="Times New Roman" w:hAnsi="Times New Roman" w:cs="Times New Roman"/>
                <w:noProof/>
                <w:sz w:val="24"/>
                <w:szCs w:val="24"/>
                <w:lang w:val="en-US"/>
              </w:rPr>
              <w:t>1.312</w:t>
            </w:r>
          </w:p>
        </w:tc>
      </w:tr>
      <w:tr w:rsidR="00374F13" w:rsidRPr="005517C4" w:rsidTr="00461E9B">
        <w:trPr>
          <w:jc w:val="center"/>
        </w:trPr>
        <w:tc>
          <w:tcPr>
            <w:tcW w:w="1483" w:type="dxa"/>
            <w:vMerge w:val="restart"/>
            <w:tcBorders>
              <w:top w:val="nil"/>
              <w:bottom w:val="nil"/>
            </w:tcBorders>
            <w:vAlign w:val="center"/>
          </w:tcPr>
          <w:p w:rsidR="00374F13" w:rsidRPr="005517C4" w:rsidRDefault="00374F13" w:rsidP="00461E9B">
            <w:pPr>
              <w:jc w:val="center"/>
              <w:rPr>
                <w:rFonts w:ascii="Times New Roman" w:hAnsi="Times New Roman" w:cs="Times New Roman"/>
                <w:noProof/>
                <w:sz w:val="24"/>
                <w:szCs w:val="24"/>
                <w:lang w:val="en-US"/>
              </w:rPr>
            </w:pPr>
            <w:r w:rsidRPr="005517C4">
              <w:rPr>
                <w:rFonts w:ascii="Times New Roman" w:hAnsi="Times New Roman" w:cs="Times New Roman"/>
                <w:noProof/>
                <w:sz w:val="24"/>
                <w:szCs w:val="24"/>
                <w:lang w:val="en-US"/>
              </w:rPr>
              <w:t>Second Convergence Club</w:t>
            </w:r>
          </w:p>
        </w:tc>
        <w:tc>
          <w:tcPr>
            <w:tcW w:w="4012" w:type="dxa"/>
            <w:gridSpan w:val="2"/>
            <w:vMerge w:val="restart"/>
            <w:tcBorders>
              <w:top w:val="nil"/>
              <w:bottom w:val="nil"/>
            </w:tcBorders>
            <w:vAlign w:val="center"/>
          </w:tcPr>
          <w:p w:rsidR="00374F13" w:rsidRPr="005517C4" w:rsidRDefault="00374F13" w:rsidP="00461E9B">
            <w:pPr>
              <w:jc w:val="center"/>
              <w:rPr>
                <w:rFonts w:ascii="Times New Roman" w:hAnsi="Times New Roman" w:cs="Times New Roman"/>
                <w:noProof/>
                <w:sz w:val="24"/>
                <w:szCs w:val="24"/>
                <w:lang w:val="en-US"/>
              </w:rPr>
            </w:pPr>
            <w:r w:rsidRPr="005517C4">
              <w:rPr>
                <w:rFonts w:ascii="Times New Roman" w:hAnsi="Times New Roman" w:cs="Times New Roman"/>
                <w:noProof/>
                <w:sz w:val="24"/>
                <w:szCs w:val="24"/>
                <w:lang w:val="en-US"/>
              </w:rPr>
              <w:t>Austria, Spain, Portugal, Netherland, Italy</w:t>
            </w:r>
          </w:p>
        </w:tc>
        <w:tc>
          <w:tcPr>
            <w:tcW w:w="1134" w:type="dxa"/>
            <w:tcBorders>
              <w:top w:val="nil"/>
              <w:bottom w:val="nil"/>
            </w:tcBorders>
            <w:vAlign w:val="center"/>
          </w:tcPr>
          <w:p w:rsidR="00374F13" w:rsidRPr="005517C4" w:rsidRDefault="00374F13" w:rsidP="00461E9B">
            <w:pPr>
              <w:jc w:val="center"/>
              <w:rPr>
                <w:rFonts w:ascii="Times New Roman" w:hAnsi="Times New Roman" w:cs="Times New Roman"/>
                <w:noProof/>
                <w:sz w:val="24"/>
                <w:szCs w:val="24"/>
                <w:lang w:val="en-US"/>
              </w:rPr>
            </w:pPr>
          </w:p>
        </w:tc>
        <w:tc>
          <w:tcPr>
            <w:tcW w:w="1559" w:type="dxa"/>
            <w:tcBorders>
              <w:top w:val="nil"/>
              <w:bottom w:val="nil"/>
            </w:tcBorders>
            <w:vAlign w:val="center"/>
          </w:tcPr>
          <w:p w:rsidR="00374F13" w:rsidRPr="005517C4" w:rsidRDefault="00374F13" w:rsidP="00461E9B">
            <w:pPr>
              <w:jc w:val="center"/>
              <w:rPr>
                <w:rFonts w:ascii="Times New Roman" w:hAnsi="Times New Roman" w:cs="Times New Roman"/>
                <w:i/>
                <w:noProof/>
                <w:sz w:val="24"/>
                <w:szCs w:val="24"/>
                <w:lang w:val="en-US"/>
              </w:rPr>
            </w:pPr>
            <w:r w:rsidRPr="005517C4">
              <w:rPr>
                <w:rFonts w:ascii="Times New Roman" w:hAnsi="Times New Roman" w:cs="Times New Roman"/>
                <w:i/>
                <w:noProof/>
                <w:sz w:val="24"/>
                <w:szCs w:val="24"/>
                <w:lang w:val="en-US"/>
              </w:rPr>
              <w:t>coefficient</w:t>
            </w:r>
          </w:p>
        </w:tc>
        <w:tc>
          <w:tcPr>
            <w:tcW w:w="1701" w:type="dxa"/>
            <w:tcBorders>
              <w:top w:val="nil"/>
              <w:bottom w:val="nil"/>
            </w:tcBorders>
            <w:vAlign w:val="center"/>
          </w:tcPr>
          <w:p w:rsidR="00374F13" w:rsidRPr="005517C4" w:rsidRDefault="00374F13" w:rsidP="00461E9B">
            <w:pPr>
              <w:jc w:val="center"/>
              <w:rPr>
                <w:rFonts w:ascii="Times New Roman" w:hAnsi="Times New Roman" w:cs="Times New Roman"/>
                <w:i/>
                <w:noProof/>
                <w:sz w:val="24"/>
                <w:szCs w:val="24"/>
                <w:lang w:val="en-US"/>
              </w:rPr>
            </w:pPr>
            <w:r w:rsidRPr="005517C4">
              <w:rPr>
                <w:rFonts w:ascii="Times New Roman" w:hAnsi="Times New Roman" w:cs="Times New Roman"/>
                <w:i/>
                <w:noProof/>
                <w:sz w:val="24"/>
                <w:szCs w:val="24"/>
                <w:lang w:val="en-US"/>
              </w:rPr>
              <w:t>t statistics</w:t>
            </w:r>
          </w:p>
        </w:tc>
      </w:tr>
      <w:tr w:rsidR="00374F13" w:rsidRPr="005517C4" w:rsidTr="00461E9B">
        <w:trPr>
          <w:jc w:val="center"/>
        </w:trPr>
        <w:tc>
          <w:tcPr>
            <w:tcW w:w="1483" w:type="dxa"/>
            <w:vMerge/>
            <w:tcBorders>
              <w:top w:val="nil"/>
              <w:bottom w:val="nil"/>
            </w:tcBorders>
            <w:vAlign w:val="center"/>
          </w:tcPr>
          <w:p w:rsidR="00374F13" w:rsidRPr="005517C4" w:rsidRDefault="00374F13" w:rsidP="00461E9B">
            <w:pPr>
              <w:jc w:val="center"/>
              <w:rPr>
                <w:rFonts w:ascii="Times New Roman" w:hAnsi="Times New Roman" w:cs="Times New Roman"/>
                <w:noProof/>
                <w:sz w:val="24"/>
                <w:szCs w:val="24"/>
                <w:lang w:val="en-US"/>
              </w:rPr>
            </w:pPr>
          </w:p>
        </w:tc>
        <w:tc>
          <w:tcPr>
            <w:tcW w:w="4012" w:type="dxa"/>
            <w:gridSpan w:val="2"/>
            <w:vMerge/>
            <w:tcBorders>
              <w:top w:val="nil"/>
              <w:bottom w:val="nil"/>
            </w:tcBorders>
            <w:vAlign w:val="center"/>
          </w:tcPr>
          <w:p w:rsidR="00374F13" w:rsidRPr="005517C4" w:rsidRDefault="00374F13" w:rsidP="00461E9B">
            <w:pPr>
              <w:jc w:val="center"/>
              <w:rPr>
                <w:rFonts w:ascii="Times New Roman" w:hAnsi="Times New Roman" w:cs="Times New Roman"/>
                <w:noProof/>
                <w:sz w:val="24"/>
                <w:szCs w:val="24"/>
                <w:lang w:val="en-US"/>
              </w:rPr>
            </w:pPr>
          </w:p>
        </w:tc>
        <w:tc>
          <w:tcPr>
            <w:tcW w:w="1134" w:type="dxa"/>
            <w:tcBorders>
              <w:top w:val="nil"/>
              <w:bottom w:val="nil"/>
            </w:tcBorders>
            <w:vAlign w:val="center"/>
          </w:tcPr>
          <w:p w:rsidR="00374F13" w:rsidRPr="005517C4" w:rsidRDefault="00374F13" w:rsidP="00461E9B">
            <w:pPr>
              <w:jc w:val="center"/>
              <w:rPr>
                <w:rFonts w:ascii="Times New Roman" w:hAnsi="Times New Roman" w:cs="Times New Roman"/>
                <w:i/>
                <w:noProof/>
                <w:sz w:val="24"/>
                <w:szCs w:val="24"/>
                <w:lang w:val="en-US"/>
              </w:rPr>
            </w:pPr>
            <w:r w:rsidRPr="005517C4">
              <w:rPr>
                <w:rFonts w:ascii="Times New Roman" w:hAnsi="Times New Roman" w:cs="Times New Roman"/>
                <w:i/>
                <w:noProof/>
                <w:sz w:val="24"/>
                <w:szCs w:val="24"/>
                <w:lang w:val="en-US"/>
              </w:rPr>
              <w:t>Constant</w:t>
            </w:r>
          </w:p>
        </w:tc>
        <w:tc>
          <w:tcPr>
            <w:tcW w:w="1559" w:type="dxa"/>
            <w:tcBorders>
              <w:top w:val="nil"/>
              <w:bottom w:val="nil"/>
            </w:tcBorders>
            <w:vAlign w:val="center"/>
          </w:tcPr>
          <w:p w:rsidR="00374F13" w:rsidRPr="005517C4" w:rsidRDefault="00374F13" w:rsidP="00461E9B">
            <w:pPr>
              <w:jc w:val="center"/>
              <w:rPr>
                <w:rFonts w:ascii="Times New Roman" w:hAnsi="Times New Roman" w:cs="Times New Roman"/>
                <w:noProof/>
                <w:sz w:val="24"/>
                <w:szCs w:val="24"/>
                <w:lang w:val="en-US"/>
              </w:rPr>
            </w:pPr>
            <w:r w:rsidRPr="005517C4">
              <w:rPr>
                <w:rFonts w:ascii="Times New Roman" w:hAnsi="Times New Roman" w:cs="Times New Roman"/>
                <w:noProof/>
                <w:sz w:val="24"/>
                <w:szCs w:val="24"/>
                <w:lang w:val="en-US"/>
              </w:rPr>
              <w:t>-5.145</w:t>
            </w:r>
          </w:p>
        </w:tc>
        <w:tc>
          <w:tcPr>
            <w:tcW w:w="1701" w:type="dxa"/>
            <w:tcBorders>
              <w:top w:val="nil"/>
              <w:bottom w:val="nil"/>
            </w:tcBorders>
            <w:vAlign w:val="center"/>
          </w:tcPr>
          <w:p w:rsidR="00374F13" w:rsidRPr="005517C4" w:rsidRDefault="00374F13" w:rsidP="00461E9B">
            <w:pPr>
              <w:jc w:val="center"/>
              <w:rPr>
                <w:rFonts w:ascii="Times New Roman" w:hAnsi="Times New Roman" w:cs="Times New Roman"/>
                <w:noProof/>
                <w:sz w:val="24"/>
                <w:szCs w:val="24"/>
                <w:lang w:val="en-US"/>
              </w:rPr>
            </w:pPr>
            <w:r w:rsidRPr="005517C4">
              <w:rPr>
                <w:rFonts w:ascii="Times New Roman" w:hAnsi="Times New Roman" w:cs="Times New Roman"/>
                <w:noProof/>
                <w:sz w:val="24"/>
                <w:szCs w:val="24"/>
                <w:lang w:val="en-US"/>
              </w:rPr>
              <w:t>-7.724</w:t>
            </w:r>
          </w:p>
        </w:tc>
      </w:tr>
      <w:tr w:rsidR="00374F13" w:rsidRPr="005517C4" w:rsidTr="00461E9B">
        <w:trPr>
          <w:jc w:val="center"/>
        </w:trPr>
        <w:tc>
          <w:tcPr>
            <w:tcW w:w="1483" w:type="dxa"/>
            <w:vMerge/>
            <w:tcBorders>
              <w:top w:val="nil"/>
              <w:bottom w:val="single" w:sz="4" w:space="0" w:color="auto"/>
            </w:tcBorders>
            <w:vAlign w:val="center"/>
          </w:tcPr>
          <w:p w:rsidR="00374F13" w:rsidRPr="005517C4" w:rsidRDefault="00374F13" w:rsidP="00461E9B">
            <w:pPr>
              <w:jc w:val="center"/>
              <w:rPr>
                <w:rFonts w:ascii="Times New Roman" w:hAnsi="Times New Roman" w:cs="Times New Roman"/>
                <w:noProof/>
                <w:sz w:val="24"/>
                <w:szCs w:val="24"/>
                <w:lang w:val="en-US"/>
              </w:rPr>
            </w:pPr>
          </w:p>
        </w:tc>
        <w:tc>
          <w:tcPr>
            <w:tcW w:w="4012" w:type="dxa"/>
            <w:gridSpan w:val="2"/>
            <w:vMerge/>
            <w:tcBorders>
              <w:top w:val="nil"/>
              <w:bottom w:val="single" w:sz="4" w:space="0" w:color="auto"/>
            </w:tcBorders>
            <w:vAlign w:val="center"/>
          </w:tcPr>
          <w:p w:rsidR="00374F13" w:rsidRPr="005517C4" w:rsidRDefault="00374F13" w:rsidP="00461E9B">
            <w:pPr>
              <w:jc w:val="center"/>
              <w:rPr>
                <w:rFonts w:ascii="Times New Roman" w:hAnsi="Times New Roman" w:cs="Times New Roman"/>
                <w:noProof/>
                <w:sz w:val="24"/>
                <w:szCs w:val="24"/>
                <w:lang w:val="en-US"/>
              </w:rPr>
            </w:pPr>
          </w:p>
        </w:tc>
        <w:tc>
          <w:tcPr>
            <w:tcW w:w="1134" w:type="dxa"/>
            <w:tcBorders>
              <w:top w:val="nil"/>
              <w:bottom w:val="single" w:sz="4" w:space="0" w:color="auto"/>
            </w:tcBorders>
            <w:vAlign w:val="center"/>
          </w:tcPr>
          <w:p w:rsidR="00374F13" w:rsidRPr="005517C4" w:rsidRDefault="00374F13" w:rsidP="00461E9B">
            <w:pPr>
              <w:jc w:val="center"/>
              <w:rPr>
                <w:rFonts w:ascii="Times New Roman" w:hAnsi="Times New Roman" w:cs="Times New Roman"/>
                <w:i/>
                <w:noProof/>
                <w:sz w:val="24"/>
                <w:szCs w:val="24"/>
                <w:lang w:val="en-US"/>
              </w:rPr>
            </w:pPr>
            <w:r w:rsidRPr="005517C4">
              <w:rPr>
                <w:rFonts w:ascii="Times New Roman" w:hAnsi="Times New Roman" w:cs="Times New Roman"/>
                <w:i/>
                <w:noProof/>
                <w:sz w:val="24"/>
                <w:szCs w:val="24"/>
                <w:lang w:val="en-US"/>
              </w:rPr>
              <w:t>Log t</w:t>
            </w:r>
          </w:p>
        </w:tc>
        <w:tc>
          <w:tcPr>
            <w:tcW w:w="1559" w:type="dxa"/>
            <w:tcBorders>
              <w:top w:val="nil"/>
              <w:bottom w:val="single" w:sz="4" w:space="0" w:color="auto"/>
            </w:tcBorders>
            <w:vAlign w:val="center"/>
          </w:tcPr>
          <w:p w:rsidR="00374F13" w:rsidRPr="005517C4" w:rsidRDefault="00374F13" w:rsidP="00461E9B">
            <w:pPr>
              <w:jc w:val="center"/>
              <w:rPr>
                <w:rFonts w:ascii="Times New Roman" w:hAnsi="Times New Roman" w:cs="Times New Roman"/>
                <w:noProof/>
                <w:sz w:val="24"/>
                <w:szCs w:val="24"/>
                <w:lang w:val="en-US"/>
              </w:rPr>
            </w:pPr>
            <w:r w:rsidRPr="005517C4">
              <w:rPr>
                <w:rFonts w:ascii="Times New Roman" w:hAnsi="Times New Roman" w:cs="Times New Roman"/>
                <w:noProof/>
                <w:sz w:val="24"/>
                <w:szCs w:val="24"/>
                <w:lang w:val="en-US"/>
              </w:rPr>
              <w:t>-0.228</w:t>
            </w:r>
          </w:p>
        </w:tc>
        <w:tc>
          <w:tcPr>
            <w:tcW w:w="1701" w:type="dxa"/>
            <w:tcBorders>
              <w:top w:val="nil"/>
              <w:bottom w:val="single" w:sz="4" w:space="0" w:color="auto"/>
            </w:tcBorders>
            <w:vAlign w:val="center"/>
          </w:tcPr>
          <w:p w:rsidR="00374F13" w:rsidRPr="005517C4" w:rsidRDefault="00374F13" w:rsidP="00461E9B">
            <w:pPr>
              <w:jc w:val="center"/>
              <w:rPr>
                <w:rFonts w:ascii="Times New Roman" w:hAnsi="Times New Roman" w:cs="Times New Roman"/>
                <w:noProof/>
                <w:sz w:val="24"/>
                <w:szCs w:val="24"/>
                <w:lang w:val="en-US"/>
              </w:rPr>
            </w:pPr>
            <w:r w:rsidRPr="005517C4">
              <w:rPr>
                <w:rFonts w:ascii="Times New Roman" w:hAnsi="Times New Roman" w:cs="Times New Roman"/>
                <w:noProof/>
                <w:sz w:val="24"/>
                <w:szCs w:val="24"/>
                <w:lang w:val="en-US"/>
              </w:rPr>
              <w:t>-1.201</w:t>
            </w:r>
          </w:p>
        </w:tc>
      </w:tr>
      <w:tr w:rsidR="00374F13" w:rsidRPr="005517C4" w:rsidTr="00461E9B">
        <w:trPr>
          <w:jc w:val="center"/>
        </w:trPr>
        <w:tc>
          <w:tcPr>
            <w:tcW w:w="1483" w:type="dxa"/>
            <w:vMerge w:val="restart"/>
            <w:tcBorders>
              <w:top w:val="single" w:sz="4" w:space="0" w:color="auto"/>
              <w:bottom w:val="nil"/>
            </w:tcBorders>
            <w:vAlign w:val="center"/>
          </w:tcPr>
          <w:p w:rsidR="00374F13" w:rsidRPr="005517C4" w:rsidRDefault="00374F13" w:rsidP="00461E9B">
            <w:pPr>
              <w:jc w:val="center"/>
              <w:rPr>
                <w:rFonts w:ascii="Times New Roman" w:hAnsi="Times New Roman" w:cs="Times New Roman"/>
                <w:noProof/>
                <w:sz w:val="24"/>
                <w:szCs w:val="24"/>
                <w:lang w:val="en-US"/>
              </w:rPr>
            </w:pPr>
            <w:r w:rsidRPr="005517C4">
              <w:rPr>
                <w:rFonts w:ascii="Times New Roman" w:hAnsi="Times New Roman" w:cs="Times New Roman"/>
                <w:noProof/>
                <w:sz w:val="24"/>
                <w:szCs w:val="24"/>
                <w:lang w:val="en-US"/>
              </w:rPr>
              <w:t>Third Convergence</w:t>
            </w:r>
          </w:p>
          <w:p w:rsidR="00374F13" w:rsidRPr="005517C4" w:rsidRDefault="00374F13" w:rsidP="00461E9B">
            <w:pPr>
              <w:jc w:val="center"/>
              <w:rPr>
                <w:rFonts w:ascii="Times New Roman" w:hAnsi="Times New Roman" w:cs="Times New Roman"/>
                <w:noProof/>
                <w:sz w:val="24"/>
                <w:szCs w:val="24"/>
                <w:lang w:val="en-US"/>
              </w:rPr>
            </w:pPr>
            <w:r w:rsidRPr="005517C4">
              <w:rPr>
                <w:rFonts w:ascii="Times New Roman" w:hAnsi="Times New Roman" w:cs="Times New Roman"/>
                <w:noProof/>
                <w:sz w:val="24"/>
                <w:szCs w:val="24"/>
                <w:lang w:val="en-US"/>
              </w:rPr>
              <w:t>Club</w:t>
            </w:r>
          </w:p>
          <w:p w:rsidR="00374F13" w:rsidRPr="005517C4" w:rsidRDefault="00374F13" w:rsidP="00461E9B">
            <w:pPr>
              <w:rPr>
                <w:rFonts w:ascii="Times New Roman" w:hAnsi="Times New Roman" w:cs="Times New Roman"/>
                <w:noProof/>
                <w:sz w:val="24"/>
                <w:szCs w:val="24"/>
                <w:lang w:val="en-US"/>
              </w:rPr>
            </w:pPr>
          </w:p>
        </w:tc>
        <w:tc>
          <w:tcPr>
            <w:tcW w:w="4012" w:type="dxa"/>
            <w:gridSpan w:val="2"/>
            <w:vMerge w:val="restart"/>
            <w:tcBorders>
              <w:top w:val="single" w:sz="4" w:space="0" w:color="auto"/>
              <w:bottom w:val="nil"/>
            </w:tcBorders>
            <w:vAlign w:val="center"/>
          </w:tcPr>
          <w:p w:rsidR="00374F13" w:rsidRPr="005517C4" w:rsidRDefault="00374F13" w:rsidP="00461E9B">
            <w:pPr>
              <w:jc w:val="center"/>
              <w:rPr>
                <w:rFonts w:ascii="Times New Roman" w:hAnsi="Times New Roman" w:cs="Times New Roman"/>
                <w:noProof/>
                <w:sz w:val="24"/>
                <w:szCs w:val="24"/>
                <w:lang w:val="en-US"/>
              </w:rPr>
            </w:pPr>
            <w:r w:rsidRPr="005517C4">
              <w:rPr>
                <w:rFonts w:ascii="Times New Roman" w:hAnsi="Times New Roman" w:cs="Times New Roman"/>
                <w:noProof/>
                <w:sz w:val="24"/>
                <w:szCs w:val="24"/>
                <w:lang w:val="en-US"/>
              </w:rPr>
              <w:t>Belgium, United Kingdom, Sweden, Romania, Luxembourg, Ireland, Hungary, Germany, France, Finland, Denmark, Bulgaria, Poland</w:t>
            </w:r>
          </w:p>
        </w:tc>
        <w:tc>
          <w:tcPr>
            <w:tcW w:w="1134" w:type="dxa"/>
            <w:tcBorders>
              <w:top w:val="single" w:sz="4" w:space="0" w:color="auto"/>
              <w:bottom w:val="nil"/>
            </w:tcBorders>
            <w:vAlign w:val="center"/>
          </w:tcPr>
          <w:p w:rsidR="00374F13" w:rsidRPr="005517C4" w:rsidRDefault="00374F13" w:rsidP="00461E9B">
            <w:pPr>
              <w:jc w:val="center"/>
              <w:rPr>
                <w:rFonts w:ascii="Times New Roman" w:hAnsi="Times New Roman" w:cs="Times New Roman"/>
                <w:noProof/>
                <w:sz w:val="24"/>
                <w:szCs w:val="24"/>
                <w:lang w:val="en-US"/>
              </w:rPr>
            </w:pPr>
          </w:p>
        </w:tc>
        <w:tc>
          <w:tcPr>
            <w:tcW w:w="1559" w:type="dxa"/>
            <w:tcBorders>
              <w:top w:val="single" w:sz="4" w:space="0" w:color="auto"/>
              <w:bottom w:val="nil"/>
            </w:tcBorders>
            <w:vAlign w:val="center"/>
          </w:tcPr>
          <w:p w:rsidR="00374F13" w:rsidRPr="005517C4" w:rsidRDefault="00374F13" w:rsidP="00461E9B">
            <w:pPr>
              <w:jc w:val="center"/>
              <w:rPr>
                <w:rFonts w:ascii="Times New Roman" w:hAnsi="Times New Roman" w:cs="Times New Roman"/>
                <w:i/>
                <w:noProof/>
                <w:sz w:val="24"/>
                <w:szCs w:val="24"/>
                <w:lang w:val="en-US"/>
              </w:rPr>
            </w:pPr>
            <w:r w:rsidRPr="005517C4">
              <w:rPr>
                <w:rFonts w:ascii="Times New Roman" w:hAnsi="Times New Roman" w:cs="Times New Roman"/>
                <w:i/>
                <w:noProof/>
                <w:sz w:val="24"/>
                <w:szCs w:val="24"/>
                <w:lang w:val="en-US"/>
              </w:rPr>
              <w:t>coefficient</w:t>
            </w:r>
          </w:p>
        </w:tc>
        <w:tc>
          <w:tcPr>
            <w:tcW w:w="1701" w:type="dxa"/>
            <w:tcBorders>
              <w:top w:val="single" w:sz="4" w:space="0" w:color="auto"/>
              <w:bottom w:val="nil"/>
            </w:tcBorders>
            <w:vAlign w:val="center"/>
          </w:tcPr>
          <w:p w:rsidR="00374F13" w:rsidRPr="005517C4" w:rsidRDefault="00374F13" w:rsidP="00461E9B">
            <w:pPr>
              <w:jc w:val="center"/>
              <w:rPr>
                <w:rFonts w:ascii="Times New Roman" w:hAnsi="Times New Roman" w:cs="Times New Roman"/>
                <w:i/>
                <w:noProof/>
                <w:sz w:val="24"/>
                <w:szCs w:val="24"/>
                <w:lang w:val="en-US"/>
              </w:rPr>
            </w:pPr>
            <w:r w:rsidRPr="005517C4">
              <w:rPr>
                <w:rFonts w:ascii="Times New Roman" w:hAnsi="Times New Roman" w:cs="Times New Roman"/>
                <w:i/>
                <w:noProof/>
                <w:sz w:val="24"/>
                <w:szCs w:val="24"/>
                <w:lang w:val="en-US"/>
              </w:rPr>
              <w:t>t statistics</w:t>
            </w:r>
          </w:p>
        </w:tc>
      </w:tr>
      <w:tr w:rsidR="00374F13" w:rsidRPr="005517C4" w:rsidTr="00461E9B">
        <w:trPr>
          <w:jc w:val="center"/>
        </w:trPr>
        <w:tc>
          <w:tcPr>
            <w:tcW w:w="1483" w:type="dxa"/>
            <w:vMerge/>
            <w:tcBorders>
              <w:top w:val="nil"/>
              <w:bottom w:val="nil"/>
            </w:tcBorders>
          </w:tcPr>
          <w:p w:rsidR="00374F13" w:rsidRPr="005517C4" w:rsidRDefault="00374F13" w:rsidP="00461E9B">
            <w:pPr>
              <w:jc w:val="both"/>
              <w:rPr>
                <w:rFonts w:ascii="Times New Roman" w:hAnsi="Times New Roman" w:cs="Times New Roman"/>
                <w:noProof/>
                <w:sz w:val="24"/>
                <w:szCs w:val="24"/>
                <w:lang w:val="en-US"/>
              </w:rPr>
            </w:pPr>
          </w:p>
        </w:tc>
        <w:tc>
          <w:tcPr>
            <w:tcW w:w="4012" w:type="dxa"/>
            <w:gridSpan w:val="2"/>
            <w:vMerge/>
            <w:tcBorders>
              <w:top w:val="nil"/>
              <w:bottom w:val="nil"/>
            </w:tcBorders>
            <w:vAlign w:val="center"/>
          </w:tcPr>
          <w:p w:rsidR="00374F13" w:rsidRPr="005517C4" w:rsidRDefault="00374F13" w:rsidP="00461E9B">
            <w:pPr>
              <w:jc w:val="center"/>
              <w:rPr>
                <w:rFonts w:ascii="Times New Roman" w:hAnsi="Times New Roman" w:cs="Times New Roman"/>
                <w:noProof/>
                <w:sz w:val="24"/>
                <w:szCs w:val="24"/>
                <w:lang w:val="en-US"/>
              </w:rPr>
            </w:pPr>
          </w:p>
        </w:tc>
        <w:tc>
          <w:tcPr>
            <w:tcW w:w="1134" w:type="dxa"/>
            <w:tcBorders>
              <w:top w:val="nil"/>
              <w:bottom w:val="nil"/>
            </w:tcBorders>
            <w:vAlign w:val="center"/>
          </w:tcPr>
          <w:p w:rsidR="00374F13" w:rsidRPr="005517C4" w:rsidRDefault="00374F13" w:rsidP="00461E9B">
            <w:pPr>
              <w:jc w:val="center"/>
              <w:rPr>
                <w:rFonts w:ascii="Times New Roman" w:hAnsi="Times New Roman" w:cs="Times New Roman"/>
                <w:i/>
                <w:noProof/>
                <w:sz w:val="24"/>
                <w:szCs w:val="24"/>
                <w:lang w:val="en-US"/>
              </w:rPr>
            </w:pPr>
            <w:r w:rsidRPr="005517C4">
              <w:rPr>
                <w:rFonts w:ascii="Times New Roman" w:hAnsi="Times New Roman" w:cs="Times New Roman"/>
                <w:i/>
                <w:noProof/>
                <w:sz w:val="24"/>
                <w:szCs w:val="24"/>
                <w:lang w:val="en-US"/>
              </w:rPr>
              <w:t>Constant</w:t>
            </w:r>
          </w:p>
        </w:tc>
        <w:tc>
          <w:tcPr>
            <w:tcW w:w="1559" w:type="dxa"/>
            <w:tcBorders>
              <w:top w:val="nil"/>
              <w:bottom w:val="nil"/>
            </w:tcBorders>
            <w:vAlign w:val="center"/>
          </w:tcPr>
          <w:p w:rsidR="00374F13" w:rsidRPr="005517C4" w:rsidRDefault="00374F13" w:rsidP="00461E9B">
            <w:pPr>
              <w:jc w:val="center"/>
              <w:rPr>
                <w:rFonts w:ascii="Times New Roman" w:hAnsi="Times New Roman" w:cs="Times New Roman"/>
                <w:noProof/>
                <w:sz w:val="24"/>
                <w:szCs w:val="24"/>
                <w:lang w:val="en-US"/>
              </w:rPr>
            </w:pPr>
            <w:r w:rsidRPr="005517C4">
              <w:rPr>
                <w:rFonts w:ascii="Times New Roman" w:hAnsi="Times New Roman" w:cs="Times New Roman"/>
                <w:noProof/>
                <w:sz w:val="24"/>
                <w:szCs w:val="24"/>
                <w:lang w:val="en-US"/>
              </w:rPr>
              <w:t>-7.166</w:t>
            </w:r>
          </w:p>
        </w:tc>
        <w:tc>
          <w:tcPr>
            <w:tcW w:w="1701" w:type="dxa"/>
            <w:tcBorders>
              <w:top w:val="nil"/>
              <w:bottom w:val="nil"/>
            </w:tcBorders>
            <w:vAlign w:val="center"/>
          </w:tcPr>
          <w:p w:rsidR="00374F13" w:rsidRPr="005517C4" w:rsidRDefault="00374F13" w:rsidP="00461E9B">
            <w:pPr>
              <w:jc w:val="center"/>
              <w:rPr>
                <w:rFonts w:ascii="Times New Roman" w:hAnsi="Times New Roman" w:cs="Times New Roman"/>
                <w:noProof/>
                <w:sz w:val="24"/>
                <w:szCs w:val="24"/>
                <w:lang w:val="en-US"/>
              </w:rPr>
            </w:pPr>
            <w:r w:rsidRPr="005517C4">
              <w:rPr>
                <w:rFonts w:ascii="Times New Roman" w:hAnsi="Times New Roman" w:cs="Times New Roman"/>
                <w:noProof/>
                <w:sz w:val="24"/>
                <w:szCs w:val="24"/>
                <w:lang w:val="en-US"/>
              </w:rPr>
              <w:t>-13.038</w:t>
            </w:r>
          </w:p>
        </w:tc>
      </w:tr>
      <w:tr w:rsidR="00374F13" w:rsidRPr="005517C4" w:rsidTr="00461E9B">
        <w:trPr>
          <w:jc w:val="center"/>
        </w:trPr>
        <w:tc>
          <w:tcPr>
            <w:tcW w:w="1483" w:type="dxa"/>
            <w:vMerge/>
            <w:tcBorders>
              <w:top w:val="nil"/>
              <w:bottom w:val="single" w:sz="4" w:space="0" w:color="auto"/>
            </w:tcBorders>
          </w:tcPr>
          <w:p w:rsidR="00374F13" w:rsidRPr="005517C4" w:rsidRDefault="00374F13" w:rsidP="00461E9B">
            <w:pPr>
              <w:jc w:val="both"/>
              <w:rPr>
                <w:rFonts w:ascii="Times New Roman" w:hAnsi="Times New Roman" w:cs="Times New Roman"/>
                <w:noProof/>
                <w:sz w:val="24"/>
                <w:szCs w:val="24"/>
                <w:lang w:val="en-US"/>
              </w:rPr>
            </w:pPr>
          </w:p>
        </w:tc>
        <w:tc>
          <w:tcPr>
            <w:tcW w:w="4012" w:type="dxa"/>
            <w:gridSpan w:val="2"/>
            <w:vMerge/>
            <w:tcBorders>
              <w:top w:val="nil"/>
              <w:bottom w:val="single" w:sz="4" w:space="0" w:color="auto"/>
            </w:tcBorders>
            <w:vAlign w:val="center"/>
          </w:tcPr>
          <w:p w:rsidR="00374F13" w:rsidRPr="005517C4" w:rsidRDefault="00374F13" w:rsidP="00461E9B">
            <w:pPr>
              <w:jc w:val="center"/>
              <w:rPr>
                <w:rFonts w:ascii="Times New Roman" w:hAnsi="Times New Roman" w:cs="Times New Roman"/>
                <w:noProof/>
                <w:sz w:val="24"/>
                <w:szCs w:val="24"/>
                <w:lang w:val="en-US"/>
              </w:rPr>
            </w:pPr>
          </w:p>
        </w:tc>
        <w:tc>
          <w:tcPr>
            <w:tcW w:w="1134" w:type="dxa"/>
            <w:tcBorders>
              <w:top w:val="nil"/>
              <w:bottom w:val="single" w:sz="4" w:space="0" w:color="auto"/>
            </w:tcBorders>
            <w:vAlign w:val="center"/>
          </w:tcPr>
          <w:p w:rsidR="00374F13" w:rsidRPr="005517C4" w:rsidRDefault="00374F13" w:rsidP="00461E9B">
            <w:pPr>
              <w:jc w:val="center"/>
              <w:rPr>
                <w:rFonts w:ascii="Times New Roman" w:hAnsi="Times New Roman" w:cs="Times New Roman"/>
                <w:i/>
                <w:noProof/>
                <w:sz w:val="24"/>
                <w:szCs w:val="24"/>
                <w:lang w:val="en-US"/>
              </w:rPr>
            </w:pPr>
            <w:r w:rsidRPr="005517C4">
              <w:rPr>
                <w:rFonts w:ascii="Times New Roman" w:hAnsi="Times New Roman" w:cs="Times New Roman"/>
                <w:i/>
                <w:noProof/>
                <w:sz w:val="24"/>
                <w:szCs w:val="24"/>
                <w:lang w:val="en-US"/>
              </w:rPr>
              <w:t>Log t</w:t>
            </w:r>
          </w:p>
        </w:tc>
        <w:tc>
          <w:tcPr>
            <w:tcW w:w="1559" w:type="dxa"/>
            <w:tcBorders>
              <w:top w:val="nil"/>
              <w:bottom w:val="single" w:sz="4" w:space="0" w:color="auto"/>
            </w:tcBorders>
            <w:vAlign w:val="center"/>
          </w:tcPr>
          <w:p w:rsidR="00374F13" w:rsidRPr="005517C4" w:rsidRDefault="00374F13" w:rsidP="00461E9B">
            <w:pPr>
              <w:jc w:val="center"/>
              <w:rPr>
                <w:rFonts w:ascii="Times New Roman" w:hAnsi="Times New Roman" w:cs="Times New Roman"/>
                <w:noProof/>
                <w:sz w:val="24"/>
                <w:szCs w:val="24"/>
                <w:lang w:val="en-US"/>
              </w:rPr>
            </w:pPr>
            <w:r w:rsidRPr="005517C4">
              <w:rPr>
                <w:rFonts w:ascii="Times New Roman" w:hAnsi="Times New Roman" w:cs="Times New Roman"/>
                <w:noProof/>
                <w:sz w:val="24"/>
                <w:szCs w:val="24"/>
                <w:lang w:val="en-US"/>
              </w:rPr>
              <w:t>0.795</w:t>
            </w:r>
          </w:p>
        </w:tc>
        <w:tc>
          <w:tcPr>
            <w:tcW w:w="1701" w:type="dxa"/>
            <w:tcBorders>
              <w:top w:val="nil"/>
              <w:bottom w:val="single" w:sz="4" w:space="0" w:color="auto"/>
            </w:tcBorders>
            <w:vAlign w:val="center"/>
          </w:tcPr>
          <w:p w:rsidR="00374F13" w:rsidRPr="005517C4" w:rsidRDefault="00374F13" w:rsidP="00461E9B">
            <w:pPr>
              <w:jc w:val="center"/>
              <w:rPr>
                <w:rFonts w:ascii="Times New Roman" w:hAnsi="Times New Roman" w:cs="Times New Roman"/>
                <w:noProof/>
                <w:sz w:val="24"/>
                <w:szCs w:val="24"/>
                <w:lang w:val="en-US"/>
              </w:rPr>
            </w:pPr>
            <w:r w:rsidRPr="005517C4">
              <w:rPr>
                <w:rFonts w:ascii="Times New Roman" w:hAnsi="Times New Roman" w:cs="Times New Roman"/>
                <w:noProof/>
                <w:sz w:val="24"/>
                <w:szCs w:val="24"/>
                <w:lang w:val="en-US"/>
              </w:rPr>
              <w:t>5.066</w:t>
            </w:r>
          </w:p>
        </w:tc>
      </w:tr>
      <w:tr w:rsidR="00374F13" w:rsidRPr="005517C4" w:rsidTr="00461E9B">
        <w:trPr>
          <w:jc w:val="center"/>
        </w:trPr>
        <w:tc>
          <w:tcPr>
            <w:tcW w:w="4237" w:type="dxa"/>
            <w:gridSpan w:val="2"/>
            <w:vMerge w:val="restart"/>
            <w:tcBorders>
              <w:top w:val="single" w:sz="4" w:space="0" w:color="auto"/>
            </w:tcBorders>
            <w:vAlign w:val="center"/>
          </w:tcPr>
          <w:p w:rsidR="00374F13" w:rsidRPr="005517C4" w:rsidRDefault="00374F13" w:rsidP="00461E9B">
            <w:pPr>
              <w:jc w:val="center"/>
              <w:rPr>
                <w:rFonts w:ascii="Times New Roman" w:hAnsi="Times New Roman" w:cs="Times New Roman"/>
                <w:noProof/>
                <w:sz w:val="24"/>
                <w:szCs w:val="24"/>
                <w:lang w:val="en-US"/>
              </w:rPr>
            </w:pPr>
            <w:r w:rsidRPr="005517C4">
              <w:rPr>
                <w:rFonts w:ascii="Times New Roman" w:hAnsi="Times New Roman" w:cs="Times New Roman"/>
                <w:noProof/>
                <w:sz w:val="24"/>
                <w:szCs w:val="24"/>
                <w:lang w:val="en-US"/>
              </w:rPr>
              <w:t>Club merging statistics</w:t>
            </w:r>
          </w:p>
        </w:tc>
        <w:tc>
          <w:tcPr>
            <w:tcW w:w="2392" w:type="dxa"/>
            <w:gridSpan w:val="2"/>
            <w:tcBorders>
              <w:top w:val="single" w:sz="4" w:space="0" w:color="auto"/>
              <w:bottom w:val="nil"/>
            </w:tcBorders>
          </w:tcPr>
          <w:p w:rsidR="00374F13" w:rsidRPr="005517C4" w:rsidRDefault="00374F13" w:rsidP="00461E9B">
            <w:pPr>
              <w:jc w:val="right"/>
              <w:rPr>
                <w:rFonts w:ascii="Times New Roman" w:hAnsi="Times New Roman" w:cs="Times New Roman"/>
                <w:noProof/>
                <w:sz w:val="24"/>
                <w:szCs w:val="24"/>
                <w:lang w:val="en-US"/>
              </w:rPr>
            </w:pPr>
          </w:p>
        </w:tc>
        <w:tc>
          <w:tcPr>
            <w:tcW w:w="1559" w:type="dxa"/>
            <w:tcBorders>
              <w:top w:val="single" w:sz="4" w:space="0" w:color="auto"/>
            </w:tcBorders>
            <w:vAlign w:val="center"/>
          </w:tcPr>
          <w:p w:rsidR="00374F13" w:rsidRPr="005517C4" w:rsidRDefault="00374F13" w:rsidP="00461E9B">
            <w:pPr>
              <w:jc w:val="center"/>
              <w:rPr>
                <w:rFonts w:ascii="Times New Roman" w:hAnsi="Times New Roman" w:cs="Times New Roman"/>
                <w:i/>
                <w:noProof/>
                <w:sz w:val="24"/>
                <w:szCs w:val="24"/>
                <w:lang w:val="en-US"/>
              </w:rPr>
            </w:pPr>
            <w:r w:rsidRPr="005517C4">
              <w:rPr>
                <w:rFonts w:ascii="Times New Roman" w:hAnsi="Times New Roman" w:cs="Times New Roman"/>
                <w:i/>
                <w:noProof/>
                <w:sz w:val="24"/>
                <w:szCs w:val="24"/>
                <w:lang w:val="en-US"/>
              </w:rPr>
              <w:t>coefficient</w:t>
            </w:r>
          </w:p>
        </w:tc>
        <w:tc>
          <w:tcPr>
            <w:tcW w:w="1701" w:type="dxa"/>
            <w:tcBorders>
              <w:top w:val="single" w:sz="4" w:space="0" w:color="auto"/>
            </w:tcBorders>
            <w:vAlign w:val="center"/>
          </w:tcPr>
          <w:p w:rsidR="00374F13" w:rsidRPr="005517C4" w:rsidRDefault="00374F13" w:rsidP="00461E9B">
            <w:pPr>
              <w:jc w:val="center"/>
              <w:rPr>
                <w:rFonts w:ascii="Times New Roman" w:hAnsi="Times New Roman" w:cs="Times New Roman"/>
                <w:i/>
                <w:noProof/>
                <w:sz w:val="24"/>
                <w:szCs w:val="24"/>
                <w:lang w:val="en-US"/>
              </w:rPr>
            </w:pPr>
            <w:r w:rsidRPr="005517C4">
              <w:rPr>
                <w:rFonts w:ascii="Times New Roman" w:hAnsi="Times New Roman" w:cs="Times New Roman"/>
                <w:i/>
                <w:noProof/>
                <w:sz w:val="24"/>
                <w:szCs w:val="24"/>
                <w:lang w:val="en-US"/>
              </w:rPr>
              <w:t>t statistics</w:t>
            </w:r>
          </w:p>
        </w:tc>
      </w:tr>
      <w:tr w:rsidR="00374F13" w:rsidRPr="005517C4" w:rsidTr="00461E9B">
        <w:trPr>
          <w:jc w:val="center"/>
        </w:trPr>
        <w:tc>
          <w:tcPr>
            <w:tcW w:w="4237" w:type="dxa"/>
            <w:gridSpan w:val="2"/>
            <w:vMerge/>
          </w:tcPr>
          <w:p w:rsidR="00374F13" w:rsidRPr="005517C4" w:rsidRDefault="00374F13" w:rsidP="00461E9B">
            <w:pPr>
              <w:jc w:val="both"/>
              <w:rPr>
                <w:rFonts w:ascii="Times New Roman" w:hAnsi="Times New Roman" w:cs="Times New Roman"/>
                <w:noProof/>
                <w:sz w:val="24"/>
                <w:szCs w:val="24"/>
                <w:lang w:val="en-US"/>
              </w:rPr>
            </w:pPr>
          </w:p>
        </w:tc>
        <w:tc>
          <w:tcPr>
            <w:tcW w:w="2392" w:type="dxa"/>
            <w:gridSpan w:val="2"/>
            <w:tcBorders>
              <w:top w:val="nil"/>
            </w:tcBorders>
          </w:tcPr>
          <w:p w:rsidR="00374F13" w:rsidRPr="005517C4" w:rsidRDefault="00374F13" w:rsidP="00461E9B">
            <w:pPr>
              <w:jc w:val="right"/>
              <w:rPr>
                <w:rFonts w:ascii="Times New Roman" w:hAnsi="Times New Roman" w:cs="Times New Roman"/>
                <w:noProof/>
                <w:sz w:val="24"/>
                <w:szCs w:val="24"/>
                <w:lang w:val="en-US"/>
              </w:rPr>
            </w:pPr>
            <w:r w:rsidRPr="005517C4">
              <w:rPr>
                <w:rFonts w:ascii="Times New Roman" w:hAnsi="Times New Roman" w:cs="Times New Roman"/>
                <w:noProof/>
                <w:sz w:val="24"/>
                <w:szCs w:val="24"/>
                <w:lang w:val="en-US"/>
              </w:rPr>
              <w:t>Club 1 + Club2</w:t>
            </w:r>
          </w:p>
        </w:tc>
        <w:tc>
          <w:tcPr>
            <w:tcW w:w="1559" w:type="dxa"/>
          </w:tcPr>
          <w:p w:rsidR="00374F13" w:rsidRPr="005517C4" w:rsidRDefault="00374F13" w:rsidP="00461E9B">
            <w:pPr>
              <w:jc w:val="center"/>
              <w:rPr>
                <w:rFonts w:ascii="Times New Roman" w:hAnsi="Times New Roman" w:cs="Times New Roman"/>
                <w:noProof/>
                <w:sz w:val="24"/>
                <w:szCs w:val="24"/>
                <w:lang w:val="en-US"/>
              </w:rPr>
            </w:pPr>
            <w:r w:rsidRPr="005517C4">
              <w:rPr>
                <w:rFonts w:ascii="Times New Roman" w:hAnsi="Times New Roman" w:cs="Times New Roman"/>
                <w:noProof/>
                <w:sz w:val="24"/>
                <w:szCs w:val="24"/>
                <w:lang w:val="en-US"/>
              </w:rPr>
              <w:t>-0.065</w:t>
            </w:r>
          </w:p>
        </w:tc>
        <w:tc>
          <w:tcPr>
            <w:tcW w:w="1701" w:type="dxa"/>
          </w:tcPr>
          <w:p w:rsidR="00374F13" w:rsidRPr="005517C4" w:rsidRDefault="00374F13" w:rsidP="00461E9B">
            <w:pPr>
              <w:jc w:val="center"/>
              <w:rPr>
                <w:rFonts w:ascii="Times New Roman" w:hAnsi="Times New Roman" w:cs="Times New Roman"/>
                <w:noProof/>
                <w:sz w:val="24"/>
                <w:szCs w:val="24"/>
                <w:lang w:val="en-US"/>
              </w:rPr>
            </w:pPr>
            <w:r w:rsidRPr="005517C4">
              <w:rPr>
                <w:rFonts w:ascii="Times New Roman" w:hAnsi="Times New Roman" w:cs="Times New Roman"/>
                <w:noProof/>
                <w:sz w:val="24"/>
                <w:szCs w:val="24"/>
                <w:lang w:val="en-US"/>
              </w:rPr>
              <w:t>-7.230</w:t>
            </w:r>
          </w:p>
        </w:tc>
      </w:tr>
      <w:tr w:rsidR="00374F13" w:rsidRPr="005517C4" w:rsidTr="00461E9B">
        <w:trPr>
          <w:jc w:val="center"/>
        </w:trPr>
        <w:tc>
          <w:tcPr>
            <w:tcW w:w="4237" w:type="dxa"/>
            <w:gridSpan w:val="2"/>
            <w:vMerge/>
          </w:tcPr>
          <w:p w:rsidR="00374F13" w:rsidRPr="005517C4" w:rsidRDefault="00374F13" w:rsidP="00461E9B">
            <w:pPr>
              <w:jc w:val="both"/>
              <w:rPr>
                <w:rFonts w:ascii="Times New Roman" w:hAnsi="Times New Roman" w:cs="Times New Roman"/>
                <w:noProof/>
                <w:sz w:val="24"/>
                <w:szCs w:val="24"/>
                <w:lang w:val="en-US"/>
              </w:rPr>
            </w:pPr>
          </w:p>
        </w:tc>
        <w:tc>
          <w:tcPr>
            <w:tcW w:w="2392" w:type="dxa"/>
            <w:gridSpan w:val="2"/>
          </w:tcPr>
          <w:p w:rsidR="00374F13" w:rsidRPr="005517C4" w:rsidRDefault="00374F13" w:rsidP="00461E9B">
            <w:pPr>
              <w:jc w:val="right"/>
              <w:rPr>
                <w:rFonts w:ascii="Times New Roman" w:hAnsi="Times New Roman" w:cs="Times New Roman"/>
                <w:noProof/>
                <w:sz w:val="24"/>
                <w:szCs w:val="24"/>
                <w:lang w:val="en-US"/>
              </w:rPr>
            </w:pPr>
            <w:r w:rsidRPr="005517C4">
              <w:rPr>
                <w:rFonts w:ascii="Times New Roman" w:hAnsi="Times New Roman" w:cs="Times New Roman"/>
                <w:noProof/>
                <w:sz w:val="24"/>
                <w:szCs w:val="24"/>
                <w:lang w:val="en-US"/>
              </w:rPr>
              <w:t>Club 1 + Club 3</w:t>
            </w:r>
          </w:p>
        </w:tc>
        <w:tc>
          <w:tcPr>
            <w:tcW w:w="1559" w:type="dxa"/>
          </w:tcPr>
          <w:p w:rsidR="00374F13" w:rsidRPr="005517C4" w:rsidRDefault="00374F13" w:rsidP="00461E9B">
            <w:pPr>
              <w:jc w:val="center"/>
              <w:rPr>
                <w:rFonts w:ascii="Times New Roman" w:hAnsi="Times New Roman" w:cs="Times New Roman"/>
                <w:noProof/>
                <w:sz w:val="24"/>
                <w:szCs w:val="24"/>
                <w:lang w:val="en-US"/>
              </w:rPr>
            </w:pPr>
            <w:r w:rsidRPr="005517C4">
              <w:rPr>
                <w:rFonts w:ascii="Times New Roman" w:hAnsi="Times New Roman" w:cs="Times New Roman"/>
                <w:noProof/>
                <w:sz w:val="24"/>
                <w:szCs w:val="24"/>
                <w:lang w:val="en-US"/>
              </w:rPr>
              <w:t>0.360</w:t>
            </w:r>
          </w:p>
        </w:tc>
        <w:tc>
          <w:tcPr>
            <w:tcW w:w="1701" w:type="dxa"/>
          </w:tcPr>
          <w:p w:rsidR="00374F13" w:rsidRPr="005517C4" w:rsidRDefault="00374F13" w:rsidP="00461E9B">
            <w:pPr>
              <w:jc w:val="center"/>
              <w:rPr>
                <w:rFonts w:ascii="Times New Roman" w:hAnsi="Times New Roman" w:cs="Times New Roman"/>
                <w:noProof/>
                <w:sz w:val="24"/>
                <w:szCs w:val="24"/>
                <w:lang w:val="en-US"/>
              </w:rPr>
            </w:pPr>
            <w:r w:rsidRPr="005517C4">
              <w:rPr>
                <w:rFonts w:ascii="Times New Roman" w:hAnsi="Times New Roman" w:cs="Times New Roman"/>
                <w:noProof/>
                <w:sz w:val="24"/>
                <w:szCs w:val="24"/>
                <w:lang w:val="en-US"/>
              </w:rPr>
              <w:t>4.514</w:t>
            </w:r>
          </w:p>
        </w:tc>
      </w:tr>
      <w:tr w:rsidR="00374F13" w:rsidRPr="005517C4" w:rsidTr="00461E9B">
        <w:trPr>
          <w:jc w:val="center"/>
        </w:trPr>
        <w:tc>
          <w:tcPr>
            <w:tcW w:w="4237" w:type="dxa"/>
            <w:gridSpan w:val="2"/>
            <w:vMerge/>
          </w:tcPr>
          <w:p w:rsidR="00374F13" w:rsidRPr="005517C4" w:rsidRDefault="00374F13" w:rsidP="00461E9B">
            <w:pPr>
              <w:jc w:val="both"/>
              <w:rPr>
                <w:rFonts w:ascii="Times New Roman" w:hAnsi="Times New Roman" w:cs="Times New Roman"/>
                <w:noProof/>
                <w:sz w:val="24"/>
                <w:szCs w:val="24"/>
                <w:lang w:val="en-US"/>
              </w:rPr>
            </w:pPr>
          </w:p>
        </w:tc>
        <w:tc>
          <w:tcPr>
            <w:tcW w:w="2392" w:type="dxa"/>
            <w:gridSpan w:val="2"/>
          </w:tcPr>
          <w:p w:rsidR="00374F13" w:rsidRPr="005517C4" w:rsidRDefault="00374F13" w:rsidP="00461E9B">
            <w:pPr>
              <w:jc w:val="right"/>
              <w:rPr>
                <w:rFonts w:ascii="Times New Roman" w:hAnsi="Times New Roman" w:cs="Times New Roman"/>
                <w:noProof/>
                <w:sz w:val="24"/>
                <w:szCs w:val="24"/>
                <w:lang w:val="en-US"/>
              </w:rPr>
            </w:pPr>
            <w:r w:rsidRPr="005517C4">
              <w:rPr>
                <w:rFonts w:ascii="Times New Roman" w:hAnsi="Times New Roman" w:cs="Times New Roman"/>
                <w:noProof/>
                <w:sz w:val="24"/>
                <w:szCs w:val="24"/>
                <w:lang w:val="en-US"/>
              </w:rPr>
              <w:t>Club 2 + Club 3</w:t>
            </w:r>
          </w:p>
        </w:tc>
        <w:tc>
          <w:tcPr>
            <w:tcW w:w="1559" w:type="dxa"/>
          </w:tcPr>
          <w:p w:rsidR="00374F13" w:rsidRPr="005517C4" w:rsidRDefault="00374F13" w:rsidP="00461E9B">
            <w:pPr>
              <w:jc w:val="center"/>
              <w:rPr>
                <w:rFonts w:ascii="Times New Roman" w:hAnsi="Times New Roman" w:cs="Times New Roman"/>
                <w:noProof/>
                <w:sz w:val="24"/>
                <w:szCs w:val="24"/>
                <w:lang w:val="en-US"/>
              </w:rPr>
            </w:pPr>
            <w:r w:rsidRPr="005517C4">
              <w:rPr>
                <w:rFonts w:ascii="Times New Roman" w:hAnsi="Times New Roman" w:cs="Times New Roman"/>
                <w:noProof/>
                <w:sz w:val="24"/>
                <w:szCs w:val="24"/>
                <w:lang w:val="en-US"/>
              </w:rPr>
              <w:t>-0.112</w:t>
            </w:r>
          </w:p>
        </w:tc>
        <w:tc>
          <w:tcPr>
            <w:tcW w:w="1701" w:type="dxa"/>
          </w:tcPr>
          <w:p w:rsidR="00374F13" w:rsidRPr="005517C4" w:rsidRDefault="00374F13" w:rsidP="00461E9B">
            <w:pPr>
              <w:jc w:val="center"/>
              <w:rPr>
                <w:rFonts w:ascii="Times New Roman" w:hAnsi="Times New Roman" w:cs="Times New Roman"/>
                <w:noProof/>
                <w:sz w:val="24"/>
                <w:szCs w:val="24"/>
                <w:lang w:val="en-US"/>
              </w:rPr>
            </w:pPr>
            <w:r w:rsidRPr="005517C4">
              <w:rPr>
                <w:rFonts w:ascii="Times New Roman" w:hAnsi="Times New Roman" w:cs="Times New Roman"/>
                <w:noProof/>
                <w:sz w:val="24"/>
                <w:szCs w:val="24"/>
                <w:lang w:val="en-US"/>
              </w:rPr>
              <w:t>-6.157</w:t>
            </w:r>
          </w:p>
        </w:tc>
      </w:tr>
    </w:tbl>
    <w:p w:rsidR="00E87898" w:rsidRDefault="006578EE" w:rsidP="00A33114">
      <w:pPr>
        <w:shd w:val="clear" w:color="auto" w:fill="FFFFFF"/>
        <w:spacing w:before="240" w:after="0" w:line="360" w:lineRule="auto"/>
        <w:jc w:val="both"/>
        <w:rPr>
          <w:rFonts w:ascii="Times New Roman" w:hAnsi="Times New Roman" w:cs="Times New Roman"/>
          <w:noProof/>
          <w:sz w:val="24"/>
          <w:szCs w:val="24"/>
          <w:lang w:val="en-US"/>
        </w:rPr>
      </w:pPr>
      <w:r w:rsidRPr="005517C4">
        <w:rPr>
          <w:rFonts w:ascii="Times New Roman" w:hAnsi="Times New Roman" w:cs="Times New Roman"/>
          <w:noProof/>
          <w:sz w:val="24"/>
          <w:szCs w:val="24"/>
          <w:lang w:val="en-US"/>
        </w:rPr>
        <w:fldChar w:fldCharType="begin" w:fldLock="1"/>
      </w:r>
      <w:r w:rsidR="003D379B">
        <w:rPr>
          <w:rFonts w:ascii="Times New Roman" w:hAnsi="Times New Roman" w:cs="Times New Roman"/>
          <w:noProof/>
          <w:sz w:val="24"/>
          <w:szCs w:val="24"/>
          <w:lang w:val="en-US"/>
        </w:rPr>
        <w:instrText>ADDIN CSL_CITATION { "citationItems" : [ { "id" : "ITEM-1", "itemData" : { "DOI" : "10.1002/jae.1080", "ISSN" : "08837252", "author" : [ { "dropping-particle" : "", "family" : "Phillips", "given" : "Peter C. B.", "non-dropping-particle" : "", "parse-names" : false, "suffix" : "" }, { "dropping-particle" : "", "family" : "Sul", "given" : "Donggyu", "non-dropping-particle" : "", "parse-names" : false, "suffix" : "" } ], "container-title" : "Journal of Applied Econometrics", "id" : "ITEM-1", "issue" : "7", "issued" : { "date-parts" : [ [ "2009", "11" ] ] }, "page" : "1153-1185", "publisher" : "John Wiley &amp; Sons, Ltd.", "title" : "Economic transition and growth", "type" : "article-journal", "volume" : "24" }, "uris" : [ "http://www.mendeley.com/documents/?uuid=5e11626a-5aed-3e53-8bec-da4206c6f5fa" ] } ], "mendeley" : { "formattedCitation" : "(Phillips and Sul 2009)", "manualFormatting" : "Phillips and Sul (2009)", "plainTextFormattedCitation" : "(Phillips and Sul 2009)", "previouslyFormattedCitation" : "(Phillips and Sul 2009)" }, "properties" : { "noteIndex" : 0 }, "schema" : "https://github.com/citation-style-language/schema/raw/master/csl-citation.json" }</w:instrText>
      </w:r>
      <w:r w:rsidRPr="005517C4">
        <w:rPr>
          <w:rFonts w:ascii="Times New Roman" w:hAnsi="Times New Roman" w:cs="Times New Roman"/>
          <w:noProof/>
          <w:sz w:val="24"/>
          <w:szCs w:val="24"/>
          <w:lang w:val="en-US"/>
        </w:rPr>
        <w:fldChar w:fldCharType="separate"/>
      </w:r>
      <w:r w:rsidR="00374F13" w:rsidRPr="005517C4">
        <w:rPr>
          <w:rFonts w:ascii="Times New Roman" w:hAnsi="Times New Roman" w:cs="Times New Roman"/>
          <w:noProof/>
          <w:sz w:val="24"/>
          <w:szCs w:val="24"/>
          <w:lang w:val="en-US"/>
        </w:rPr>
        <w:t xml:space="preserve">Phillips </w:t>
      </w:r>
      <w:r w:rsidR="00374F13">
        <w:rPr>
          <w:rFonts w:ascii="Times New Roman" w:hAnsi="Times New Roman" w:cs="Times New Roman"/>
          <w:noProof/>
          <w:sz w:val="24"/>
          <w:szCs w:val="24"/>
          <w:lang w:val="en-US"/>
        </w:rPr>
        <w:t>and</w:t>
      </w:r>
      <w:r w:rsidR="00374F13" w:rsidRPr="005517C4">
        <w:rPr>
          <w:rFonts w:ascii="Times New Roman" w:hAnsi="Times New Roman" w:cs="Times New Roman"/>
          <w:noProof/>
          <w:sz w:val="24"/>
          <w:szCs w:val="24"/>
          <w:lang w:val="en-US"/>
        </w:rPr>
        <w:t xml:space="preserve"> Sul (2009)</w:t>
      </w:r>
      <w:r w:rsidRPr="005517C4">
        <w:rPr>
          <w:rFonts w:ascii="Times New Roman" w:hAnsi="Times New Roman" w:cs="Times New Roman"/>
          <w:noProof/>
          <w:sz w:val="24"/>
          <w:szCs w:val="24"/>
          <w:lang w:val="en-US"/>
        </w:rPr>
        <w:fldChar w:fldCharType="end"/>
      </w:r>
      <w:r w:rsidR="00374F13" w:rsidRPr="005517C4">
        <w:rPr>
          <w:rFonts w:ascii="Times New Roman" w:hAnsi="Times New Roman" w:cs="Times New Roman"/>
          <w:noProof/>
          <w:sz w:val="24"/>
          <w:szCs w:val="24"/>
          <w:lang w:val="en-US"/>
        </w:rPr>
        <w:t xml:space="preserve"> </w:t>
      </w:r>
      <w:r w:rsidR="00374F13">
        <w:rPr>
          <w:rFonts w:ascii="Times New Roman" w:hAnsi="Times New Roman" w:cs="Times New Roman"/>
          <w:noProof/>
          <w:sz w:val="24"/>
          <w:szCs w:val="24"/>
          <w:lang w:val="en-US"/>
        </w:rPr>
        <w:t>recommend</w:t>
      </w:r>
      <w:r w:rsidR="00374F13" w:rsidRPr="005517C4">
        <w:rPr>
          <w:rFonts w:ascii="Times New Roman" w:hAnsi="Times New Roman" w:cs="Times New Roman"/>
          <w:noProof/>
          <w:sz w:val="24"/>
          <w:szCs w:val="24"/>
          <w:lang w:val="en-US"/>
        </w:rPr>
        <w:t xml:space="preserve"> to rerun the </w:t>
      </w:r>
      <w:r w:rsidR="00374F13" w:rsidRPr="005517C4">
        <w:rPr>
          <w:rFonts w:ascii="Times New Roman" w:hAnsi="Times New Roman" w:cs="Times New Roman"/>
          <w:i/>
          <w:noProof/>
          <w:sz w:val="24"/>
          <w:szCs w:val="24"/>
          <w:lang w:val="en-US"/>
        </w:rPr>
        <w:t>log t</w:t>
      </w:r>
      <w:r w:rsidR="00374F13" w:rsidRPr="005517C4">
        <w:rPr>
          <w:rFonts w:ascii="Times New Roman" w:hAnsi="Times New Roman" w:cs="Times New Roman"/>
          <w:noProof/>
          <w:sz w:val="24"/>
          <w:szCs w:val="24"/>
          <w:lang w:val="en-US"/>
        </w:rPr>
        <w:t xml:space="preserve"> test across the subclubs to observe evidence in </w:t>
      </w:r>
    </w:p>
    <w:p w:rsidR="00374F13" w:rsidRDefault="00374F13" w:rsidP="00A33114">
      <w:pPr>
        <w:shd w:val="clear" w:color="auto" w:fill="FFFFFF"/>
        <w:spacing w:line="360" w:lineRule="auto"/>
        <w:jc w:val="both"/>
        <w:rPr>
          <w:rFonts w:ascii="Times New Roman" w:eastAsia="Times New Roman" w:hAnsi="Times New Roman" w:cs="Times New Roman"/>
          <w:sz w:val="24"/>
          <w:szCs w:val="24"/>
          <w:lang w:val="en-US"/>
        </w:rPr>
      </w:pPr>
      <w:r w:rsidRPr="005517C4">
        <w:rPr>
          <w:rFonts w:ascii="Times New Roman" w:hAnsi="Times New Roman" w:cs="Times New Roman"/>
          <w:noProof/>
          <w:sz w:val="24"/>
          <w:szCs w:val="24"/>
          <w:lang w:val="en-US"/>
        </w:rPr>
        <w:t>support of merging clubs into larger clubs. Having determined three convergent clubs, club merging statistics</w:t>
      </w:r>
      <w:r>
        <w:rPr>
          <w:rFonts w:ascii="Times New Roman" w:hAnsi="Times New Roman" w:cs="Times New Roman"/>
          <w:noProof/>
          <w:sz w:val="24"/>
          <w:szCs w:val="24"/>
          <w:lang w:val="en-US"/>
        </w:rPr>
        <w:t>, also shown in Table 2,</w:t>
      </w:r>
      <w:r w:rsidRPr="005517C4">
        <w:rPr>
          <w:rFonts w:ascii="Times New Roman" w:hAnsi="Times New Roman" w:cs="Times New Roman"/>
          <w:noProof/>
          <w:sz w:val="24"/>
          <w:szCs w:val="24"/>
          <w:lang w:val="en-US"/>
        </w:rPr>
        <w:t xml:space="preserve"> reveal </w:t>
      </w:r>
      <w:r>
        <w:rPr>
          <w:rFonts w:ascii="Times New Roman" w:hAnsi="Times New Roman" w:cs="Times New Roman"/>
          <w:noProof/>
          <w:sz w:val="24"/>
          <w:szCs w:val="24"/>
          <w:lang w:val="en-US"/>
        </w:rPr>
        <w:t>the</w:t>
      </w:r>
      <w:r w:rsidRPr="005517C4">
        <w:rPr>
          <w:rFonts w:ascii="Times New Roman" w:hAnsi="Times New Roman" w:cs="Times New Roman"/>
          <w:noProof/>
          <w:sz w:val="24"/>
          <w:szCs w:val="24"/>
          <w:lang w:val="en-US"/>
        </w:rPr>
        <w:t xml:space="preserve"> failure to reject the null of convergence for the first and </w:t>
      </w:r>
      <w:r>
        <w:rPr>
          <w:rFonts w:ascii="Times New Roman" w:hAnsi="Times New Roman" w:cs="Times New Roman"/>
          <w:noProof/>
          <w:sz w:val="24"/>
          <w:szCs w:val="24"/>
          <w:lang w:val="en-US"/>
        </w:rPr>
        <w:lastRenderedPageBreak/>
        <w:t xml:space="preserve">the </w:t>
      </w:r>
      <w:r w:rsidRPr="005517C4">
        <w:rPr>
          <w:rFonts w:ascii="Times New Roman" w:hAnsi="Times New Roman" w:cs="Times New Roman"/>
          <w:noProof/>
          <w:sz w:val="24"/>
          <w:szCs w:val="24"/>
          <w:lang w:val="en-US"/>
        </w:rPr>
        <w:t>third club, impl</w:t>
      </w:r>
      <w:r>
        <w:rPr>
          <w:rFonts w:ascii="Times New Roman" w:hAnsi="Times New Roman" w:cs="Times New Roman"/>
          <w:noProof/>
          <w:sz w:val="24"/>
          <w:szCs w:val="24"/>
          <w:lang w:val="en-US"/>
        </w:rPr>
        <w:t>ying</w:t>
      </w:r>
      <w:r w:rsidRPr="005517C4">
        <w:rPr>
          <w:rFonts w:ascii="Times New Roman" w:hAnsi="Times New Roman" w:cs="Times New Roman"/>
          <w:noProof/>
          <w:sz w:val="24"/>
          <w:szCs w:val="24"/>
          <w:lang w:val="en-US"/>
        </w:rPr>
        <w:t xml:space="preserve"> </w:t>
      </w:r>
      <w:r>
        <w:rPr>
          <w:rFonts w:ascii="Times New Roman" w:hAnsi="Times New Roman" w:cs="Times New Roman"/>
          <w:noProof/>
          <w:sz w:val="24"/>
          <w:szCs w:val="24"/>
          <w:lang w:val="en-US"/>
        </w:rPr>
        <w:t xml:space="preserve">the presence of </w:t>
      </w:r>
      <w:r w:rsidRPr="005517C4">
        <w:rPr>
          <w:rFonts w:ascii="Times New Roman" w:hAnsi="Times New Roman" w:cs="Times New Roman"/>
          <w:noProof/>
          <w:sz w:val="24"/>
          <w:szCs w:val="24"/>
          <w:lang w:val="en-US"/>
        </w:rPr>
        <w:t xml:space="preserve">a larger subgroup of the combined clubs. </w:t>
      </w:r>
      <w:r w:rsidRPr="005517C4">
        <w:rPr>
          <w:rFonts w:ascii="Times New Roman" w:hAnsi="Times New Roman" w:cs="Times New Roman"/>
          <w:sz w:val="24"/>
          <w:szCs w:val="24"/>
          <w:shd w:val="clear" w:color="auto" w:fill="FFFFFF"/>
        </w:rPr>
        <w:t>Empirical</w:t>
      </w:r>
      <w:r w:rsidRPr="005517C4">
        <w:rPr>
          <w:rFonts w:ascii="Times New Roman" w:eastAsia="Times New Roman" w:hAnsi="Times New Roman" w:cs="Times New Roman"/>
          <w:sz w:val="24"/>
          <w:szCs w:val="24"/>
          <w:lang w:val="en-US"/>
        </w:rPr>
        <w:t xml:space="preserve"> outputs from the club convergence test clarify the differences in </w:t>
      </w:r>
      <w:r>
        <w:rPr>
          <w:rFonts w:ascii="Times New Roman" w:eastAsia="Times New Roman" w:hAnsi="Times New Roman" w:cs="Times New Roman"/>
          <w:sz w:val="24"/>
          <w:szCs w:val="24"/>
          <w:lang w:val="en-US"/>
        </w:rPr>
        <w:t xml:space="preserve">the </w:t>
      </w:r>
      <w:r w:rsidRPr="005517C4">
        <w:rPr>
          <w:rFonts w:ascii="Times New Roman" w:eastAsia="Times New Roman" w:hAnsi="Times New Roman" w:cs="Times New Roman"/>
          <w:sz w:val="24"/>
          <w:szCs w:val="24"/>
          <w:lang w:val="en-US"/>
        </w:rPr>
        <w:t>environmental quality</w:t>
      </w:r>
      <w:r>
        <w:rPr>
          <w:rFonts w:ascii="Times New Roman" w:eastAsia="Times New Roman" w:hAnsi="Times New Roman" w:cs="Times New Roman"/>
          <w:sz w:val="24"/>
          <w:szCs w:val="24"/>
          <w:lang w:val="en-US"/>
        </w:rPr>
        <w:t>, as well as the</w:t>
      </w:r>
      <w:r w:rsidRPr="005517C4">
        <w:rPr>
          <w:rFonts w:ascii="Times New Roman" w:eastAsia="Times New Roman" w:hAnsi="Times New Roman" w:cs="Times New Roman"/>
          <w:sz w:val="24"/>
          <w:szCs w:val="24"/>
          <w:lang w:val="en-US"/>
        </w:rPr>
        <w:t xml:space="preserve"> awareness strategies for the EU members in each club.</w:t>
      </w:r>
    </w:p>
    <w:p w:rsidR="00F7675C" w:rsidRPr="005517C4" w:rsidRDefault="00621733" w:rsidP="005E1137">
      <w:pPr>
        <w:spacing w:line="360" w:lineRule="auto"/>
        <w:ind w:firstLine="708"/>
        <w:jc w:val="both"/>
        <w:rPr>
          <w:rFonts w:ascii="Times New Roman" w:hAnsi="Times New Roman" w:cs="Times New Roman"/>
          <w:noProof/>
          <w:sz w:val="24"/>
          <w:szCs w:val="24"/>
          <w:lang w:val="en-US"/>
        </w:rPr>
      </w:pPr>
      <w:r w:rsidRPr="005517C4">
        <w:rPr>
          <w:rFonts w:ascii="Times New Roman" w:hAnsi="Times New Roman" w:cs="Times New Roman"/>
          <w:noProof/>
          <w:sz w:val="24"/>
          <w:szCs w:val="24"/>
          <w:lang w:val="en-US"/>
        </w:rPr>
        <w:t xml:space="preserve">As a </w:t>
      </w:r>
      <w:r w:rsidR="00580C03">
        <w:rPr>
          <w:rFonts w:ascii="Times New Roman" w:hAnsi="Times New Roman" w:cs="Times New Roman"/>
          <w:noProof/>
          <w:sz w:val="24"/>
          <w:szCs w:val="24"/>
          <w:lang w:val="en-US"/>
        </w:rPr>
        <w:t>transition</w:t>
      </w:r>
      <w:r w:rsidRPr="005517C4">
        <w:rPr>
          <w:rFonts w:ascii="Times New Roman" w:hAnsi="Times New Roman" w:cs="Times New Roman"/>
          <w:noProof/>
          <w:sz w:val="24"/>
          <w:szCs w:val="24"/>
          <w:lang w:val="en-US"/>
        </w:rPr>
        <w:t xml:space="preserve"> check, </w:t>
      </w:r>
      <w:r w:rsidR="00374F13">
        <w:rPr>
          <w:rFonts w:ascii="Times New Roman" w:hAnsi="Times New Roman" w:cs="Times New Roman"/>
          <w:noProof/>
          <w:sz w:val="24"/>
          <w:szCs w:val="24"/>
          <w:lang w:val="en-US"/>
        </w:rPr>
        <w:t>per capita footprint</w:t>
      </w:r>
      <w:r w:rsidRPr="005517C4">
        <w:rPr>
          <w:rFonts w:ascii="Times New Roman" w:hAnsi="Times New Roman" w:cs="Times New Roman"/>
          <w:noProof/>
          <w:sz w:val="24"/>
          <w:szCs w:val="24"/>
          <w:lang w:val="en-US"/>
        </w:rPr>
        <w:t xml:space="preserve"> movements of the countries under analysis are depicted</w:t>
      </w:r>
      <w:r w:rsidR="00AB6A70" w:rsidRPr="005517C4">
        <w:rPr>
          <w:rFonts w:ascii="Times New Roman" w:hAnsi="Times New Roman" w:cs="Times New Roman"/>
          <w:noProof/>
          <w:sz w:val="24"/>
          <w:szCs w:val="24"/>
          <w:lang w:val="en-US"/>
        </w:rPr>
        <w:t xml:space="preserve"> by Fig. 1</w:t>
      </w:r>
      <w:r w:rsidR="00693892" w:rsidRPr="005517C4">
        <w:rPr>
          <w:rFonts w:ascii="Times New Roman" w:hAnsi="Times New Roman" w:cs="Times New Roman"/>
          <w:noProof/>
          <w:sz w:val="24"/>
          <w:szCs w:val="24"/>
          <w:lang w:val="en-US"/>
        </w:rPr>
        <w:t>.</w:t>
      </w:r>
      <w:r w:rsidR="007977C2" w:rsidRPr="005517C4">
        <w:rPr>
          <w:rFonts w:ascii="Times New Roman" w:hAnsi="Times New Roman" w:cs="Times New Roman"/>
          <w:noProof/>
          <w:sz w:val="24"/>
          <w:szCs w:val="24"/>
          <w:lang w:val="en-US"/>
        </w:rPr>
        <w:t xml:space="preserve"> </w:t>
      </w:r>
      <w:r w:rsidR="00AB6A70" w:rsidRPr="005517C4">
        <w:rPr>
          <w:rFonts w:ascii="Times New Roman" w:hAnsi="Times New Roman" w:cs="Times New Roman"/>
          <w:noProof/>
          <w:sz w:val="24"/>
          <w:szCs w:val="24"/>
          <w:lang w:val="en-US"/>
        </w:rPr>
        <w:t>While e</w:t>
      </w:r>
      <w:r w:rsidRPr="005517C4">
        <w:rPr>
          <w:rFonts w:ascii="Times New Roman" w:hAnsi="Times New Roman" w:cs="Times New Roman"/>
          <w:noProof/>
          <w:sz w:val="24"/>
          <w:szCs w:val="24"/>
          <w:lang w:val="en-US"/>
        </w:rPr>
        <w:t xml:space="preserve">ach country has lots of </w:t>
      </w:r>
      <w:r w:rsidR="00AB6A70" w:rsidRPr="005517C4">
        <w:rPr>
          <w:rFonts w:ascii="Times New Roman" w:hAnsi="Times New Roman" w:cs="Times New Roman"/>
          <w:noProof/>
          <w:sz w:val="24"/>
          <w:szCs w:val="24"/>
          <w:lang w:val="en-US"/>
        </w:rPr>
        <w:t xml:space="preserve">descents and ascents, Luxembourg draws </w:t>
      </w:r>
      <w:r w:rsidR="002553F0">
        <w:rPr>
          <w:rFonts w:ascii="Times New Roman" w:hAnsi="Times New Roman" w:cs="Times New Roman"/>
          <w:noProof/>
          <w:sz w:val="24"/>
          <w:szCs w:val="24"/>
          <w:lang w:val="en-US"/>
        </w:rPr>
        <w:t xml:space="preserve">the </w:t>
      </w:r>
      <w:r w:rsidR="00AB6A70" w:rsidRPr="005517C4">
        <w:rPr>
          <w:rFonts w:ascii="Times New Roman" w:hAnsi="Times New Roman" w:cs="Times New Roman"/>
          <w:noProof/>
          <w:sz w:val="24"/>
          <w:szCs w:val="24"/>
          <w:lang w:val="en-US"/>
        </w:rPr>
        <w:t xml:space="preserve">attention at first glance since it has </w:t>
      </w:r>
      <w:r w:rsidR="002553F0">
        <w:rPr>
          <w:rFonts w:ascii="Times New Roman" w:hAnsi="Times New Roman" w:cs="Times New Roman"/>
          <w:noProof/>
          <w:sz w:val="24"/>
          <w:szCs w:val="24"/>
          <w:lang w:val="en-US"/>
        </w:rPr>
        <w:t xml:space="preserve">the </w:t>
      </w:r>
      <w:r w:rsidR="00AB6A70" w:rsidRPr="005517C4">
        <w:rPr>
          <w:rFonts w:ascii="Times New Roman" w:hAnsi="Times New Roman" w:cs="Times New Roman"/>
          <w:noProof/>
          <w:sz w:val="24"/>
          <w:szCs w:val="24"/>
          <w:lang w:val="en-US"/>
        </w:rPr>
        <w:t xml:space="preserve">largest </w:t>
      </w:r>
      <w:r w:rsidR="00580C03">
        <w:rPr>
          <w:rFonts w:ascii="Times New Roman" w:hAnsi="Times New Roman" w:cs="Times New Roman"/>
          <w:noProof/>
          <w:sz w:val="24"/>
          <w:szCs w:val="24"/>
          <w:lang w:val="en-US"/>
        </w:rPr>
        <w:t>footprint</w:t>
      </w:r>
      <w:r w:rsidR="00AB6A70" w:rsidRPr="005517C4">
        <w:rPr>
          <w:rFonts w:ascii="Times New Roman" w:hAnsi="Times New Roman" w:cs="Times New Roman"/>
          <w:noProof/>
          <w:sz w:val="24"/>
          <w:szCs w:val="24"/>
          <w:lang w:val="en-US"/>
        </w:rPr>
        <w:t xml:space="preserve">. </w:t>
      </w:r>
      <w:r w:rsidR="00F7675C" w:rsidRPr="005517C4">
        <w:rPr>
          <w:rFonts w:ascii="Times New Roman" w:hAnsi="Times New Roman" w:cs="Times New Roman"/>
          <w:noProof/>
          <w:sz w:val="24"/>
          <w:szCs w:val="24"/>
          <w:lang w:val="en-US"/>
        </w:rPr>
        <w:t>Apart from Luxemourg, other countries ha</w:t>
      </w:r>
      <w:r w:rsidR="00F7675C">
        <w:rPr>
          <w:rFonts w:ascii="Times New Roman" w:hAnsi="Times New Roman" w:cs="Times New Roman"/>
          <w:noProof/>
          <w:sz w:val="24"/>
          <w:szCs w:val="24"/>
          <w:lang w:val="en-US"/>
        </w:rPr>
        <w:t>ve</w:t>
      </w:r>
      <w:r w:rsidR="00F7675C" w:rsidRPr="005517C4">
        <w:rPr>
          <w:rFonts w:ascii="Times New Roman" w:hAnsi="Times New Roman" w:cs="Times New Roman"/>
          <w:noProof/>
          <w:sz w:val="24"/>
          <w:szCs w:val="24"/>
          <w:lang w:val="en-US"/>
        </w:rPr>
        <w:t xml:space="preserve"> continued to reach similar </w:t>
      </w:r>
      <w:r w:rsidR="00F7675C">
        <w:rPr>
          <w:rFonts w:ascii="Times New Roman" w:hAnsi="Times New Roman" w:cs="Times New Roman"/>
          <w:noProof/>
          <w:sz w:val="24"/>
          <w:szCs w:val="24"/>
          <w:lang w:val="en-US"/>
        </w:rPr>
        <w:t>a</w:t>
      </w:r>
      <w:r w:rsidR="00F7675C" w:rsidRPr="005517C4">
        <w:rPr>
          <w:rFonts w:ascii="Times New Roman" w:hAnsi="Times New Roman" w:cs="Times New Roman"/>
          <w:noProof/>
          <w:sz w:val="24"/>
          <w:szCs w:val="24"/>
          <w:lang w:val="en-US"/>
        </w:rPr>
        <w:t xml:space="preserve"> size. </w:t>
      </w:r>
      <w:r w:rsidR="00F7675C">
        <w:rPr>
          <w:rFonts w:ascii="Times New Roman" w:hAnsi="Times New Roman" w:cs="Times New Roman"/>
          <w:noProof/>
          <w:sz w:val="24"/>
          <w:szCs w:val="24"/>
          <w:lang w:val="en-US"/>
        </w:rPr>
        <w:t xml:space="preserve">More specifically, </w:t>
      </w:r>
      <w:r w:rsidR="00F7675C" w:rsidRPr="005517C4">
        <w:rPr>
          <w:rFonts w:ascii="Times New Roman" w:hAnsi="Times New Roman" w:cs="Times New Roman"/>
          <w:noProof/>
          <w:sz w:val="24"/>
          <w:szCs w:val="24"/>
          <w:lang w:val="en-US"/>
        </w:rPr>
        <w:t xml:space="preserve">Denmark has experienced </w:t>
      </w:r>
      <w:r w:rsidR="00F7675C">
        <w:rPr>
          <w:rFonts w:ascii="Times New Roman" w:hAnsi="Times New Roman" w:cs="Times New Roman"/>
          <w:noProof/>
          <w:sz w:val="24"/>
          <w:szCs w:val="24"/>
          <w:lang w:val="en-US"/>
        </w:rPr>
        <w:t xml:space="preserve">a </w:t>
      </w:r>
      <w:r w:rsidR="00F7675C" w:rsidRPr="005517C4">
        <w:rPr>
          <w:rFonts w:ascii="Times New Roman" w:hAnsi="Times New Roman" w:cs="Times New Roman"/>
          <w:noProof/>
          <w:sz w:val="24"/>
          <w:szCs w:val="24"/>
          <w:lang w:val="en-US"/>
        </w:rPr>
        <w:t xml:space="preserve">great success in reducing its own </w:t>
      </w:r>
      <w:r w:rsidR="00F7675C">
        <w:rPr>
          <w:rFonts w:ascii="Times New Roman" w:hAnsi="Times New Roman" w:cs="Times New Roman"/>
          <w:noProof/>
          <w:sz w:val="24"/>
          <w:szCs w:val="24"/>
          <w:lang w:val="en-US"/>
        </w:rPr>
        <w:t>footprint per capita,</w:t>
      </w:r>
      <w:r w:rsidR="00F7675C" w:rsidRPr="005517C4">
        <w:rPr>
          <w:rFonts w:ascii="Times New Roman" w:hAnsi="Times New Roman" w:cs="Times New Roman"/>
          <w:noProof/>
          <w:sz w:val="24"/>
          <w:szCs w:val="24"/>
          <w:lang w:val="en-US"/>
        </w:rPr>
        <w:t xml:space="preserve"> </w:t>
      </w:r>
      <w:r w:rsidR="00F7675C">
        <w:rPr>
          <w:rFonts w:ascii="Times New Roman" w:hAnsi="Times New Roman" w:cs="Times New Roman"/>
          <w:noProof/>
          <w:sz w:val="24"/>
          <w:szCs w:val="24"/>
          <w:lang w:val="en-US"/>
        </w:rPr>
        <w:t>w</w:t>
      </w:r>
      <w:r w:rsidR="00F7675C" w:rsidRPr="005517C4">
        <w:rPr>
          <w:rFonts w:ascii="Times New Roman" w:hAnsi="Times New Roman" w:cs="Times New Roman"/>
          <w:noProof/>
          <w:sz w:val="24"/>
          <w:szCs w:val="24"/>
          <w:lang w:val="en-US"/>
        </w:rPr>
        <w:t>hile it was the second country after Luxembourg until 2005 it reduc</w:t>
      </w:r>
      <w:r w:rsidR="00F7675C">
        <w:rPr>
          <w:rFonts w:ascii="Times New Roman" w:hAnsi="Times New Roman" w:cs="Times New Roman"/>
          <w:noProof/>
          <w:sz w:val="24"/>
          <w:szCs w:val="24"/>
          <w:lang w:val="en-US"/>
        </w:rPr>
        <w:t>ed this</w:t>
      </w:r>
      <w:r w:rsidR="00F7675C" w:rsidRPr="005517C4">
        <w:rPr>
          <w:rFonts w:ascii="Times New Roman" w:hAnsi="Times New Roman" w:cs="Times New Roman"/>
          <w:noProof/>
          <w:sz w:val="24"/>
          <w:szCs w:val="24"/>
          <w:lang w:val="en-US"/>
        </w:rPr>
        <w:t xml:space="preserve"> process steadily since </w:t>
      </w:r>
      <w:r w:rsidR="00F7675C">
        <w:rPr>
          <w:rFonts w:ascii="Times New Roman" w:hAnsi="Times New Roman" w:cs="Times New Roman"/>
          <w:noProof/>
          <w:sz w:val="24"/>
          <w:szCs w:val="24"/>
          <w:lang w:val="en-US"/>
        </w:rPr>
        <w:t xml:space="preserve">the </w:t>
      </w:r>
      <w:r w:rsidR="00F7675C" w:rsidRPr="005517C4">
        <w:rPr>
          <w:rFonts w:ascii="Times New Roman" w:hAnsi="Times New Roman" w:cs="Times New Roman"/>
          <w:noProof/>
          <w:sz w:val="24"/>
          <w:szCs w:val="24"/>
          <w:lang w:val="en-US"/>
        </w:rPr>
        <w:t>peak year of 1976.</w:t>
      </w:r>
      <w:r w:rsidR="005E1137">
        <w:rPr>
          <w:rFonts w:ascii="Times New Roman" w:hAnsi="Times New Roman" w:cs="Times New Roman"/>
          <w:noProof/>
          <w:sz w:val="24"/>
          <w:szCs w:val="24"/>
          <w:lang w:val="en-US"/>
        </w:rPr>
        <w:t xml:space="preserve"> </w:t>
      </w:r>
      <w:r w:rsidR="00F7675C" w:rsidRPr="005517C4">
        <w:rPr>
          <w:rFonts w:ascii="Times New Roman" w:hAnsi="Times New Roman" w:cs="Times New Roman"/>
          <w:noProof/>
          <w:sz w:val="24"/>
          <w:szCs w:val="24"/>
          <w:lang w:val="en-US"/>
        </w:rPr>
        <w:t xml:space="preserve">In Fig. 2. countries are ordered by </w:t>
      </w:r>
      <w:r w:rsidR="00F7675C">
        <w:rPr>
          <w:rFonts w:ascii="Times New Roman" w:hAnsi="Times New Roman" w:cs="Times New Roman"/>
          <w:noProof/>
          <w:sz w:val="24"/>
          <w:szCs w:val="24"/>
          <w:lang w:val="en-US"/>
        </w:rPr>
        <w:t xml:space="preserve">their </w:t>
      </w:r>
      <w:r w:rsidR="00F7675C" w:rsidRPr="005517C4">
        <w:rPr>
          <w:rFonts w:ascii="Times New Roman" w:hAnsi="Times New Roman" w:cs="Times New Roman"/>
          <w:noProof/>
          <w:sz w:val="24"/>
          <w:szCs w:val="24"/>
          <w:lang w:val="en-US"/>
        </w:rPr>
        <w:t xml:space="preserve">last year observation with a pie chart. From </w:t>
      </w:r>
      <w:r w:rsidR="00F7675C">
        <w:rPr>
          <w:rFonts w:ascii="Times New Roman" w:hAnsi="Times New Roman" w:cs="Times New Roman"/>
          <w:noProof/>
          <w:sz w:val="24"/>
          <w:szCs w:val="24"/>
          <w:lang w:val="en-US"/>
        </w:rPr>
        <w:t>F</w:t>
      </w:r>
      <w:r w:rsidR="00F7675C" w:rsidRPr="005517C4">
        <w:rPr>
          <w:rFonts w:ascii="Times New Roman" w:hAnsi="Times New Roman" w:cs="Times New Roman"/>
          <w:noProof/>
          <w:sz w:val="24"/>
          <w:szCs w:val="24"/>
          <w:lang w:val="en-US"/>
        </w:rPr>
        <w:t xml:space="preserve">ig. 2 </w:t>
      </w:r>
      <w:r w:rsidR="00F7675C">
        <w:rPr>
          <w:rFonts w:ascii="Times New Roman" w:hAnsi="Times New Roman" w:cs="Times New Roman"/>
          <w:noProof/>
          <w:sz w:val="24"/>
          <w:szCs w:val="24"/>
          <w:lang w:val="en-US"/>
        </w:rPr>
        <w:t>we</w:t>
      </w:r>
      <w:r w:rsidR="00F7675C" w:rsidRPr="005517C4">
        <w:rPr>
          <w:rFonts w:ascii="Times New Roman" w:hAnsi="Times New Roman" w:cs="Times New Roman"/>
          <w:noProof/>
          <w:sz w:val="24"/>
          <w:szCs w:val="24"/>
          <w:lang w:val="en-US"/>
        </w:rPr>
        <w:t xml:space="preserve"> can see the size of </w:t>
      </w:r>
      <w:r w:rsidR="00F7675C">
        <w:rPr>
          <w:rFonts w:ascii="Times New Roman" w:hAnsi="Times New Roman" w:cs="Times New Roman"/>
          <w:noProof/>
          <w:sz w:val="24"/>
          <w:szCs w:val="24"/>
          <w:lang w:val="en-US"/>
        </w:rPr>
        <w:t xml:space="preserve">the </w:t>
      </w:r>
      <w:r w:rsidR="00C6036E">
        <w:rPr>
          <w:rFonts w:ascii="Times New Roman" w:hAnsi="Times New Roman" w:cs="Times New Roman"/>
          <w:noProof/>
          <w:sz w:val="24"/>
          <w:szCs w:val="24"/>
          <w:lang w:val="en-US"/>
        </w:rPr>
        <w:t>ecological footprint</w:t>
      </w:r>
      <w:r w:rsidR="00F7675C">
        <w:rPr>
          <w:rFonts w:ascii="Times New Roman" w:hAnsi="Times New Roman" w:cs="Times New Roman"/>
          <w:noProof/>
          <w:sz w:val="24"/>
          <w:szCs w:val="24"/>
          <w:lang w:val="en-US"/>
        </w:rPr>
        <w:t xml:space="preserve"> </w:t>
      </w:r>
      <w:r w:rsidR="00F7675C" w:rsidRPr="005517C4">
        <w:rPr>
          <w:rFonts w:ascii="Times New Roman" w:hAnsi="Times New Roman" w:cs="Times New Roman"/>
          <w:noProof/>
          <w:sz w:val="24"/>
          <w:szCs w:val="24"/>
          <w:lang w:val="en-US"/>
        </w:rPr>
        <w:t xml:space="preserve">for each country by </w:t>
      </w:r>
      <w:r w:rsidR="00F7675C">
        <w:rPr>
          <w:rFonts w:ascii="Times New Roman" w:hAnsi="Times New Roman" w:cs="Times New Roman"/>
          <w:noProof/>
          <w:sz w:val="24"/>
          <w:szCs w:val="24"/>
          <w:lang w:val="en-US"/>
        </w:rPr>
        <w:t xml:space="preserve">the </w:t>
      </w:r>
      <w:r w:rsidR="00F7675C" w:rsidRPr="005517C4">
        <w:rPr>
          <w:rFonts w:ascii="Times New Roman" w:hAnsi="Times New Roman" w:cs="Times New Roman"/>
          <w:noProof/>
          <w:sz w:val="24"/>
          <w:szCs w:val="24"/>
          <w:lang w:val="en-US"/>
        </w:rPr>
        <w:t xml:space="preserve">year 2013. </w:t>
      </w:r>
      <w:r w:rsidR="00F7675C">
        <w:rPr>
          <w:rFonts w:ascii="Times New Roman" w:hAnsi="Times New Roman" w:cs="Times New Roman"/>
          <w:noProof/>
          <w:sz w:val="24"/>
          <w:szCs w:val="24"/>
          <w:lang w:val="en-US"/>
        </w:rPr>
        <w:t>The g</w:t>
      </w:r>
      <w:r w:rsidR="00F7675C" w:rsidRPr="005517C4">
        <w:rPr>
          <w:rFonts w:ascii="Times New Roman" w:hAnsi="Times New Roman" w:cs="Times New Roman"/>
          <w:noProof/>
          <w:sz w:val="24"/>
          <w:szCs w:val="24"/>
          <w:lang w:val="en-US"/>
        </w:rPr>
        <w:t xml:space="preserve">radation from largest to </w:t>
      </w:r>
      <w:r w:rsidR="00F7675C">
        <w:rPr>
          <w:rFonts w:ascii="Times New Roman" w:hAnsi="Times New Roman" w:cs="Times New Roman"/>
          <w:noProof/>
          <w:sz w:val="24"/>
          <w:szCs w:val="24"/>
          <w:lang w:val="en-US"/>
        </w:rPr>
        <w:t xml:space="preserve">the </w:t>
      </w:r>
      <w:r w:rsidR="00F7675C" w:rsidRPr="005517C4">
        <w:rPr>
          <w:rFonts w:ascii="Times New Roman" w:hAnsi="Times New Roman" w:cs="Times New Roman"/>
          <w:noProof/>
          <w:sz w:val="24"/>
          <w:szCs w:val="24"/>
          <w:lang w:val="en-US"/>
        </w:rPr>
        <w:t>small</w:t>
      </w:r>
      <w:r w:rsidR="00F7675C">
        <w:rPr>
          <w:rFonts w:ascii="Times New Roman" w:hAnsi="Times New Roman" w:cs="Times New Roman"/>
          <w:noProof/>
          <w:sz w:val="24"/>
          <w:szCs w:val="24"/>
          <w:lang w:val="en-US"/>
        </w:rPr>
        <w:t>est</w:t>
      </w:r>
      <w:r w:rsidR="00F7675C" w:rsidRPr="005517C4">
        <w:rPr>
          <w:rFonts w:ascii="Times New Roman" w:hAnsi="Times New Roman" w:cs="Times New Roman"/>
          <w:noProof/>
          <w:sz w:val="24"/>
          <w:szCs w:val="24"/>
          <w:lang w:val="en-US"/>
        </w:rPr>
        <w:t xml:space="preserve"> </w:t>
      </w:r>
      <w:r w:rsidR="00F7675C">
        <w:rPr>
          <w:rFonts w:ascii="Times New Roman" w:hAnsi="Times New Roman" w:cs="Times New Roman"/>
          <w:noProof/>
          <w:sz w:val="24"/>
          <w:szCs w:val="24"/>
          <w:lang w:val="en-US"/>
        </w:rPr>
        <w:t xml:space="preserve">goes </w:t>
      </w:r>
      <w:r w:rsidR="00F7675C" w:rsidRPr="005517C4">
        <w:rPr>
          <w:rFonts w:ascii="Times New Roman" w:hAnsi="Times New Roman" w:cs="Times New Roman"/>
          <w:noProof/>
          <w:sz w:val="24"/>
          <w:szCs w:val="24"/>
          <w:lang w:val="en-US"/>
        </w:rPr>
        <w:t xml:space="preserve">as follows: Luxembourg, Belgium, Sweden, Finland, Austria, Denmark, Irland, Germany, Netherland, UK, France, Italy, Poland, Greece, Spain, Portugal, Cyprus, Hungary, Bulgaria, </w:t>
      </w:r>
      <w:r w:rsidR="00F7675C">
        <w:rPr>
          <w:rFonts w:ascii="Times New Roman" w:hAnsi="Times New Roman" w:cs="Times New Roman"/>
          <w:noProof/>
          <w:sz w:val="24"/>
          <w:szCs w:val="24"/>
          <w:lang w:val="en-US"/>
        </w:rPr>
        <w:t xml:space="preserve">and </w:t>
      </w:r>
      <w:r w:rsidR="00F7675C" w:rsidRPr="005517C4">
        <w:rPr>
          <w:rFonts w:ascii="Times New Roman" w:hAnsi="Times New Roman" w:cs="Times New Roman"/>
          <w:noProof/>
          <w:sz w:val="24"/>
          <w:szCs w:val="24"/>
          <w:lang w:val="en-US"/>
        </w:rPr>
        <w:t>Romania.</w:t>
      </w:r>
    </w:p>
    <w:p w:rsidR="00F7675C" w:rsidRDefault="00F7675C" w:rsidP="00E87898">
      <w:pPr>
        <w:spacing w:line="360" w:lineRule="auto"/>
        <w:jc w:val="both"/>
        <w:rPr>
          <w:rFonts w:ascii="Times New Roman" w:hAnsi="Times New Roman" w:cs="Times New Roman"/>
          <w:noProof/>
          <w:sz w:val="24"/>
          <w:szCs w:val="24"/>
          <w:lang w:val="en-US"/>
        </w:rPr>
      </w:pPr>
    </w:p>
    <w:p w:rsidR="00916910" w:rsidRPr="005517C4" w:rsidRDefault="00801E98" w:rsidP="00F7675C">
      <w:pPr>
        <w:spacing w:after="120" w:line="240" w:lineRule="auto"/>
        <w:jc w:val="both"/>
        <w:rPr>
          <w:rFonts w:ascii="Times New Roman" w:hAnsi="Times New Roman" w:cs="Times New Roman"/>
          <w:b/>
          <w:noProof/>
          <w:sz w:val="24"/>
          <w:szCs w:val="24"/>
          <w:lang w:val="en-US"/>
        </w:rPr>
      </w:pPr>
      <w:r w:rsidRPr="005517C4">
        <w:rPr>
          <w:noProof/>
          <w:lang w:val="el-GR" w:eastAsia="el-GR"/>
        </w:rPr>
        <w:lastRenderedPageBreak/>
        <w:drawing>
          <wp:inline distT="0" distB="0" distL="0" distR="0">
            <wp:extent cx="5972175" cy="5191125"/>
            <wp:effectExtent l="0" t="0" r="0" b="0"/>
            <wp:docPr id="1" name="Grafi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801E98" w:rsidRDefault="00F77F09" w:rsidP="00F7675C">
      <w:pPr>
        <w:spacing w:after="120" w:line="240" w:lineRule="auto"/>
        <w:jc w:val="center"/>
        <w:rPr>
          <w:rFonts w:ascii="Times New Roman" w:hAnsi="Times New Roman" w:cs="Times New Roman"/>
          <w:noProof/>
          <w:sz w:val="24"/>
          <w:szCs w:val="24"/>
          <w:lang w:val="en-US"/>
        </w:rPr>
      </w:pPr>
      <w:r w:rsidRPr="005517C4">
        <w:rPr>
          <w:rFonts w:ascii="Times New Roman" w:hAnsi="Times New Roman" w:cs="Times New Roman"/>
          <w:noProof/>
          <w:sz w:val="24"/>
          <w:szCs w:val="24"/>
          <w:lang w:val="en-US"/>
        </w:rPr>
        <w:t xml:space="preserve">Fig. 1: General outlook of </w:t>
      </w:r>
      <w:r w:rsidR="0088036D" w:rsidRPr="005517C4">
        <w:rPr>
          <w:rFonts w:ascii="Times New Roman" w:hAnsi="Times New Roman" w:cs="Times New Roman"/>
          <w:noProof/>
          <w:sz w:val="24"/>
          <w:szCs w:val="24"/>
          <w:lang w:val="en-US"/>
        </w:rPr>
        <w:t xml:space="preserve">per capita </w:t>
      </w:r>
      <w:r w:rsidR="007977C2" w:rsidRPr="005517C4">
        <w:rPr>
          <w:rFonts w:ascii="Times New Roman" w:hAnsi="Times New Roman" w:cs="Times New Roman"/>
          <w:noProof/>
          <w:sz w:val="24"/>
          <w:szCs w:val="24"/>
          <w:lang w:val="en-US"/>
        </w:rPr>
        <w:t>ecological footprint</w:t>
      </w:r>
      <w:r w:rsidRPr="005517C4">
        <w:rPr>
          <w:rFonts w:ascii="Times New Roman" w:hAnsi="Times New Roman" w:cs="Times New Roman"/>
          <w:noProof/>
          <w:sz w:val="24"/>
          <w:szCs w:val="24"/>
          <w:lang w:val="en-US"/>
        </w:rPr>
        <w:t xml:space="preserve"> for </w:t>
      </w:r>
      <w:r w:rsidR="00580C03">
        <w:rPr>
          <w:rFonts w:ascii="Times New Roman" w:hAnsi="Times New Roman" w:cs="Times New Roman"/>
          <w:noProof/>
          <w:sz w:val="24"/>
          <w:szCs w:val="24"/>
          <w:lang w:val="en-US"/>
        </w:rPr>
        <w:t xml:space="preserve">the </w:t>
      </w:r>
      <w:r w:rsidRPr="005517C4">
        <w:rPr>
          <w:rFonts w:ascii="Times New Roman" w:hAnsi="Times New Roman" w:cs="Times New Roman"/>
          <w:noProof/>
          <w:sz w:val="24"/>
          <w:szCs w:val="24"/>
          <w:lang w:val="en-US"/>
        </w:rPr>
        <w:t>countries</w:t>
      </w:r>
    </w:p>
    <w:p w:rsidR="00F7675C" w:rsidRPr="005517C4" w:rsidRDefault="00F7675C" w:rsidP="006C2607">
      <w:pPr>
        <w:spacing w:line="360" w:lineRule="auto"/>
        <w:jc w:val="center"/>
        <w:rPr>
          <w:rFonts w:ascii="Times New Roman" w:hAnsi="Times New Roman" w:cs="Times New Roman"/>
          <w:noProof/>
          <w:sz w:val="24"/>
          <w:szCs w:val="24"/>
          <w:lang w:val="en-US"/>
        </w:rPr>
      </w:pPr>
    </w:p>
    <w:p w:rsidR="007977C2" w:rsidRDefault="007977C2" w:rsidP="00F7675C">
      <w:pPr>
        <w:spacing w:after="120" w:line="240" w:lineRule="auto"/>
        <w:jc w:val="center"/>
        <w:rPr>
          <w:rFonts w:ascii="Times New Roman" w:hAnsi="Times New Roman" w:cs="Times New Roman"/>
          <w:noProof/>
          <w:sz w:val="24"/>
          <w:szCs w:val="24"/>
          <w:lang w:val="en-US"/>
        </w:rPr>
      </w:pPr>
      <w:r w:rsidRPr="005517C4">
        <w:rPr>
          <w:noProof/>
          <w:lang w:val="el-GR" w:eastAsia="el-GR"/>
        </w:rPr>
        <w:drawing>
          <wp:inline distT="0" distB="0" distL="0" distR="0">
            <wp:extent cx="4705350" cy="2266950"/>
            <wp:effectExtent l="0" t="0" r="0" b="0"/>
            <wp:docPr id="2" name="Grafik 2">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o="urn:schemas-microsoft-com:office:office" xmlns:v="urn:schemas-microsoft-com:vml" xmlns:w10="urn:schemas-microsoft-com:office:word" xmlns:w="http://schemas.openxmlformats.org/wordprocessingml/2006/main" xmlns:w15="http://schemas.microsoft.com/office/word/2012/wordml"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id="{AB7CA1F8-93C7-405F-B483-ADE4832E88C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7977C2" w:rsidRPr="005517C4" w:rsidRDefault="007977C2" w:rsidP="00F7675C">
      <w:pPr>
        <w:spacing w:after="120" w:line="240" w:lineRule="auto"/>
        <w:jc w:val="center"/>
        <w:rPr>
          <w:rFonts w:ascii="Times New Roman" w:hAnsi="Times New Roman" w:cs="Times New Roman"/>
          <w:noProof/>
          <w:sz w:val="24"/>
          <w:szCs w:val="24"/>
          <w:lang w:val="en-US"/>
        </w:rPr>
      </w:pPr>
      <w:r w:rsidRPr="005517C4">
        <w:rPr>
          <w:rFonts w:ascii="Times New Roman" w:hAnsi="Times New Roman" w:cs="Times New Roman"/>
          <w:noProof/>
          <w:sz w:val="24"/>
          <w:szCs w:val="24"/>
          <w:lang w:val="en-US"/>
        </w:rPr>
        <w:t xml:space="preserve">Fig. 2: </w:t>
      </w:r>
      <w:r w:rsidR="0088036D" w:rsidRPr="005517C4">
        <w:rPr>
          <w:rFonts w:ascii="Times New Roman" w:hAnsi="Times New Roman" w:cs="Times New Roman"/>
          <w:noProof/>
          <w:sz w:val="24"/>
          <w:szCs w:val="24"/>
          <w:lang w:val="en-US"/>
        </w:rPr>
        <w:t>Per capita e</w:t>
      </w:r>
      <w:r w:rsidRPr="005517C4">
        <w:rPr>
          <w:rFonts w:ascii="Times New Roman" w:hAnsi="Times New Roman" w:cs="Times New Roman"/>
          <w:noProof/>
          <w:sz w:val="24"/>
          <w:szCs w:val="24"/>
          <w:lang w:val="en-US"/>
        </w:rPr>
        <w:t xml:space="preserve">cological footprint </w:t>
      </w:r>
      <w:r w:rsidR="0088036D" w:rsidRPr="005517C4">
        <w:rPr>
          <w:rFonts w:ascii="Times New Roman" w:hAnsi="Times New Roman" w:cs="Times New Roman"/>
          <w:noProof/>
          <w:sz w:val="24"/>
          <w:szCs w:val="24"/>
          <w:lang w:val="en-US"/>
        </w:rPr>
        <w:t xml:space="preserve">values for 2013 </w:t>
      </w:r>
    </w:p>
    <w:p w:rsidR="0088036D" w:rsidRDefault="0088036D" w:rsidP="00580C03">
      <w:pPr>
        <w:spacing w:after="0" w:line="240" w:lineRule="auto"/>
        <w:rPr>
          <w:rFonts w:ascii="Times New Roman" w:hAnsi="Times New Roman" w:cs="Times New Roman"/>
          <w:noProof/>
          <w:sz w:val="24"/>
          <w:szCs w:val="24"/>
          <w:lang w:val="en-US"/>
        </w:rPr>
      </w:pPr>
    </w:p>
    <w:p w:rsidR="001B1BD8" w:rsidRDefault="001B1BD8" w:rsidP="00580C03">
      <w:pPr>
        <w:spacing w:after="0" w:line="240" w:lineRule="auto"/>
        <w:rPr>
          <w:rFonts w:ascii="Times New Roman" w:hAnsi="Times New Roman" w:cs="Times New Roman"/>
          <w:noProof/>
          <w:sz w:val="24"/>
          <w:szCs w:val="24"/>
          <w:lang w:val="en-US"/>
        </w:rPr>
      </w:pPr>
    </w:p>
    <w:p w:rsidR="00FC6718" w:rsidRPr="005517C4" w:rsidRDefault="00FC6718" w:rsidP="00CC5796">
      <w:pPr>
        <w:spacing w:after="0" w:line="360" w:lineRule="auto"/>
        <w:jc w:val="both"/>
        <w:rPr>
          <w:rFonts w:ascii="Times New Roman" w:hAnsi="Times New Roman" w:cs="Times New Roman"/>
          <w:b/>
          <w:noProof/>
          <w:sz w:val="24"/>
          <w:szCs w:val="24"/>
          <w:lang w:val="en-US"/>
        </w:rPr>
      </w:pPr>
      <w:r w:rsidRPr="005517C4">
        <w:rPr>
          <w:rFonts w:ascii="Times New Roman" w:hAnsi="Times New Roman" w:cs="Times New Roman"/>
          <w:b/>
          <w:noProof/>
          <w:sz w:val="24"/>
          <w:szCs w:val="24"/>
          <w:lang w:val="en-US"/>
        </w:rPr>
        <w:lastRenderedPageBreak/>
        <w:t>Conclusion</w:t>
      </w:r>
      <w:bookmarkStart w:id="0" w:name="_GoBack"/>
      <w:bookmarkEnd w:id="0"/>
    </w:p>
    <w:p w:rsidR="00AB04C8" w:rsidRDefault="005C5D4B" w:rsidP="005C5D4B">
      <w:pPr>
        <w:spacing w:line="360" w:lineRule="auto"/>
        <w:jc w:val="both"/>
        <w:rPr>
          <w:rFonts w:ascii="Times New Roman" w:hAnsi="Times New Roman" w:cs="Times New Roman"/>
          <w:noProof/>
          <w:sz w:val="24"/>
          <w:szCs w:val="24"/>
          <w:lang w:val="en-US"/>
        </w:rPr>
      </w:pPr>
      <w:r>
        <w:rPr>
          <w:rFonts w:ascii="Times New Roman" w:hAnsi="Times New Roman" w:cs="Times New Roman"/>
          <w:noProof/>
          <w:sz w:val="24"/>
          <w:szCs w:val="24"/>
          <w:lang w:val="en-US"/>
        </w:rPr>
        <w:t>The literture has not paid yet full attention on the</w:t>
      </w:r>
      <w:r w:rsidR="00D35EA0" w:rsidRPr="00D35EA0">
        <w:rPr>
          <w:rFonts w:ascii="Times New Roman" w:hAnsi="Times New Roman" w:cs="Times New Roman"/>
          <w:noProof/>
          <w:sz w:val="24"/>
          <w:szCs w:val="24"/>
          <w:lang w:val="en-US"/>
        </w:rPr>
        <w:t xml:space="preserve"> ecological consequences</w:t>
      </w:r>
      <w:r>
        <w:rPr>
          <w:rFonts w:ascii="Times New Roman" w:hAnsi="Times New Roman" w:cs="Times New Roman"/>
          <w:noProof/>
          <w:sz w:val="24"/>
          <w:szCs w:val="24"/>
          <w:lang w:val="en-US"/>
        </w:rPr>
        <w:t xml:space="preserve"> of human activities</w:t>
      </w:r>
      <w:r w:rsidR="00D35EA0" w:rsidRPr="00D35EA0">
        <w:rPr>
          <w:rFonts w:ascii="Times New Roman" w:hAnsi="Times New Roman" w:cs="Times New Roman"/>
          <w:noProof/>
          <w:sz w:val="24"/>
          <w:szCs w:val="24"/>
          <w:lang w:val="en-US"/>
        </w:rPr>
        <w:t xml:space="preserve">. The few studies </w:t>
      </w:r>
      <w:r>
        <w:rPr>
          <w:rFonts w:ascii="Times New Roman" w:hAnsi="Times New Roman" w:cs="Times New Roman"/>
          <w:noProof/>
          <w:sz w:val="24"/>
          <w:szCs w:val="24"/>
          <w:lang w:val="en-US"/>
        </w:rPr>
        <w:t>in the relevant literature primarily</w:t>
      </w:r>
      <w:r w:rsidR="00D35EA0" w:rsidRPr="00D35EA0">
        <w:rPr>
          <w:rFonts w:ascii="Times New Roman" w:hAnsi="Times New Roman" w:cs="Times New Roman"/>
          <w:noProof/>
          <w:sz w:val="24"/>
          <w:szCs w:val="24"/>
          <w:lang w:val="en-US"/>
        </w:rPr>
        <w:t xml:space="preserve"> focus</w:t>
      </w:r>
      <w:r>
        <w:rPr>
          <w:rFonts w:ascii="Times New Roman" w:hAnsi="Times New Roman" w:cs="Times New Roman"/>
          <w:noProof/>
          <w:sz w:val="24"/>
          <w:szCs w:val="24"/>
          <w:lang w:val="en-US"/>
        </w:rPr>
        <w:t xml:space="preserve"> </w:t>
      </w:r>
      <w:r w:rsidR="00D35EA0" w:rsidRPr="00D35EA0">
        <w:rPr>
          <w:rFonts w:ascii="Times New Roman" w:hAnsi="Times New Roman" w:cs="Times New Roman"/>
          <w:noProof/>
          <w:sz w:val="24"/>
          <w:szCs w:val="24"/>
          <w:lang w:val="en-US"/>
        </w:rPr>
        <w:t xml:space="preserve">on water and air pollutants or </w:t>
      </w:r>
      <w:r>
        <w:rPr>
          <w:rFonts w:ascii="Times New Roman" w:hAnsi="Times New Roman" w:cs="Times New Roman"/>
          <w:noProof/>
          <w:sz w:val="24"/>
          <w:szCs w:val="24"/>
          <w:lang w:val="en-US"/>
        </w:rPr>
        <w:t>consider only</w:t>
      </w:r>
      <w:r w:rsidR="00D35EA0" w:rsidRPr="00D35EA0">
        <w:rPr>
          <w:rFonts w:ascii="Times New Roman" w:hAnsi="Times New Roman" w:cs="Times New Roman"/>
          <w:noProof/>
          <w:sz w:val="24"/>
          <w:szCs w:val="24"/>
          <w:lang w:val="en-US"/>
        </w:rPr>
        <w:t xml:space="preserve"> a </w:t>
      </w:r>
      <w:r>
        <w:rPr>
          <w:rFonts w:ascii="Times New Roman" w:hAnsi="Times New Roman" w:cs="Times New Roman"/>
          <w:noProof/>
          <w:sz w:val="24"/>
          <w:szCs w:val="24"/>
          <w:lang w:val="en-US"/>
        </w:rPr>
        <w:t>substantially divergent</w:t>
      </w:r>
      <w:r w:rsidR="00D35EA0" w:rsidRPr="00D35EA0">
        <w:rPr>
          <w:rFonts w:ascii="Times New Roman" w:hAnsi="Times New Roman" w:cs="Times New Roman"/>
          <w:noProof/>
          <w:sz w:val="24"/>
          <w:szCs w:val="24"/>
          <w:lang w:val="en-US"/>
        </w:rPr>
        <w:t xml:space="preserve"> range of sustainability indices</w:t>
      </w:r>
      <w:r>
        <w:rPr>
          <w:rFonts w:ascii="Times New Roman" w:hAnsi="Times New Roman" w:cs="Times New Roman"/>
          <w:noProof/>
          <w:sz w:val="24"/>
          <w:szCs w:val="24"/>
          <w:lang w:val="en-US"/>
        </w:rPr>
        <w:t xml:space="preserve">. In that sense these few studies have come up with mixed and </w:t>
      </w:r>
      <w:r w:rsidR="00D35EA0" w:rsidRPr="00D35EA0">
        <w:rPr>
          <w:rFonts w:ascii="Times New Roman" w:hAnsi="Times New Roman" w:cs="Times New Roman"/>
          <w:noProof/>
          <w:sz w:val="24"/>
          <w:szCs w:val="24"/>
          <w:lang w:val="en-US"/>
        </w:rPr>
        <w:t xml:space="preserve">ambiguous results. </w:t>
      </w:r>
      <w:r>
        <w:rPr>
          <w:rFonts w:ascii="Times New Roman" w:hAnsi="Times New Roman" w:cs="Times New Roman"/>
          <w:noProof/>
          <w:sz w:val="24"/>
          <w:szCs w:val="24"/>
          <w:lang w:val="en-US"/>
        </w:rPr>
        <w:t>T</w:t>
      </w:r>
      <w:r w:rsidR="00D35EA0" w:rsidRPr="00D35EA0">
        <w:rPr>
          <w:rFonts w:ascii="Times New Roman" w:hAnsi="Times New Roman" w:cs="Times New Roman"/>
          <w:noProof/>
          <w:sz w:val="24"/>
          <w:szCs w:val="24"/>
          <w:lang w:val="en-US"/>
        </w:rPr>
        <w:t xml:space="preserve">his </w:t>
      </w:r>
      <w:r>
        <w:rPr>
          <w:rFonts w:ascii="Times New Roman" w:hAnsi="Times New Roman" w:cs="Times New Roman"/>
          <w:noProof/>
          <w:sz w:val="24"/>
          <w:szCs w:val="24"/>
          <w:lang w:val="en-US"/>
        </w:rPr>
        <w:t xml:space="preserve">paper, however, </w:t>
      </w:r>
      <w:r w:rsidR="00D35EA0" w:rsidRPr="00D35EA0">
        <w:rPr>
          <w:rFonts w:ascii="Times New Roman" w:hAnsi="Times New Roman" w:cs="Times New Roman"/>
          <w:noProof/>
          <w:sz w:val="24"/>
          <w:szCs w:val="24"/>
          <w:lang w:val="en-US"/>
        </w:rPr>
        <w:t>put forward and employ</w:t>
      </w:r>
      <w:r>
        <w:rPr>
          <w:rFonts w:ascii="Times New Roman" w:hAnsi="Times New Roman" w:cs="Times New Roman"/>
          <w:noProof/>
          <w:sz w:val="24"/>
          <w:szCs w:val="24"/>
          <w:lang w:val="en-US"/>
        </w:rPr>
        <w:t>ed</w:t>
      </w:r>
      <w:r w:rsidR="00D35EA0" w:rsidRPr="00D35EA0">
        <w:rPr>
          <w:rFonts w:ascii="Times New Roman" w:hAnsi="Times New Roman" w:cs="Times New Roman"/>
          <w:noProof/>
          <w:sz w:val="24"/>
          <w:szCs w:val="24"/>
          <w:lang w:val="en-US"/>
        </w:rPr>
        <w:t xml:space="preserve"> the </w:t>
      </w:r>
      <w:r>
        <w:rPr>
          <w:rFonts w:ascii="Times New Roman" w:hAnsi="Times New Roman" w:cs="Times New Roman"/>
          <w:noProof/>
          <w:sz w:val="24"/>
          <w:szCs w:val="24"/>
          <w:lang w:val="en-US"/>
        </w:rPr>
        <w:t xml:space="preserve">concept of the </w:t>
      </w:r>
      <w:r w:rsidR="00C6036E">
        <w:rPr>
          <w:rFonts w:ascii="Times New Roman" w:hAnsi="Times New Roman" w:cs="Times New Roman"/>
          <w:noProof/>
          <w:sz w:val="24"/>
          <w:szCs w:val="24"/>
          <w:lang w:val="en-US"/>
        </w:rPr>
        <w:t>e</w:t>
      </w:r>
      <w:r w:rsidR="00D35EA0" w:rsidRPr="00D35EA0">
        <w:rPr>
          <w:rFonts w:ascii="Times New Roman" w:hAnsi="Times New Roman" w:cs="Times New Roman"/>
          <w:noProof/>
          <w:sz w:val="24"/>
          <w:szCs w:val="24"/>
          <w:lang w:val="en-US"/>
        </w:rPr>
        <w:t>cological</w:t>
      </w:r>
      <w:r>
        <w:rPr>
          <w:rFonts w:ascii="Times New Roman" w:hAnsi="Times New Roman" w:cs="Times New Roman"/>
          <w:noProof/>
          <w:sz w:val="24"/>
          <w:szCs w:val="24"/>
          <w:lang w:val="en-US"/>
        </w:rPr>
        <w:t xml:space="preserve"> </w:t>
      </w:r>
      <w:r w:rsidR="00C6036E">
        <w:rPr>
          <w:rFonts w:ascii="Times New Roman" w:hAnsi="Times New Roman" w:cs="Times New Roman"/>
          <w:noProof/>
          <w:sz w:val="24"/>
          <w:szCs w:val="24"/>
          <w:lang w:val="en-US"/>
        </w:rPr>
        <w:t>f</w:t>
      </w:r>
      <w:r w:rsidR="00D35EA0" w:rsidRPr="00D35EA0">
        <w:rPr>
          <w:rFonts w:ascii="Times New Roman" w:hAnsi="Times New Roman" w:cs="Times New Roman"/>
          <w:noProof/>
          <w:sz w:val="24"/>
          <w:szCs w:val="24"/>
          <w:lang w:val="en-US"/>
        </w:rPr>
        <w:t xml:space="preserve">ootprint as a comprehensive indicator to assess </w:t>
      </w:r>
      <w:r>
        <w:rPr>
          <w:rFonts w:ascii="Times New Roman" w:hAnsi="Times New Roman" w:cs="Times New Roman"/>
          <w:noProof/>
          <w:sz w:val="24"/>
          <w:szCs w:val="24"/>
          <w:lang w:val="en-US"/>
        </w:rPr>
        <w:t>convergence issues. The analysis employed the club clustering methodological approach for the case of the EU countries, with the empirical results highlighting the presence of a (small) number of convergence clubs.</w:t>
      </w:r>
    </w:p>
    <w:p w:rsidR="005C5D4B" w:rsidRPr="005517C4" w:rsidRDefault="005C5D4B" w:rsidP="005C5D4B">
      <w:pPr>
        <w:spacing w:line="360" w:lineRule="auto"/>
        <w:ind w:firstLine="708"/>
        <w:jc w:val="both"/>
        <w:rPr>
          <w:rFonts w:ascii="Times New Roman" w:hAnsi="Times New Roman" w:cs="Times New Roman"/>
          <w:noProof/>
          <w:sz w:val="24"/>
          <w:szCs w:val="24"/>
          <w:lang w:val="en-US"/>
        </w:rPr>
      </w:pPr>
      <w:r>
        <w:rPr>
          <w:rFonts w:ascii="Times New Roman" w:hAnsi="Times New Roman" w:cs="Times New Roman"/>
          <w:noProof/>
          <w:sz w:val="24"/>
          <w:szCs w:val="24"/>
          <w:lang w:val="en-US"/>
        </w:rPr>
        <w:t>These findings carry significant policy implications, mainly for producers, consumers and energy and environmental regulators. In particular, both consumers and producers need to adopt new strategies that highly contribute to a sustainable growth process that significantly maintains high qualitative environmental standards. Such strategies</w:t>
      </w:r>
      <w:r w:rsidRPr="005C5D4B">
        <w:rPr>
          <w:rFonts w:ascii="Times New Roman" w:hAnsi="Times New Roman" w:cs="Times New Roman"/>
          <w:noProof/>
          <w:sz w:val="24"/>
          <w:szCs w:val="24"/>
          <w:lang w:val="en-US"/>
        </w:rPr>
        <w:t xml:space="preserve"> call for new directions</w:t>
      </w:r>
      <w:r>
        <w:rPr>
          <w:rFonts w:ascii="Times New Roman" w:hAnsi="Times New Roman" w:cs="Times New Roman"/>
          <w:noProof/>
          <w:sz w:val="24"/>
          <w:szCs w:val="24"/>
          <w:lang w:val="en-US"/>
        </w:rPr>
        <w:t xml:space="preserve"> </w:t>
      </w:r>
      <w:r w:rsidRPr="005C5D4B">
        <w:rPr>
          <w:rFonts w:ascii="Times New Roman" w:hAnsi="Times New Roman" w:cs="Times New Roman"/>
          <w:noProof/>
          <w:sz w:val="24"/>
          <w:szCs w:val="24"/>
          <w:lang w:val="en-US"/>
        </w:rPr>
        <w:t xml:space="preserve">and forms of </w:t>
      </w:r>
      <w:r>
        <w:rPr>
          <w:rFonts w:ascii="Times New Roman" w:hAnsi="Times New Roman" w:cs="Times New Roman"/>
          <w:noProof/>
          <w:sz w:val="24"/>
          <w:szCs w:val="24"/>
          <w:lang w:val="en-US"/>
        </w:rPr>
        <w:t xml:space="preserve">the impact of </w:t>
      </w:r>
      <w:r w:rsidRPr="005C5D4B">
        <w:rPr>
          <w:rFonts w:ascii="Times New Roman" w:hAnsi="Times New Roman" w:cs="Times New Roman"/>
          <w:noProof/>
          <w:sz w:val="24"/>
          <w:szCs w:val="24"/>
          <w:lang w:val="en-US"/>
        </w:rPr>
        <w:t>globalization</w:t>
      </w:r>
      <w:r>
        <w:rPr>
          <w:rFonts w:ascii="Times New Roman" w:hAnsi="Times New Roman" w:cs="Times New Roman"/>
          <w:noProof/>
          <w:sz w:val="24"/>
          <w:szCs w:val="24"/>
          <w:lang w:val="en-US"/>
        </w:rPr>
        <w:t xml:space="preserve"> on production patterns, new lifestyle patterns and the source of energy consumption</w:t>
      </w:r>
      <w:r w:rsidRPr="005C5D4B">
        <w:rPr>
          <w:rFonts w:ascii="Times New Roman" w:hAnsi="Times New Roman" w:cs="Times New Roman"/>
          <w:noProof/>
          <w:sz w:val="24"/>
          <w:szCs w:val="24"/>
          <w:lang w:val="en-US"/>
        </w:rPr>
        <w:t>.</w:t>
      </w:r>
      <w:r>
        <w:rPr>
          <w:rFonts w:ascii="Times New Roman" w:hAnsi="Times New Roman" w:cs="Times New Roman"/>
          <w:noProof/>
          <w:sz w:val="24"/>
          <w:szCs w:val="24"/>
          <w:lang w:val="en-US"/>
        </w:rPr>
        <w:t xml:space="preserve"> The ignorance of the role of the ecological footprint in the health of our ecosystems will potentially </w:t>
      </w:r>
      <w:r w:rsidRPr="005C5D4B">
        <w:rPr>
          <w:rFonts w:ascii="Times New Roman" w:hAnsi="Times New Roman" w:cs="Times New Roman"/>
          <w:noProof/>
          <w:sz w:val="24"/>
          <w:szCs w:val="24"/>
          <w:lang w:val="en-US"/>
        </w:rPr>
        <w:t>result in un-intended and undesirable</w:t>
      </w:r>
      <w:r>
        <w:rPr>
          <w:rFonts w:ascii="Times New Roman" w:hAnsi="Times New Roman" w:cs="Times New Roman"/>
          <w:noProof/>
          <w:sz w:val="24"/>
          <w:szCs w:val="24"/>
          <w:lang w:val="en-US"/>
        </w:rPr>
        <w:t xml:space="preserve"> </w:t>
      </w:r>
      <w:r w:rsidRPr="005C5D4B">
        <w:rPr>
          <w:rFonts w:ascii="Times New Roman" w:hAnsi="Times New Roman" w:cs="Times New Roman"/>
          <w:noProof/>
          <w:sz w:val="24"/>
          <w:szCs w:val="24"/>
          <w:lang w:val="en-US"/>
        </w:rPr>
        <w:t xml:space="preserve">effects </w:t>
      </w:r>
      <w:r>
        <w:rPr>
          <w:rFonts w:ascii="Times New Roman" w:hAnsi="Times New Roman" w:cs="Times New Roman"/>
          <w:noProof/>
          <w:sz w:val="24"/>
          <w:szCs w:val="24"/>
          <w:lang w:val="en-US"/>
        </w:rPr>
        <w:t>for our future. Therefore</w:t>
      </w:r>
      <w:r w:rsidRPr="005C5D4B">
        <w:rPr>
          <w:rFonts w:ascii="Times New Roman" w:hAnsi="Times New Roman" w:cs="Times New Roman"/>
          <w:noProof/>
          <w:sz w:val="24"/>
          <w:szCs w:val="24"/>
          <w:lang w:val="en-US"/>
        </w:rPr>
        <w:t xml:space="preserve">, it </w:t>
      </w:r>
      <w:r>
        <w:rPr>
          <w:rFonts w:ascii="Times New Roman" w:hAnsi="Times New Roman" w:cs="Times New Roman"/>
          <w:noProof/>
          <w:sz w:val="24"/>
          <w:szCs w:val="24"/>
          <w:lang w:val="en-US"/>
        </w:rPr>
        <w:t>is substantially</w:t>
      </w:r>
      <w:r w:rsidRPr="005C5D4B">
        <w:rPr>
          <w:rFonts w:ascii="Times New Roman" w:hAnsi="Times New Roman" w:cs="Times New Roman"/>
          <w:noProof/>
          <w:sz w:val="24"/>
          <w:szCs w:val="24"/>
          <w:lang w:val="en-US"/>
        </w:rPr>
        <w:t xml:space="preserve"> crucial to embrace the</w:t>
      </w:r>
      <w:r>
        <w:rPr>
          <w:rFonts w:ascii="Times New Roman" w:hAnsi="Times New Roman" w:cs="Times New Roman"/>
          <w:noProof/>
          <w:sz w:val="24"/>
          <w:szCs w:val="24"/>
          <w:lang w:val="en-US"/>
        </w:rPr>
        <w:t xml:space="preserve"> </w:t>
      </w:r>
      <w:r w:rsidRPr="005C5D4B">
        <w:rPr>
          <w:rFonts w:ascii="Times New Roman" w:hAnsi="Times New Roman" w:cs="Times New Roman"/>
          <w:noProof/>
          <w:sz w:val="24"/>
          <w:szCs w:val="24"/>
          <w:lang w:val="en-US"/>
        </w:rPr>
        <w:t>positive aspects of globalization</w:t>
      </w:r>
      <w:r>
        <w:rPr>
          <w:rFonts w:ascii="Times New Roman" w:hAnsi="Times New Roman" w:cs="Times New Roman"/>
          <w:noProof/>
          <w:sz w:val="24"/>
          <w:szCs w:val="24"/>
          <w:lang w:val="en-US"/>
        </w:rPr>
        <w:t>,</w:t>
      </w:r>
      <w:r w:rsidRPr="005C5D4B">
        <w:rPr>
          <w:rFonts w:ascii="Times New Roman" w:hAnsi="Times New Roman" w:cs="Times New Roman"/>
          <w:noProof/>
          <w:sz w:val="24"/>
          <w:szCs w:val="24"/>
          <w:lang w:val="en-US"/>
        </w:rPr>
        <w:t xml:space="preserve"> while mitigating the </w:t>
      </w:r>
      <w:r>
        <w:rPr>
          <w:rFonts w:ascii="Times New Roman" w:hAnsi="Times New Roman" w:cs="Times New Roman"/>
          <w:noProof/>
          <w:sz w:val="24"/>
          <w:szCs w:val="24"/>
          <w:lang w:val="en-US"/>
        </w:rPr>
        <w:t>associated</w:t>
      </w:r>
      <w:r w:rsidRPr="005C5D4B">
        <w:rPr>
          <w:rFonts w:ascii="Times New Roman" w:hAnsi="Times New Roman" w:cs="Times New Roman"/>
          <w:noProof/>
          <w:sz w:val="24"/>
          <w:szCs w:val="24"/>
          <w:lang w:val="en-US"/>
        </w:rPr>
        <w:t xml:space="preserve"> risks of an increasingly</w:t>
      </w:r>
      <w:r>
        <w:rPr>
          <w:rFonts w:ascii="Times New Roman" w:hAnsi="Times New Roman" w:cs="Times New Roman"/>
          <w:noProof/>
          <w:sz w:val="24"/>
          <w:szCs w:val="24"/>
          <w:lang w:val="en-US"/>
        </w:rPr>
        <w:t xml:space="preserve"> </w:t>
      </w:r>
      <w:r w:rsidRPr="005C5D4B">
        <w:rPr>
          <w:rFonts w:ascii="Times New Roman" w:hAnsi="Times New Roman" w:cs="Times New Roman"/>
          <w:noProof/>
          <w:sz w:val="24"/>
          <w:szCs w:val="24"/>
          <w:lang w:val="en-US"/>
        </w:rPr>
        <w:t>interconnected world</w:t>
      </w:r>
      <w:r>
        <w:rPr>
          <w:rFonts w:ascii="Times New Roman" w:hAnsi="Times New Roman" w:cs="Times New Roman"/>
          <w:noProof/>
          <w:sz w:val="24"/>
          <w:szCs w:val="24"/>
          <w:lang w:val="en-US"/>
        </w:rPr>
        <w:t xml:space="preserve"> in terms of energy and environmental issues</w:t>
      </w:r>
      <w:r w:rsidRPr="005C5D4B">
        <w:rPr>
          <w:rFonts w:ascii="Times New Roman" w:hAnsi="Times New Roman" w:cs="Times New Roman"/>
          <w:noProof/>
          <w:sz w:val="24"/>
          <w:szCs w:val="24"/>
          <w:lang w:val="en-US"/>
        </w:rPr>
        <w:t>.</w:t>
      </w:r>
    </w:p>
    <w:p w:rsidR="00AB04C8" w:rsidRDefault="00AB04C8" w:rsidP="0024471B">
      <w:pPr>
        <w:spacing w:line="360" w:lineRule="auto"/>
        <w:jc w:val="both"/>
        <w:rPr>
          <w:rFonts w:ascii="Times New Roman" w:hAnsi="Times New Roman" w:cs="Times New Roman"/>
          <w:noProof/>
          <w:sz w:val="24"/>
          <w:szCs w:val="24"/>
          <w:lang w:val="en-US"/>
        </w:rPr>
      </w:pPr>
    </w:p>
    <w:p w:rsidR="007519D3" w:rsidRDefault="00E233CC" w:rsidP="0024471B">
      <w:pPr>
        <w:spacing w:line="360" w:lineRule="auto"/>
        <w:jc w:val="both"/>
        <w:rPr>
          <w:rFonts w:ascii="Times New Roman" w:hAnsi="Times New Roman" w:cs="Times New Roman"/>
          <w:b/>
          <w:noProof/>
          <w:sz w:val="24"/>
          <w:szCs w:val="24"/>
          <w:lang w:val="en-US"/>
        </w:rPr>
      </w:pPr>
      <w:r w:rsidRPr="005517C4">
        <w:rPr>
          <w:rFonts w:ascii="Times New Roman" w:hAnsi="Times New Roman" w:cs="Times New Roman"/>
          <w:b/>
          <w:noProof/>
          <w:sz w:val="24"/>
          <w:szCs w:val="24"/>
          <w:lang w:val="en-US"/>
        </w:rPr>
        <w:t xml:space="preserve">References </w:t>
      </w:r>
    </w:p>
    <w:p w:rsidR="006C6A16" w:rsidRPr="006C6A16" w:rsidRDefault="006578EE" w:rsidP="006C6A16">
      <w:pPr>
        <w:widowControl w:val="0"/>
        <w:autoSpaceDE w:val="0"/>
        <w:autoSpaceDN w:val="0"/>
        <w:adjustRightInd w:val="0"/>
        <w:spacing w:line="360" w:lineRule="auto"/>
        <w:ind w:left="480" w:hanging="480"/>
        <w:rPr>
          <w:rFonts w:ascii="Times New Roman" w:hAnsi="Times New Roman" w:cs="Times New Roman"/>
          <w:noProof/>
          <w:sz w:val="24"/>
          <w:szCs w:val="24"/>
        </w:rPr>
      </w:pPr>
      <w:r>
        <w:rPr>
          <w:rFonts w:ascii="Times New Roman" w:hAnsi="Times New Roman" w:cs="Times New Roman"/>
          <w:b/>
          <w:noProof/>
          <w:sz w:val="24"/>
          <w:szCs w:val="24"/>
          <w:lang w:val="en-US"/>
        </w:rPr>
        <w:fldChar w:fldCharType="begin" w:fldLock="1"/>
      </w:r>
      <w:r w:rsidR="003D379B">
        <w:rPr>
          <w:rFonts w:ascii="Times New Roman" w:hAnsi="Times New Roman" w:cs="Times New Roman"/>
          <w:b/>
          <w:noProof/>
          <w:sz w:val="24"/>
          <w:szCs w:val="24"/>
          <w:lang w:val="en-US"/>
        </w:rPr>
        <w:instrText xml:space="preserve">ADDIN Mendeley Bibliography CSL_BIBLIOGRAPHY </w:instrText>
      </w:r>
      <w:r>
        <w:rPr>
          <w:rFonts w:ascii="Times New Roman" w:hAnsi="Times New Roman" w:cs="Times New Roman"/>
          <w:b/>
          <w:noProof/>
          <w:sz w:val="24"/>
          <w:szCs w:val="24"/>
          <w:lang w:val="en-US"/>
        </w:rPr>
        <w:fldChar w:fldCharType="separate"/>
      </w:r>
      <w:r w:rsidR="006C6A16" w:rsidRPr="006C6A16">
        <w:rPr>
          <w:rFonts w:ascii="Times New Roman" w:hAnsi="Times New Roman" w:cs="Times New Roman"/>
          <w:noProof/>
          <w:sz w:val="24"/>
          <w:szCs w:val="24"/>
        </w:rPr>
        <w:t xml:space="preserve">Acar, Sevil, and Magnus Lindmark. 2016. “Periods of Converging Carbon Dioxide Emissions from Oil Combustion in a Pre-Kyoto Context.” </w:t>
      </w:r>
      <w:r w:rsidR="006C6A16" w:rsidRPr="006C6A16">
        <w:rPr>
          <w:rFonts w:ascii="Times New Roman" w:hAnsi="Times New Roman" w:cs="Times New Roman"/>
          <w:i/>
          <w:iCs/>
          <w:noProof/>
          <w:sz w:val="24"/>
          <w:szCs w:val="24"/>
        </w:rPr>
        <w:t>Environmental Development</w:t>
      </w:r>
      <w:r w:rsidR="006C6A16" w:rsidRPr="006C6A16">
        <w:rPr>
          <w:rFonts w:ascii="Times New Roman" w:hAnsi="Times New Roman" w:cs="Times New Roman"/>
          <w:noProof/>
          <w:sz w:val="24"/>
          <w:szCs w:val="24"/>
        </w:rPr>
        <w:t xml:space="preserve"> 19: 1–9. doi:10.1016/j.envdev.2016.06.005.</w:t>
      </w:r>
    </w:p>
    <w:p w:rsidR="006C6A16" w:rsidRPr="006C6A16" w:rsidRDefault="006C6A16" w:rsidP="006C6A16">
      <w:pPr>
        <w:widowControl w:val="0"/>
        <w:autoSpaceDE w:val="0"/>
        <w:autoSpaceDN w:val="0"/>
        <w:adjustRightInd w:val="0"/>
        <w:spacing w:line="360" w:lineRule="auto"/>
        <w:ind w:left="480" w:hanging="480"/>
        <w:rPr>
          <w:rFonts w:ascii="Times New Roman" w:hAnsi="Times New Roman" w:cs="Times New Roman"/>
          <w:noProof/>
          <w:sz w:val="24"/>
          <w:szCs w:val="24"/>
        </w:rPr>
      </w:pPr>
      <w:r w:rsidRPr="006C6A16">
        <w:rPr>
          <w:rFonts w:ascii="Times New Roman" w:hAnsi="Times New Roman" w:cs="Times New Roman"/>
          <w:noProof/>
          <w:sz w:val="24"/>
          <w:szCs w:val="24"/>
        </w:rPr>
        <w:t xml:space="preserve">———. 2017. “Convergence of CO2 Emissions and Economic Growth in the OECD Countries: Did the Type of Fuel Matter?” </w:t>
      </w:r>
      <w:r w:rsidRPr="006C6A16">
        <w:rPr>
          <w:rFonts w:ascii="Times New Roman" w:hAnsi="Times New Roman" w:cs="Times New Roman"/>
          <w:i/>
          <w:iCs/>
          <w:noProof/>
          <w:sz w:val="24"/>
          <w:szCs w:val="24"/>
        </w:rPr>
        <w:t>Energy Sources, Part B: Economics, Planning, and Policy</w:t>
      </w:r>
      <w:r w:rsidRPr="006C6A16">
        <w:rPr>
          <w:rFonts w:ascii="Times New Roman" w:hAnsi="Times New Roman" w:cs="Times New Roman"/>
          <w:noProof/>
          <w:sz w:val="24"/>
          <w:szCs w:val="24"/>
        </w:rPr>
        <w:t>, March. Taylor &amp; Francis, 1–10. doi:10.1080/15567249.2016.1249807.</w:t>
      </w:r>
    </w:p>
    <w:p w:rsidR="006C6A16" w:rsidRPr="006C6A16" w:rsidRDefault="006C6A16" w:rsidP="006C6A16">
      <w:pPr>
        <w:widowControl w:val="0"/>
        <w:autoSpaceDE w:val="0"/>
        <w:autoSpaceDN w:val="0"/>
        <w:adjustRightInd w:val="0"/>
        <w:spacing w:line="360" w:lineRule="auto"/>
        <w:ind w:left="480" w:hanging="480"/>
        <w:rPr>
          <w:rFonts w:ascii="Times New Roman" w:hAnsi="Times New Roman" w:cs="Times New Roman"/>
          <w:noProof/>
          <w:sz w:val="24"/>
          <w:szCs w:val="24"/>
        </w:rPr>
      </w:pPr>
      <w:r w:rsidRPr="006C6A16">
        <w:rPr>
          <w:rFonts w:ascii="Times New Roman" w:hAnsi="Times New Roman" w:cs="Times New Roman"/>
          <w:noProof/>
          <w:sz w:val="24"/>
          <w:szCs w:val="24"/>
        </w:rPr>
        <w:t xml:space="preserve">ACARAVCI, Ali, and Sinan Erdogan. 2016. “The Convergence Behavior of CO2 Emissions in Seven Regions under Multiple Structural Breaks.” </w:t>
      </w:r>
      <w:r w:rsidRPr="006C6A16">
        <w:rPr>
          <w:rFonts w:ascii="Times New Roman" w:hAnsi="Times New Roman" w:cs="Times New Roman"/>
          <w:i/>
          <w:iCs/>
          <w:noProof/>
          <w:sz w:val="24"/>
          <w:szCs w:val="24"/>
        </w:rPr>
        <w:t>International Journal of Energy Economics and Policy</w:t>
      </w:r>
      <w:r w:rsidRPr="006C6A16">
        <w:rPr>
          <w:rFonts w:ascii="Times New Roman" w:hAnsi="Times New Roman" w:cs="Times New Roman"/>
          <w:noProof/>
          <w:sz w:val="24"/>
          <w:szCs w:val="24"/>
        </w:rPr>
        <w:t xml:space="preserve"> 6 (3): 575–80. http://www.econjournals.com/index.php/ijeep/article/view/2725.</w:t>
      </w:r>
    </w:p>
    <w:p w:rsidR="006C6A16" w:rsidRPr="006C6A16" w:rsidRDefault="006C6A16" w:rsidP="006C6A16">
      <w:pPr>
        <w:widowControl w:val="0"/>
        <w:autoSpaceDE w:val="0"/>
        <w:autoSpaceDN w:val="0"/>
        <w:adjustRightInd w:val="0"/>
        <w:spacing w:line="360" w:lineRule="auto"/>
        <w:ind w:left="480" w:hanging="480"/>
        <w:rPr>
          <w:rFonts w:ascii="Times New Roman" w:hAnsi="Times New Roman" w:cs="Times New Roman"/>
          <w:noProof/>
          <w:sz w:val="24"/>
          <w:szCs w:val="24"/>
        </w:rPr>
      </w:pPr>
      <w:r w:rsidRPr="006C6A16">
        <w:rPr>
          <w:rFonts w:ascii="Times New Roman" w:hAnsi="Times New Roman" w:cs="Times New Roman"/>
          <w:noProof/>
          <w:sz w:val="24"/>
          <w:szCs w:val="24"/>
        </w:rPr>
        <w:t xml:space="preserve">Ahmed, Mumtaz, Atif Maqbool Khan, Salma Bibi, and Muhammad Zakaria. 2016. “Convergence of per Capita CO2 Emissions across the Globe: Insights via Wavelet Analysis.” </w:t>
      </w:r>
      <w:r w:rsidRPr="006C6A16">
        <w:rPr>
          <w:rFonts w:ascii="Times New Roman" w:hAnsi="Times New Roman" w:cs="Times New Roman"/>
          <w:i/>
          <w:iCs/>
          <w:noProof/>
          <w:sz w:val="24"/>
          <w:szCs w:val="24"/>
        </w:rPr>
        <w:t xml:space="preserve">Renewable </w:t>
      </w:r>
      <w:r w:rsidRPr="006C6A16">
        <w:rPr>
          <w:rFonts w:ascii="Times New Roman" w:hAnsi="Times New Roman" w:cs="Times New Roman"/>
          <w:i/>
          <w:iCs/>
          <w:noProof/>
          <w:sz w:val="24"/>
          <w:szCs w:val="24"/>
        </w:rPr>
        <w:lastRenderedPageBreak/>
        <w:t>and Sustainable Energy Reviews</w:t>
      </w:r>
      <w:r w:rsidRPr="006C6A16">
        <w:rPr>
          <w:rFonts w:ascii="Times New Roman" w:hAnsi="Times New Roman" w:cs="Times New Roman"/>
          <w:noProof/>
          <w:sz w:val="24"/>
          <w:szCs w:val="24"/>
        </w:rPr>
        <w:t>. doi:10.1016/j.rser.2016.10.053.</w:t>
      </w:r>
    </w:p>
    <w:p w:rsidR="006C6A16" w:rsidRPr="006C6A16" w:rsidRDefault="006C6A16" w:rsidP="006C6A16">
      <w:pPr>
        <w:widowControl w:val="0"/>
        <w:autoSpaceDE w:val="0"/>
        <w:autoSpaceDN w:val="0"/>
        <w:adjustRightInd w:val="0"/>
        <w:spacing w:line="360" w:lineRule="auto"/>
        <w:ind w:left="480" w:hanging="480"/>
        <w:rPr>
          <w:rFonts w:ascii="Times New Roman" w:hAnsi="Times New Roman" w:cs="Times New Roman"/>
          <w:noProof/>
          <w:sz w:val="24"/>
          <w:szCs w:val="24"/>
        </w:rPr>
      </w:pPr>
      <w:r w:rsidRPr="006C6A16">
        <w:rPr>
          <w:rFonts w:ascii="Times New Roman" w:hAnsi="Times New Roman" w:cs="Times New Roman"/>
          <w:noProof/>
          <w:sz w:val="24"/>
          <w:szCs w:val="24"/>
        </w:rPr>
        <w:t xml:space="preserve">Aldy, Joseph E. 2006. “Per Capita Carbon Dioxide Emissions: Convergence or Divergence?” </w:t>
      </w:r>
      <w:r w:rsidRPr="006C6A16">
        <w:rPr>
          <w:rFonts w:ascii="Times New Roman" w:hAnsi="Times New Roman" w:cs="Times New Roman"/>
          <w:i/>
          <w:iCs/>
          <w:noProof/>
          <w:sz w:val="24"/>
          <w:szCs w:val="24"/>
        </w:rPr>
        <w:t>Environmental &amp; Resource Economics</w:t>
      </w:r>
      <w:r w:rsidRPr="006C6A16">
        <w:rPr>
          <w:rFonts w:ascii="Times New Roman" w:hAnsi="Times New Roman" w:cs="Times New Roman"/>
          <w:noProof/>
          <w:sz w:val="24"/>
          <w:szCs w:val="24"/>
        </w:rPr>
        <w:t xml:space="preserve"> 33: 533–55. doi:10.1007/s10640-005-6160-x.</w:t>
      </w:r>
    </w:p>
    <w:p w:rsidR="006C6A16" w:rsidRPr="006C6A16" w:rsidRDefault="006C6A16" w:rsidP="006C6A16">
      <w:pPr>
        <w:widowControl w:val="0"/>
        <w:autoSpaceDE w:val="0"/>
        <w:autoSpaceDN w:val="0"/>
        <w:adjustRightInd w:val="0"/>
        <w:spacing w:line="360" w:lineRule="auto"/>
        <w:ind w:left="480" w:hanging="480"/>
        <w:rPr>
          <w:rFonts w:ascii="Times New Roman" w:hAnsi="Times New Roman" w:cs="Times New Roman"/>
          <w:noProof/>
          <w:sz w:val="24"/>
          <w:szCs w:val="24"/>
        </w:rPr>
      </w:pPr>
      <w:r w:rsidRPr="006C6A16">
        <w:rPr>
          <w:rFonts w:ascii="Times New Roman" w:hAnsi="Times New Roman" w:cs="Times New Roman"/>
          <w:noProof/>
          <w:sz w:val="24"/>
          <w:szCs w:val="24"/>
        </w:rPr>
        <w:t xml:space="preserve">Aldy, Joseph E. 2007. “Divergence in State-Level Per Capita Carbon Dioxide Emissions.” </w:t>
      </w:r>
      <w:r w:rsidRPr="006C6A16">
        <w:rPr>
          <w:rFonts w:ascii="Times New Roman" w:hAnsi="Times New Roman" w:cs="Times New Roman"/>
          <w:i/>
          <w:iCs/>
          <w:noProof/>
          <w:sz w:val="24"/>
          <w:szCs w:val="24"/>
        </w:rPr>
        <w:t>Land Economics</w:t>
      </w:r>
      <w:r w:rsidRPr="006C6A16">
        <w:rPr>
          <w:rFonts w:ascii="Times New Roman" w:hAnsi="Times New Roman" w:cs="Times New Roman"/>
          <w:noProof/>
          <w:sz w:val="24"/>
          <w:szCs w:val="24"/>
        </w:rPr>
        <w:t xml:space="preserve"> 83 (3): 353–69.</w:t>
      </w:r>
    </w:p>
    <w:p w:rsidR="006C6A16" w:rsidRPr="006C6A16" w:rsidRDefault="006C6A16" w:rsidP="006C6A16">
      <w:pPr>
        <w:widowControl w:val="0"/>
        <w:autoSpaceDE w:val="0"/>
        <w:autoSpaceDN w:val="0"/>
        <w:adjustRightInd w:val="0"/>
        <w:spacing w:line="360" w:lineRule="auto"/>
        <w:ind w:left="480" w:hanging="480"/>
        <w:rPr>
          <w:rFonts w:ascii="Times New Roman" w:hAnsi="Times New Roman" w:cs="Times New Roman"/>
          <w:noProof/>
          <w:sz w:val="24"/>
          <w:szCs w:val="24"/>
        </w:rPr>
      </w:pPr>
      <w:r w:rsidRPr="006C6A16">
        <w:rPr>
          <w:rFonts w:ascii="Times New Roman" w:hAnsi="Times New Roman" w:cs="Times New Roman"/>
          <w:noProof/>
          <w:sz w:val="24"/>
          <w:szCs w:val="24"/>
        </w:rPr>
        <w:t xml:space="preserve">Apergis, Nicholas, Christina Christou, and Christis Hassapis. 2013. “Convergence in Public Expenditures across EU Countries: Evidence from Club Convergence.” </w:t>
      </w:r>
      <w:r w:rsidRPr="006C6A16">
        <w:rPr>
          <w:rFonts w:ascii="Times New Roman" w:hAnsi="Times New Roman" w:cs="Times New Roman"/>
          <w:i/>
          <w:iCs/>
          <w:noProof/>
          <w:sz w:val="24"/>
          <w:szCs w:val="24"/>
        </w:rPr>
        <w:t>Economics &amp; Finance Research</w:t>
      </w:r>
      <w:r w:rsidRPr="006C6A16">
        <w:rPr>
          <w:rFonts w:ascii="Times New Roman" w:hAnsi="Times New Roman" w:cs="Times New Roman"/>
          <w:noProof/>
          <w:sz w:val="24"/>
          <w:szCs w:val="24"/>
        </w:rPr>
        <w:t xml:space="preserve"> 1 (1). Taylor &amp; Francis: 45–59. doi:10.1080/21649480.2013.862735.</w:t>
      </w:r>
    </w:p>
    <w:p w:rsidR="006C6A16" w:rsidRPr="006C6A16" w:rsidRDefault="006C6A16" w:rsidP="006C6A16">
      <w:pPr>
        <w:widowControl w:val="0"/>
        <w:autoSpaceDE w:val="0"/>
        <w:autoSpaceDN w:val="0"/>
        <w:adjustRightInd w:val="0"/>
        <w:spacing w:line="360" w:lineRule="auto"/>
        <w:ind w:left="480" w:hanging="480"/>
        <w:rPr>
          <w:rFonts w:ascii="Times New Roman" w:hAnsi="Times New Roman" w:cs="Times New Roman"/>
          <w:noProof/>
          <w:sz w:val="24"/>
          <w:szCs w:val="24"/>
        </w:rPr>
      </w:pPr>
      <w:r w:rsidRPr="006C6A16">
        <w:rPr>
          <w:rFonts w:ascii="Times New Roman" w:hAnsi="Times New Roman" w:cs="Times New Roman"/>
          <w:noProof/>
          <w:sz w:val="24"/>
          <w:szCs w:val="24"/>
        </w:rPr>
        <w:t xml:space="preserve">Apergis, Nicholas, and James E. Payne. 2017. “Per Capita Carbon Dioxide Emissions across U.S. States by Sector and Fossil Fuel Source: Evidence from Club Convergence Tests.” </w:t>
      </w:r>
      <w:r w:rsidRPr="006C6A16">
        <w:rPr>
          <w:rFonts w:ascii="Times New Roman" w:hAnsi="Times New Roman" w:cs="Times New Roman"/>
          <w:i/>
          <w:iCs/>
          <w:noProof/>
          <w:sz w:val="24"/>
          <w:szCs w:val="24"/>
        </w:rPr>
        <w:t>Energy Economics</w:t>
      </w:r>
      <w:r w:rsidRPr="006C6A16">
        <w:rPr>
          <w:rFonts w:ascii="Times New Roman" w:hAnsi="Times New Roman" w:cs="Times New Roman"/>
          <w:noProof/>
          <w:sz w:val="24"/>
          <w:szCs w:val="24"/>
        </w:rPr>
        <w:t>. doi:10.1016/j.eneco.2016.11.027.</w:t>
      </w:r>
    </w:p>
    <w:p w:rsidR="006C6A16" w:rsidRPr="006C6A16" w:rsidRDefault="006C6A16" w:rsidP="006C6A16">
      <w:pPr>
        <w:widowControl w:val="0"/>
        <w:autoSpaceDE w:val="0"/>
        <w:autoSpaceDN w:val="0"/>
        <w:adjustRightInd w:val="0"/>
        <w:spacing w:line="360" w:lineRule="auto"/>
        <w:ind w:left="480" w:hanging="480"/>
        <w:rPr>
          <w:rFonts w:ascii="Times New Roman" w:hAnsi="Times New Roman" w:cs="Times New Roman"/>
          <w:noProof/>
          <w:sz w:val="24"/>
          <w:szCs w:val="24"/>
        </w:rPr>
      </w:pPr>
      <w:r w:rsidRPr="006C6A16">
        <w:rPr>
          <w:rFonts w:ascii="Times New Roman" w:hAnsi="Times New Roman" w:cs="Times New Roman"/>
          <w:noProof/>
          <w:sz w:val="24"/>
          <w:szCs w:val="24"/>
        </w:rPr>
        <w:t xml:space="preserve">Arrow, Kenneth, Bert Bolin, Robert Costanza, Partha Dasgupta, Carl Folke, C. S. Holling, Bengt-Owe Jansson, et al. 1995. “Economic Growth, Carrying Capacity, and the Environment.” </w:t>
      </w:r>
      <w:r w:rsidRPr="006C6A16">
        <w:rPr>
          <w:rFonts w:ascii="Times New Roman" w:hAnsi="Times New Roman" w:cs="Times New Roman"/>
          <w:i/>
          <w:iCs/>
          <w:noProof/>
          <w:sz w:val="24"/>
          <w:szCs w:val="24"/>
        </w:rPr>
        <w:t>Science</w:t>
      </w:r>
      <w:r w:rsidRPr="006C6A16">
        <w:rPr>
          <w:rFonts w:ascii="Times New Roman" w:hAnsi="Times New Roman" w:cs="Times New Roman"/>
          <w:noProof/>
          <w:sz w:val="24"/>
          <w:szCs w:val="24"/>
        </w:rPr>
        <w:t xml:space="preserve"> 268 (5210).</w:t>
      </w:r>
    </w:p>
    <w:p w:rsidR="006C6A16" w:rsidRPr="006C6A16" w:rsidRDefault="006C6A16" w:rsidP="006C6A16">
      <w:pPr>
        <w:widowControl w:val="0"/>
        <w:autoSpaceDE w:val="0"/>
        <w:autoSpaceDN w:val="0"/>
        <w:adjustRightInd w:val="0"/>
        <w:spacing w:line="360" w:lineRule="auto"/>
        <w:ind w:left="480" w:hanging="480"/>
        <w:rPr>
          <w:rFonts w:ascii="Times New Roman" w:hAnsi="Times New Roman" w:cs="Times New Roman"/>
          <w:noProof/>
          <w:sz w:val="24"/>
          <w:szCs w:val="24"/>
        </w:rPr>
      </w:pPr>
      <w:r w:rsidRPr="006C6A16">
        <w:rPr>
          <w:rFonts w:ascii="Times New Roman" w:hAnsi="Times New Roman" w:cs="Times New Roman"/>
          <w:noProof/>
          <w:sz w:val="24"/>
          <w:szCs w:val="24"/>
        </w:rPr>
        <w:t xml:space="preserve">Barro, Robert J. 1991. “Economic Growth in a Cross Section of Countries.” </w:t>
      </w:r>
      <w:r w:rsidRPr="006C6A16">
        <w:rPr>
          <w:rFonts w:ascii="Times New Roman" w:hAnsi="Times New Roman" w:cs="Times New Roman"/>
          <w:i/>
          <w:iCs/>
          <w:noProof/>
          <w:sz w:val="24"/>
          <w:szCs w:val="24"/>
        </w:rPr>
        <w:t>Quarterly Journal of Economics</w:t>
      </w:r>
      <w:r w:rsidRPr="006C6A16">
        <w:rPr>
          <w:rFonts w:ascii="Times New Roman" w:hAnsi="Times New Roman" w:cs="Times New Roman"/>
          <w:noProof/>
          <w:sz w:val="24"/>
          <w:szCs w:val="24"/>
        </w:rPr>
        <w:t xml:space="preserve"> 106 (2): 407. http://search.ebscohost.com/login.aspx?direct=true&amp;db=bth&amp;AN=9109021742&amp;authtype=shib&amp;site=ehost-live.</w:t>
      </w:r>
    </w:p>
    <w:p w:rsidR="006C6A16" w:rsidRPr="006C6A16" w:rsidRDefault="006C6A16" w:rsidP="006C6A16">
      <w:pPr>
        <w:widowControl w:val="0"/>
        <w:autoSpaceDE w:val="0"/>
        <w:autoSpaceDN w:val="0"/>
        <w:adjustRightInd w:val="0"/>
        <w:spacing w:line="360" w:lineRule="auto"/>
        <w:ind w:left="480" w:hanging="480"/>
        <w:rPr>
          <w:rFonts w:ascii="Times New Roman" w:hAnsi="Times New Roman" w:cs="Times New Roman"/>
          <w:noProof/>
          <w:sz w:val="24"/>
          <w:szCs w:val="24"/>
        </w:rPr>
      </w:pPr>
      <w:r w:rsidRPr="006C6A16">
        <w:rPr>
          <w:rFonts w:ascii="Times New Roman" w:hAnsi="Times New Roman" w:cs="Times New Roman"/>
          <w:noProof/>
          <w:sz w:val="24"/>
          <w:szCs w:val="24"/>
        </w:rPr>
        <w:t xml:space="preserve">Barro, Robert J., and Xavier Sala-i-Martin. 1992. “Convergence.” </w:t>
      </w:r>
      <w:r w:rsidRPr="006C6A16">
        <w:rPr>
          <w:rFonts w:ascii="Times New Roman" w:hAnsi="Times New Roman" w:cs="Times New Roman"/>
          <w:i/>
          <w:iCs/>
          <w:noProof/>
          <w:sz w:val="24"/>
          <w:szCs w:val="24"/>
        </w:rPr>
        <w:t>Journal of Political Economy</w:t>
      </w:r>
      <w:r w:rsidRPr="006C6A16">
        <w:rPr>
          <w:rFonts w:ascii="Times New Roman" w:hAnsi="Times New Roman" w:cs="Times New Roman"/>
          <w:noProof/>
          <w:sz w:val="24"/>
          <w:szCs w:val="24"/>
        </w:rPr>
        <w:t xml:space="preserve"> 100 (2): 223–51. doi:10.1086/261816.</w:t>
      </w:r>
    </w:p>
    <w:p w:rsidR="006C6A16" w:rsidRPr="006C6A16" w:rsidRDefault="006C6A16" w:rsidP="006C6A16">
      <w:pPr>
        <w:widowControl w:val="0"/>
        <w:autoSpaceDE w:val="0"/>
        <w:autoSpaceDN w:val="0"/>
        <w:adjustRightInd w:val="0"/>
        <w:spacing w:line="360" w:lineRule="auto"/>
        <w:ind w:left="480" w:hanging="480"/>
        <w:rPr>
          <w:rFonts w:ascii="Times New Roman" w:hAnsi="Times New Roman" w:cs="Times New Roman"/>
          <w:noProof/>
          <w:sz w:val="24"/>
          <w:szCs w:val="24"/>
        </w:rPr>
      </w:pPr>
      <w:r w:rsidRPr="006C6A16">
        <w:rPr>
          <w:rFonts w:ascii="Times New Roman" w:hAnsi="Times New Roman" w:cs="Times New Roman"/>
          <w:noProof/>
          <w:sz w:val="24"/>
          <w:szCs w:val="24"/>
        </w:rPr>
        <w:t xml:space="preserve">Bartelmus, Peter. 2008. </w:t>
      </w:r>
      <w:r w:rsidRPr="006C6A16">
        <w:rPr>
          <w:rFonts w:ascii="Times New Roman" w:hAnsi="Times New Roman" w:cs="Times New Roman"/>
          <w:i/>
          <w:iCs/>
          <w:noProof/>
          <w:sz w:val="24"/>
          <w:szCs w:val="24"/>
        </w:rPr>
        <w:t>Quantitative Eco-Nomics: How Sustainable Are Our Economies?</w:t>
      </w:r>
      <w:r w:rsidRPr="006C6A16">
        <w:rPr>
          <w:rFonts w:ascii="Times New Roman" w:hAnsi="Times New Roman" w:cs="Times New Roman"/>
          <w:noProof/>
          <w:sz w:val="24"/>
          <w:szCs w:val="24"/>
        </w:rPr>
        <w:t xml:space="preserve"> </w:t>
      </w:r>
      <w:r w:rsidRPr="006C6A16">
        <w:rPr>
          <w:rFonts w:ascii="Times New Roman" w:hAnsi="Times New Roman" w:cs="Times New Roman"/>
          <w:i/>
          <w:iCs/>
          <w:noProof/>
          <w:sz w:val="24"/>
          <w:szCs w:val="24"/>
        </w:rPr>
        <w:t>Quantitative Eco-Nomics: How Sustainable Are Our Economies?</w:t>
      </w:r>
      <w:r w:rsidRPr="006C6A16">
        <w:rPr>
          <w:rFonts w:ascii="Times New Roman" w:hAnsi="Times New Roman" w:cs="Times New Roman"/>
          <w:noProof/>
          <w:sz w:val="24"/>
          <w:szCs w:val="24"/>
        </w:rPr>
        <w:t xml:space="preserve"> Springer Netherlands.</w:t>
      </w:r>
    </w:p>
    <w:p w:rsidR="006C6A16" w:rsidRPr="006C6A16" w:rsidRDefault="006C6A16" w:rsidP="006C6A16">
      <w:pPr>
        <w:widowControl w:val="0"/>
        <w:autoSpaceDE w:val="0"/>
        <w:autoSpaceDN w:val="0"/>
        <w:adjustRightInd w:val="0"/>
        <w:spacing w:line="360" w:lineRule="auto"/>
        <w:ind w:left="480" w:hanging="480"/>
        <w:rPr>
          <w:rFonts w:ascii="Times New Roman" w:hAnsi="Times New Roman" w:cs="Times New Roman"/>
          <w:noProof/>
          <w:sz w:val="24"/>
          <w:szCs w:val="24"/>
        </w:rPr>
      </w:pPr>
      <w:r w:rsidRPr="006C6A16">
        <w:rPr>
          <w:rFonts w:ascii="Times New Roman" w:hAnsi="Times New Roman" w:cs="Times New Roman"/>
          <w:noProof/>
          <w:sz w:val="24"/>
          <w:szCs w:val="24"/>
        </w:rPr>
        <w:t xml:space="preserve">Baumol, William J. 1986. “Productivity Growth, Convergence, and Welfare: What the Long-Run Data Show?” </w:t>
      </w:r>
      <w:r w:rsidRPr="006C6A16">
        <w:rPr>
          <w:rFonts w:ascii="Times New Roman" w:hAnsi="Times New Roman" w:cs="Times New Roman"/>
          <w:i/>
          <w:iCs/>
          <w:noProof/>
          <w:sz w:val="24"/>
          <w:szCs w:val="24"/>
        </w:rPr>
        <w:t>The American Economic Review</w:t>
      </w:r>
      <w:r w:rsidRPr="006C6A16">
        <w:rPr>
          <w:rFonts w:ascii="Times New Roman" w:hAnsi="Times New Roman" w:cs="Times New Roman"/>
          <w:noProof/>
          <w:sz w:val="24"/>
          <w:szCs w:val="24"/>
        </w:rPr>
        <w:t xml:space="preserve"> 76 (5): 1072–85. http://www.jstor.org/stable/1816469.</w:t>
      </w:r>
    </w:p>
    <w:p w:rsidR="006C6A16" w:rsidRPr="006C6A16" w:rsidRDefault="006C6A16" w:rsidP="006C6A16">
      <w:pPr>
        <w:widowControl w:val="0"/>
        <w:autoSpaceDE w:val="0"/>
        <w:autoSpaceDN w:val="0"/>
        <w:adjustRightInd w:val="0"/>
        <w:spacing w:line="360" w:lineRule="auto"/>
        <w:ind w:left="480" w:hanging="480"/>
        <w:rPr>
          <w:rFonts w:ascii="Times New Roman" w:hAnsi="Times New Roman" w:cs="Times New Roman"/>
          <w:noProof/>
          <w:sz w:val="24"/>
          <w:szCs w:val="24"/>
        </w:rPr>
      </w:pPr>
      <w:r w:rsidRPr="006C6A16">
        <w:rPr>
          <w:rFonts w:ascii="Times New Roman" w:hAnsi="Times New Roman" w:cs="Times New Roman"/>
          <w:noProof/>
          <w:sz w:val="24"/>
          <w:szCs w:val="24"/>
        </w:rPr>
        <w:t xml:space="preserve">Becker, Ralf, Walter Enders, and Junsoo Lee. 2006. “A Stationarity Test in the Presence of an Unknown Number of Smooth Breaks.” </w:t>
      </w:r>
      <w:r w:rsidRPr="006C6A16">
        <w:rPr>
          <w:rFonts w:ascii="Times New Roman" w:hAnsi="Times New Roman" w:cs="Times New Roman"/>
          <w:i/>
          <w:iCs/>
          <w:noProof/>
          <w:sz w:val="24"/>
          <w:szCs w:val="24"/>
        </w:rPr>
        <w:t>Journal of Time Series Analysis</w:t>
      </w:r>
      <w:r w:rsidRPr="006C6A16">
        <w:rPr>
          <w:rFonts w:ascii="Times New Roman" w:hAnsi="Times New Roman" w:cs="Times New Roman"/>
          <w:noProof/>
          <w:sz w:val="24"/>
          <w:szCs w:val="24"/>
        </w:rPr>
        <w:t xml:space="preserve"> 27 (3). Blackwell Publishing Ltd: 381–409. doi:10.1111/j.1467-9892.2006.00478.x.</w:t>
      </w:r>
    </w:p>
    <w:p w:rsidR="006C6A16" w:rsidRPr="006C6A16" w:rsidRDefault="006C6A16" w:rsidP="006C6A16">
      <w:pPr>
        <w:widowControl w:val="0"/>
        <w:autoSpaceDE w:val="0"/>
        <w:autoSpaceDN w:val="0"/>
        <w:adjustRightInd w:val="0"/>
        <w:spacing w:line="360" w:lineRule="auto"/>
        <w:ind w:left="480" w:hanging="480"/>
        <w:rPr>
          <w:rFonts w:ascii="Times New Roman" w:hAnsi="Times New Roman" w:cs="Times New Roman"/>
          <w:noProof/>
          <w:sz w:val="24"/>
          <w:szCs w:val="24"/>
        </w:rPr>
      </w:pPr>
      <w:r w:rsidRPr="006C6A16">
        <w:rPr>
          <w:rFonts w:ascii="Times New Roman" w:hAnsi="Times New Roman" w:cs="Times New Roman"/>
          <w:noProof/>
          <w:sz w:val="24"/>
          <w:szCs w:val="24"/>
        </w:rPr>
        <w:t xml:space="preserve">Borucke, Michael, David Moore, Gemma Cranston, Kyle Gracey, Katsunori Iha, Joy Larson, Elias </w:t>
      </w:r>
      <w:r w:rsidRPr="006C6A16">
        <w:rPr>
          <w:rFonts w:ascii="Times New Roman" w:hAnsi="Times New Roman" w:cs="Times New Roman"/>
          <w:noProof/>
          <w:sz w:val="24"/>
          <w:szCs w:val="24"/>
        </w:rPr>
        <w:lastRenderedPageBreak/>
        <w:t xml:space="preserve">Lazarus, Juan Carlos Morales, Mathis Wackernagel, and Alessandro Galli. 2013. “Accounting for Demand and Supply of the Biosphere’s Regenerative Capacity: The National Footprint Accounts’ Underlying Methodology and Framework.” </w:t>
      </w:r>
      <w:r w:rsidRPr="006C6A16">
        <w:rPr>
          <w:rFonts w:ascii="Times New Roman" w:hAnsi="Times New Roman" w:cs="Times New Roman"/>
          <w:i/>
          <w:iCs/>
          <w:noProof/>
          <w:sz w:val="24"/>
          <w:szCs w:val="24"/>
        </w:rPr>
        <w:t>Ecological Indicators</w:t>
      </w:r>
      <w:r w:rsidRPr="006C6A16">
        <w:rPr>
          <w:rFonts w:ascii="Times New Roman" w:hAnsi="Times New Roman" w:cs="Times New Roman"/>
          <w:noProof/>
          <w:sz w:val="24"/>
          <w:szCs w:val="24"/>
        </w:rPr>
        <w:t xml:space="preserve"> 24: 518–33.</w:t>
      </w:r>
    </w:p>
    <w:p w:rsidR="006C6A16" w:rsidRPr="006C6A16" w:rsidRDefault="006C6A16" w:rsidP="006C6A16">
      <w:pPr>
        <w:widowControl w:val="0"/>
        <w:autoSpaceDE w:val="0"/>
        <w:autoSpaceDN w:val="0"/>
        <w:adjustRightInd w:val="0"/>
        <w:spacing w:line="360" w:lineRule="auto"/>
        <w:ind w:left="480" w:hanging="480"/>
        <w:rPr>
          <w:rFonts w:ascii="Times New Roman" w:hAnsi="Times New Roman" w:cs="Times New Roman"/>
          <w:noProof/>
          <w:sz w:val="24"/>
          <w:szCs w:val="24"/>
        </w:rPr>
      </w:pPr>
      <w:r w:rsidRPr="006C6A16">
        <w:rPr>
          <w:rFonts w:ascii="Times New Roman" w:hAnsi="Times New Roman" w:cs="Times New Roman"/>
          <w:noProof/>
          <w:sz w:val="24"/>
          <w:szCs w:val="24"/>
        </w:rPr>
        <w:t>Brock, William A., and M. Scott Taylor. 2003. “THE KINDERGARTEN RULE OF SUSTAINABLE GROWTH.” Working Paper 9597. NBER. Massachusetts.</w:t>
      </w:r>
    </w:p>
    <w:p w:rsidR="006C6A16" w:rsidRPr="006C6A16" w:rsidRDefault="006C6A16" w:rsidP="006C6A16">
      <w:pPr>
        <w:widowControl w:val="0"/>
        <w:autoSpaceDE w:val="0"/>
        <w:autoSpaceDN w:val="0"/>
        <w:adjustRightInd w:val="0"/>
        <w:spacing w:line="360" w:lineRule="auto"/>
        <w:ind w:left="480" w:hanging="480"/>
        <w:rPr>
          <w:rFonts w:ascii="Times New Roman" w:hAnsi="Times New Roman" w:cs="Times New Roman"/>
          <w:noProof/>
          <w:sz w:val="24"/>
          <w:szCs w:val="24"/>
        </w:rPr>
      </w:pPr>
      <w:r w:rsidRPr="006C6A16">
        <w:rPr>
          <w:rFonts w:ascii="Times New Roman" w:hAnsi="Times New Roman" w:cs="Times New Roman"/>
          <w:noProof/>
          <w:sz w:val="24"/>
          <w:szCs w:val="24"/>
        </w:rPr>
        <w:t xml:space="preserve">———. 2010. “The Green Solow Model.” </w:t>
      </w:r>
      <w:r w:rsidRPr="006C6A16">
        <w:rPr>
          <w:rFonts w:ascii="Times New Roman" w:hAnsi="Times New Roman" w:cs="Times New Roman"/>
          <w:i/>
          <w:iCs/>
          <w:noProof/>
          <w:sz w:val="24"/>
          <w:szCs w:val="24"/>
        </w:rPr>
        <w:t>Journal of Economic Growth</w:t>
      </w:r>
      <w:r w:rsidRPr="006C6A16">
        <w:rPr>
          <w:rFonts w:ascii="Times New Roman" w:hAnsi="Times New Roman" w:cs="Times New Roman"/>
          <w:noProof/>
          <w:sz w:val="24"/>
          <w:szCs w:val="24"/>
        </w:rPr>
        <w:t xml:space="preserve"> 15 (2). Springer US: 127–53. doi:10.1007/s10887-010-9051-0.</w:t>
      </w:r>
    </w:p>
    <w:p w:rsidR="006C6A16" w:rsidRPr="006C6A16" w:rsidRDefault="006C6A16" w:rsidP="006C6A16">
      <w:pPr>
        <w:widowControl w:val="0"/>
        <w:autoSpaceDE w:val="0"/>
        <w:autoSpaceDN w:val="0"/>
        <w:adjustRightInd w:val="0"/>
        <w:spacing w:line="360" w:lineRule="auto"/>
        <w:ind w:left="480" w:hanging="480"/>
        <w:rPr>
          <w:rFonts w:ascii="Times New Roman" w:hAnsi="Times New Roman" w:cs="Times New Roman"/>
          <w:noProof/>
          <w:sz w:val="24"/>
          <w:szCs w:val="24"/>
        </w:rPr>
      </w:pPr>
      <w:r w:rsidRPr="006C6A16">
        <w:rPr>
          <w:rFonts w:ascii="Times New Roman" w:hAnsi="Times New Roman" w:cs="Times New Roman"/>
          <w:noProof/>
          <w:sz w:val="24"/>
          <w:szCs w:val="24"/>
        </w:rPr>
        <w:t xml:space="preserve">Burnett, J. Wesley. 2016. “Club Convergence and Clustering of U.S. Energy-Related CO2 Emissions.” </w:t>
      </w:r>
      <w:r w:rsidRPr="006C6A16">
        <w:rPr>
          <w:rFonts w:ascii="Times New Roman" w:hAnsi="Times New Roman" w:cs="Times New Roman"/>
          <w:i/>
          <w:iCs/>
          <w:noProof/>
          <w:sz w:val="24"/>
          <w:szCs w:val="24"/>
        </w:rPr>
        <w:t>Resource and Energy Economics</w:t>
      </w:r>
      <w:r w:rsidRPr="006C6A16">
        <w:rPr>
          <w:rFonts w:ascii="Times New Roman" w:hAnsi="Times New Roman" w:cs="Times New Roman"/>
          <w:noProof/>
          <w:sz w:val="24"/>
          <w:szCs w:val="24"/>
        </w:rPr>
        <w:t xml:space="preserve"> 46 (November): 62–84. doi:10.1016/j.reseneeco.2016.09.001.</w:t>
      </w:r>
    </w:p>
    <w:p w:rsidR="006C6A16" w:rsidRPr="006C6A16" w:rsidRDefault="006C6A16" w:rsidP="006C6A16">
      <w:pPr>
        <w:widowControl w:val="0"/>
        <w:autoSpaceDE w:val="0"/>
        <w:autoSpaceDN w:val="0"/>
        <w:adjustRightInd w:val="0"/>
        <w:spacing w:line="360" w:lineRule="auto"/>
        <w:ind w:left="480" w:hanging="480"/>
        <w:rPr>
          <w:rFonts w:ascii="Times New Roman" w:hAnsi="Times New Roman" w:cs="Times New Roman"/>
          <w:noProof/>
          <w:sz w:val="24"/>
          <w:szCs w:val="24"/>
        </w:rPr>
      </w:pPr>
      <w:r w:rsidRPr="006C6A16">
        <w:rPr>
          <w:rFonts w:ascii="Times New Roman" w:hAnsi="Times New Roman" w:cs="Times New Roman"/>
          <w:noProof/>
          <w:sz w:val="24"/>
          <w:szCs w:val="24"/>
        </w:rPr>
        <w:t xml:space="preserve">Camarero, Mariam, Andrés J. Picazo-Tadeo, and Cecilio Tamarit. 2008. “Is the Environmental Performance of Industrialized Countries Converging? A ‘SURE’ Approach to Testing for Convergence.” </w:t>
      </w:r>
      <w:r w:rsidRPr="006C6A16">
        <w:rPr>
          <w:rFonts w:ascii="Times New Roman" w:hAnsi="Times New Roman" w:cs="Times New Roman"/>
          <w:i/>
          <w:iCs/>
          <w:noProof/>
          <w:sz w:val="24"/>
          <w:szCs w:val="24"/>
        </w:rPr>
        <w:t>Ecological Economics</w:t>
      </w:r>
      <w:r w:rsidRPr="006C6A16">
        <w:rPr>
          <w:rFonts w:ascii="Times New Roman" w:hAnsi="Times New Roman" w:cs="Times New Roman"/>
          <w:noProof/>
          <w:sz w:val="24"/>
          <w:szCs w:val="24"/>
        </w:rPr>
        <w:t xml:space="preserve"> 66 (4): 653–61. doi:10.1016/j.ecolecon.2007.10.024.</w:t>
      </w:r>
    </w:p>
    <w:p w:rsidR="006C6A16" w:rsidRPr="006C6A16" w:rsidRDefault="006C6A16" w:rsidP="006C6A16">
      <w:pPr>
        <w:widowControl w:val="0"/>
        <w:autoSpaceDE w:val="0"/>
        <w:autoSpaceDN w:val="0"/>
        <w:adjustRightInd w:val="0"/>
        <w:spacing w:line="360" w:lineRule="auto"/>
        <w:ind w:left="480" w:hanging="480"/>
        <w:rPr>
          <w:rFonts w:ascii="Times New Roman" w:hAnsi="Times New Roman" w:cs="Times New Roman"/>
          <w:noProof/>
          <w:sz w:val="24"/>
          <w:szCs w:val="24"/>
        </w:rPr>
      </w:pPr>
      <w:r w:rsidRPr="006C6A16">
        <w:rPr>
          <w:rFonts w:ascii="Times New Roman" w:hAnsi="Times New Roman" w:cs="Times New Roman"/>
          <w:noProof/>
          <w:sz w:val="24"/>
          <w:szCs w:val="24"/>
        </w:rPr>
        <w:t xml:space="preserve">Caviglia-Harris, Jill L., Dustin Chambers, and James R. Kahn. 2009. “Taking the ‘U’ out of Kuznets. A Comprehensive Analysis of the EKC and Environmental Degradation.” </w:t>
      </w:r>
      <w:r w:rsidRPr="006C6A16">
        <w:rPr>
          <w:rFonts w:ascii="Times New Roman" w:hAnsi="Times New Roman" w:cs="Times New Roman"/>
          <w:i/>
          <w:iCs/>
          <w:noProof/>
          <w:sz w:val="24"/>
          <w:szCs w:val="24"/>
        </w:rPr>
        <w:t>Ecological Economics</w:t>
      </w:r>
      <w:r w:rsidRPr="006C6A16">
        <w:rPr>
          <w:rFonts w:ascii="Times New Roman" w:hAnsi="Times New Roman" w:cs="Times New Roman"/>
          <w:noProof/>
          <w:sz w:val="24"/>
          <w:szCs w:val="24"/>
        </w:rPr>
        <w:t xml:space="preserve"> 68 (4): 1149–59.</w:t>
      </w:r>
    </w:p>
    <w:p w:rsidR="006C6A16" w:rsidRPr="006C6A16" w:rsidRDefault="006C6A16" w:rsidP="006C6A16">
      <w:pPr>
        <w:widowControl w:val="0"/>
        <w:autoSpaceDE w:val="0"/>
        <w:autoSpaceDN w:val="0"/>
        <w:adjustRightInd w:val="0"/>
        <w:spacing w:line="360" w:lineRule="auto"/>
        <w:ind w:left="480" w:hanging="480"/>
        <w:rPr>
          <w:rFonts w:ascii="Times New Roman" w:hAnsi="Times New Roman" w:cs="Times New Roman"/>
          <w:noProof/>
          <w:sz w:val="24"/>
          <w:szCs w:val="24"/>
        </w:rPr>
      </w:pPr>
      <w:r w:rsidRPr="006C6A16">
        <w:rPr>
          <w:rFonts w:ascii="Times New Roman" w:hAnsi="Times New Roman" w:cs="Times New Roman"/>
          <w:noProof/>
          <w:sz w:val="24"/>
          <w:szCs w:val="24"/>
        </w:rPr>
        <w:t xml:space="preserve">Chen, Yang, Juan Carlos Cuestas, and Paulo José Regis. 2016. “Convergence in Corporate Statutory Tax Rates in the Asian and Pacific Economies.” </w:t>
      </w:r>
      <w:r w:rsidRPr="006C6A16">
        <w:rPr>
          <w:rFonts w:ascii="Times New Roman" w:hAnsi="Times New Roman" w:cs="Times New Roman"/>
          <w:i/>
          <w:iCs/>
          <w:noProof/>
          <w:sz w:val="24"/>
          <w:szCs w:val="24"/>
        </w:rPr>
        <w:t>International Journal of Finance &amp; Economics</w:t>
      </w:r>
      <w:r w:rsidRPr="006C6A16">
        <w:rPr>
          <w:rFonts w:ascii="Times New Roman" w:hAnsi="Times New Roman" w:cs="Times New Roman"/>
          <w:noProof/>
          <w:sz w:val="24"/>
          <w:szCs w:val="24"/>
        </w:rPr>
        <w:t xml:space="preserve"> 21 (3): 266–78. doi:10.1002/ijfe.1546.</w:t>
      </w:r>
    </w:p>
    <w:p w:rsidR="006C6A16" w:rsidRPr="006C6A16" w:rsidRDefault="006C6A16" w:rsidP="006C6A16">
      <w:pPr>
        <w:widowControl w:val="0"/>
        <w:autoSpaceDE w:val="0"/>
        <w:autoSpaceDN w:val="0"/>
        <w:adjustRightInd w:val="0"/>
        <w:spacing w:line="360" w:lineRule="auto"/>
        <w:ind w:left="480" w:hanging="480"/>
        <w:rPr>
          <w:rFonts w:ascii="Times New Roman" w:hAnsi="Times New Roman" w:cs="Times New Roman"/>
          <w:noProof/>
          <w:sz w:val="24"/>
          <w:szCs w:val="24"/>
        </w:rPr>
      </w:pPr>
      <w:r w:rsidRPr="006C6A16">
        <w:rPr>
          <w:rFonts w:ascii="Times New Roman" w:hAnsi="Times New Roman" w:cs="Times New Roman"/>
          <w:noProof/>
          <w:sz w:val="24"/>
          <w:szCs w:val="24"/>
        </w:rPr>
        <w:t xml:space="preserve">Chortareas, Georgios, and George Kapetanios. 2009. “Getting PPP Right: Identifying Mean-Reverting Real Exchange Rates in Panels.” </w:t>
      </w:r>
      <w:r w:rsidRPr="006C6A16">
        <w:rPr>
          <w:rFonts w:ascii="Times New Roman" w:hAnsi="Times New Roman" w:cs="Times New Roman"/>
          <w:i/>
          <w:iCs/>
          <w:noProof/>
          <w:sz w:val="24"/>
          <w:szCs w:val="24"/>
        </w:rPr>
        <w:t>Journal of Banking &amp; Finance</w:t>
      </w:r>
      <w:r w:rsidRPr="006C6A16">
        <w:rPr>
          <w:rFonts w:ascii="Times New Roman" w:hAnsi="Times New Roman" w:cs="Times New Roman"/>
          <w:noProof/>
          <w:sz w:val="24"/>
          <w:szCs w:val="24"/>
        </w:rPr>
        <w:t xml:space="preserve"> 33 (2): 390–404. doi:10.1016/j.jbankfin.2008.08.010.</w:t>
      </w:r>
    </w:p>
    <w:p w:rsidR="006C6A16" w:rsidRPr="006C6A16" w:rsidRDefault="006C6A16" w:rsidP="006C6A16">
      <w:pPr>
        <w:widowControl w:val="0"/>
        <w:autoSpaceDE w:val="0"/>
        <w:autoSpaceDN w:val="0"/>
        <w:adjustRightInd w:val="0"/>
        <w:spacing w:line="360" w:lineRule="auto"/>
        <w:ind w:left="480" w:hanging="480"/>
        <w:rPr>
          <w:rFonts w:ascii="Times New Roman" w:hAnsi="Times New Roman" w:cs="Times New Roman"/>
          <w:noProof/>
          <w:sz w:val="24"/>
          <w:szCs w:val="24"/>
        </w:rPr>
      </w:pPr>
      <w:r w:rsidRPr="006C6A16">
        <w:rPr>
          <w:rFonts w:ascii="Times New Roman" w:hAnsi="Times New Roman" w:cs="Times New Roman"/>
          <w:noProof/>
          <w:sz w:val="24"/>
          <w:szCs w:val="24"/>
        </w:rPr>
        <w:t xml:space="preserve">Christidou, Maria, Theodore Panagiotidis, and Abhijit Sharma. 2013. “On the Stationarity of per Capita Carbon Dioxide Emissions over a Century.” </w:t>
      </w:r>
      <w:r w:rsidRPr="006C6A16">
        <w:rPr>
          <w:rFonts w:ascii="Times New Roman" w:hAnsi="Times New Roman" w:cs="Times New Roman"/>
          <w:i/>
          <w:iCs/>
          <w:noProof/>
          <w:sz w:val="24"/>
          <w:szCs w:val="24"/>
        </w:rPr>
        <w:t>Economic Modelling</w:t>
      </w:r>
      <w:r w:rsidRPr="006C6A16">
        <w:rPr>
          <w:rFonts w:ascii="Times New Roman" w:hAnsi="Times New Roman" w:cs="Times New Roman"/>
          <w:noProof/>
          <w:sz w:val="24"/>
          <w:szCs w:val="24"/>
        </w:rPr>
        <w:t xml:space="preserve"> 33: 918–25. doi:10.1016/j.econmod.2013.05.024.</w:t>
      </w:r>
    </w:p>
    <w:p w:rsidR="006C6A16" w:rsidRPr="006C6A16" w:rsidRDefault="006C6A16" w:rsidP="006C6A16">
      <w:pPr>
        <w:widowControl w:val="0"/>
        <w:autoSpaceDE w:val="0"/>
        <w:autoSpaceDN w:val="0"/>
        <w:adjustRightInd w:val="0"/>
        <w:spacing w:line="360" w:lineRule="auto"/>
        <w:ind w:left="480" w:hanging="480"/>
        <w:rPr>
          <w:rFonts w:ascii="Times New Roman" w:hAnsi="Times New Roman" w:cs="Times New Roman"/>
          <w:noProof/>
          <w:sz w:val="24"/>
          <w:szCs w:val="24"/>
        </w:rPr>
      </w:pPr>
      <w:r w:rsidRPr="006C6A16">
        <w:rPr>
          <w:rFonts w:ascii="Times New Roman" w:hAnsi="Times New Roman" w:cs="Times New Roman"/>
          <w:noProof/>
          <w:sz w:val="24"/>
          <w:szCs w:val="24"/>
        </w:rPr>
        <w:t xml:space="preserve">Claustre Bajona, </w:t>
      </w:r>
      <w:r w:rsidRPr="006C6A16">
        <w:rPr>
          <w:rFonts w:ascii="MS Gothic" w:eastAsia="MS Gothic" w:hAnsi="MS Gothic" w:cs="MS Gothic" w:hint="eastAsia"/>
          <w:noProof/>
          <w:sz w:val="24"/>
          <w:szCs w:val="24"/>
        </w:rPr>
        <w:t>✩</w:t>
      </w:r>
      <w:r w:rsidRPr="006C6A16">
        <w:rPr>
          <w:rFonts w:ascii="Times New Roman" w:hAnsi="Times New Roman" w:cs="Times New Roman"/>
          <w:noProof/>
          <w:sz w:val="24"/>
          <w:szCs w:val="24"/>
        </w:rPr>
        <w:t xml:space="preserve">, and Timothy J Kehoe. 2010. “Trade, Growth, and Convergence in a Dynamic Heckscher–Ohlin Model.” </w:t>
      </w:r>
      <w:r w:rsidRPr="006C6A16">
        <w:rPr>
          <w:rFonts w:ascii="Times New Roman" w:hAnsi="Times New Roman" w:cs="Times New Roman"/>
          <w:i/>
          <w:iCs/>
          <w:noProof/>
          <w:sz w:val="24"/>
          <w:szCs w:val="24"/>
        </w:rPr>
        <w:t>Review of Economic Dynamics</w:t>
      </w:r>
      <w:r w:rsidRPr="006C6A16">
        <w:rPr>
          <w:rFonts w:ascii="Times New Roman" w:hAnsi="Times New Roman" w:cs="Times New Roman"/>
          <w:noProof/>
          <w:sz w:val="24"/>
          <w:szCs w:val="24"/>
        </w:rPr>
        <w:t xml:space="preserve"> 13: 487–513. doi:10.1016/j.red.2010.05.002.</w:t>
      </w:r>
    </w:p>
    <w:p w:rsidR="006C6A16" w:rsidRPr="006C6A16" w:rsidRDefault="006C6A16" w:rsidP="006C6A16">
      <w:pPr>
        <w:widowControl w:val="0"/>
        <w:autoSpaceDE w:val="0"/>
        <w:autoSpaceDN w:val="0"/>
        <w:adjustRightInd w:val="0"/>
        <w:spacing w:line="360" w:lineRule="auto"/>
        <w:ind w:left="480" w:hanging="480"/>
        <w:rPr>
          <w:rFonts w:ascii="Times New Roman" w:hAnsi="Times New Roman" w:cs="Times New Roman"/>
          <w:noProof/>
          <w:sz w:val="24"/>
          <w:szCs w:val="24"/>
        </w:rPr>
      </w:pPr>
      <w:r w:rsidRPr="006C6A16">
        <w:rPr>
          <w:rFonts w:ascii="Times New Roman" w:hAnsi="Times New Roman" w:cs="Times New Roman"/>
          <w:noProof/>
          <w:sz w:val="24"/>
          <w:szCs w:val="24"/>
        </w:rPr>
        <w:t xml:space="preserve">De Long, J. Bradford. 1988. “Productivity Growth, Convergence, and Welfare: Comment.” </w:t>
      </w:r>
      <w:r w:rsidRPr="006C6A16">
        <w:rPr>
          <w:rFonts w:ascii="Times New Roman" w:hAnsi="Times New Roman" w:cs="Times New Roman"/>
          <w:i/>
          <w:iCs/>
          <w:noProof/>
          <w:sz w:val="24"/>
          <w:szCs w:val="24"/>
        </w:rPr>
        <w:t xml:space="preserve">The </w:t>
      </w:r>
      <w:r w:rsidRPr="006C6A16">
        <w:rPr>
          <w:rFonts w:ascii="Times New Roman" w:hAnsi="Times New Roman" w:cs="Times New Roman"/>
          <w:i/>
          <w:iCs/>
          <w:noProof/>
          <w:sz w:val="24"/>
          <w:szCs w:val="24"/>
        </w:rPr>
        <w:lastRenderedPageBreak/>
        <w:t>American Economic Review</w:t>
      </w:r>
      <w:r w:rsidRPr="006C6A16">
        <w:rPr>
          <w:rFonts w:ascii="Times New Roman" w:hAnsi="Times New Roman" w:cs="Times New Roman"/>
          <w:noProof/>
          <w:sz w:val="24"/>
          <w:szCs w:val="24"/>
        </w:rPr>
        <w:t xml:space="preserve"> 78 (5): 1138–54.</w:t>
      </w:r>
    </w:p>
    <w:p w:rsidR="006C6A16" w:rsidRPr="006C6A16" w:rsidRDefault="006C6A16" w:rsidP="006C6A16">
      <w:pPr>
        <w:widowControl w:val="0"/>
        <w:autoSpaceDE w:val="0"/>
        <w:autoSpaceDN w:val="0"/>
        <w:adjustRightInd w:val="0"/>
        <w:spacing w:line="360" w:lineRule="auto"/>
        <w:ind w:left="480" w:hanging="480"/>
        <w:rPr>
          <w:rFonts w:ascii="Times New Roman" w:hAnsi="Times New Roman" w:cs="Times New Roman"/>
          <w:noProof/>
          <w:sz w:val="24"/>
          <w:szCs w:val="24"/>
        </w:rPr>
      </w:pPr>
      <w:r w:rsidRPr="006C6A16">
        <w:rPr>
          <w:rFonts w:ascii="Times New Roman" w:hAnsi="Times New Roman" w:cs="Times New Roman"/>
          <w:noProof/>
          <w:sz w:val="24"/>
          <w:szCs w:val="24"/>
        </w:rPr>
        <w:t xml:space="preserve">Durlauf, Steven N., and Paul A. Johnson. 1995. “Multiple Regimes and Cross-Country Growth Behaviour.” </w:t>
      </w:r>
      <w:r w:rsidRPr="006C6A16">
        <w:rPr>
          <w:rFonts w:ascii="Times New Roman" w:hAnsi="Times New Roman" w:cs="Times New Roman"/>
          <w:i/>
          <w:iCs/>
          <w:noProof/>
          <w:sz w:val="24"/>
          <w:szCs w:val="24"/>
        </w:rPr>
        <w:t>Journal of Applied Econometrics</w:t>
      </w:r>
      <w:r w:rsidRPr="006C6A16">
        <w:rPr>
          <w:rFonts w:ascii="Times New Roman" w:hAnsi="Times New Roman" w:cs="Times New Roman"/>
          <w:noProof/>
          <w:sz w:val="24"/>
          <w:szCs w:val="24"/>
        </w:rPr>
        <w:t xml:space="preserve"> 10 (4). Wiley Subscription Services, Inc., A Wiley Company: 365–84. doi:10.1002/jae.3950100404.</w:t>
      </w:r>
    </w:p>
    <w:p w:rsidR="006C6A16" w:rsidRPr="006C6A16" w:rsidRDefault="006C6A16" w:rsidP="006C6A16">
      <w:pPr>
        <w:widowControl w:val="0"/>
        <w:autoSpaceDE w:val="0"/>
        <w:autoSpaceDN w:val="0"/>
        <w:adjustRightInd w:val="0"/>
        <w:spacing w:line="360" w:lineRule="auto"/>
        <w:ind w:left="480" w:hanging="480"/>
        <w:rPr>
          <w:rFonts w:ascii="Times New Roman" w:hAnsi="Times New Roman" w:cs="Times New Roman"/>
          <w:noProof/>
          <w:sz w:val="24"/>
          <w:szCs w:val="24"/>
        </w:rPr>
      </w:pPr>
      <w:r w:rsidRPr="006C6A16">
        <w:rPr>
          <w:rFonts w:ascii="Times New Roman" w:hAnsi="Times New Roman" w:cs="Times New Roman"/>
          <w:noProof/>
          <w:sz w:val="24"/>
          <w:szCs w:val="24"/>
        </w:rPr>
        <w:t xml:space="preserve">Ezcurra, Roberto. 2007. “Is There Cross-Country Convergence in Carbon Dioxide Emissions?” </w:t>
      </w:r>
      <w:r w:rsidRPr="006C6A16">
        <w:rPr>
          <w:rFonts w:ascii="Times New Roman" w:hAnsi="Times New Roman" w:cs="Times New Roman"/>
          <w:i/>
          <w:iCs/>
          <w:noProof/>
          <w:sz w:val="24"/>
          <w:szCs w:val="24"/>
        </w:rPr>
        <w:t>Energy Policy</w:t>
      </w:r>
      <w:r w:rsidRPr="006C6A16">
        <w:rPr>
          <w:rFonts w:ascii="Times New Roman" w:hAnsi="Times New Roman" w:cs="Times New Roman"/>
          <w:noProof/>
          <w:sz w:val="24"/>
          <w:szCs w:val="24"/>
        </w:rPr>
        <w:t xml:space="preserve"> 35 (2): 1363–72. doi:10.1016/j.enpol.2006.04.006.</w:t>
      </w:r>
    </w:p>
    <w:p w:rsidR="006C6A16" w:rsidRPr="006C6A16" w:rsidRDefault="006C6A16" w:rsidP="006C6A16">
      <w:pPr>
        <w:widowControl w:val="0"/>
        <w:autoSpaceDE w:val="0"/>
        <w:autoSpaceDN w:val="0"/>
        <w:adjustRightInd w:val="0"/>
        <w:spacing w:line="360" w:lineRule="auto"/>
        <w:ind w:left="480" w:hanging="480"/>
        <w:rPr>
          <w:rFonts w:ascii="Times New Roman" w:hAnsi="Times New Roman" w:cs="Times New Roman"/>
          <w:noProof/>
          <w:sz w:val="24"/>
          <w:szCs w:val="24"/>
        </w:rPr>
      </w:pPr>
      <w:r w:rsidRPr="006C6A16">
        <w:rPr>
          <w:rFonts w:ascii="Times New Roman" w:hAnsi="Times New Roman" w:cs="Times New Roman"/>
          <w:noProof/>
          <w:sz w:val="24"/>
          <w:szCs w:val="24"/>
        </w:rPr>
        <w:t xml:space="preserve">Friedman, Milton. 1992. “Do Old Fallacies Ever Die.” </w:t>
      </w:r>
      <w:r w:rsidRPr="006C6A16">
        <w:rPr>
          <w:rFonts w:ascii="Times New Roman" w:hAnsi="Times New Roman" w:cs="Times New Roman"/>
          <w:i/>
          <w:iCs/>
          <w:noProof/>
          <w:sz w:val="24"/>
          <w:szCs w:val="24"/>
        </w:rPr>
        <w:t>Journal of Economics Literature</w:t>
      </w:r>
      <w:r w:rsidRPr="006C6A16">
        <w:rPr>
          <w:rFonts w:ascii="Times New Roman" w:hAnsi="Times New Roman" w:cs="Times New Roman"/>
          <w:noProof/>
          <w:sz w:val="24"/>
          <w:szCs w:val="24"/>
        </w:rPr>
        <w:t>, no. 30: 2129–32.</w:t>
      </w:r>
    </w:p>
    <w:p w:rsidR="006C6A16" w:rsidRPr="006C6A16" w:rsidRDefault="006C6A16" w:rsidP="006C6A16">
      <w:pPr>
        <w:widowControl w:val="0"/>
        <w:autoSpaceDE w:val="0"/>
        <w:autoSpaceDN w:val="0"/>
        <w:adjustRightInd w:val="0"/>
        <w:spacing w:line="360" w:lineRule="auto"/>
        <w:ind w:left="480" w:hanging="480"/>
        <w:rPr>
          <w:rFonts w:ascii="Times New Roman" w:hAnsi="Times New Roman" w:cs="Times New Roman"/>
          <w:noProof/>
          <w:sz w:val="24"/>
          <w:szCs w:val="24"/>
        </w:rPr>
      </w:pPr>
      <w:r w:rsidRPr="006C6A16">
        <w:rPr>
          <w:rFonts w:ascii="Times New Roman" w:hAnsi="Times New Roman" w:cs="Times New Roman"/>
          <w:noProof/>
          <w:sz w:val="24"/>
          <w:szCs w:val="24"/>
        </w:rPr>
        <w:t xml:space="preserve">Galor, Oded. 1996. “Convergence? Inferences from Theoretical Models.” </w:t>
      </w:r>
      <w:r w:rsidRPr="006C6A16">
        <w:rPr>
          <w:rFonts w:ascii="Times New Roman" w:hAnsi="Times New Roman" w:cs="Times New Roman"/>
          <w:i/>
          <w:iCs/>
          <w:noProof/>
          <w:sz w:val="24"/>
          <w:szCs w:val="24"/>
        </w:rPr>
        <w:t>The Economic Journal</w:t>
      </w:r>
      <w:r w:rsidRPr="006C6A16">
        <w:rPr>
          <w:rFonts w:ascii="Times New Roman" w:hAnsi="Times New Roman" w:cs="Times New Roman"/>
          <w:noProof/>
          <w:sz w:val="24"/>
          <w:szCs w:val="24"/>
        </w:rPr>
        <w:t xml:space="preserve"> 106 (437): 1056. doi:10.2307/2235378.</w:t>
      </w:r>
    </w:p>
    <w:p w:rsidR="006C6A16" w:rsidRPr="006C6A16" w:rsidRDefault="006C6A16" w:rsidP="006C6A16">
      <w:pPr>
        <w:widowControl w:val="0"/>
        <w:autoSpaceDE w:val="0"/>
        <w:autoSpaceDN w:val="0"/>
        <w:adjustRightInd w:val="0"/>
        <w:spacing w:line="360" w:lineRule="auto"/>
        <w:ind w:left="480" w:hanging="480"/>
        <w:rPr>
          <w:rFonts w:ascii="Times New Roman" w:hAnsi="Times New Roman" w:cs="Times New Roman"/>
          <w:noProof/>
          <w:sz w:val="24"/>
          <w:szCs w:val="24"/>
        </w:rPr>
      </w:pPr>
      <w:r w:rsidRPr="006C6A16">
        <w:rPr>
          <w:rFonts w:ascii="Times New Roman" w:hAnsi="Times New Roman" w:cs="Times New Roman"/>
          <w:noProof/>
          <w:sz w:val="24"/>
          <w:szCs w:val="24"/>
        </w:rPr>
        <w:t xml:space="preserve">Grier, Kevin B., and Gordon Tullock. 1989. “An Empirical Analysis of Cross-National Economic Growth, 1951–1980.” </w:t>
      </w:r>
      <w:r w:rsidRPr="006C6A16">
        <w:rPr>
          <w:rFonts w:ascii="Times New Roman" w:hAnsi="Times New Roman" w:cs="Times New Roman"/>
          <w:i/>
          <w:iCs/>
          <w:noProof/>
          <w:sz w:val="24"/>
          <w:szCs w:val="24"/>
        </w:rPr>
        <w:t>Journal of Monetary Economics</w:t>
      </w:r>
      <w:r w:rsidRPr="006C6A16">
        <w:rPr>
          <w:rFonts w:ascii="Times New Roman" w:hAnsi="Times New Roman" w:cs="Times New Roman"/>
          <w:noProof/>
          <w:sz w:val="24"/>
          <w:szCs w:val="24"/>
        </w:rPr>
        <w:t xml:space="preserve"> 24 (2): 259–76. doi:10.1016/0304-3932(89)90006-8.</w:t>
      </w:r>
    </w:p>
    <w:p w:rsidR="006C6A16" w:rsidRPr="006C6A16" w:rsidRDefault="006C6A16" w:rsidP="006C6A16">
      <w:pPr>
        <w:widowControl w:val="0"/>
        <w:autoSpaceDE w:val="0"/>
        <w:autoSpaceDN w:val="0"/>
        <w:adjustRightInd w:val="0"/>
        <w:spacing w:line="360" w:lineRule="auto"/>
        <w:ind w:left="480" w:hanging="480"/>
        <w:rPr>
          <w:rFonts w:ascii="Times New Roman" w:hAnsi="Times New Roman" w:cs="Times New Roman"/>
          <w:noProof/>
          <w:sz w:val="24"/>
          <w:szCs w:val="24"/>
        </w:rPr>
      </w:pPr>
      <w:r w:rsidRPr="006C6A16">
        <w:rPr>
          <w:rFonts w:ascii="Times New Roman" w:hAnsi="Times New Roman" w:cs="Times New Roman"/>
          <w:noProof/>
          <w:sz w:val="24"/>
          <w:szCs w:val="24"/>
        </w:rPr>
        <w:t xml:space="preserve">Hadri, Kaddour. 2000. “Testing for Stationarity in Heterogeneous Panel Data.” </w:t>
      </w:r>
      <w:r w:rsidRPr="006C6A16">
        <w:rPr>
          <w:rFonts w:ascii="Times New Roman" w:hAnsi="Times New Roman" w:cs="Times New Roman"/>
          <w:i/>
          <w:iCs/>
          <w:noProof/>
          <w:sz w:val="24"/>
          <w:szCs w:val="24"/>
        </w:rPr>
        <w:t>The Econometrics Journal</w:t>
      </w:r>
      <w:r w:rsidRPr="006C6A16">
        <w:rPr>
          <w:rFonts w:ascii="Times New Roman" w:hAnsi="Times New Roman" w:cs="Times New Roman"/>
          <w:noProof/>
          <w:sz w:val="24"/>
          <w:szCs w:val="24"/>
        </w:rPr>
        <w:t xml:space="preserve"> 3 (2). Blackwell Publishers Ltd: 148–61. doi:10.1111/1368-423X.00043.</w:t>
      </w:r>
    </w:p>
    <w:p w:rsidR="006C6A16" w:rsidRPr="006C6A16" w:rsidRDefault="006C6A16" w:rsidP="006C6A16">
      <w:pPr>
        <w:widowControl w:val="0"/>
        <w:autoSpaceDE w:val="0"/>
        <w:autoSpaceDN w:val="0"/>
        <w:adjustRightInd w:val="0"/>
        <w:spacing w:line="360" w:lineRule="auto"/>
        <w:ind w:left="480" w:hanging="480"/>
        <w:rPr>
          <w:rFonts w:ascii="Times New Roman" w:hAnsi="Times New Roman" w:cs="Times New Roman"/>
          <w:noProof/>
          <w:sz w:val="24"/>
          <w:szCs w:val="24"/>
        </w:rPr>
      </w:pPr>
      <w:r w:rsidRPr="006C6A16">
        <w:rPr>
          <w:rFonts w:ascii="Times New Roman" w:hAnsi="Times New Roman" w:cs="Times New Roman"/>
          <w:noProof/>
          <w:sz w:val="24"/>
          <w:szCs w:val="24"/>
        </w:rPr>
        <w:t xml:space="preserve">Hao, Yu, Shuo Wang, and Zong-Yong Zhang. 2015. “Examine the Convergence in Per Capita Energy Consumption in China with Breakpoints.” </w:t>
      </w:r>
      <w:r w:rsidRPr="006C6A16">
        <w:rPr>
          <w:rFonts w:ascii="Times New Roman" w:hAnsi="Times New Roman" w:cs="Times New Roman"/>
          <w:i/>
          <w:iCs/>
          <w:noProof/>
          <w:sz w:val="24"/>
          <w:szCs w:val="24"/>
        </w:rPr>
        <w:t>Energy Procedia</w:t>
      </w:r>
      <w:r w:rsidRPr="006C6A16">
        <w:rPr>
          <w:rFonts w:ascii="Times New Roman" w:hAnsi="Times New Roman" w:cs="Times New Roman"/>
          <w:noProof/>
          <w:sz w:val="24"/>
          <w:szCs w:val="24"/>
        </w:rPr>
        <w:t xml:space="preserve"> 75: 2617–25. doi:10.1016/j.egypro.2015.07.341.</w:t>
      </w:r>
    </w:p>
    <w:p w:rsidR="006C6A16" w:rsidRPr="006C6A16" w:rsidRDefault="006C6A16" w:rsidP="006C6A16">
      <w:pPr>
        <w:widowControl w:val="0"/>
        <w:autoSpaceDE w:val="0"/>
        <w:autoSpaceDN w:val="0"/>
        <w:adjustRightInd w:val="0"/>
        <w:spacing w:line="360" w:lineRule="auto"/>
        <w:ind w:left="480" w:hanging="480"/>
        <w:rPr>
          <w:rFonts w:ascii="Times New Roman" w:hAnsi="Times New Roman" w:cs="Times New Roman"/>
          <w:noProof/>
          <w:sz w:val="24"/>
          <w:szCs w:val="24"/>
        </w:rPr>
      </w:pPr>
      <w:r w:rsidRPr="006C6A16">
        <w:rPr>
          <w:rFonts w:ascii="Times New Roman" w:hAnsi="Times New Roman" w:cs="Times New Roman"/>
          <w:noProof/>
          <w:sz w:val="24"/>
          <w:szCs w:val="24"/>
        </w:rPr>
        <w:t xml:space="preserve">Herrerias, M.J. 2013. “The Environmental Convergence Hypothesis: Carbon Dioxide Emissions according to the Source of Energy.” </w:t>
      </w:r>
      <w:r w:rsidRPr="006C6A16">
        <w:rPr>
          <w:rFonts w:ascii="Times New Roman" w:hAnsi="Times New Roman" w:cs="Times New Roman"/>
          <w:i/>
          <w:iCs/>
          <w:noProof/>
          <w:sz w:val="24"/>
          <w:szCs w:val="24"/>
        </w:rPr>
        <w:t>Energy Policy</w:t>
      </w:r>
      <w:r w:rsidRPr="006C6A16">
        <w:rPr>
          <w:rFonts w:ascii="Times New Roman" w:hAnsi="Times New Roman" w:cs="Times New Roman"/>
          <w:noProof/>
          <w:sz w:val="24"/>
          <w:szCs w:val="24"/>
        </w:rPr>
        <w:t xml:space="preserve"> 61: 1140–50. doi:10.1016/j.enpol.2013.06.120.</w:t>
      </w:r>
    </w:p>
    <w:p w:rsidR="006C6A16" w:rsidRPr="006C6A16" w:rsidRDefault="006C6A16" w:rsidP="006C6A16">
      <w:pPr>
        <w:widowControl w:val="0"/>
        <w:autoSpaceDE w:val="0"/>
        <w:autoSpaceDN w:val="0"/>
        <w:adjustRightInd w:val="0"/>
        <w:spacing w:line="360" w:lineRule="auto"/>
        <w:ind w:left="480" w:hanging="480"/>
        <w:rPr>
          <w:rFonts w:ascii="Times New Roman" w:hAnsi="Times New Roman" w:cs="Times New Roman"/>
          <w:noProof/>
          <w:sz w:val="24"/>
          <w:szCs w:val="24"/>
        </w:rPr>
      </w:pPr>
      <w:r w:rsidRPr="006C6A16">
        <w:rPr>
          <w:rFonts w:ascii="Times New Roman" w:hAnsi="Times New Roman" w:cs="Times New Roman"/>
          <w:noProof/>
          <w:sz w:val="24"/>
          <w:szCs w:val="24"/>
        </w:rPr>
        <w:t xml:space="preserve">Huang, Bo, and Lina Meng. 2013. “Convergence of per Capita Carbon Dioxide Emissions in Urban China: A Spatio-Temporal Perspective.” </w:t>
      </w:r>
      <w:r w:rsidRPr="006C6A16">
        <w:rPr>
          <w:rFonts w:ascii="Times New Roman" w:hAnsi="Times New Roman" w:cs="Times New Roman"/>
          <w:i/>
          <w:iCs/>
          <w:noProof/>
          <w:sz w:val="24"/>
          <w:szCs w:val="24"/>
        </w:rPr>
        <w:t>Applied Geography</w:t>
      </w:r>
      <w:r w:rsidRPr="006C6A16">
        <w:rPr>
          <w:rFonts w:ascii="Times New Roman" w:hAnsi="Times New Roman" w:cs="Times New Roman"/>
          <w:noProof/>
          <w:sz w:val="24"/>
          <w:szCs w:val="24"/>
        </w:rPr>
        <w:t xml:space="preserve"> 40: 21–29. doi:10.1016/j.apgeog.2013.01.006.</w:t>
      </w:r>
    </w:p>
    <w:p w:rsidR="006C6A16" w:rsidRPr="006C6A16" w:rsidRDefault="006C6A16" w:rsidP="006C6A16">
      <w:pPr>
        <w:widowControl w:val="0"/>
        <w:autoSpaceDE w:val="0"/>
        <w:autoSpaceDN w:val="0"/>
        <w:adjustRightInd w:val="0"/>
        <w:spacing w:line="360" w:lineRule="auto"/>
        <w:ind w:left="480" w:hanging="480"/>
        <w:rPr>
          <w:rFonts w:ascii="Times New Roman" w:hAnsi="Times New Roman" w:cs="Times New Roman"/>
          <w:noProof/>
          <w:sz w:val="24"/>
          <w:szCs w:val="24"/>
        </w:rPr>
      </w:pPr>
      <w:r w:rsidRPr="006C6A16">
        <w:rPr>
          <w:rFonts w:ascii="Times New Roman" w:hAnsi="Times New Roman" w:cs="Times New Roman"/>
          <w:noProof/>
          <w:sz w:val="24"/>
          <w:szCs w:val="24"/>
        </w:rPr>
        <w:t xml:space="preserve">Im, Kyung So, M.Hashem Pesaran, and Yongcheol Shin. 2003. “Testing for Unit Roots in Heterogeneous Panels.” </w:t>
      </w:r>
      <w:r w:rsidRPr="006C6A16">
        <w:rPr>
          <w:rFonts w:ascii="Times New Roman" w:hAnsi="Times New Roman" w:cs="Times New Roman"/>
          <w:i/>
          <w:iCs/>
          <w:noProof/>
          <w:sz w:val="24"/>
          <w:szCs w:val="24"/>
        </w:rPr>
        <w:t>Journal of Econometrics</w:t>
      </w:r>
      <w:r w:rsidRPr="006C6A16">
        <w:rPr>
          <w:rFonts w:ascii="Times New Roman" w:hAnsi="Times New Roman" w:cs="Times New Roman"/>
          <w:noProof/>
          <w:sz w:val="24"/>
          <w:szCs w:val="24"/>
        </w:rPr>
        <w:t xml:space="preserve"> 115 (1): 53–74. doi:10.1016/S0304-4076(03)00092-7.</w:t>
      </w:r>
    </w:p>
    <w:p w:rsidR="006C6A16" w:rsidRPr="006C6A16" w:rsidRDefault="006C6A16" w:rsidP="006C6A16">
      <w:pPr>
        <w:widowControl w:val="0"/>
        <w:autoSpaceDE w:val="0"/>
        <w:autoSpaceDN w:val="0"/>
        <w:adjustRightInd w:val="0"/>
        <w:spacing w:line="360" w:lineRule="auto"/>
        <w:ind w:left="480" w:hanging="480"/>
        <w:rPr>
          <w:rFonts w:ascii="Times New Roman" w:hAnsi="Times New Roman" w:cs="Times New Roman"/>
          <w:noProof/>
          <w:sz w:val="24"/>
          <w:szCs w:val="24"/>
        </w:rPr>
      </w:pPr>
      <w:r w:rsidRPr="006C6A16">
        <w:rPr>
          <w:rFonts w:ascii="Times New Roman" w:hAnsi="Times New Roman" w:cs="Times New Roman"/>
          <w:noProof/>
          <w:sz w:val="24"/>
          <w:szCs w:val="24"/>
        </w:rPr>
        <w:t xml:space="preserve">Inada, Ken-Ichi. 1963. “On a Two-Sector Model of Economic Growth: Comments and a Generalization.” </w:t>
      </w:r>
      <w:r w:rsidRPr="006C6A16">
        <w:rPr>
          <w:rFonts w:ascii="Times New Roman" w:hAnsi="Times New Roman" w:cs="Times New Roman"/>
          <w:i/>
          <w:iCs/>
          <w:noProof/>
          <w:sz w:val="24"/>
          <w:szCs w:val="24"/>
        </w:rPr>
        <w:t>The Review of Economic Studies</w:t>
      </w:r>
      <w:r w:rsidRPr="006C6A16">
        <w:rPr>
          <w:rFonts w:ascii="Times New Roman" w:hAnsi="Times New Roman" w:cs="Times New Roman"/>
          <w:noProof/>
          <w:sz w:val="24"/>
          <w:szCs w:val="24"/>
        </w:rPr>
        <w:t xml:space="preserve"> 30 (2). Oxford University Press: 119. </w:t>
      </w:r>
      <w:r w:rsidRPr="006C6A16">
        <w:rPr>
          <w:rFonts w:ascii="Times New Roman" w:hAnsi="Times New Roman" w:cs="Times New Roman"/>
          <w:noProof/>
          <w:sz w:val="24"/>
          <w:szCs w:val="24"/>
        </w:rPr>
        <w:lastRenderedPageBreak/>
        <w:t>doi:10.2307/2295809.</w:t>
      </w:r>
    </w:p>
    <w:p w:rsidR="006C6A16" w:rsidRPr="006C6A16" w:rsidRDefault="006C6A16" w:rsidP="006C6A16">
      <w:pPr>
        <w:widowControl w:val="0"/>
        <w:autoSpaceDE w:val="0"/>
        <w:autoSpaceDN w:val="0"/>
        <w:adjustRightInd w:val="0"/>
        <w:spacing w:line="360" w:lineRule="auto"/>
        <w:ind w:left="480" w:hanging="480"/>
        <w:rPr>
          <w:rFonts w:ascii="Times New Roman" w:hAnsi="Times New Roman" w:cs="Times New Roman"/>
          <w:noProof/>
          <w:sz w:val="24"/>
          <w:szCs w:val="24"/>
        </w:rPr>
      </w:pPr>
      <w:r w:rsidRPr="006C6A16">
        <w:rPr>
          <w:rFonts w:ascii="Times New Roman" w:hAnsi="Times New Roman" w:cs="Times New Roman"/>
          <w:noProof/>
          <w:sz w:val="24"/>
          <w:szCs w:val="24"/>
        </w:rPr>
        <w:t xml:space="preserve">Ioana-Laura, Ţibulcă. 2015. “Is There Evidence of Tax Convergence in the European Union?” </w:t>
      </w:r>
      <w:r w:rsidRPr="006C6A16">
        <w:rPr>
          <w:rFonts w:ascii="Times New Roman" w:hAnsi="Times New Roman" w:cs="Times New Roman"/>
          <w:i/>
          <w:iCs/>
          <w:noProof/>
          <w:sz w:val="24"/>
          <w:szCs w:val="24"/>
        </w:rPr>
        <w:t>Procedia Economics and Finance</w:t>
      </w:r>
      <w:r w:rsidRPr="006C6A16">
        <w:rPr>
          <w:rFonts w:ascii="Times New Roman" w:hAnsi="Times New Roman" w:cs="Times New Roman"/>
          <w:noProof/>
          <w:sz w:val="24"/>
          <w:szCs w:val="24"/>
        </w:rPr>
        <w:t xml:space="preserve"> 32: 194–99. doi:10.1016/S2212-5671(15)01382-9.</w:t>
      </w:r>
    </w:p>
    <w:p w:rsidR="006C6A16" w:rsidRPr="006C6A16" w:rsidRDefault="006C6A16" w:rsidP="006C6A16">
      <w:pPr>
        <w:widowControl w:val="0"/>
        <w:autoSpaceDE w:val="0"/>
        <w:autoSpaceDN w:val="0"/>
        <w:adjustRightInd w:val="0"/>
        <w:spacing w:line="360" w:lineRule="auto"/>
        <w:ind w:left="480" w:hanging="480"/>
        <w:rPr>
          <w:rFonts w:ascii="Times New Roman" w:hAnsi="Times New Roman" w:cs="Times New Roman"/>
          <w:noProof/>
          <w:sz w:val="24"/>
          <w:szCs w:val="24"/>
        </w:rPr>
      </w:pPr>
      <w:r w:rsidRPr="006C6A16">
        <w:rPr>
          <w:rFonts w:ascii="Times New Roman" w:hAnsi="Times New Roman" w:cs="Times New Roman"/>
          <w:noProof/>
          <w:sz w:val="24"/>
          <w:szCs w:val="24"/>
        </w:rPr>
        <w:t xml:space="preserve">Islam, Nazrul. 2003. “What Have We Learnt from the Convergence Debate?” </w:t>
      </w:r>
      <w:r w:rsidRPr="006C6A16">
        <w:rPr>
          <w:rFonts w:ascii="Times New Roman" w:hAnsi="Times New Roman" w:cs="Times New Roman"/>
          <w:i/>
          <w:iCs/>
          <w:noProof/>
          <w:sz w:val="24"/>
          <w:szCs w:val="24"/>
        </w:rPr>
        <w:t>Journal of Economic Surveys</w:t>
      </w:r>
      <w:r w:rsidRPr="006C6A16">
        <w:rPr>
          <w:rFonts w:ascii="Times New Roman" w:hAnsi="Times New Roman" w:cs="Times New Roman"/>
          <w:noProof/>
          <w:sz w:val="24"/>
          <w:szCs w:val="24"/>
        </w:rPr>
        <w:t xml:space="preserve"> 17 (3). Blackwell Publishing Ltd: 309–62. doi:10.1111/1467-6419.00197.</w:t>
      </w:r>
    </w:p>
    <w:p w:rsidR="006C6A16" w:rsidRPr="006C6A16" w:rsidRDefault="006C6A16" w:rsidP="006C6A16">
      <w:pPr>
        <w:widowControl w:val="0"/>
        <w:autoSpaceDE w:val="0"/>
        <w:autoSpaceDN w:val="0"/>
        <w:adjustRightInd w:val="0"/>
        <w:spacing w:line="360" w:lineRule="auto"/>
        <w:ind w:left="480" w:hanging="480"/>
        <w:rPr>
          <w:rFonts w:ascii="Times New Roman" w:hAnsi="Times New Roman" w:cs="Times New Roman"/>
          <w:noProof/>
          <w:sz w:val="24"/>
          <w:szCs w:val="24"/>
        </w:rPr>
      </w:pPr>
      <w:r w:rsidRPr="006C6A16">
        <w:rPr>
          <w:rFonts w:ascii="Times New Roman" w:hAnsi="Times New Roman" w:cs="Times New Roman"/>
          <w:noProof/>
          <w:sz w:val="24"/>
          <w:szCs w:val="24"/>
        </w:rPr>
        <w:t xml:space="preserve">Kitzes, Justin, and Mathis Wackernagel. 2009. “Answers to Common Questions in Ecological Footprint Accounting.” </w:t>
      </w:r>
      <w:r w:rsidRPr="006C6A16">
        <w:rPr>
          <w:rFonts w:ascii="Times New Roman" w:hAnsi="Times New Roman" w:cs="Times New Roman"/>
          <w:i/>
          <w:iCs/>
          <w:noProof/>
          <w:sz w:val="24"/>
          <w:szCs w:val="24"/>
        </w:rPr>
        <w:t>Ecological Indicators</w:t>
      </w:r>
      <w:r w:rsidRPr="006C6A16">
        <w:rPr>
          <w:rFonts w:ascii="Times New Roman" w:hAnsi="Times New Roman" w:cs="Times New Roman"/>
          <w:noProof/>
          <w:sz w:val="24"/>
          <w:szCs w:val="24"/>
        </w:rPr>
        <w:t xml:space="preserve"> 9 (4): 812–17.</w:t>
      </w:r>
    </w:p>
    <w:p w:rsidR="006C6A16" w:rsidRPr="006C6A16" w:rsidRDefault="006C6A16" w:rsidP="006C6A16">
      <w:pPr>
        <w:widowControl w:val="0"/>
        <w:autoSpaceDE w:val="0"/>
        <w:autoSpaceDN w:val="0"/>
        <w:adjustRightInd w:val="0"/>
        <w:spacing w:line="360" w:lineRule="auto"/>
        <w:ind w:left="480" w:hanging="480"/>
        <w:rPr>
          <w:rFonts w:ascii="Times New Roman" w:hAnsi="Times New Roman" w:cs="Times New Roman"/>
          <w:noProof/>
          <w:sz w:val="24"/>
          <w:szCs w:val="24"/>
        </w:rPr>
      </w:pPr>
      <w:r w:rsidRPr="006C6A16">
        <w:rPr>
          <w:rFonts w:ascii="Times New Roman" w:hAnsi="Times New Roman" w:cs="Times New Roman"/>
          <w:noProof/>
          <w:sz w:val="24"/>
          <w:szCs w:val="24"/>
        </w:rPr>
        <w:t xml:space="preserve">Kormendi, Roger C., and Philip G. Meguire. 1985. “Macroeconomic Determinants of Growth: Cross-Country Evidence.” </w:t>
      </w:r>
      <w:r w:rsidRPr="006C6A16">
        <w:rPr>
          <w:rFonts w:ascii="Times New Roman" w:hAnsi="Times New Roman" w:cs="Times New Roman"/>
          <w:i/>
          <w:iCs/>
          <w:noProof/>
          <w:sz w:val="24"/>
          <w:szCs w:val="24"/>
        </w:rPr>
        <w:t>Journal of Monetary Economics</w:t>
      </w:r>
      <w:r w:rsidRPr="006C6A16">
        <w:rPr>
          <w:rFonts w:ascii="Times New Roman" w:hAnsi="Times New Roman" w:cs="Times New Roman"/>
          <w:noProof/>
          <w:sz w:val="24"/>
          <w:szCs w:val="24"/>
        </w:rPr>
        <w:t xml:space="preserve"> 16 (2): 141–63. doi:10.1016/0304-3932(85)90027-3.</w:t>
      </w:r>
    </w:p>
    <w:p w:rsidR="006C6A16" w:rsidRPr="006C6A16" w:rsidRDefault="006C6A16" w:rsidP="006C6A16">
      <w:pPr>
        <w:widowControl w:val="0"/>
        <w:autoSpaceDE w:val="0"/>
        <w:autoSpaceDN w:val="0"/>
        <w:adjustRightInd w:val="0"/>
        <w:spacing w:line="360" w:lineRule="auto"/>
        <w:ind w:left="480" w:hanging="480"/>
        <w:rPr>
          <w:rFonts w:ascii="Times New Roman" w:hAnsi="Times New Roman" w:cs="Times New Roman"/>
          <w:noProof/>
          <w:sz w:val="24"/>
          <w:szCs w:val="24"/>
        </w:rPr>
      </w:pPr>
      <w:r w:rsidRPr="006C6A16">
        <w:rPr>
          <w:rFonts w:ascii="Times New Roman" w:hAnsi="Times New Roman" w:cs="Times New Roman"/>
          <w:noProof/>
          <w:sz w:val="24"/>
          <w:szCs w:val="24"/>
        </w:rPr>
        <w:t>Kurozumi, Eiji, Daisuke Yamazaki, and Kaddour Hadri. 2013. “COVARIATE UNIT ROOT TEST FOR CROSS-SECTIONALLY DEPENDENT PANEL DATA.” 2013–01. QUEEN’S MANAGEMENT SCHOOL ECONOMICS WORKING PAPER SERIES. ftp://ftp.qub.ac.uk/pub/users/repec/qub/wpaper/MS_WPS_ECO_13_01.pdf.</w:t>
      </w:r>
    </w:p>
    <w:p w:rsidR="006C6A16" w:rsidRPr="006C6A16" w:rsidRDefault="006C6A16" w:rsidP="006C6A16">
      <w:pPr>
        <w:widowControl w:val="0"/>
        <w:autoSpaceDE w:val="0"/>
        <w:autoSpaceDN w:val="0"/>
        <w:adjustRightInd w:val="0"/>
        <w:spacing w:line="360" w:lineRule="auto"/>
        <w:ind w:left="480" w:hanging="480"/>
        <w:rPr>
          <w:rFonts w:ascii="Times New Roman" w:hAnsi="Times New Roman" w:cs="Times New Roman"/>
          <w:noProof/>
          <w:sz w:val="24"/>
          <w:szCs w:val="24"/>
        </w:rPr>
      </w:pPr>
      <w:r w:rsidRPr="006C6A16">
        <w:rPr>
          <w:rFonts w:ascii="Times New Roman" w:hAnsi="Times New Roman" w:cs="Times New Roman"/>
          <w:noProof/>
          <w:sz w:val="24"/>
          <w:szCs w:val="24"/>
        </w:rPr>
        <w:t xml:space="preserve">Lanne, Markku, and Matti Liski. 2004. “Trends and Breaks in Per-Capita Carbon Dioxide Emissions, 1870-2028.” </w:t>
      </w:r>
      <w:r w:rsidRPr="006C6A16">
        <w:rPr>
          <w:rFonts w:ascii="Times New Roman" w:hAnsi="Times New Roman" w:cs="Times New Roman"/>
          <w:i/>
          <w:iCs/>
          <w:noProof/>
          <w:sz w:val="24"/>
          <w:szCs w:val="24"/>
        </w:rPr>
        <w:t>The Energy Journal</w:t>
      </w:r>
      <w:r w:rsidRPr="006C6A16">
        <w:rPr>
          <w:rFonts w:ascii="Times New Roman" w:hAnsi="Times New Roman" w:cs="Times New Roman"/>
          <w:noProof/>
          <w:sz w:val="24"/>
          <w:szCs w:val="24"/>
        </w:rPr>
        <w:t xml:space="preserve"> 25 (4). International Association for Energy Economics. doi:10.5547/ISSN0195-6574-EJ-Vol25-No4-3.</w:t>
      </w:r>
    </w:p>
    <w:p w:rsidR="006C6A16" w:rsidRPr="006C6A16" w:rsidRDefault="006C6A16" w:rsidP="006C6A16">
      <w:pPr>
        <w:widowControl w:val="0"/>
        <w:autoSpaceDE w:val="0"/>
        <w:autoSpaceDN w:val="0"/>
        <w:adjustRightInd w:val="0"/>
        <w:spacing w:line="360" w:lineRule="auto"/>
        <w:ind w:left="480" w:hanging="480"/>
        <w:rPr>
          <w:rFonts w:ascii="Times New Roman" w:hAnsi="Times New Roman" w:cs="Times New Roman"/>
          <w:noProof/>
          <w:sz w:val="24"/>
          <w:szCs w:val="24"/>
        </w:rPr>
      </w:pPr>
      <w:r w:rsidRPr="006C6A16">
        <w:rPr>
          <w:rFonts w:ascii="Times New Roman" w:hAnsi="Times New Roman" w:cs="Times New Roman"/>
          <w:noProof/>
          <w:sz w:val="24"/>
          <w:szCs w:val="24"/>
        </w:rPr>
        <w:t xml:space="preserve">Lau, Chi Keung Marco, Ender Demir, and Mehmet Huseyin Bilgin. 2016. “A Nonlinear Model of Military Expenditure Convergence: Evidence From Estar Nonlinear Unit Root Test.” </w:t>
      </w:r>
      <w:r w:rsidRPr="006C6A16">
        <w:rPr>
          <w:rFonts w:ascii="Times New Roman" w:hAnsi="Times New Roman" w:cs="Times New Roman"/>
          <w:i/>
          <w:iCs/>
          <w:noProof/>
          <w:sz w:val="24"/>
          <w:szCs w:val="24"/>
        </w:rPr>
        <w:t>Defence and Peace Economics</w:t>
      </w:r>
      <w:r w:rsidRPr="006C6A16">
        <w:rPr>
          <w:rFonts w:ascii="Times New Roman" w:hAnsi="Times New Roman" w:cs="Times New Roman"/>
          <w:noProof/>
          <w:sz w:val="24"/>
          <w:szCs w:val="24"/>
        </w:rPr>
        <w:t xml:space="preserve"> 27 (3). Routledge: 392–403. doi:10.1080/10242694.2015.1016296.</w:t>
      </w:r>
    </w:p>
    <w:p w:rsidR="006C6A16" w:rsidRPr="006C6A16" w:rsidRDefault="006C6A16" w:rsidP="006C6A16">
      <w:pPr>
        <w:widowControl w:val="0"/>
        <w:autoSpaceDE w:val="0"/>
        <w:autoSpaceDN w:val="0"/>
        <w:adjustRightInd w:val="0"/>
        <w:spacing w:line="360" w:lineRule="auto"/>
        <w:ind w:left="480" w:hanging="480"/>
        <w:rPr>
          <w:rFonts w:ascii="Times New Roman" w:hAnsi="Times New Roman" w:cs="Times New Roman"/>
          <w:noProof/>
          <w:sz w:val="24"/>
          <w:szCs w:val="24"/>
        </w:rPr>
      </w:pPr>
      <w:r w:rsidRPr="006C6A16">
        <w:rPr>
          <w:rFonts w:ascii="Times New Roman" w:hAnsi="Times New Roman" w:cs="Times New Roman"/>
          <w:noProof/>
          <w:sz w:val="24"/>
          <w:szCs w:val="24"/>
        </w:rPr>
        <w:t xml:space="preserve">Lee, Chien Chiang, and Chun Ping Chang. 2008. “New Evidence on the Convergence of per Capita Carbon Dioxide Emissions from Panel Seemingly Unrelated Regressions Augmented Dickey-Fuller Tests.” </w:t>
      </w:r>
      <w:r w:rsidRPr="006C6A16">
        <w:rPr>
          <w:rFonts w:ascii="Times New Roman" w:hAnsi="Times New Roman" w:cs="Times New Roman"/>
          <w:i/>
          <w:iCs/>
          <w:noProof/>
          <w:sz w:val="24"/>
          <w:szCs w:val="24"/>
        </w:rPr>
        <w:t>Energy</w:t>
      </w:r>
      <w:r w:rsidRPr="006C6A16">
        <w:rPr>
          <w:rFonts w:ascii="Times New Roman" w:hAnsi="Times New Roman" w:cs="Times New Roman"/>
          <w:noProof/>
          <w:sz w:val="24"/>
          <w:szCs w:val="24"/>
        </w:rPr>
        <w:t xml:space="preserve"> 33 (9): 1468–75.</w:t>
      </w:r>
    </w:p>
    <w:p w:rsidR="006C6A16" w:rsidRPr="006C6A16" w:rsidRDefault="006C6A16" w:rsidP="006C6A16">
      <w:pPr>
        <w:widowControl w:val="0"/>
        <w:autoSpaceDE w:val="0"/>
        <w:autoSpaceDN w:val="0"/>
        <w:adjustRightInd w:val="0"/>
        <w:spacing w:line="360" w:lineRule="auto"/>
        <w:ind w:left="480" w:hanging="480"/>
        <w:rPr>
          <w:rFonts w:ascii="Times New Roman" w:hAnsi="Times New Roman" w:cs="Times New Roman"/>
          <w:noProof/>
          <w:sz w:val="24"/>
          <w:szCs w:val="24"/>
        </w:rPr>
      </w:pPr>
      <w:r w:rsidRPr="006C6A16">
        <w:rPr>
          <w:rFonts w:ascii="Times New Roman" w:hAnsi="Times New Roman" w:cs="Times New Roman"/>
          <w:noProof/>
          <w:sz w:val="24"/>
          <w:szCs w:val="24"/>
        </w:rPr>
        <w:t xml:space="preserve">Li, Xiao-Lin, D.P. Tang, and Tsangyao Chang. 2014. “CO2 Emissions Converge in the 50 U.S. States — Sequential Panel Selection Method.” </w:t>
      </w:r>
      <w:r w:rsidRPr="006C6A16">
        <w:rPr>
          <w:rFonts w:ascii="Times New Roman" w:hAnsi="Times New Roman" w:cs="Times New Roman"/>
          <w:i/>
          <w:iCs/>
          <w:noProof/>
          <w:sz w:val="24"/>
          <w:szCs w:val="24"/>
        </w:rPr>
        <w:t>Economic Modelling</w:t>
      </w:r>
      <w:r w:rsidRPr="006C6A16">
        <w:rPr>
          <w:rFonts w:ascii="Times New Roman" w:hAnsi="Times New Roman" w:cs="Times New Roman"/>
          <w:noProof/>
          <w:sz w:val="24"/>
          <w:szCs w:val="24"/>
        </w:rPr>
        <w:t xml:space="preserve"> 40: 320–33. doi:10.1016/j.econmod.2014.04.003.</w:t>
      </w:r>
    </w:p>
    <w:p w:rsidR="006C6A16" w:rsidRPr="006C6A16" w:rsidRDefault="006C6A16" w:rsidP="006C6A16">
      <w:pPr>
        <w:widowControl w:val="0"/>
        <w:autoSpaceDE w:val="0"/>
        <w:autoSpaceDN w:val="0"/>
        <w:adjustRightInd w:val="0"/>
        <w:spacing w:line="360" w:lineRule="auto"/>
        <w:ind w:left="480" w:hanging="480"/>
        <w:rPr>
          <w:rFonts w:ascii="Times New Roman" w:hAnsi="Times New Roman" w:cs="Times New Roman"/>
          <w:noProof/>
          <w:sz w:val="24"/>
          <w:szCs w:val="24"/>
        </w:rPr>
      </w:pPr>
      <w:r w:rsidRPr="006C6A16">
        <w:rPr>
          <w:rFonts w:ascii="Times New Roman" w:hAnsi="Times New Roman" w:cs="Times New Roman"/>
          <w:noProof/>
          <w:sz w:val="24"/>
          <w:szCs w:val="24"/>
        </w:rPr>
        <w:t xml:space="preserve">Li, Xuehui, and Boqiang Lin. 2013. “Global Convergence in per Capita CO2 Emissions.” </w:t>
      </w:r>
      <w:r w:rsidRPr="006C6A16">
        <w:rPr>
          <w:rFonts w:ascii="Times New Roman" w:hAnsi="Times New Roman" w:cs="Times New Roman"/>
          <w:i/>
          <w:iCs/>
          <w:noProof/>
          <w:sz w:val="24"/>
          <w:szCs w:val="24"/>
        </w:rPr>
        <w:t>Renewable and Sustainable Energy Reviews</w:t>
      </w:r>
      <w:r w:rsidRPr="006C6A16">
        <w:rPr>
          <w:rFonts w:ascii="Times New Roman" w:hAnsi="Times New Roman" w:cs="Times New Roman"/>
          <w:noProof/>
          <w:sz w:val="24"/>
          <w:szCs w:val="24"/>
        </w:rPr>
        <w:t xml:space="preserve"> 24: 357–63. doi:10.1016/j.rser.2013.03.048.</w:t>
      </w:r>
    </w:p>
    <w:p w:rsidR="006C6A16" w:rsidRPr="006C6A16" w:rsidRDefault="006C6A16" w:rsidP="006C6A16">
      <w:pPr>
        <w:widowControl w:val="0"/>
        <w:autoSpaceDE w:val="0"/>
        <w:autoSpaceDN w:val="0"/>
        <w:adjustRightInd w:val="0"/>
        <w:spacing w:line="360" w:lineRule="auto"/>
        <w:ind w:left="480" w:hanging="480"/>
        <w:rPr>
          <w:rFonts w:ascii="Times New Roman" w:hAnsi="Times New Roman" w:cs="Times New Roman"/>
          <w:noProof/>
          <w:sz w:val="24"/>
          <w:szCs w:val="24"/>
        </w:rPr>
      </w:pPr>
      <w:r w:rsidRPr="006C6A16">
        <w:rPr>
          <w:rFonts w:ascii="Times New Roman" w:hAnsi="Times New Roman" w:cs="Times New Roman"/>
          <w:noProof/>
          <w:sz w:val="24"/>
          <w:szCs w:val="24"/>
        </w:rPr>
        <w:t xml:space="preserve">List, John A. 1999. “Have Air Pollutant Emissions Converged among U. S. Regions? Evidence </w:t>
      </w:r>
      <w:r w:rsidRPr="006C6A16">
        <w:rPr>
          <w:rFonts w:ascii="Times New Roman" w:hAnsi="Times New Roman" w:cs="Times New Roman"/>
          <w:noProof/>
          <w:sz w:val="24"/>
          <w:szCs w:val="24"/>
        </w:rPr>
        <w:lastRenderedPageBreak/>
        <w:t xml:space="preserve">from Unit Root Tests.” </w:t>
      </w:r>
      <w:r w:rsidRPr="006C6A16">
        <w:rPr>
          <w:rFonts w:ascii="Times New Roman" w:hAnsi="Times New Roman" w:cs="Times New Roman"/>
          <w:i/>
          <w:iCs/>
          <w:noProof/>
          <w:sz w:val="24"/>
          <w:szCs w:val="24"/>
        </w:rPr>
        <w:t>Southern Economic Journal</w:t>
      </w:r>
      <w:r w:rsidRPr="006C6A16">
        <w:rPr>
          <w:rFonts w:ascii="Times New Roman" w:hAnsi="Times New Roman" w:cs="Times New Roman"/>
          <w:noProof/>
          <w:sz w:val="24"/>
          <w:szCs w:val="24"/>
        </w:rPr>
        <w:t xml:space="preserve"> 66 (1): 144. doi:10.2307/1060840.</w:t>
      </w:r>
    </w:p>
    <w:p w:rsidR="006C6A16" w:rsidRPr="006C6A16" w:rsidRDefault="006C6A16" w:rsidP="006C6A16">
      <w:pPr>
        <w:widowControl w:val="0"/>
        <w:autoSpaceDE w:val="0"/>
        <w:autoSpaceDN w:val="0"/>
        <w:adjustRightInd w:val="0"/>
        <w:spacing w:line="360" w:lineRule="auto"/>
        <w:ind w:left="480" w:hanging="480"/>
        <w:rPr>
          <w:rFonts w:ascii="Times New Roman" w:hAnsi="Times New Roman" w:cs="Times New Roman"/>
          <w:noProof/>
          <w:sz w:val="24"/>
          <w:szCs w:val="24"/>
        </w:rPr>
      </w:pPr>
      <w:r w:rsidRPr="006C6A16">
        <w:rPr>
          <w:rFonts w:ascii="Times New Roman" w:hAnsi="Times New Roman" w:cs="Times New Roman"/>
          <w:noProof/>
          <w:sz w:val="24"/>
          <w:szCs w:val="24"/>
        </w:rPr>
        <w:t xml:space="preserve">Lluis Carrion-i-Silvestre, Josep, Tomas del Barrio-Castro, and Enrique Lopez-Bazo. 2005. “Breaking the Panels: An Application to the GDP per Capita.” </w:t>
      </w:r>
      <w:r w:rsidRPr="006C6A16">
        <w:rPr>
          <w:rFonts w:ascii="Times New Roman" w:hAnsi="Times New Roman" w:cs="Times New Roman"/>
          <w:i/>
          <w:iCs/>
          <w:noProof/>
          <w:sz w:val="24"/>
          <w:szCs w:val="24"/>
        </w:rPr>
        <w:t>The Econometrics Journal</w:t>
      </w:r>
      <w:r w:rsidRPr="006C6A16">
        <w:rPr>
          <w:rFonts w:ascii="Times New Roman" w:hAnsi="Times New Roman" w:cs="Times New Roman"/>
          <w:noProof/>
          <w:sz w:val="24"/>
          <w:szCs w:val="24"/>
        </w:rPr>
        <w:t xml:space="preserve"> 8 (2). Blackwell Publishing Ltd.: 159–75. doi:10.1111/j.1368-423X.2005.00158.x.</w:t>
      </w:r>
    </w:p>
    <w:p w:rsidR="006C6A16" w:rsidRPr="006C6A16" w:rsidRDefault="006C6A16" w:rsidP="006C6A16">
      <w:pPr>
        <w:widowControl w:val="0"/>
        <w:autoSpaceDE w:val="0"/>
        <w:autoSpaceDN w:val="0"/>
        <w:adjustRightInd w:val="0"/>
        <w:spacing w:line="360" w:lineRule="auto"/>
        <w:ind w:left="480" w:hanging="480"/>
        <w:rPr>
          <w:rFonts w:ascii="Times New Roman" w:hAnsi="Times New Roman" w:cs="Times New Roman"/>
          <w:noProof/>
          <w:sz w:val="24"/>
          <w:szCs w:val="24"/>
        </w:rPr>
      </w:pPr>
      <w:r w:rsidRPr="006C6A16">
        <w:rPr>
          <w:rFonts w:ascii="Times New Roman" w:hAnsi="Times New Roman" w:cs="Times New Roman"/>
          <w:noProof/>
          <w:sz w:val="24"/>
          <w:szCs w:val="24"/>
        </w:rPr>
        <w:t xml:space="preserve">Mancini, Maria Serena, Alessandro Galli, Valentina Niccolucci, David Lin, Laurel Hanscom, Mathis Wackernagel, Simone Bastianoni, and Nadia Marchettini. 2017. “Stocks and Flows of Natural Capital: Implications for Ecological Footprint.” </w:t>
      </w:r>
      <w:r w:rsidRPr="006C6A16">
        <w:rPr>
          <w:rFonts w:ascii="Times New Roman" w:hAnsi="Times New Roman" w:cs="Times New Roman"/>
          <w:i/>
          <w:iCs/>
          <w:noProof/>
          <w:sz w:val="24"/>
          <w:szCs w:val="24"/>
        </w:rPr>
        <w:t>Ecological Indicators</w:t>
      </w:r>
      <w:r w:rsidRPr="006C6A16">
        <w:rPr>
          <w:rFonts w:ascii="Times New Roman" w:hAnsi="Times New Roman" w:cs="Times New Roman"/>
          <w:noProof/>
          <w:sz w:val="24"/>
          <w:szCs w:val="24"/>
        </w:rPr>
        <w:t>. Vol. 77. doi:10.1016/j.ecolind.2017.01.033.</w:t>
      </w:r>
    </w:p>
    <w:p w:rsidR="006C6A16" w:rsidRPr="006C6A16" w:rsidRDefault="006C6A16" w:rsidP="006C6A16">
      <w:pPr>
        <w:widowControl w:val="0"/>
        <w:autoSpaceDE w:val="0"/>
        <w:autoSpaceDN w:val="0"/>
        <w:adjustRightInd w:val="0"/>
        <w:spacing w:line="360" w:lineRule="auto"/>
        <w:ind w:left="480" w:hanging="480"/>
        <w:rPr>
          <w:rFonts w:ascii="Times New Roman" w:hAnsi="Times New Roman" w:cs="Times New Roman"/>
          <w:noProof/>
          <w:sz w:val="24"/>
          <w:szCs w:val="24"/>
        </w:rPr>
      </w:pPr>
      <w:r w:rsidRPr="006C6A16">
        <w:rPr>
          <w:rFonts w:ascii="Times New Roman" w:hAnsi="Times New Roman" w:cs="Times New Roman"/>
          <w:noProof/>
          <w:sz w:val="24"/>
          <w:szCs w:val="24"/>
        </w:rPr>
        <w:t xml:space="preserve">Mankiw, N. G., D. Romer, and D. N. Weil. 1992. “A Contribution to the Empirics of Economic Growth.” </w:t>
      </w:r>
      <w:r w:rsidRPr="006C6A16">
        <w:rPr>
          <w:rFonts w:ascii="Times New Roman" w:hAnsi="Times New Roman" w:cs="Times New Roman"/>
          <w:i/>
          <w:iCs/>
          <w:noProof/>
          <w:sz w:val="24"/>
          <w:szCs w:val="24"/>
        </w:rPr>
        <w:t>The Quarterly Journal of Economics</w:t>
      </w:r>
      <w:r w:rsidRPr="006C6A16">
        <w:rPr>
          <w:rFonts w:ascii="Times New Roman" w:hAnsi="Times New Roman" w:cs="Times New Roman"/>
          <w:noProof/>
          <w:sz w:val="24"/>
          <w:szCs w:val="24"/>
        </w:rPr>
        <w:t xml:space="preserve"> 107 (2). Oxford University Press: 407–37. doi:10.2307/2118477.</w:t>
      </w:r>
    </w:p>
    <w:p w:rsidR="006C6A16" w:rsidRPr="006C6A16" w:rsidRDefault="006C6A16" w:rsidP="006C6A16">
      <w:pPr>
        <w:widowControl w:val="0"/>
        <w:autoSpaceDE w:val="0"/>
        <w:autoSpaceDN w:val="0"/>
        <w:adjustRightInd w:val="0"/>
        <w:spacing w:line="360" w:lineRule="auto"/>
        <w:ind w:left="480" w:hanging="480"/>
        <w:rPr>
          <w:rFonts w:ascii="Times New Roman" w:hAnsi="Times New Roman" w:cs="Times New Roman"/>
          <w:noProof/>
          <w:sz w:val="24"/>
          <w:szCs w:val="24"/>
        </w:rPr>
      </w:pPr>
      <w:r w:rsidRPr="006C6A16">
        <w:rPr>
          <w:rFonts w:ascii="Times New Roman" w:hAnsi="Times New Roman" w:cs="Times New Roman"/>
          <w:noProof/>
          <w:sz w:val="24"/>
          <w:szCs w:val="24"/>
        </w:rPr>
        <w:t xml:space="preserve">Mishra, Vinod, and Russell Smyth. 2014. “Convergence in Energy Consumption per Capita among ASEAN Countries.” </w:t>
      </w:r>
      <w:r w:rsidRPr="006C6A16">
        <w:rPr>
          <w:rFonts w:ascii="Times New Roman" w:hAnsi="Times New Roman" w:cs="Times New Roman"/>
          <w:i/>
          <w:iCs/>
          <w:noProof/>
          <w:sz w:val="24"/>
          <w:szCs w:val="24"/>
        </w:rPr>
        <w:t>Energy Policy</w:t>
      </w:r>
      <w:r w:rsidRPr="006C6A16">
        <w:rPr>
          <w:rFonts w:ascii="Times New Roman" w:hAnsi="Times New Roman" w:cs="Times New Roman"/>
          <w:noProof/>
          <w:sz w:val="24"/>
          <w:szCs w:val="24"/>
        </w:rPr>
        <w:t>. Vol. 73. doi:10.1016/j.enpol.2014.06.006.</w:t>
      </w:r>
    </w:p>
    <w:p w:rsidR="006C6A16" w:rsidRPr="006C6A16" w:rsidRDefault="006C6A16" w:rsidP="006C6A16">
      <w:pPr>
        <w:widowControl w:val="0"/>
        <w:autoSpaceDE w:val="0"/>
        <w:autoSpaceDN w:val="0"/>
        <w:adjustRightInd w:val="0"/>
        <w:spacing w:line="360" w:lineRule="auto"/>
        <w:ind w:left="480" w:hanging="480"/>
        <w:rPr>
          <w:rFonts w:ascii="Times New Roman" w:hAnsi="Times New Roman" w:cs="Times New Roman"/>
          <w:noProof/>
          <w:sz w:val="24"/>
          <w:szCs w:val="24"/>
        </w:rPr>
      </w:pPr>
      <w:r w:rsidRPr="006C6A16">
        <w:rPr>
          <w:rFonts w:ascii="Times New Roman" w:hAnsi="Times New Roman" w:cs="Times New Roman"/>
          <w:noProof/>
          <w:sz w:val="24"/>
          <w:szCs w:val="24"/>
        </w:rPr>
        <w:t xml:space="preserve">Nguyen Van, Phu. 2005. “Distribution Dynamics of CO2 Emissions.” </w:t>
      </w:r>
      <w:r w:rsidRPr="006C6A16">
        <w:rPr>
          <w:rFonts w:ascii="Times New Roman" w:hAnsi="Times New Roman" w:cs="Times New Roman"/>
          <w:i/>
          <w:iCs/>
          <w:noProof/>
          <w:sz w:val="24"/>
          <w:szCs w:val="24"/>
        </w:rPr>
        <w:t>Environmental &amp; Resource Economics</w:t>
      </w:r>
      <w:r w:rsidRPr="006C6A16">
        <w:rPr>
          <w:rFonts w:ascii="Times New Roman" w:hAnsi="Times New Roman" w:cs="Times New Roman"/>
          <w:noProof/>
          <w:sz w:val="24"/>
          <w:szCs w:val="24"/>
        </w:rPr>
        <w:t xml:space="preserve"> 32 (4). Kluwer Academic Publishers: 495–508. doi:10.1007/s10640-005-7687-6.</w:t>
      </w:r>
    </w:p>
    <w:p w:rsidR="006C6A16" w:rsidRPr="006C6A16" w:rsidRDefault="006C6A16" w:rsidP="006C6A16">
      <w:pPr>
        <w:widowControl w:val="0"/>
        <w:autoSpaceDE w:val="0"/>
        <w:autoSpaceDN w:val="0"/>
        <w:adjustRightInd w:val="0"/>
        <w:spacing w:line="360" w:lineRule="auto"/>
        <w:ind w:left="480" w:hanging="480"/>
        <w:rPr>
          <w:rFonts w:ascii="Times New Roman" w:hAnsi="Times New Roman" w:cs="Times New Roman"/>
          <w:noProof/>
          <w:sz w:val="24"/>
          <w:szCs w:val="24"/>
        </w:rPr>
      </w:pPr>
      <w:r w:rsidRPr="006C6A16">
        <w:rPr>
          <w:rFonts w:ascii="Times New Roman" w:hAnsi="Times New Roman" w:cs="Times New Roman"/>
          <w:noProof/>
          <w:sz w:val="24"/>
          <w:szCs w:val="24"/>
        </w:rPr>
        <w:t xml:space="preserve">Ozturk, Ilhan, Usama Al-Mulali, and Behnaz Saboori. 2016. “Investigating the Environmental Kuznets Curve Hypothesis: The Role of Tourism and Ecological Footprint.” </w:t>
      </w:r>
      <w:r w:rsidRPr="006C6A16">
        <w:rPr>
          <w:rFonts w:ascii="Times New Roman" w:hAnsi="Times New Roman" w:cs="Times New Roman"/>
          <w:i/>
          <w:iCs/>
          <w:noProof/>
          <w:sz w:val="24"/>
          <w:szCs w:val="24"/>
        </w:rPr>
        <w:t>Environmental Science and Pollution Research</w:t>
      </w:r>
      <w:r w:rsidRPr="006C6A16">
        <w:rPr>
          <w:rFonts w:ascii="Times New Roman" w:hAnsi="Times New Roman" w:cs="Times New Roman"/>
          <w:noProof/>
          <w:sz w:val="24"/>
          <w:szCs w:val="24"/>
        </w:rPr>
        <w:t xml:space="preserve"> 23 (2). Springer Berlin Heidelberg: 1916–28. doi:10.1007/s11356-015-5447-x.</w:t>
      </w:r>
    </w:p>
    <w:p w:rsidR="006C6A16" w:rsidRPr="006C6A16" w:rsidRDefault="006C6A16" w:rsidP="006C6A16">
      <w:pPr>
        <w:widowControl w:val="0"/>
        <w:autoSpaceDE w:val="0"/>
        <w:autoSpaceDN w:val="0"/>
        <w:adjustRightInd w:val="0"/>
        <w:spacing w:line="360" w:lineRule="auto"/>
        <w:ind w:left="480" w:hanging="480"/>
        <w:rPr>
          <w:rFonts w:ascii="Times New Roman" w:hAnsi="Times New Roman" w:cs="Times New Roman"/>
          <w:noProof/>
          <w:sz w:val="24"/>
          <w:szCs w:val="24"/>
        </w:rPr>
      </w:pPr>
      <w:r w:rsidRPr="006C6A16">
        <w:rPr>
          <w:rFonts w:ascii="Times New Roman" w:hAnsi="Times New Roman" w:cs="Times New Roman"/>
          <w:noProof/>
          <w:sz w:val="24"/>
          <w:szCs w:val="24"/>
        </w:rPr>
        <w:t xml:space="preserve">Panopoulou, Ekaterini, and Theologos Pantelidis. 2009. “Club Convergence in Carbon Dioxide Emissions.” </w:t>
      </w:r>
      <w:r w:rsidRPr="006C6A16">
        <w:rPr>
          <w:rFonts w:ascii="Times New Roman" w:hAnsi="Times New Roman" w:cs="Times New Roman"/>
          <w:i/>
          <w:iCs/>
          <w:noProof/>
          <w:sz w:val="24"/>
          <w:szCs w:val="24"/>
        </w:rPr>
        <w:t>Environmental and Resource Economics</w:t>
      </w:r>
      <w:r w:rsidRPr="006C6A16">
        <w:rPr>
          <w:rFonts w:ascii="Times New Roman" w:hAnsi="Times New Roman" w:cs="Times New Roman"/>
          <w:noProof/>
          <w:sz w:val="24"/>
          <w:szCs w:val="24"/>
        </w:rPr>
        <w:t xml:space="preserve"> 44 (1). Springer Netherlands: 47–70. doi:10.1007/s10640-008-9260-6.</w:t>
      </w:r>
    </w:p>
    <w:p w:rsidR="006C6A16" w:rsidRPr="006C6A16" w:rsidRDefault="006C6A16" w:rsidP="006C6A16">
      <w:pPr>
        <w:widowControl w:val="0"/>
        <w:autoSpaceDE w:val="0"/>
        <w:autoSpaceDN w:val="0"/>
        <w:adjustRightInd w:val="0"/>
        <w:spacing w:line="360" w:lineRule="auto"/>
        <w:ind w:left="480" w:hanging="480"/>
        <w:rPr>
          <w:rFonts w:ascii="Times New Roman" w:hAnsi="Times New Roman" w:cs="Times New Roman"/>
          <w:noProof/>
          <w:sz w:val="24"/>
          <w:szCs w:val="24"/>
        </w:rPr>
      </w:pPr>
      <w:r w:rsidRPr="006C6A16">
        <w:rPr>
          <w:rFonts w:ascii="Times New Roman" w:hAnsi="Times New Roman" w:cs="Times New Roman"/>
          <w:noProof/>
          <w:sz w:val="24"/>
          <w:szCs w:val="24"/>
        </w:rPr>
        <w:t xml:space="preserve">Pesaran, M. Hashem. 2007. “A Simple Panel Unit Root Test in the Presence of Cross-Section Dependence.” </w:t>
      </w:r>
      <w:r w:rsidRPr="006C6A16">
        <w:rPr>
          <w:rFonts w:ascii="Times New Roman" w:hAnsi="Times New Roman" w:cs="Times New Roman"/>
          <w:i/>
          <w:iCs/>
          <w:noProof/>
          <w:sz w:val="24"/>
          <w:szCs w:val="24"/>
        </w:rPr>
        <w:t>Journal of Applied Econometrics</w:t>
      </w:r>
      <w:r w:rsidRPr="006C6A16">
        <w:rPr>
          <w:rFonts w:ascii="Times New Roman" w:hAnsi="Times New Roman" w:cs="Times New Roman"/>
          <w:noProof/>
          <w:sz w:val="24"/>
          <w:szCs w:val="24"/>
        </w:rPr>
        <w:t xml:space="preserve"> 22 (2): 265–312.</w:t>
      </w:r>
    </w:p>
    <w:p w:rsidR="006C6A16" w:rsidRPr="006C6A16" w:rsidRDefault="006C6A16" w:rsidP="006C6A16">
      <w:pPr>
        <w:widowControl w:val="0"/>
        <w:autoSpaceDE w:val="0"/>
        <w:autoSpaceDN w:val="0"/>
        <w:adjustRightInd w:val="0"/>
        <w:spacing w:line="360" w:lineRule="auto"/>
        <w:ind w:left="480" w:hanging="480"/>
        <w:rPr>
          <w:rFonts w:ascii="Times New Roman" w:hAnsi="Times New Roman" w:cs="Times New Roman"/>
          <w:noProof/>
          <w:sz w:val="24"/>
          <w:szCs w:val="24"/>
        </w:rPr>
      </w:pPr>
      <w:r w:rsidRPr="006C6A16">
        <w:rPr>
          <w:rFonts w:ascii="Times New Roman" w:hAnsi="Times New Roman" w:cs="Times New Roman"/>
          <w:noProof/>
          <w:sz w:val="24"/>
          <w:szCs w:val="24"/>
        </w:rPr>
        <w:t xml:space="preserve">Phillips, Peter C. B., and Donggyu Sul. 2007a. “Transition Modeling and Econometric Convergence Tests.” </w:t>
      </w:r>
      <w:r w:rsidRPr="006C6A16">
        <w:rPr>
          <w:rFonts w:ascii="Times New Roman" w:hAnsi="Times New Roman" w:cs="Times New Roman"/>
          <w:i/>
          <w:iCs/>
          <w:noProof/>
          <w:sz w:val="24"/>
          <w:szCs w:val="24"/>
        </w:rPr>
        <w:t>Econometrica</w:t>
      </w:r>
      <w:r w:rsidRPr="006C6A16">
        <w:rPr>
          <w:rFonts w:ascii="Times New Roman" w:hAnsi="Times New Roman" w:cs="Times New Roman"/>
          <w:noProof/>
          <w:sz w:val="24"/>
          <w:szCs w:val="24"/>
        </w:rPr>
        <w:t xml:space="preserve"> 75 (6). Blackwell Publishing Ltd: 1771–1855. doi:10.1111/j.1468-0262.2007.00811.x.</w:t>
      </w:r>
    </w:p>
    <w:p w:rsidR="006C6A16" w:rsidRPr="006C6A16" w:rsidRDefault="006C6A16" w:rsidP="006C6A16">
      <w:pPr>
        <w:widowControl w:val="0"/>
        <w:autoSpaceDE w:val="0"/>
        <w:autoSpaceDN w:val="0"/>
        <w:adjustRightInd w:val="0"/>
        <w:spacing w:line="360" w:lineRule="auto"/>
        <w:ind w:left="480" w:hanging="480"/>
        <w:rPr>
          <w:rFonts w:ascii="Times New Roman" w:hAnsi="Times New Roman" w:cs="Times New Roman"/>
          <w:noProof/>
          <w:sz w:val="24"/>
          <w:szCs w:val="24"/>
        </w:rPr>
      </w:pPr>
      <w:r w:rsidRPr="006C6A16">
        <w:rPr>
          <w:rFonts w:ascii="Times New Roman" w:hAnsi="Times New Roman" w:cs="Times New Roman"/>
          <w:noProof/>
          <w:sz w:val="24"/>
          <w:szCs w:val="24"/>
        </w:rPr>
        <w:t xml:space="preserve">———. 2007b. “Transition Modeling and Econometric Convergence Tests.” </w:t>
      </w:r>
      <w:r w:rsidRPr="006C6A16">
        <w:rPr>
          <w:rFonts w:ascii="Times New Roman" w:hAnsi="Times New Roman" w:cs="Times New Roman"/>
          <w:i/>
          <w:iCs/>
          <w:noProof/>
          <w:sz w:val="24"/>
          <w:szCs w:val="24"/>
        </w:rPr>
        <w:t>Econometrica</w:t>
      </w:r>
      <w:r w:rsidRPr="006C6A16">
        <w:rPr>
          <w:rFonts w:ascii="Times New Roman" w:hAnsi="Times New Roman" w:cs="Times New Roman"/>
          <w:noProof/>
          <w:sz w:val="24"/>
          <w:szCs w:val="24"/>
        </w:rPr>
        <w:t xml:space="preserve"> 75 (6). Blackwell Publishing Ltd: 1771–1855. doi:10.1111/j.1468-0262.2007.00811.x.</w:t>
      </w:r>
    </w:p>
    <w:p w:rsidR="006C6A16" w:rsidRPr="006C6A16" w:rsidRDefault="006C6A16" w:rsidP="006C6A16">
      <w:pPr>
        <w:widowControl w:val="0"/>
        <w:autoSpaceDE w:val="0"/>
        <w:autoSpaceDN w:val="0"/>
        <w:adjustRightInd w:val="0"/>
        <w:spacing w:line="360" w:lineRule="auto"/>
        <w:ind w:left="480" w:hanging="480"/>
        <w:rPr>
          <w:rFonts w:ascii="Times New Roman" w:hAnsi="Times New Roman" w:cs="Times New Roman"/>
          <w:noProof/>
          <w:sz w:val="24"/>
          <w:szCs w:val="24"/>
        </w:rPr>
      </w:pPr>
      <w:r w:rsidRPr="006C6A16">
        <w:rPr>
          <w:rFonts w:ascii="Times New Roman" w:hAnsi="Times New Roman" w:cs="Times New Roman"/>
          <w:noProof/>
          <w:sz w:val="24"/>
          <w:szCs w:val="24"/>
        </w:rPr>
        <w:lastRenderedPageBreak/>
        <w:t xml:space="preserve">———. 2009. “Economic Transition and Growth.” </w:t>
      </w:r>
      <w:r w:rsidRPr="006C6A16">
        <w:rPr>
          <w:rFonts w:ascii="Times New Roman" w:hAnsi="Times New Roman" w:cs="Times New Roman"/>
          <w:i/>
          <w:iCs/>
          <w:noProof/>
          <w:sz w:val="24"/>
          <w:szCs w:val="24"/>
        </w:rPr>
        <w:t>Journal of Applied Econometrics</w:t>
      </w:r>
      <w:r w:rsidRPr="006C6A16">
        <w:rPr>
          <w:rFonts w:ascii="Times New Roman" w:hAnsi="Times New Roman" w:cs="Times New Roman"/>
          <w:noProof/>
          <w:sz w:val="24"/>
          <w:szCs w:val="24"/>
        </w:rPr>
        <w:t xml:space="preserve"> 24 (7). John Wiley &amp; Sons, Ltd.: 1153–85. doi:10.1002/jae.1080.</w:t>
      </w:r>
    </w:p>
    <w:p w:rsidR="006C6A16" w:rsidRPr="006C6A16" w:rsidRDefault="006C6A16" w:rsidP="006C6A16">
      <w:pPr>
        <w:widowControl w:val="0"/>
        <w:autoSpaceDE w:val="0"/>
        <w:autoSpaceDN w:val="0"/>
        <w:adjustRightInd w:val="0"/>
        <w:spacing w:line="360" w:lineRule="auto"/>
        <w:ind w:left="480" w:hanging="480"/>
        <w:rPr>
          <w:rFonts w:ascii="Times New Roman" w:hAnsi="Times New Roman" w:cs="Times New Roman"/>
          <w:noProof/>
          <w:sz w:val="24"/>
          <w:szCs w:val="24"/>
        </w:rPr>
      </w:pPr>
      <w:r w:rsidRPr="006C6A16">
        <w:rPr>
          <w:rFonts w:ascii="Times New Roman" w:hAnsi="Times New Roman" w:cs="Times New Roman"/>
          <w:noProof/>
          <w:sz w:val="24"/>
          <w:szCs w:val="24"/>
        </w:rPr>
        <w:t xml:space="preserve">Presno, María José, Manuel Landajo, and Paula Fernández. 2014. “Non-Renewable Resource Prices: A Robust Evaluation from the Stationarity Perspective.” </w:t>
      </w:r>
      <w:r w:rsidRPr="006C6A16">
        <w:rPr>
          <w:rFonts w:ascii="Times New Roman" w:hAnsi="Times New Roman" w:cs="Times New Roman"/>
          <w:i/>
          <w:iCs/>
          <w:noProof/>
          <w:sz w:val="24"/>
          <w:szCs w:val="24"/>
        </w:rPr>
        <w:t>Resource and Energy Economics</w:t>
      </w:r>
      <w:r w:rsidRPr="006C6A16">
        <w:rPr>
          <w:rFonts w:ascii="Times New Roman" w:hAnsi="Times New Roman" w:cs="Times New Roman"/>
          <w:noProof/>
          <w:sz w:val="24"/>
          <w:szCs w:val="24"/>
        </w:rPr>
        <w:t xml:space="preserve"> 36 (2): 394–416. doi:10.1016/j.reseneeco.2014.01.003.</w:t>
      </w:r>
    </w:p>
    <w:p w:rsidR="006C6A16" w:rsidRPr="006C6A16" w:rsidRDefault="006C6A16" w:rsidP="006C6A16">
      <w:pPr>
        <w:widowControl w:val="0"/>
        <w:autoSpaceDE w:val="0"/>
        <w:autoSpaceDN w:val="0"/>
        <w:adjustRightInd w:val="0"/>
        <w:spacing w:line="360" w:lineRule="auto"/>
        <w:ind w:left="480" w:hanging="480"/>
        <w:rPr>
          <w:rFonts w:ascii="Times New Roman" w:hAnsi="Times New Roman" w:cs="Times New Roman"/>
          <w:noProof/>
          <w:sz w:val="24"/>
          <w:szCs w:val="24"/>
        </w:rPr>
      </w:pPr>
      <w:r w:rsidRPr="006C6A16">
        <w:rPr>
          <w:rFonts w:ascii="Times New Roman" w:hAnsi="Times New Roman" w:cs="Times New Roman"/>
          <w:noProof/>
          <w:sz w:val="24"/>
          <w:szCs w:val="24"/>
        </w:rPr>
        <w:t xml:space="preserve">Presno, María José, Manuel Landajo, and Paula Fernández González. 2015. “Stochastic Convergence in per Capita CO2 Emissions. An Approach from Nonlinear Stationarity Analysis.” </w:t>
      </w:r>
      <w:r w:rsidRPr="006C6A16">
        <w:rPr>
          <w:rFonts w:ascii="Times New Roman" w:hAnsi="Times New Roman" w:cs="Times New Roman"/>
          <w:i/>
          <w:iCs/>
          <w:noProof/>
          <w:sz w:val="24"/>
          <w:szCs w:val="24"/>
        </w:rPr>
        <w:t>Energy Economics</w:t>
      </w:r>
      <w:r w:rsidRPr="006C6A16">
        <w:rPr>
          <w:rFonts w:ascii="Times New Roman" w:hAnsi="Times New Roman" w:cs="Times New Roman"/>
          <w:noProof/>
          <w:sz w:val="24"/>
          <w:szCs w:val="24"/>
        </w:rPr>
        <w:t>. doi:10.1016/j.eneco.2015.10.001.</w:t>
      </w:r>
    </w:p>
    <w:p w:rsidR="006C6A16" w:rsidRPr="006C6A16" w:rsidRDefault="006C6A16" w:rsidP="006C6A16">
      <w:pPr>
        <w:widowControl w:val="0"/>
        <w:autoSpaceDE w:val="0"/>
        <w:autoSpaceDN w:val="0"/>
        <w:adjustRightInd w:val="0"/>
        <w:spacing w:line="360" w:lineRule="auto"/>
        <w:ind w:left="480" w:hanging="480"/>
        <w:rPr>
          <w:rFonts w:ascii="Times New Roman" w:hAnsi="Times New Roman" w:cs="Times New Roman"/>
          <w:noProof/>
          <w:sz w:val="24"/>
          <w:szCs w:val="24"/>
        </w:rPr>
      </w:pPr>
      <w:r w:rsidRPr="006C6A16">
        <w:rPr>
          <w:rFonts w:ascii="Times New Roman" w:hAnsi="Times New Roman" w:cs="Times New Roman"/>
          <w:noProof/>
          <w:sz w:val="24"/>
          <w:szCs w:val="24"/>
        </w:rPr>
        <w:t xml:space="preserve">Quah, Danny. 1993. “Galton’s Fallacy and Tests of the Convergence Hypothesis.” </w:t>
      </w:r>
      <w:r w:rsidRPr="006C6A16">
        <w:rPr>
          <w:rFonts w:ascii="Times New Roman" w:hAnsi="Times New Roman" w:cs="Times New Roman"/>
          <w:i/>
          <w:iCs/>
          <w:noProof/>
          <w:sz w:val="24"/>
          <w:szCs w:val="24"/>
        </w:rPr>
        <w:t>The Scandinavian Journal of Economics</w:t>
      </w:r>
      <w:r w:rsidRPr="006C6A16">
        <w:rPr>
          <w:rFonts w:ascii="Times New Roman" w:hAnsi="Times New Roman" w:cs="Times New Roman"/>
          <w:noProof/>
          <w:sz w:val="24"/>
          <w:szCs w:val="24"/>
        </w:rPr>
        <w:t xml:space="preserve"> 95 (4): 427. doi:10.2307/3440905.</w:t>
      </w:r>
    </w:p>
    <w:p w:rsidR="006C6A16" w:rsidRPr="006C6A16" w:rsidRDefault="006C6A16" w:rsidP="006C6A16">
      <w:pPr>
        <w:widowControl w:val="0"/>
        <w:autoSpaceDE w:val="0"/>
        <w:autoSpaceDN w:val="0"/>
        <w:adjustRightInd w:val="0"/>
        <w:spacing w:line="360" w:lineRule="auto"/>
        <w:ind w:left="480" w:hanging="480"/>
        <w:rPr>
          <w:rFonts w:ascii="Times New Roman" w:hAnsi="Times New Roman" w:cs="Times New Roman"/>
          <w:noProof/>
          <w:sz w:val="24"/>
          <w:szCs w:val="24"/>
        </w:rPr>
      </w:pPr>
      <w:r w:rsidRPr="006C6A16">
        <w:rPr>
          <w:rFonts w:ascii="Times New Roman" w:hAnsi="Times New Roman" w:cs="Times New Roman"/>
          <w:noProof/>
          <w:sz w:val="24"/>
          <w:szCs w:val="24"/>
        </w:rPr>
        <w:t xml:space="preserve">Romer, Paul M. 1986. “Increasing Returns and Long-Run Growth.” </w:t>
      </w:r>
      <w:r w:rsidRPr="006C6A16">
        <w:rPr>
          <w:rFonts w:ascii="Times New Roman" w:hAnsi="Times New Roman" w:cs="Times New Roman"/>
          <w:i/>
          <w:iCs/>
          <w:noProof/>
          <w:sz w:val="24"/>
          <w:szCs w:val="24"/>
        </w:rPr>
        <w:t>The Journal of Political Economy</w:t>
      </w:r>
      <w:r w:rsidRPr="006C6A16">
        <w:rPr>
          <w:rFonts w:ascii="Times New Roman" w:hAnsi="Times New Roman" w:cs="Times New Roman"/>
          <w:noProof/>
          <w:sz w:val="24"/>
          <w:szCs w:val="24"/>
        </w:rPr>
        <w:t xml:space="preserve"> 94 (5): 1002–37. http://links.jstor.org/sici?sici=0022-3808%28198610%2994%3A5%3C1002%3AIRALG%3E2.0.CO%3B2-C.</w:t>
      </w:r>
    </w:p>
    <w:p w:rsidR="006C6A16" w:rsidRPr="006C6A16" w:rsidRDefault="006C6A16" w:rsidP="006C6A16">
      <w:pPr>
        <w:widowControl w:val="0"/>
        <w:autoSpaceDE w:val="0"/>
        <w:autoSpaceDN w:val="0"/>
        <w:adjustRightInd w:val="0"/>
        <w:spacing w:line="360" w:lineRule="auto"/>
        <w:ind w:left="480" w:hanging="480"/>
        <w:rPr>
          <w:rFonts w:ascii="Times New Roman" w:hAnsi="Times New Roman" w:cs="Times New Roman"/>
          <w:noProof/>
          <w:sz w:val="24"/>
          <w:szCs w:val="24"/>
        </w:rPr>
      </w:pPr>
      <w:r w:rsidRPr="006C6A16">
        <w:rPr>
          <w:rFonts w:ascii="Times New Roman" w:hAnsi="Times New Roman" w:cs="Times New Roman"/>
          <w:noProof/>
          <w:sz w:val="24"/>
          <w:szCs w:val="24"/>
        </w:rPr>
        <w:t xml:space="preserve">Romero-Ávila, Diego. 2008. “Convergence in Carbon Dioxide Emissions among Industrialised Countries Revisited.” </w:t>
      </w:r>
      <w:r w:rsidRPr="006C6A16">
        <w:rPr>
          <w:rFonts w:ascii="Times New Roman" w:hAnsi="Times New Roman" w:cs="Times New Roman"/>
          <w:i/>
          <w:iCs/>
          <w:noProof/>
          <w:sz w:val="24"/>
          <w:szCs w:val="24"/>
        </w:rPr>
        <w:t>Energy Economics</w:t>
      </w:r>
      <w:r w:rsidRPr="006C6A16">
        <w:rPr>
          <w:rFonts w:ascii="Times New Roman" w:hAnsi="Times New Roman" w:cs="Times New Roman"/>
          <w:noProof/>
          <w:sz w:val="24"/>
          <w:szCs w:val="24"/>
        </w:rPr>
        <w:t xml:space="preserve"> 30 (5): 2265–82. doi:10.1016/j.eneco.2007.06.003.</w:t>
      </w:r>
    </w:p>
    <w:p w:rsidR="006C6A16" w:rsidRPr="006C6A16" w:rsidRDefault="006C6A16" w:rsidP="006C6A16">
      <w:pPr>
        <w:widowControl w:val="0"/>
        <w:autoSpaceDE w:val="0"/>
        <w:autoSpaceDN w:val="0"/>
        <w:adjustRightInd w:val="0"/>
        <w:spacing w:line="360" w:lineRule="auto"/>
        <w:ind w:left="480" w:hanging="480"/>
        <w:rPr>
          <w:rFonts w:ascii="Times New Roman" w:hAnsi="Times New Roman" w:cs="Times New Roman"/>
          <w:noProof/>
          <w:sz w:val="24"/>
          <w:szCs w:val="24"/>
        </w:rPr>
      </w:pPr>
      <w:r w:rsidRPr="006C6A16">
        <w:rPr>
          <w:rFonts w:ascii="Times New Roman" w:hAnsi="Times New Roman" w:cs="Times New Roman"/>
          <w:noProof/>
          <w:sz w:val="24"/>
          <w:szCs w:val="24"/>
        </w:rPr>
        <w:t xml:space="preserve">Solarin, Sakiru Adebola, and Hooi Hooi Lean. 2014. “Nonlinearity Convergence of Tourism Markets in Seychelles.” </w:t>
      </w:r>
      <w:r w:rsidRPr="006C6A16">
        <w:rPr>
          <w:rFonts w:ascii="Times New Roman" w:hAnsi="Times New Roman" w:cs="Times New Roman"/>
          <w:i/>
          <w:iCs/>
          <w:noProof/>
          <w:sz w:val="24"/>
          <w:szCs w:val="24"/>
        </w:rPr>
        <w:t>Current Issues in Tourism</w:t>
      </w:r>
      <w:r w:rsidRPr="006C6A16">
        <w:rPr>
          <w:rFonts w:ascii="Times New Roman" w:hAnsi="Times New Roman" w:cs="Times New Roman"/>
          <w:noProof/>
          <w:sz w:val="24"/>
          <w:szCs w:val="24"/>
        </w:rPr>
        <w:t xml:space="preserve"> 17 (6). Routledge: 475–79. doi:10.1080/13683500.2013.810612.</w:t>
      </w:r>
    </w:p>
    <w:p w:rsidR="006C6A16" w:rsidRPr="006C6A16" w:rsidRDefault="006C6A16" w:rsidP="006C6A16">
      <w:pPr>
        <w:widowControl w:val="0"/>
        <w:autoSpaceDE w:val="0"/>
        <w:autoSpaceDN w:val="0"/>
        <w:adjustRightInd w:val="0"/>
        <w:spacing w:line="360" w:lineRule="auto"/>
        <w:ind w:left="480" w:hanging="480"/>
        <w:rPr>
          <w:rFonts w:ascii="Times New Roman" w:hAnsi="Times New Roman" w:cs="Times New Roman"/>
          <w:noProof/>
          <w:sz w:val="24"/>
          <w:szCs w:val="24"/>
        </w:rPr>
      </w:pPr>
      <w:r w:rsidRPr="006C6A16">
        <w:rPr>
          <w:rFonts w:ascii="Times New Roman" w:hAnsi="Times New Roman" w:cs="Times New Roman"/>
          <w:noProof/>
          <w:sz w:val="24"/>
          <w:szCs w:val="24"/>
        </w:rPr>
        <w:t xml:space="preserve">Solow, Robert M. 1956. “A CONTRIBUTION TO THE THEORY OF ECONOMIC GROWTH.” </w:t>
      </w:r>
      <w:r w:rsidRPr="006C6A16">
        <w:rPr>
          <w:rFonts w:ascii="Times New Roman" w:hAnsi="Times New Roman" w:cs="Times New Roman"/>
          <w:i/>
          <w:iCs/>
          <w:noProof/>
          <w:sz w:val="24"/>
          <w:szCs w:val="24"/>
        </w:rPr>
        <w:t>Source: The Quarterly Journal of Economics</w:t>
      </w:r>
      <w:r w:rsidRPr="006C6A16">
        <w:rPr>
          <w:rFonts w:ascii="Times New Roman" w:hAnsi="Times New Roman" w:cs="Times New Roman"/>
          <w:noProof/>
          <w:sz w:val="24"/>
          <w:szCs w:val="24"/>
        </w:rPr>
        <w:t xml:space="preserve"> 70 (1). The MIT Press: 65–94. http://www.jstor.org/stable/1884513.</w:t>
      </w:r>
    </w:p>
    <w:p w:rsidR="006C6A16" w:rsidRPr="006C6A16" w:rsidRDefault="006C6A16" w:rsidP="006C6A16">
      <w:pPr>
        <w:widowControl w:val="0"/>
        <w:autoSpaceDE w:val="0"/>
        <w:autoSpaceDN w:val="0"/>
        <w:adjustRightInd w:val="0"/>
        <w:spacing w:line="360" w:lineRule="auto"/>
        <w:ind w:left="480" w:hanging="480"/>
        <w:rPr>
          <w:rFonts w:ascii="Times New Roman" w:hAnsi="Times New Roman" w:cs="Times New Roman"/>
          <w:noProof/>
          <w:sz w:val="24"/>
          <w:szCs w:val="24"/>
        </w:rPr>
      </w:pPr>
      <w:r w:rsidRPr="006C6A16">
        <w:rPr>
          <w:rFonts w:ascii="Times New Roman" w:hAnsi="Times New Roman" w:cs="Times New Roman"/>
          <w:noProof/>
          <w:sz w:val="24"/>
          <w:szCs w:val="24"/>
        </w:rPr>
        <w:t>Stern, David I. 2015. “The Environmental Kuznets Curve after 25 Years.” 1514. CCEP Working Paper. Crawford. https://ccep.crawford.anu.edu.au/sites/default/files/publication/ccep_crawford_anu_edu_au/2016-01/ccep1514_0.pdf.</w:t>
      </w:r>
    </w:p>
    <w:p w:rsidR="006C6A16" w:rsidRPr="006C6A16" w:rsidRDefault="006C6A16" w:rsidP="006C6A16">
      <w:pPr>
        <w:widowControl w:val="0"/>
        <w:autoSpaceDE w:val="0"/>
        <w:autoSpaceDN w:val="0"/>
        <w:adjustRightInd w:val="0"/>
        <w:spacing w:line="360" w:lineRule="auto"/>
        <w:ind w:left="480" w:hanging="480"/>
        <w:rPr>
          <w:rFonts w:ascii="Times New Roman" w:hAnsi="Times New Roman" w:cs="Times New Roman"/>
          <w:noProof/>
          <w:sz w:val="24"/>
          <w:szCs w:val="24"/>
        </w:rPr>
      </w:pPr>
      <w:r w:rsidRPr="006C6A16">
        <w:rPr>
          <w:rFonts w:ascii="Times New Roman" w:hAnsi="Times New Roman" w:cs="Times New Roman"/>
          <w:noProof/>
          <w:sz w:val="24"/>
          <w:szCs w:val="24"/>
        </w:rPr>
        <w:t xml:space="preserve">Strazicich, Mark C., and John A. List. 2003. “Are CO2 Emission Levels Converging Among Industrial Countries?” </w:t>
      </w:r>
      <w:r w:rsidRPr="006C6A16">
        <w:rPr>
          <w:rFonts w:ascii="Times New Roman" w:hAnsi="Times New Roman" w:cs="Times New Roman"/>
          <w:i/>
          <w:iCs/>
          <w:noProof/>
          <w:sz w:val="24"/>
          <w:szCs w:val="24"/>
        </w:rPr>
        <w:t>Environmental and Resource Economics</w:t>
      </w:r>
      <w:r w:rsidRPr="006C6A16">
        <w:rPr>
          <w:rFonts w:ascii="Times New Roman" w:hAnsi="Times New Roman" w:cs="Times New Roman"/>
          <w:noProof/>
          <w:sz w:val="24"/>
          <w:szCs w:val="24"/>
        </w:rPr>
        <w:t xml:space="preserve"> 24 (3). Kluwer Academic Publishers: 263–71. doi:10.1023/A:1022910701857.</w:t>
      </w:r>
    </w:p>
    <w:p w:rsidR="006C6A16" w:rsidRPr="006C6A16" w:rsidRDefault="006C6A16" w:rsidP="006C6A16">
      <w:pPr>
        <w:widowControl w:val="0"/>
        <w:autoSpaceDE w:val="0"/>
        <w:autoSpaceDN w:val="0"/>
        <w:adjustRightInd w:val="0"/>
        <w:spacing w:line="360" w:lineRule="auto"/>
        <w:ind w:left="480" w:hanging="480"/>
        <w:rPr>
          <w:rFonts w:ascii="Times New Roman" w:hAnsi="Times New Roman" w:cs="Times New Roman"/>
          <w:noProof/>
          <w:sz w:val="24"/>
          <w:szCs w:val="24"/>
        </w:rPr>
      </w:pPr>
      <w:r w:rsidRPr="006C6A16">
        <w:rPr>
          <w:rFonts w:ascii="Times New Roman" w:hAnsi="Times New Roman" w:cs="Times New Roman"/>
          <w:noProof/>
          <w:sz w:val="24"/>
          <w:szCs w:val="24"/>
        </w:rPr>
        <w:t xml:space="preserve">Su, Chi-Wei, Hsu-Ling Chang, Tsangyao Chang, and Kedong Yin. 2014. “Monetary Convergence </w:t>
      </w:r>
      <w:r w:rsidRPr="006C6A16">
        <w:rPr>
          <w:rFonts w:ascii="Times New Roman" w:hAnsi="Times New Roman" w:cs="Times New Roman"/>
          <w:noProof/>
          <w:sz w:val="24"/>
          <w:szCs w:val="24"/>
        </w:rPr>
        <w:lastRenderedPageBreak/>
        <w:t xml:space="preserve">in East Asian Countries Relative to China.” </w:t>
      </w:r>
      <w:r w:rsidRPr="006C6A16">
        <w:rPr>
          <w:rFonts w:ascii="Times New Roman" w:hAnsi="Times New Roman" w:cs="Times New Roman"/>
          <w:i/>
          <w:iCs/>
          <w:noProof/>
          <w:sz w:val="24"/>
          <w:szCs w:val="24"/>
        </w:rPr>
        <w:t>International Review of Economics &amp; Finance</w:t>
      </w:r>
      <w:r w:rsidRPr="006C6A16">
        <w:rPr>
          <w:rFonts w:ascii="Times New Roman" w:hAnsi="Times New Roman" w:cs="Times New Roman"/>
          <w:noProof/>
          <w:sz w:val="24"/>
          <w:szCs w:val="24"/>
        </w:rPr>
        <w:t xml:space="preserve"> 33: 228–37. doi:10.1016/j.iref.2014.05.008.</w:t>
      </w:r>
    </w:p>
    <w:p w:rsidR="006C6A16" w:rsidRPr="006C6A16" w:rsidRDefault="006C6A16" w:rsidP="006C6A16">
      <w:pPr>
        <w:widowControl w:val="0"/>
        <w:autoSpaceDE w:val="0"/>
        <w:autoSpaceDN w:val="0"/>
        <w:adjustRightInd w:val="0"/>
        <w:spacing w:line="360" w:lineRule="auto"/>
        <w:ind w:left="480" w:hanging="480"/>
        <w:rPr>
          <w:rFonts w:ascii="Times New Roman" w:hAnsi="Times New Roman" w:cs="Times New Roman"/>
          <w:noProof/>
          <w:sz w:val="24"/>
          <w:szCs w:val="24"/>
        </w:rPr>
      </w:pPr>
      <w:r w:rsidRPr="006C6A16">
        <w:rPr>
          <w:rFonts w:ascii="Times New Roman" w:hAnsi="Times New Roman" w:cs="Times New Roman"/>
          <w:noProof/>
          <w:sz w:val="24"/>
          <w:szCs w:val="24"/>
        </w:rPr>
        <w:t xml:space="preserve">Tiwari, Aviral Kumar, Phouphet Kyophilavong, and Claudiu Tiberiu Albulescu. 2016. “Testing the Stationarity of CO2 Emissions Series in Sub-Saharan African Countries by Incorporating Nonlinearity and Smooth Breaks.” </w:t>
      </w:r>
      <w:r w:rsidRPr="006C6A16">
        <w:rPr>
          <w:rFonts w:ascii="Times New Roman" w:hAnsi="Times New Roman" w:cs="Times New Roman"/>
          <w:i/>
          <w:iCs/>
          <w:noProof/>
          <w:sz w:val="24"/>
          <w:szCs w:val="24"/>
        </w:rPr>
        <w:t>Research in International Business and Finance</w:t>
      </w:r>
      <w:r w:rsidRPr="006C6A16">
        <w:rPr>
          <w:rFonts w:ascii="Times New Roman" w:hAnsi="Times New Roman" w:cs="Times New Roman"/>
          <w:noProof/>
          <w:sz w:val="24"/>
          <w:szCs w:val="24"/>
        </w:rPr>
        <w:t xml:space="preserve"> 37: 527–40. doi:10.1016/j.ribaf.2016.01.005.</w:t>
      </w:r>
    </w:p>
    <w:p w:rsidR="006C6A16" w:rsidRPr="006C6A16" w:rsidRDefault="006C6A16" w:rsidP="006C6A16">
      <w:pPr>
        <w:widowControl w:val="0"/>
        <w:autoSpaceDE w:val="0"/>
        <w:autoSpaceDN w:val="0"/>
        <w:adjustRightInd w:val="0"/>
        <w:spacing w:line="360" w:lineRule="auto"/>
        <w:ind w:left="480" w:hanging="480"/>
        <w:rPr>
          <w:rFonts w:ascii="Times New Roman" w:hAnsi="Times New Roman" w:cs="Times New Roman"/>
          <w:noProof/>
          <w:sz w:val="24"/>
          <w:szCs w:val="24"/>
        </w:rPr>
      </w:pPr>
      <w:r w:rsidRPr="006C6A16">
        <w:rPr>
          <w:rFonts w:ascii="Times New Roman" w:hAnsi="Times New Roman" w:cs="Times New Roman"/>
          <w:noProof/>
          <w:sz w:val="24"/>
          <w:szCs w:val="24"/>
        </w:rPr>
        <w:t xml:space="preserve">Ucar, Nuri, and Tolga Omay. 2009. “Testing for Unit Root in Nonlinear Heterogeneous Panels.” </w:t>
      </w:r>
      <w:r w:rsidRPr="006C6A16">
        <w:rPr>
          <w:rFonts w:ascii="Times New Roman" w:hAnsi="Times New Roman" w:cs="Times New Roman"/>
          <w:i/>
          <w:iCs/>
          <w:noProof/>
          <w:sz w:val="24"/>
          <w:szCs w:val="24"/>
        </w:rPr>
        <w:t>Economics Letters</w:t>
      </w:r>
      <w:r w:rsidRPr="006C6A16">
        <w:rPr>
          <w:rFonts w:ascii="Times New Roman" w:hAnsi="Times New Roman" w:cs="Times New Roman"/>
          <w:noProof/>
          <w:sz w:val="24"/>
          <w:szCs w:val="24"/>
        </w:rPr>
        <w:t xml:space="preserve"> 104 (1): 5–8. doi:10.1016/j.econlet.2009.03.018.</w:t>
      </w:r>
    </w:p>
    <w:p w:rsidR="006C6A16" w:rsidRPr="006C6A16" w:rsidRDefault="006C6A16" w:rsidP="006C6A16">
      <w:pPr>
        <w:widowControl w:val="0"/>
        <w:autoSpaceDE w:val="0"/>
        <w:autoSpaceDN w:val="0"/>
        <w:adjustRightInd w:val="0"/>
        <w:spacing w:line="360" w:lineRule="auto"/>
        <w:ind w:left="480" w:hanging="480"/>
        <w:rPr>
          <w:rFonts w:ascii="Times New Roman" w:hAnsi="Times New Roman" w:cs="Times New Roman"/>
          <w:noProof/>
          <w:sz w:val="24"/>
          <w:szCs w:val="24"/>
        </w:rPr>
      </w:pPr>
      <w:r w:rsidRPr="006C6A16">
        <w:rPr>
          <w:rFonts w:ascii="Times New Roman" w:hAnsi="Times New Roman" w:cs="Times New Roman"/>
          <w:noProof/>
          <w:sz w:val="24"/>
          <w:szCs w:val="24"/>
        </w:rPr>
        <w:t xml:space="preserve">Ulucak, Recep, and David Lin. 2017. “Persistence of Policy Shocks to Ecological Footprint of the USA.” </w:t>
      </w:r>
      <w:r w:rsidRPr="006C6A16">
        <w:rPr>
          <w:rFonts w:ascii="Times New Roman" w:hAnsi="Times New Roman" w:cs="Times New Roman"/>
          <w:i/>
          <w:iCs/>
          <w:noProof/>
          <w:sz w:val="24"/>
          <w:szCs w:val="24"/>
        </w:rPr>
        <w:t>Ecological Indicators</w:t>
      </w:r>
      <w:r w:rsidRPr="006C6A16">
        <w:rPr>
          <w:rFonts w:ascii="Times New Roman" w:hAnsi="Times New Roman" w:cs="Times New Roman"/>
          <w:noProof/>
          <w:sz w:val="24"/>
          <w:szCs w:val="24"/>
        </w:rPr>
        <w:t xml:space="preserve"> 80: 337–43. doi:10.1016/j.ecolind.2017.05.020.</w:t>
      </w:r>
    </w:p>
    <w:p w:rsidR="006C6A16" w:rsidRPr="006C6A16" w:rsidRDefault="006C6A16" w:rsidP="006C6A16">
      <w:pPr>
        <w:widowControl w:val="0"/>
        <w:autoSpaceDE w:val="0"/>
        <w:autoSpaceDN w:val="0"/>
        <w:adjustRightInd w:val="0"/>
        <w:spacing w:line="360" w:lineRule="auto"/>
        <w:ind w:left="480" w:hanging="480"/>
        <w:rPr>
          <w:rFonts w:ascii="Times New Roman" w:hAnsi="Times New Roman" w:cs="Times New Roman"/>
          <w:noProof/>
          <w:sz w:val="24"/>
          <w:szCs w:val="24"/>
        </w:rPr>
      </w:pPr>
      <w:r w:rsidRPr="006C6A16">
        <w:rPr>
          <w:rFonts w:ascii="Times New Roman" w:hAnsi="Times New Roman" w:cs="Times New Roman"/>
          <w:noProof/>
          <w:sz w:val="24"/>
          <w:szCs w:val="24"/>
        </w:rPr>
        <w:t xml:space="preserve">Wachernagel, Mathis, and William Rees. 1996. </w:t>
      </w:r>
      <w:r w:rsidRPr="006C6A16">
        <w:rPr>
          <w:rFonts w:ascii="Times New Roman" w:hAnsi="Times New Roman" w:cs="Times New Roman"/>
          <w:i/>
          <w:iCs/>
          <w:noProof/>
          <w:sz w:val="24"/>
          <w:szCs w:val="24"/>
        </w:rPr>
        <w:t>Our Ecological Footprint: Reducing Human Impact on the Earth</w:t>
      </w:r>
      <w:r w:rsidRPr="006C6A16">
        <w:rPr>
          <w:rFonts w:ascii="Times New Roman" w:hAnsi="Times New Roman" w:cs="Times New Roman"/>
          <w:noProof/>
          <w:sz w:val="24"/>
          <w:szCs w:val="24"/>
        </w:rPr>
        <w:t xml:space="preserve">. </w:t>
      </w:r>
      <w:r w:rsidRPr="006C6A16">
        <w:rPr>
          <w:rFonts w:ascii="Times New Roman" w:hAnsi="Times New Roman" w:cs="Times New Roman"/>
          <w:i/>
          <w:iCs/>
          <w:noProof/>
          <w:sz w:val="24"/>
          <w:szCs w:val="24"/>
        </w:rPr>
        <w:t>The New Catalyst Bioregional Series</w:t>
      </w:r>
      <w:r w:rsidRPr="006C6A16">
        <w:rPr>
          <w:rFonts w:ascii="Times New Roman" w:hAnsi="Times New Roman" w:cs="Times New Roman"/>
          <w:noProof/>
          <w:sz w:val="24"/>
          <w:szCs w:val="24"/>
        </w:rPr>
        <w:t>. New Society Publishers.</w:t>
      </w:r>
    </w:p>
    <w:p w:rsidR="006C6A16" w:rsidRPr="006C6A16" w:rsidRDefault="006C6A16" w:rsidP="006C6A16">
      <w:pPr>
        <w:widowControl w:val="0"/>
        <w:autoSpaceDE w:val="0"/>
        <w:autoSpaceDN w:val="0"/>
        <w:adjustRightInd w:val="0"/>
        <w:spacing w:line="360" w:lineRule="auto"/>
        <w:ind w:left="480" w:hanging="480"/>
        <w:rPr>
          <w:rFonts w:ascii="Times New Roman" w:hAnsi="Times New Roman" w:cs="Times New Roman"/>
          <w:noProof/>
          <w:sz w:val="24"/>
          <w:szCs w:val="24"/>
        </w:rPr>
      </w:pPr>
      <w:r w:rsidRPr="006C6A16">
        <w:rPr>
          <w:rFonts w:ascii="Times New Roman" w:hAnsi="Times New Roman" w:cs="Times New Roman"/>
          <w:noProof/>
          <w:sz w:val="24"/>
          <w:szCs w:val="24"/>
        </w:rPr>
        <w:t>Wackernagel, Mathis. 2002. “What We Use and What We Have: Ecological Footprint and Ecological Capacity.” 510-444–3041. Oakland. https://edisciplinas.usp.br/pluginfile.php/49503/mod_resource/content/1/texto17.pdf.</w:t>
      </w:r>
    </w:p>
    <w:p w:rsidR="006C6A16" w:rsidRPr="006C6A16" w:rsidRDefault="006C6A16" w:rsidP="006C6A16">
      <w:pPr>
        <w:widowControl w:val="0"/>
        <w:autoSpaceDE w:val="0"/>
        <w:autoSpaceDN w:val="0"/>
        <w:adjustRightInd w:val="0"/>
        <w:spacing w:line="360" w:lineRule="auto"/>
        <w:ind w:left="480" w:hanging="480"/>
        <w:rPr>
          <w:rFonts w:ascii="Times New Roman" w:hAnsi="Times New Roman" w:cs="Times New Roman"/>
          <w:noProof/>
          <w:sz w:val="24"/>
          <w:szCs w:val="24"/>
        </w:rPr>
      </w:pPr>
      <w:r w:rsidRPr="006C6A16">
        <w:rPr>
          <w:rFonts w:ascii="Times New Roman" w:hAnsi="Times New Roman" w:cs="Times New Roman"/>
          <w:noProof/>
          <w:sz w:val="24"/>
          <w:szCs w:val="24"/>
        </w:rPr>
        <w:t xml:space="preserve">Wang, Yiming, Pei Zhang, Dake Huang, and Changda Cai. 2014. “Convergence Behavior of Carbon Dioxide Emissions in China.” </w:t>
      </w:r>
      <w:r w:rsidRPr="006C6A16">
        <w:rPr>
          <w:rFonts w:ascii="Times New Roman" w:hAnsi="Times New Roman" w:cs="Times New Roman"/>
          <w:i/>
          <w:iCs/>
          <w:noProof/>
          <w:sz w:val="24"/>
          <w:szCs w:val="24"/>
        </w:rPr>
        <w:t>Economic Modelling</w:t>
      </w:r>
      <w:r w:rsidRPr="006C6A16">
        <w:rPr>
          <w:rFonts w:ascii="Times New Roman" w:hAnsi="Times New Roman" w:cs="Times New Roman"/>
          <w:noProof/>
          <w:sz w:val="24"/>
          <w:szCs w:val="24"/>
        </w:rPr>
        <w:t xml:space="preserve"> 43 (December): 75–80. doi:10.1016/j.econmod.2014.07.040.</w:t>
      </w:r>
    </w:p>
    <w:p w:rsidR="006C6A16" w:rsidRPr="006C6A16" w:rsidRDefault="006C6A16" w:rsidP="006C6A16">
      <w:pPr>
        <w:widowControl w:val="0"/>
        <w:autoSpaceDE w:val="0"/>
        <w:autoSpaceDN w:val="0"/>
        <w:adjustRightInd w:val="0"/>
        <w:spacing w:line="360" w:lineRule="auto"/>
        <w:ind w:left="480" w:hanging="480"/>
        <w:rPr>
          <w:rFonts w:ascii="Times New Roman" w:hAnsi="Times New Roman" w:cs="Times New Roman"/>
          <w:noProof/>
          <w:sz w:val="24"/>
          <w:szCs w:val="24"/>
        </w:rPr>
      </w:pPr>
      <w:r w:rsidRPr="006C6A16">
        <w:rPr>
          <w:rFonts w:ascii="Times New Roman" w:hAnsi="Times New Roman" w:cs="Times New Roman"/>
          <w:noProof/>
          <w:sz w:val="24"/>
          <w:szCs w:val="24"/>
        </w:rPr>
        <w:t xml:space="preserve">Westerlund, Joakim, and Syed A. Basher. 2008. “Testing for Convergence in Carbon Dioxide Emissions Using a Century of Panel Data.” </w:t>
      </w:r>
      <w:r w:rsidRPr="006C6A16">
        <w:rPr>
          <w:rFonts w:ascii="Times New Roman" w:hAnsi="Times New Roman" w:cs="Times New Roman"/>
          <w:i/>
          <w:iCs/>
          <w:noProof/>
          <w:sz w:val="24"/>
          <w:szCs w:val="24"/>
        </w:rPr>
        <w:t>Environmental and Resource Economics</w:t>
      </w:r>
      <w:r w:rsidRPr="006C6A16">
        <w:rPr>
          <w:rFonts w:ascii="Times New Roman" w:hAnsi="Times New Roman" w:cs="Times New Roman"/>
          <w:noProof/>
          <w:sz w:val="24"/>
          <w:szCs w:val="24"/>
        </w:rPr>
        <w:t xml:space="preserve"> 40 (1). Springer Netherlands: 109–20. doi:10.1007/s10640-007-9143-2.</w:t>
      </w:r>
    </w:p>
    <w:p w:rsidR="006C6A16" w:rsidRPr="006C6A16" w:rsidRDefault="006C6A16" w:rsidP="006C6A16">
      <w:pPr>
        <w:widowControl w:val="0"/>
        <w:autoSpaceDE w:val="0"/>
        <w:autoSpaceDN w:val="0"/>
        <w:adjustRightInd w:val="0"/>
        <w:spacing w:line="360" w:lineRule="auto"/>
        <w:ind w:left="480" w:hanging="480"/>
        <w:rPr>
          <w:rFonts w:ascii="Times New Roman" w:hAnsi="Times New Roman" w:cs="Times New Roman"/>
          <w:noProof/>
          <w:sz w:val="24"/>
          <w:szCs w:val="24"/>
        </w:rPr>
      </w:pPr>
      <w:r w:rsidRPr="006C6A16">
        <w:rPr>
          <w:rFonts w:ascii="Times New Roman" w:hAnsi="Times New Roman" w:cs="Times New Roman"/>
          <w:noProof/>
          <w:sz w:val="24"/>
          <w:szCs w:val="24"/>
        </w:rPr>
        <w:t xml:space="preserve">Wiedmann, Thomas, and John Barrett. 2010. “A Review of the Ecological Footprint Indicator—Perceptions and Methods.” </w:t>
      </w:r>
      <w:r w:rsidRPr="006C6A16">
        <w:rPr>
          <w:rFonts w:ascii="Times New Roman" w:hAnsi="Times New Roman" w:cs="Times New Roman"/>
          <w:i/>
          <w:iCs/>
          <w:noProof/>
          <w:sz w:val="24"/>
          <w:szCs w:val="24"/>
        </w:rPr>
        <w:t>Sustainability</w:t>
      </w:r>
      <w:r w:rsidRPr="006C6A16">
        <w:rPr>
          <w:rFonts w:ascii="Times New Roman" w:hAnsi="Times New Roman" w:cs="Times New Roman"/>
          <w:noProof/>
          <w:sz w:val="24"/>
          <w:szCs w:val="24"/>
        </w:rPr>
        <w:t xml:space="preserve"> 2 (6). Molecular Diversity Preservation International: 1645–93. doi:10.3390/su2061645.</w:t>
      </w:r>
    </w:p>
    <w:p w:rsidR="006C6A16" w:rsidRPr="006C6A16" w:rsidRDefault="006C6A16" w:rsidP="006C6A16">
      <w:pPr>
        <w:widowControl w:val="0"/>
        <w:autoSpaceDE w:val="0"/>
        <w:autoSpaceDN w:val="0"/>
        <w:adjustRightInd w:val="0"/>
        <w:spacing w:line="360" w:lineRule="auto"/>
        <w:ind w:left="480" w:hanging="480"/>
        <w:rPr>
          <w:rFonts w:ascii="Times New Roman" w:hAnsi="Times New Roman" w:cs="Times New Roman"/>
          <w:noProof/>
          <w:sz w:val="24"/>
        </w:rPr>
      </w:pPr>
      <w:r w:rsidRPr="006C6A16">
        <w:rPr>
          <w:rFonts w:ascii="Times New Roman" w:hAnsi="Times New Roman" w:cs="Times New Roman"/>
          <w:noProof/>
          <w:sz w:val="24"/>
          <w:szCs w:val="24"/>
        </w:rPr>
        <w:t xml:space="preserve">Yavuz, Nilgun Cil, and Veli Yilanci. 2013. “Convergence in Per Capita Carbon Dioxide Emissions Among G7 Countries: A TAR Panel Unit Root Approach.” </w:t>
      </w:r>
      <w:r w:rsidRPr="006C6A16">
        <w:rPr>
          <w:rFonts w:ascii="Times New Roman" w:hAnsi="Times New Roman" w:cs="Times New Roman"/>
          <w:i/>
          <w:iCs/>
          <w:noProof/>
          <w:sz w:val="24"/>
          <w:szCs w:val="24"/>
        </w:rPr>
        <w:t>Environmental and Resource Economics</w:t>
      </w:r>
      <w:r w:rsidRPr="006C6A16">
        <w:rPr>
          <w:rFonts w:ascii="Times New Roman" w:hAnsi="Times New Roman" w:cs="Times New Roman"/>
          <w:noProof/>
          <w:sz w:val="24"/>
          <w:szCs w:val="24"/>
        </w:rPr>
        <w:t xml:space="preserve"> 54 (2). Springer Netherlands: 283–91. doi:10.1007/s10640-012-9595-x.</w:t>
      </w:r>
    </w:p>
    <w:p w:rsidR="003D379B" w:rsidRPr="005517C4" w:rsidRDefault="006578EE" w:rsidP="006C6A16">
      <w:pPr>
        <w:widowControl w:val="0"/>
        <w:autoSpaceDE w:val="0"/>
        <w:autoSpaceDN w:val="0"/>
        <w:adjustRightInd w:val="0"/>
        <w:spacing w:line="360" w:lineRule="auto"/>
        <w:ind w:left="480" w:hanging="480"/>
        <w:rPr>
          <w:rFonts w:ascii="Times New Roman" w:hAnsi="Times New Roman" w:cs="Times New Roman"/>
          <w:b/>
          <w:noProof/>
          <w:sz w:val="24"/>
          <w:szCs w:val="24"/>
          <w:lang w:val="en-US"/>
        </w:rPr>
      </w:pPr>
      <w:r>
        <w:rPr>
          <w:rFonts w:ascii="Times New Roman" w:hAnsi="Times New Roman" w:cs="Times New Roman"/>
          <w:b/>
          <w:noProof/>
          <w:sz w:val="24"/>
          <w:szCs w:val="24"/>
          <w:lang w:val="en-US"/>
        </w:rPr>
        <w:fldChar w:fldCharType="end"/>
      </w:r>
    </w:p>
    <w:p w:rsidR="00964769" w:rsidRPr="005517C4" w:rsidRDefault="00964769" w:rsidP="00964769">
      <w:pPr>
        <w:widowControl w:val="0"/>
        <w:autoSpaceDE w:val="0"/>
        <w:autoSpaceDN w:val="0"/>
        <w:adjustRightInd w:val="0"/>
        <w:spacing w:line="360" w:lineRule="auto"/>
        <w:ind w:left="480" w:hanging="480"/>
        <w:rPr>
          <w:rFonts w:ascii="Times New Roman" w:hAnsi="Times New Roman" w:cs="Times New Roman"/>
          <w:sz w:val="24"/>
          <w:szCs w:val="24"/>
        </w:rPr>
      </w:pPr>
    </w:p>
    <w:sectPr w:rsidR="00964769" w:rsidRPr="005517C4" w:rsidSect="00911314">
      <w:headerReference w:type="default" r:id="rId10"/>
      <w:footerReference w:type="default" r:id="rId11"/>
      <w:pgSz w:w="11906" w:h="16838"/>
      <w:pgMar w:top="1418" w:right="1134"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654B" w:rsidRDefault="0054654B" w:rsidP="00965FAA">
      <w:pPr>
        <w:spacing w:after="0" w:line="240" w:lineRule="auto"/>
      </w:pPr>
      <w:r>
        <w:separator/>
      </w:r>
    </w:p>
  </w:endnote>
  <w:endnote w:type="continuationSeparator" w:id="0">
    <w:p w:rsidR="0054654B" w:rsidRDefault="0054654B" w:rsidP="00965F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mbria Math">
    <w:panose1 w:val="02040503050406030204"/>
    <w:charset w:val="A1"/>
    <w:family w:val="roman"/>
    <w:pitch w:val="variable"/>
    <w:sig w:usb0="E00002FF" w:usb1="420024FF" w:usb2="00000000" w:usb3="00000000" w:csb0="0000019F" w:csb1="00000000"/>
  </w:font>
  <w:font w:name="Times-Roman">
    <w:altName w:val="Times New Roman"/>
    <w:panose1 w:val="00000000000000000000"/>
    <w:charset w:val="00"/>
    <w:family w:val="roman"/>
    <w:notTrueType/>
    <w:pitch w:val="default"/>
    <w:sig w:usb0="00000003" w:usb1="00000000" w:usb2="00000000" w:usb3="00000000" w:csb0="00000001" w:csb1="00000000"/>
  </w:font>
  <w:font w:name="Times-Italic">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8383025"/>
      <w:docPartObj>
        <w:docPartGallery w:val="Page Numbers (Bottom of Page)"/>
        <w:docPartUnique/>
      </w:docPartObj>
    </w:sdtPr>
    <w:sdtContent>
      <w:p w:rsidR="006C6A16" w:rsidRDefault="006578EE">
        <w:pPr>
          <w:pStyle w:val="ab"/>
          <w:jc w:val="center"/>
        </w:pPr>
        <w:r>
          <w:fldChar w:fldCharType="begin"/>
        </w:r>
        <w:r w:rsidR="006C6A16">
          <w:instrText>PAGE   \* MERGEFORMAT</w:instrText>
        </w:r>
        <w:r>
          <w:fldChar w:fldCharType="separate"/>
        </w:r>
        <w:r w:rsidR="006C3865">
          <w:rPr>
            <w:noProof/>
          </w:rPr>
          <w:t>2</w:t>
        </w:r>
        <w:r>
          <w:fldChar w:fldCharType="end"/>
        </w:r>
      </w:p>
    </w:sdtContent>
  </w:sdt>
  <w:p w:rsidR="006C6A16" w:rsidRDefault="006C6A16">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654B" w:rsidRDefault="0054654B" w:rsidP="00965FAA">
      <w:pPr>
        <w:spacing w:after="0" w:line="240" w:lineRule="auto"/>
      </w:pPr>
      <w:r>
        <w:separator/>
      </w:r>
    </w:p>
  </w:footnote>
  <w:footnote w:type="continuationSeparator" w:id="0">
    <w:p w:rsidR="0054654B" w:rsidRDefault="0054654B" w:rsidP="00965FA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6A16" w:rsidRDefault="006C6A16">
    <w:pPr>
      <w:pStyle w:val="aa"/>
      <w:jc w:val="right"/>
    </w:pPr>
  </w:p>
  <w:p w:rsidR="006C6A16" w:rsidRDefault="006C6A16">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E4956"/>
    <w:multiLevelType w:val="hybridMultilevel"/>
    <w:tmpl w:val="21B8112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241B8C"/>
    <w:multiLevelType w:val="hybridMultilevel"/>
    <w:tmpl w:val="BC4C37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1CF119B"/>
    <w:multiLevelType w:val="hybridMultilevel"/>
    <w:tmpl w:val="2DE87B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CA32EF"/>
    <w:rsid w:val="00004086"/>
    <w:rsid w:val="00007E0E"/>
    <w:rsid w:val="00017A56"/>
    <w:rsid w:val="00017A68"/>
    <w:rsid w:val="00021AA7"/>
    <w:rsid w:val="00024957"/>
    <w:rsid w:val="00032047"/>
    <w:rsid w:val="000436ED"/>
    <w:rsid w:val="00043CD2"/>
    <w:rsid w:val="000469E9"/>
    <w:rsid w:val="00046CC6"/>
    <w:rsid w:val="00055E1A"/>
    <w:rsid w:val="000560CC"/>
    <w:rsid w:val="00061F53"/>
    <w:rsid w:val="000727AF"/>
    <w:rsid w:val="000805DA"/>
    <w:rsid w:val="00085CD4"/>
    <w:rsid w:val="00086306"/>
    <w:rsid w:val="0009505E"/>
    <w:rsid w:val="000A5796"/>
    <w:rsid w:val="000B14E3"/>
    <w:rsid w:val="000B48AA"/>
    <w:rsid w:val="000C3CCB"/>
    <w:rsid w:val="000C7B27"/>
    <w:rsid w:val="000D1729"/>
    <w:rsid w:val="000E0540"/>
    <w:rsid w:val="000E3534"/>
    <w:rsid w:val="000E7339"/>
    <w:rsid w:val="000F3299"/>
    <w:rsid w:val="00115083"/>
    <w:rsid w:val="0012336C"/>
    <w:rsid w:val="00130D16"/>
    <w:rsid w:val="001325B3"/>
    <w:rsid w:val="0013430B"/>
    <w:rsid w:val="0013690A"/>
    <w:rsid w:val="0013730D"/>
    <w:rsid w:val="00141991"/>
    <w:rsid w:val="001464B7"/>
    <w:rsid w:val="001510C7"/>
    <w:rsid w:val="00151EB3"/>
    <w:rsid w:val="00154C4B"/>
    <w:rsid w:val="00171E1D"/>
    <w:rsid w:val="00174CB8"/>
    <w:rsid w:val="001868F5"/>
    <w:rsid w:val="00192C86"/>
    <w:rsid w:val="001A2C9C"/>
    <w:rsid w:val="001B0EF1"/>
    <w:rsid w:val="001B1BD8"/>
    <w:rsid w:val="001B6EC3"/>
    <w:rsid w:val="001F3E94"/>
    <w:rsid w:val="001F5C12"/>
    <w:rsid w:val="001F7928"/>
    <w:rsid w:val="002004EB"/>
    <w:rsid w:val="00203F01"/>
    <w:rsid w:val="00210BAC"/>
    <w:rsid w:val="00216FA4"/>
    <w:rsid w:val="00217809"/>
    <w:rsid w:val="0023305E"/>
    <w:rsid w:val="00234B23"/>
    <w:rsid w:val="00234D9D"/>
    <w:rsid w:val="00235821"/>
    <w:rsid w:val="0024208F"/>
    <w:rsid w:val="0024471B"/>
    <w:rsid w:val="002535DE"/>
    <w:rsid w:val="002553F0"/>
    <w:rsid w:val="00274483"/>
    <w:rsid w:val="00274F1F"/>
    <w:rsid w:val="002769B7"/>
    <w:rsid w:val="00282E88"/>
    <w:rsid w:val="00291D2A"/>
    <w:rsid w:val="002A67CF"/>
    <w:rsid w:val="002B23D3"/>
    <w:rsid w:val="002B242F"/>
    <w:rsid w:val="002C2527"/>
    <w:rsid w:val="002C67BC"/>
    <w:rsid w:val="002E0F40"/>
    <w:rsid w:val="002E67D9"/>
    <w:rsid w:val="002E7CB0"/>
    <w:rsid w:val="00314992"/>
    <w:rsid w:val="00314D6D"/>
    <w:rsid w:val="003205A3"/>
    <w:rsid w:val="003214D3"/>
    <w:rsid w:val="003223B7"/>
    <w:rsid w:val="0032405C"/>
    <w:rsid w:val="00336D4D"/>
    <w:rsid w:val="00341968"/>
    <w:rsid w:val="003545A3"/>
    <w:rsid w:val="0036342D"/>
    <w:rsid w:val="00366F41"/>
    <w:rsid w:val="00372B9D"/>
    <w:rsid w:val="00374F13"/>
    <w:rsid w:val="0038148C"/>
    <w:rsid w:val="00385988"/>
    <w:rsid w:val="00390C19"/>
    <w:rsid w:val="003B10BD"/>
    <w:rsid w:val="003B4272"/>
    <w:rsid w:val="003B5145"/>
    <w:rsid w:val="003B66B6"/>
    <w:rsid w:val="003C070A"/>
    <w:rsid w:val="003C0BD2"/>
    <w:rsid w:val="003D2208"/>
    <w:rsid w:val="003D379B"/>
    <w:rsid w:val="003E24A6"/>
    <w:rsid w:val="003E7F5A"/>
    <w:rsid w:val="0040040A"/>
    <w:rsid w:val="00402332"/>
    <w:rsid w:val="00406625"/>
    <w:rsid w:val="00407059"/>
    <w:rsid w:val="00410259"/>
    <w:rsid w:val="004120B2"/>
    <w:rsid w:val="00435E2C"/>
    <w:rsid w:val="00436DB9"/>
    <w:rsid w:val="00440C37"/>
    <w:rsid w:val="00441EA8"/>
    <w:rsid w:val="00443D7A"/>
    <w:rsid w:val="00453F0A"/>
    <w:rsid w:val="00461E9B"/>
    <w:rsid w:val="00467C6C"/>
    <w:rsid w:val="0048261A"/>
    <w:rsid w:val="00487A53"/>
    <w:rsid w:val="00491858"/>
    <w:rsid w:val="00492E1C"/>
    <w:rsid w:val="004A4CB0"/>
    <w:rsid w:val="004A505A"/>
    <w:rsid w:val="004A5A1C"/>
    <w:rsid w:val="004B548F"/>
    <w:rsid w:val="004B5A00"/>
    <w:rsid w:val="004E5BF9"/>
    <w:rsid w:val="004F012B"/>
    <w:rsid w:val="004F3685"/>
    <w:rsid w:val="004F6180"/>
    <w:rsid w:val="0050011B"/>
    <w:rsid w:val="00513B9E"/>
    <w:rsid w:val="00521209"/>
    <w:rsid w:val="00522298"/>
    <w:rsid w:val="0053051A"/>
    <w:rsid w:val="00530D06"/>
    <w:rsid w:val="00545AE8"/>
    <w:rsid w:val="0054654B"/>
    <w:rsid w:val="005517C4"/>
    <w:rsid w:val="0056273F"/>
    <w:rsid w:val="00570C94"/>
    <w:rsid w:val="00570F6E"/>
    <w:rsid w:val="00571334"/>
    <w:rsid w:val="00571D15"/>
    <w:rsid w:val="00573768"/>
    <w:rsid w:val="00573E14"/>
    <w:rsid w:val="0057658B"/>
    <w:rsid w:val="00580C03"/>
    <w:rsid w:val="005814D2"/>
    <w:rsid w:val="005940B9"/>
    <w:rsid w:val="005A146C"/>
    <w:rsid w:val="005A3E8A"/>
    <w:rsid w:val="005C1F35"/>
    <w:rsid w:val="005C1F92"/>
    <w:rsid w:val="005C5D4B"/>
    <w:rsid w:val="005D40BE"/>
    <w:rsid w:val="005D5766"/>
    <w:rsid w:val="005E1137"/>
    <w:rsid w:val="005E6265"/>
    <w:rsid w:val="005F4642"/>
    <w:rsid w:val="0060006D"/>
    <w:rsid w:val="006139FE"/>
    <w:rsid w:val="00621733"/>
    <w:rsid w:val="00627127"/>
    <w:rsid w:val="0062747F"/>
    <w:rsid w:val="00630436"/>
    <w:rsid w:val="00636A01"/>
    <w:rsid w:val="00637E38"/>
    <w:rsid w:val="00651138"/>
    <w:rsid w:val="00654290"/>
    <w:rsid w:val="006578EE"/>
    <w:rsid w:val="00664A73"/>
    <w:rsid w:val="00667252"/>
    <w:rsid w:val="00667BE7"/>
    <w:rsid w:val="00671631"/>
    <w:rsid w:val="0067409B"/>
    <w:rsid w:val="006754AF"/>
    <w:rsid w:val="006907EC"/>
    <w:rsid w:val="00693892"/>
    <w:rsid w:val="00697629"/>
    <w:rsid w:val="006B027A"/>
    <w:rsid w:val="006B3A70"/>
    <w:rsid w:val="006C2607"/>
    <w:rsid w:val="006C3865"/>
    <w:rsid w:val="006C3D03"/>
    <w:rsid w:val="006C6A16"/>
    <w:rsid w:val="006C731A"/>
    <w:rsid w:val="006C7583"/>
    <w:rsid w:val="006C7F61"/>
    <w:rsid w:val="006D5CB5"/>
    <w:rsid w:val="006E4ECA"/>
    <w:rsid w:val="006F0572"/>
    <w:rsid w:val="006F28CA"/>
    <w:rsid w:val="00705722"/>
    <w:rsid w:val="00714952"/>
    <w:rsid w:val="00714B8B"/>
    <w:rsid w:val="00716727"/>
    <w:rsid w:val="00722FAC"/>
    <w:rsid w:val="00726CA9"/>
    <w:rsid w:val="00733F65"/>
    <w:rsid w:val="0073488B"/>
    <w:rsid w:val="00743D88"/>
    <w:rsid w:val="007442E2"/>
    <w:rsid w:val="007519D3"/>
    <w:rsid w:val="00771F7E"/>
    <w:rsid w:val="0077277A"/>
    <w:rsid w:val="00782213"/>
    <w:rsid w:val="007977C2"/>
    <w:rsid w:val="007A1427"/>
    <w:rsid w:val="007B23B1"/>
    <w:rsid w:val="007B481B"/>
    <w:rsid w:val="007C5BE0"/>
    <w:rsid w:val="007D33AF"/>
    <w:rsid w:val="007E6337"/>
    <w:rsid w:val="007F4B00"/>
    <w:rsid w:val="007F54FD"/>
    <w:rsid w:val="00801E98"/>
    <w:rsid w:val="0080315B"/>
    <w:rsid w:val="00811FB5"/>
    <w:rsid w:val="00815644"/>
    <w:rsid w:val="008221B2"/>
    <w:rsid w:val="0082706C"/>
    <w:rsid w:val="00837FB3"/>
    <w:rsid w:val="008411D5"/>
    <w:rsid w:val="008434CE"/>
    <w:rsid w:val="0085189D"/>
    <w:rsid w:val="00856BF2"/>
    <w:rsid w:val="008636FA"/>
    <w:rsid w:val="008645E2"/>
    <w:rsid w:val="00872F16"/>
    <w:rsid w:val="00873252"/>
    <w:rsid w:val="0088036D"/>
    <w:rsid w:val="00880F26"/>
    <w:rsid w:val="00884620"/>
    <w:rsid w:val="008A6267"/>
    <w:rsid w:val="008A6499"/>
    <w:rsid w:val="008A72FB"/>
    <w:rsid w:val="008B0CEF"/>
    <w:rsid w:val="008B4F3F"/>
    <w:rsid w:val="008C0AF8"/>
    <w:rsid w:val="008C0C53"/>
    <w:rsid w:val="008C43D9"/>
    <w:rsid w:val="008D5723"/>
    <w:rsid w:val="008D65D7"/>
    <w:rsid w:val="008E276F"/>
    <w:rsid w:val="00905962"/>
    <w:rsid w:val="00905E89"/>
    <w:rsid w:val="00911314"/>
    <w:rsid w:val="00911336"/>
    <w:rsid w:val="009123AF"/>
    <w:rsid w:val="00912827"/>
    <w:rsid w:val="00916910"/>
    <w:rsid w:val="009551A5"/>
    <w:rsid w:val="00964769"/>
    <w:rsid w:val="00965820"/>
    <w:rsid w:val="00965FAA"/>
    <w:rsid w:val="0096607C"/>
    <w:rsid w:val="00974DAC"/>
    <w:rsid w:val="00975227"/>
    <w:rsid w:val="00975A43"/>
    <w:rsid w:val="00981985"/>
    <w:rsid w:val="00987EAE"/>
    <w:rsid w:val="00990974"/>
    <w:rsid w:val="009946BF"/>
    <w:rsid w:val="00996307"/>
    <w:rsid w:val="00996E64"/>
    <w:rsid w:val="00997122"/>
    <w:rsid w:val="009A1418"/>
    <w:rsid w:val="009A5556"/>
    <w:rsid w:val="009C0125"/>
    <w:rsid w:val="009C10BE"/>
    <w:rsid w:val="009C2691"/>
    <w:rsid w:val="009C4E33"/>
    <w:rsid w:val="009E006E"/>
    <w:rsid w:val="009F4398"/>
    <w:rsid w:val="009F7704"/>
    <w:rsid w:val="009F79BB"/>
    <w:rsid w:val="00A1085D"/>
    <w:rsid w:val="00A10AB2"/>
    <w:rsid w:val="00A11A48"/>
    <w:rsid w:val="00A15E6E"/>
    <w:rsid w:val="00A26B7B"/>
    <w:rsid w:val="00A33114"/>
    <w:rsid w:val="00A4080F"/>
    <w:rsid w:val="00A41884"/>
    <w:rsid w:val="00A442F5"/>
    <w:rsid w:val="00A4791F"/>
    <w:rsid w:val="00A53F5C"/>
    <w:rsid w:val="00A54422"/>
    <w:rsid w:val="00A56206"/>
    <w:rsid w:val="00A569B0"/>
    <w:rsid w:val="00A66D19"/>
    <w:rsid w:val="00A83B80"/>
    <w:rsid w:val="00A86006"/>
    <w:rsid w:val="00A925AC"/>
    <w:rsid w:val="00A9528B"/>
    <w:rsid w:val="00AA5F15"/>
    <w:rsid w:val="00AB04C8"/>
    <w:rsid w:val="00AB6A70"/>
    <w:rsid w:val="00AD39B8"/>
    <w:rsid w:val="00AD5407"/>
    <w:rsid w:val="00AE4356"/>
    <w:rsid w:val="00AF3C6F"/>
    <w:rsid w:val="00AF751C"/>
    <w:rsid w:val="00B06B39"/>
    <w:rsid w:val="00B100C6"/>
    <w:rsid w:val="00B17FA5"/>
    <w:rsid w:val="00B2090E"/>
    <w:rsid w:val="00B30E53"/>
    <w:rsid w:val="00B32EBD"/>
    <w:rsid w:val="00B371F7"/>
    <w:rsid w:val="00B37D9D"/>
    <w:rsid w:val="00B43B70"/>
    <w:rsid w:val="00B61132"/>
    <w:rsid w:val="00B66114"/>
    <w:rsid w:val="00BA2CD7"/>
    <w:rsid w:val="00BB6967"/>
    <w:rsid w:val="00BB7054"/>
    <w:rsid w:val="00BC0F05"/>
    <w:rsid w:val="00BC322E"/>
    <w:rsid w:val="00BE3333"/>
    <w:rsid w:val="00BE4EA9"/>
    <w:rsid w:val="00BE53A1"/>
    <w:rsid w:val="00BE6947"/>
    <w:rsid w:val="00BF1B73"/>
    <w:rsid w:val="00BF4153"/>
    <w:rsid w:val="00C02961"/>
    <w:rsid w:val="00C161A4"/>
    <w:rsid w:val="00C32778"/>
    <w:rsid w:val="00C342C5"/>
    <w:rsid w:val="00C462FC"/>
    <w:rsid w:val="00C4692B"/>
    <w:rsid w:val="00C54EE3"/>
    <w:rsid w:val="00C557E4"/>
    <w:rsid w:val="00C602F1"/>
    <w:rsid w:val="00C6036E"/>
    <w:rsid w:val="00C62734"/>
    <w:rsid w:val="00C7472E"/>
    <w:rsid w:val="00C75985"/>
    <w:rsid w:val="00C76012"/>
    <w:rsid w:val="00CA32EF"/>
    <w:rsid w:val="00CA6BA0"/>
    <w:rsid w:val="00CC5796"/>
    <w:rsid w:val="00CD13DF"/>
    <w:rsid w:val="00CD5A4F"/>
    <w:rsid w:val="00CE4831"/>
    <w:rsid w:val="00CE7761"/>
    <w:rsid w:val="00CF1854"/>
    <w:rsid w:val="00CF2BA7"/>
    <w:rsid w:val="00D17241"/>
    <w:rsid w:val="00D21774"/>
    <w:rsid w:val="00D23B85"/>
    <w:rsid w:val="00D355FD"/>
    <w:rsid w:val="00D35EA0"/>
    <w:rsid w:val="00D4047D"/>
    <w:rsid w:val="00D50B52"/>
    <w:rsid w:val="00D55B3E"/>
    <w:rsid w:val="00D606A0"/>
    <w:rsid w:val="00D61921"/>
    <w:rsid w:val="00D6374B"/>
    <w:rsid w:val="00D67D4D"/>
    <w:rsid w:val="00D7083E"/>
    <w:rsid w:val="00D73521"/>
    <w:rsid w:val="00D74742"/>
    <w:rsid w:val="00D75F88"/>
    <w:rsid w:val="00D77102"/>
    <w:rsid w:val="00D85C6F"/>
    <w:rsid w:val="00DC17D1"/>
    <w:rsid w:val="00DC1D3C"/>
    <w:rsid w:val="00DC6AB1"/>
    <w:rsid w:val="00DF4C54"/>
    <w:rsid w:val="00DF7C33"/>
    <w:rsid w:val="00E05EF5"/>
    <w:rsid w:val="00E153CC"/>
    <w:rsid w:val="00E233CC"/>
    <w:rsid w:val="00E23A65"/>
    <w:rsid w:val="00E27BD3"/>
    <w:rsid w:val="00E3079A"/>
    <w:rsid w:val="00E34C24"/>
    <w:rsid w:val="00E46A37"/>
    <w:rsid w:val="00E57363"/>
    <w:rsid w:val="00E65247"/>
    <w:rsid w:val="00E7321B"/>
    <w:rsid w:val="00E73420"/>
    <w:rsid w:val="00E74C22"/>
    <w:rsid w:val="00E765D6"/>
    <w:rsid w:val="00E85C54"/>
    <w:rsid w:val="00E87898"/>
    <w:rsid w:val="00E96621"/>
    <w:rsid w:val="00EB24BF"/>
    <w:rsid w:val="00EB348E"/>
    <w:rsid w:val="00EB57CE"/>
    <w:rsid w:val="00EB5FB2"/>
    <w:rsid w:val="00EC53D4"/>
    <w:rsid w:val="00EC684A"/>
    <w:rsid w:val="00EC6B62"/>
    <w:rsid w:val="00EE052F"/>
    <w:rsid w:val="00EE1B56"/>
    <w:rsid w:val="00EF0E6A"/>
    <w:rsid w:val="00F02C3A"/>
    <w:rsid w:val="00F101F6"/>
    <w:rsid w:val="00F232F0"/>
    <w:rsid w:val="00F25D48"/>
    <w:rsid w:val="00F3136A"/>
    <w:rsid w:val="00F33D28"/>
    <w:rsid w:val="00F44130"/>
    <w:rsid w:val="00F56FC8"/>
    <w:rsid w:val="00F65F38"/>
    <w:rsid w:val="00F73598"/>
    <w:rsid w:val="00F74BFE"/>
    <w:rsid w:val="00F7675C"/>
    <w:rsid w:val="00F7797C"/>
    <w:rsid w:val="00F77F09"/>
    <w:rsid w:val="00FA3038"/>
    <w:rsid w:val="00FA47A4"/>
    <w:rsid w:val="00FB2586"/>
    <w:rsid w:val="00FB680A"/>
    <w:rsid w:val="00FC5AD1"/>
    <w:rsid w:val="00FC6718"/>
    <w:rsid w:val="00FC7802"/>
    <w:rsid w:val="00FD680F"/>
    <w:rsid w:val="00FE6B72"/>
    <w:rsid w:val="00FE7F39"/>
    <w:rsid w:val="00FF04B6"/>
    <w:rsid w:val="00FF04F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141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6D5CB5"/>
    <w:rPr>
      <w:color w:val="808080"/>
    </w:rPr>
  </w:style>
  <w:style w:type="paragraph" w:styleId="a4">
    <w:name w:val="Balloon Text"/>
    <w:basedOn w:val="a"/>
    <w:link w:val="Char"/>
    <w:uiPriority w:val="99"/>
    <w:semiHidden/>
    <w:unhideWhenUsed/>
    <w:rsid w:val="006D5CB5"/>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6D5CB5"/>
    <w:rPr>
      <w:rFonts w:ascii="Tahoma" w:hAnsi="Tahoma" w:cs="Tahoma"/>
      <w:sz w:val="16"/>
      <w:szCs w:val="16"/>
    </w:rPr>
  </w:style>
  <w:style w:type="character" w:styleId="-">
    <w:name w:val="Hyperlink"/>
    <w:basedOn w:val="a0"/>
    <w:uiPriority w:val="99"/>
    <w:unhideWhenUsed/>
    <w:rsid w:val="00AB04C8"/>
    <w:rPr>
      <w:color w:val="0000FF" w:themeColor="hyperlink"/>
      <w:u w:val="single"/>
    </w:rPr>
  </w:style>
  <w:style w:type="paragraph" w:styleId="a5">
    <w:name w:val="List Paragraph"/>
    <w:basedOn w:val="a"/>
    <w:uiPriority w:val="34"/>
    <w:qFormat/>
    <w:rsid w:val="00A4080F"/>
    <w:pPr>
      <w:ind w:left="720"/>
      <w:contextualSpacing/>
    </w:pPr>
  </w:style>
  <w:style w:type="paragraph" w:styleId="a6">
    <w:name w:val="footnote text"/>
    <w:basedOn w:val="a"/>
    <w:link w:val="Char0"/>
    <w:uiPriority w:val="99"/>
    <w:semiHidden/>
    <w:unhideWhenUsed/>
    <w:rsid w:val="00965FAA"/>
    <w:pPr>
      <w:spacing w:after="0" w:line="240" w:lineRule="auto"/>
    </w:pPr>
    <w:rPr>
      <w:sz w:val="20"/>
      <w:szCs w:val="20"/>
    </w:rPr>
  </w:style>
  <w:style w:type="character" w:customStyle="1" w:styleId="Char0">
    <w:name w:val="Κείμενο υποσημείωσης Char"/>
    <w:basedOn w:val="a0"/>
    <w:link w:val="a6"/>
    <w:uiPriority w:val="99"/>
    <w:semiHidden/>
    <w:rsid w:val="00965FAA"/>
    <w:rPr>
      <w:sz w:val="20"/>
      <w:szCs w:val="20"/>
    </w:rPr>
  </w:style>
  <w:style w:type="character" w:styleId="a7">
    <w:name w:val="footnote reference"/>
    <w:basedOn w:val="a0"/>
    <w:uiPriority w:val="99"/>
    <w:semiHidden/>
    <w:unhideWhenUsed/>
    <w:rsid w:val="00965FAA"/>
    <w:rPr>
      <w:vertAlign w:val="superscript"/>
    </w:rPr>
  </w:style>
  <w:style w:type="table" w:styleId="a8">
    <w:name w:val="Table Grid"/>
    <w:basedOn w:val="a1"/>
    <w:uiPriority w:val="39"/>
    <w:rsid w:val="001B6E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endnote reference"/>
    <w:basedOn w:val="a0"/>
    <w:uiPriority w:val="99"/>
    <w:semiHidden/>
    <w:unhideWhenUsed/>
    <w:rsid w:val="00693892"/>
    <w:rPr>
      <w:vertAlign w:val="superscript"/>
    </w:rPr>
  </w:style>
  <w:style w:type="paragraph" w:styleId="aa">
    <w:name w:val="header"/>
    <w:basedOn w:val="a"/>
    <w:link w:val="Char1"/>
    <w:uiPriority w:val="99"/>
    <w:unhideWhenUsed/>
    <w:rsid w:val="008636FA"/>
    <w:pPr>
      <w:tabs>
        <w:tab w:val="center" w:pos="4153"/>
        <w:tab w:val="right" w:pos="8306"/>
      </w:tabs>
      <w:spacing w:after="0" w:line="240" w:lineRule="auto"/>
    </w:pPr>
  </w:style>
  <w:style w:type="character" w:customStyle="1" w:styleId="Char1">
    <w:name w:val="Κεφαλίδα Char"/>
    <w:basedOn w:val="a0"/>
    <w:link w:val="aa"/>
    <w:uiPriority w:val="99"/>
    <w:rsid w:val="008636FA"/>
  </w:style>
  <w:style w:type="paragraph" w:styleId="ab">
    <w:name w:val="footer"/>
    <w:basedOn w:val="a"/>
    <w:link w:val="Char2"/>
    <w:uiPriority w:val="99"/>
    <w:unhideWhenUsed/>
    <w:rsid w:val="008636FA"/>
    <w:pPr>
      <w:tabs>
        <w:tab w:val="center" w:pos="4153"/>
        <w:tab w:val="right" w:pos="8306"/>
      </w:tabs>
      <w:spacing w:after="0" w:line="240" w:lineRule="auto"/>
    </w:pPr>
  </w:style>
  <w:style w:type="character" w:customStyle="1" w:styleId="Char2">
    <w:name w:val="Υποσέλιδο Char"/>
    <w:basedOn w:val="a0"/>
    <w:link w:val="ab"/>
    <w:uiPriority w:val="99"/>
    <w:rsid w:val="008636F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3767321">
      <w:bodyDiv w:val="1"/>
      <w:marLeft w:val="0"/>
      <w:marRight w:val="0"/>
      <w:marTop w:val="0"/>
      <w:marBottom w:val="0"/>
      <w:divBdr>
        <w:top w:val="none" w:sz="0" w:space="0" w:color="auto"/>
        <w:left w:val="none" w:sz="0" w:space="0" w:color="auto"/>
        <w:bottom w:val="none" w:sz="0" w:space="0" w:color="auto"/>
        <w:right w:val="none" w:sz="0" w:space="0" w:color="auto"/>
      </w:divBdr>
    </w:div>
    <w:div w:id="416563648">
      <w:bodyDiv w:val="1"/>
      <w:marLeft w:val="0"/>
      <w:marRight w:val="0"/>
      <w:marTop w:val="0"/>
      <w:marBottom w:val="0"/>
      <w:divBdr>
        <w:top w:val="none" w:sz="0" w:space="0" w:color="auto"/>
        <w:left w:val="none" w:sz="0" w:space="0" w:color="auto"/>
        <w:bottom w:val="none" w:sz="0" w:space="0" w:color="auto"/>
        <w:right w:val="none" w:sz="0" w:space="0" w:color="auto"/>
      </w:divBdr>
    </w:div>
    <w:div w:id="1089041084">
      <w:bodyDiv w:val="1"/>
      <w:marLeft w:val="0"/>
      <w:marRight w:val="0"/>
      <w:marTop w:val="0"/>
      <w:marBottom w:val="0"/>
      <w:divBdr>
        <w:top w:val="none" w:sz="0" w:space="0" w:color="auto"/>
        <w:left w:val="none" w:sz="0" w:space="0" w:color="auto"/>
        <w:bottom w:val="none" w:sz="0" w:space="0" w:color="auto"/>
        <w:right w:val="none" w:sz="0" w:space="0" w:color="auto"/>
      </w:divBdr>
    </w:div>
    <w:div w:id="1459033022">
      <w:bodyDiv w:val="1"/>
      <w:marLeft w:val="0"/>
      <w:marRight w:val="0"/>
      <w:marTop w:val="0"/>
      <w:marBottom w:val="0"/>
      <w:divBdr>
        <w:top w:val="none" w:sz="0" w:space="0" w:color="auto"/>
        <w:left w:val="none" w:sz="0" w:space="0" w:color="auto"/>
        <w:bottom w:val="none" w:sz="0" w:space="0" w:color="auto"/>
        <w:right w:val="none" w:sz="0" w:space="0" w:color="auto"/>
      </w:divBdr>
    </w:div>
    <w:div w:id="1459108982">
      <w:bodyDiv w:val="1"/>
      <w:marLeft w:val="0"/>
      <w:marRight w:val="0"/>
      <w:marTop w:val="0"/>
      <w:marBottom w:val="0"/>
      <w:divBdr>
        <w:top w:val="none" w:sz="0" w:space="0" w:color="auto"/>
        <w:left w:val="none" w:sz="0" w:space="0" w:color="auto"/>
        <w:bottom w:val="none" w:sz="0" w:space="0" w:color="auto"/>
        <w:right w:val="none" w:sz="0" w:space="0" w:color="auto"/>
      </w:divBdr>
    </w:div>
    <w:div w:id="1461418047">
      <w:bodyDiv w:val="1"/>
      <w:marLeft w:val="0"/>
      <w:marRight w:val="0"/>
      <w:marTop w:val="0"/>
      <w:marBottom w:val="0"/>
      <w:divBdr>
        <w:top w:val="none" w:sz="0" w:space="0" w:color="auto"/>
        <w:left w:val="none" w:sz="0" w:space="0" w:color="auto"/>
        <w:bottom w:val="none" w:sz="0" w:space="0" w:color="auto"/>
        <w:right w:val="none" w:sz="0" w:space="0" w:color="auto"/>
      </w:divBdr>
      <w:divsChild>
        <w:div w:id="1043363649">
          <w:marLeft w:val="0"/>
          <w:marRight w:val="-12600"/>
          <w:marTop w:val="0"/>
          <w:marBottom w:val="0"/>
          <w:divBdr>
            <w:top w:val="none" w:sz="0" w:space="0" w:color="auto"/>
            <w:left w:val="none" w:sz="0" w:space="0" w:color="auto"/>
            <w:bottom w:val="none" w:sz="0" w:space="0" w:color="auto"/>
            <w:right w:val="none" w:sz="0" w:space="0" w:color="auto"/>
          </w:divBdr>
        </w:div>
        <w:div w:id="354966347">
          <w:marLeft w:val="0"/>
          <w:marRight w:val="-12600"/>
          <w:marTop w:val="0"/>
          <w:marBottom w:val="0"/>
          <w:divBdr>
            <w:top w:val="none" w:sz="0" w:space="0" w:color="auto"/>
            <w:left w:val="none" w:sz="0" w:space="0" w:color="auto"/>
            <w:bottom w:val="none" w:sz="0" w:space="0" w:color="auto"/>
            <w:right w:val="none" w:sz="0" w:space="0" w:color="auto"/>
          </w:divBdr>
        </w:div>
        <w:div w:id="1933276804">
          <w:marLeft w:val="0"/>
          <w:marRight w:val="-12600"/>
          <w:marTop w:val="0"/>
          <w:marBottom w:val="0"/>
          <w:divBdr>
            <w:top w:val="none" w:sz="0" w:space="0" w:color="auto"/>
            <w:left w:val="none" w:sz="0" w:space="0" w:color="auto"/>
            <w:bottom w:val="none" w:sz="0" w:space="0" w:color="auto"/>
            <w:right w:val="none" w:sz="0" w:space="0" w:color="auto"/>
          </w:divBdr>
        </w:div>
      </w:divsChild>
    </w:div>
    <w:div w:id="2067758793">
      <w:bodyDiv w:val="1"/>
      <w:marLeft w:val="0"/>
      <w:marRight w:val="0"/>
      <w:marTop w:val="0"/>
      <w:marBottom w:val="0"/>
      <w:divBdr>
        <w:top w:val="none" w:sz="0" w:space="0" w:color="auto"/>
        <w:left w:val="none" w:sz="0" w:space="0" w:color="auto"/>
        <w:bottom w:val="none" w:sz="0" w:space="0" w:color="auto"/>
        <w:right w:val="none" w:sz="0" w:space="0" w:color="auto"/>
      </w:divBdr>
      <w:divsChild>
        <w:div w:id="1802306929">
          <w:marLeft w:val="0"/>
          <w:marRight w:val="-12600"/>
          <w:marTop w:val="0"/>
          <w:marBottom w:val="0"/>
          <w:divBdr>
            <w:top w:val="none" w:sz="0" w:space="0" w:color="auto"/>
            <w:left w:val="none" w:sz="0" w:space="0" w:color="auto"/>
            <w:bottom w:val="none" w:sz="0" w:space="0" w:color="auto"/>
            <w:right w:val="none" w:sz="0" w:space="0" w:color="auto"/>
          </w:divBdr>
        </w:div>
        <w:div w:id="957099572">
          <w:marLeft w:val="0"/>
          <w:marRight w:val="-12600"/>
          <w:marTop w:val="0"/>
          <w:marBottom w:val="0"/>
          <w:divBdr>
            <w:top w:val="none" w:sz="0" w:space="0" w:color="auto"/>
            <w:left w:val="none" w:sz="0" w:space="0" w:color="auto"/>
            <w:bottom w:val="none" w:sz="0" w:space="0" w:color="auto"/>
            <w:right w:val="none" w:sz="0" w:space="0" w:color="auto"/>
          </w:divBdr>
        </w:div>
        <w:div w:id="172456134">
          <w:marLeft w:val="0"/>
          <w:marRight w:val="-1260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2.xml"/><Relationship Id="rId14" Type="http://schemas.microsoft.com/office/2007/relationships/stylesWithEffects" Target="stylesWithEffects.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Recep%20ULUCAK\Desktop\convergence%20uygulama\AB28_footprint.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RECEP%20ULUCAK\Google%20Drive\envir%20convergence\convergence%20uygulama\AB28_footprint.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l-GR"/>
  <c:chart>
    <c:plotArea>
      <c:layout/>
      <c:lineChart>
        <c:grouping val="standard"/>
        <c:ser>
          <c:idx val="0"/>
          <c:order val="0"/>
          <c:tx>
            <c:strRef>
              <c:f>AB28_EF!$B$1</c:f>
              <c:strCache>
                <c:ptCount val="1"/>
                <c:pt idx="0">
                  <c:v>Austria</c:v>
                </c:pt>
              </c:strCache>
            </c:strRef>
          </c:tx>
          <c:marker>
            <c:symbol val="none"/>
          </c:marker>
          <c:cat>
            <c:numRef>
              <c:f>AB28_EF!$A$2:$A$54</c:f>
              <c:numCache>
                <c:formatCode>General</c:formatCode>
                <c:ptCount val="53"/>
                <c:pt idx="0">
                  <c:v>1961</c:v>
                </c:pt>
                <c:pt idx="1">
                  <c:v>1962</c:v>
                </c:pt>
                <c:pt idx="2">
                  <c:v>1963</c:v>
                </c:pt>
                <c:pt idx="3">
                  <c:v>1964</c:v>
                </c:pt>
                <c:pt idx="4">
                  <c:v>1965</c:v>
                </c:pt>
                <c:pt idx="5">
                  <c:v>1966</c:v>
                </c:pt>
                <c:pt idx="6">
                  <c:v>1967</c:v>
                </c:pt>
                <c:pt idx="7">
                  <c:v>1968</c:v>
                </c:pt>
                <c:pt idx="8">
                  <c:v>1969</c:v>
                </c:pt>
                <c:pt idx="9">
                  <c:v>1970</c:v>
                </c:pt>
                <c:pt idx="10">
                  <c:v>1971</c:v>
                </c:pt>
                <c:pt idx="11">
                  <c:v>1972</c:v>
                </c:pt>
                <c:pt idx="12">
                  <c:v>1973</c:v>
                </c:pt>
                <c:pt idx="13">
                  <c:v>1974</c:v>
                </c:pt>
                <c:pt idx="14">
                  <c:v>1975</c:v>
                </c:pt>
                <c:pt idx="15">
                  <c:v>1976</c:v>
                </c:pt>
                <c:pt idx="16">
                  <c:v>1977</c:v>
                </c:pt>
                <c:pt idx="17">
                  <c:v>1978</c:v>
                </c:pt>
                <c:pt idx="18">
                  <c:v>1979</c:v>
                </c:pt>
                <c:pt idx="19">
                  <c:v>1980</c:v>
                </c:pt>
                <c:pt idx="20">
                  <c:v>1981</c:v>
                </c:pt>
                <c:pt idx="21">
                  <c:v>1982</c:v>
                </c:pt>
                <c:pt idx="22">
                  <c:v>1983</c:v>
                </c:pt>
                <c:pt idx="23">
                  <c:v>1984</c:v>
                </c:pt>
                <c:pt idx="24">
                  <c:v>1985</c:v>
                </c:pt>
                <c:pt idx="25">
                  <c:v>1986</c:v>
                </c:pt>
                <c:pt idx="26">
                  <c:v>1987</c:v>
                </c:pt>
                <c:pt idx="27">
                  <c:v>1988</c:v>
                </c:pt>
                <c:pt idx="28">
                  <c:v>1989</c:v>
                </c:pt>
                <c:pt idx="29">
                  <c:v>1990</c:v>
                </c:pt>
                <c:pt idx="30">
                  <c:v>1991</c:v>
                </c:pt>
                <c:pt idx="31">
                  <c:v>1992</c:v>
                </c:pt>
                <c:pt idx="32">
                  <c:v>1993</c:v>
                </c:pt>
                <c:pt idx="33">
                  <c:v>1994</c:v>
                </c:pt>
                <c:pt idx="34">
                  <c:v>1995</c:v>
                </c:pt>
                <c:pt idx="35">
                  <c:v>1996</c:v>
                </c:pt>
                <c:pt idx="36">
                  <c:v>1997</c:v>
                </c:pt>
                <c:pt idx="37">
                  <c:v>1998</c:v>
                </c:pt>
                <c:pt idx="38">
                  <c:v>1999</c:v>
                </c:pt>
                <c:pt idx="39">
                  <c:v>2000</c:v>
                </c:pt>
                <c:pt idx="40">
                  <c:v>2001</c:v>
                </c:pt>
                <c:pt idx="41">
                  <c:v>2002</c:v>
                </c:pt>
                <c:pt idx="42">
                  <c:v>2003</c:v>
                </c:pt>
                <c:pt idx="43">
                  <c:v>2004</c:v>
                </c:pt>
                <c:pt idx="44">
                  <c:v>2005</c:v>
                </c:pt>
                <c:pt idx="45">
                  <c:v>2006</c:v>
                </c:pt>
                <c:pt idx="46">
                  <c:v>2007</c:v>
                </c:pt>
                <c:pt idx="47">
                  <c:v>2008</c:v>
                </c:pt>
                <c:pt idx="48">
                  <c:v>2009</c:v>
                </c:pt>
                <c:pt idx="49">
                  <c:v>2010</c:v>
                </c:pt>
                <c:pt idx="50">
                  <c:v>2011</c:v>
                </c:pt>
                <c:pt idx="51">
                  <c:v>2012</c:v>
                </c:pt>
                <c:pt idx="52">
                  <c:v>2013</c:v>
                </c:pt>
              </c:numCache>
            </c:numRef>
          </c:cat>
          <c:val>
            <c:numRef>
              <c:f>AB28_EF!$B$2:$B$54</c:f>
              <c:numCache>
                <c:formatCode>General</c:formatCode>
                <c:ptCount val="53"/>
                <c:pt idx="0">
                  <c:v>3.7746526580630797</c:v>
                </c:pt>
                <c:pt idx="1">
                  <c:v>3.8828908593020199</c:v>
                </c:pt>
                <c:pt idx="2">
                  <c:v>4.0440385630994644</c:v>
                </c:pt>
                <c:pt idx="3">
                  <c:v>4.1471593580691275</c:v>
                </c:pt>
                <c:pt idx="4">
                  <c:v>4.1721294674006497</c:v>
                </c:pt>
                <c:pt idx="5">
                  <c:v>4.3419111285082295</c:v>
                </c:pt>
                <c:pt idx="6">
                  <c:v>4.2803863616982696</c:v>
                </c:pt>
                <c:pt idx="7">
                  <c:v>4.4241868241703539</c:v>
                </c:pt>
                <c:pt idx="8">
                  <c:v>4.5957485739505604</c:v>
                </c:pt>
                <c:pt idx="9">
                  <c:v>4.9826860308197496</c:v>
                </c:pt>
                <c:pt idx="10">
                  <c:v>5.2049044312618085</c:v>
                </c:pt>
                <c:pt idx="11">
                  <c:v>5.3291943510222675</c:v>
                </c:pt>
                <c:pt idx="12">
                  <c:v>5.7371775142525596</c:v>
                </c:pt>
                <c:pt idx="13">
                  <c:v>5.4600473703594297</c:v>
                </c:pt>
                <c:pt idx="14">
                  <c:v>5.0275925597098921</c:v>
                </c:pt>
                <c:pt idx="15">
                  <c:v>5.4848494100782714</c:v>
                </c:pt>
                <c:pt idx="16">
                  <c:v>5.4853276146821406</c:v>
                </c:pt>
                <c:pt idx="17">
                  <c:v>5.510847967357094</c:v>
                </c:pt>
                <c:pt idx="18">
                  <c:v>5.680126217419815</c:v>
                </c:pt>
                <c:pt idx="19">
                  <c:v>5.9475831834786934</c:v>
                </c:pt>
                <c:pt idx="20">
                  <c:v>5.4216631556085995</c:v>
                </c:pt>
                <c:pt idx="21">
                  <c:v>5.4916139961751664</c:v>
                </c:pt>
                <c:pt idx="22">
                  <c:v>5.2122693565731275</c:v>
                </c:pt>
                <c:pt idx="23">
                  <c:v>5.4036264021190377</c:v>
                </c:pt>
                <c:pt idx="24">
                  <c:v>5.1667190296952139</c:v>
                </c:pt>
                <c:pt idx="25">
                  <c:v>4.9520344108318897</c:v>
                </c:pt>
                <c:pt idx="26">
                  <c:v>4.9978234455855324</c:v>
                </c:pt>
                <c:pt idx="27">
                  <c:v>5.0547468931558495</c:v>
                </c:pt>
                <c:pt idx="28">
                  <c:v>5.1985318925680151</c:v>
                </c:pt>
                <c:pt idx="29">
                  <c:v>5.3891072594134055</c:v>
                </c:pt>
                <c:pt idx="30">
                  <c:v>5.7113886230209303</c:v>
                </c:pt>
                <c:pt idx="31">
                  <c:v>5.0375969643884755</c:v>
                </c:pt>
                <c:pt idx="32">
                  <c:v>5.0238968038738196</c:v>
                </c:pt>
                <c:pt idx="33">
                  <c:v>5.2537224363830353</c:v>
                </c:pt>
                <c:pt idx="34">
                  <c:v>5.3899204724679945</c:v>
                </c:pt>
                <c:pt idx="35">
                  <c:v>5.9819787864445795</c:v>
                </c:pt>
                <c:pt idx="36">
                  <c:v>5.7195702353260396</c:v>
                </c:pt>
                <c:pt idx="37">
                  <c:v>5.5910980740162302</c:v>
                </c:pt>
                <c:pt idx="38">
                  <c:v>5.6155478735261344</c:v>
                </c:pt>
                <c:pt idx="39">
                  <c:v>5.6789967682640201</c:v>
                </c:pt>
                <c:pt idx="40">
                  <c:v>5.8346748066460421</c:v>
                </c:pt>
                <c:pt idx="41">
                  <c:v>5.6306463901709813</c:v>
                </c:pt>
                <c:pt idx="42">
                  <c:v>5.9815874165163496</c:v>
                </c:pt>
                <c:pt idx="43">
                  <c:v>6.1725061046197398</c:v>
                </c:pt>
                <c:pt idx="44">
                  <c:v>6.2743411244419365</c:v>
                </c:pt>
                <c:pt idx="45">
                  <c:v>6.5429250178694343</c:v>
                </c:pt>
                <c:pt idx="46">
                  <c:v>6.4382522409197902</c:v>
                </c:pt>
                <c:pt idx="47">
                  <c:v>6.5558761124242704</c:v>
                </c:pt>
                <c:pt idx="48">
                  <c:v>5.9774387689706101</c:v>
                </c:pt>
                <c:pt idx="49">
                  <c:v>6.3677908755527044</c:v>
                </c:pt>
                <c:pt idx="50">
                  <c:v>6.5821118927563855</c:v>
                </c:pt>
                <c:pt idx="51">
                  <c:v>6.0631462920449897</c:v>
                </c:pt>
                <c:pt idx="52">
                  <c:v>6.1436598501448101</c:v>
                </c:pt>
              </c:numCache>
            </c:numRef>
          </c:val>
          <c:extLst xmlns:c16r2="http://schemas.microsoft.com/office/drawing/2015/06/chart">
            <c:ext xmlns:c16="http://schemas.microsoft.com/office/drawing/2014/chart" uri="{C3380CC4-5D6E-409C-BE32-E72D297353CC}">
              <c16:uniqueId val="{00000000-30E9-4046-8AC8-33051F54B066}"/>
            </c:ext>
          </c:extLst>
        </c:ser>
        <c:ser>
          <c:idx val="1"/>
          <c:order val="1"/>
          <c:tx>
            <c:strRef>
              <c:f>AB28_EF!$C$1</c:f>
              <c:strCache>
                <c:ptCount val="1"/>
                <c:pt idx="0">
                  <c:v>Belgium</c:v>
                </c:pt>
              </c:strCache>
            </c:strRef>
          </c:tx>
          <c:marker>
            <c:symbol val="none"/>
          </c:marker>
          <c:cat>
            <c:numRef>
              <c:f>AB28_EF!$A$2:$A$54</c:f>
              <c:numCache>
                <c:formatCode>General</c:formatCode>
                <c:ptCount val="53"/>
                <c:pt idx="0">
                  <c:v>1961</c:v>
                </c:pt>
                <c:pt idx="1">
                  <c:v>1962</c:v>
                </c:pt>
                <c:pt idx="2">
                  <c:v>1963</c:v>
                </c:pt>
                <c:pt idx="3">
                  <c:v>1964</c:v>
                </c:pt>
                <c:pt idx="4">
                  <c:v>1965</c:v>
                </c:pt>
                <c:pt idx="5">
                  <c:v>1966</c:v>
                </c:pt>
                <c:pt idx="6">
                  <c:v>1967</c:v>
                </c:pt>
                <c:pt idx="7">
                  <c:v>1968</c:v>
                </c:pt>
                <c:pt idx="8">
                  <c:v>1969</c:v>
                </c:pt>
                <c:pt idx="9">
                  <c:v>1970</c:v>
                </c:pt>
                <c:pt idx="10">
                  <c:v>1971</c:v>
                </c:pt>
                <c:pt idx="11">
                  <c:v>1972</c:v>
                </c:pt>
                <c:pt idx="12">
                  <c:v>1973</c:v>
                </c:pt>
                <c:pt idx="13">
                  <c:v>1974</c:v>
                </c:pt>
                <c:pt idx="14">
                  <c:v>1975</c:v>
                </c:pt>
                <c:pt idx="15">
                  <c:v>1976</c:v>
                </c:pt>
                <c:pt idx="16">
                  <c:v>1977</c:v>
                </c:pt>
                <c:pt idx="17">
                  <c:v>1978</c:v>
                </c:pt>
                <c:pt idx="18">
                  <c:v>1979</c:v>
                </c:pt>
                <c:pt idx="19">
                  <c:v>1980</c:v>
                </c:pt>
                <c:pt idx="20">
                  <c:v>1981</c:v>
                </c:pt>
                <c:pt idx="21">
                  <c:v>1982</c:v>
                </c:pt>
                <c:pt idx="22">
                  <c:v>1983</c:v>
                </c:pt>
                <c:pt idx="23">
                  <c:v>1984</c:v>
                </c:pt>
                <c:pt idx="24">
                  <c:v>1985</c:v>
                </c:pt>
                <c:pt idx="25">
                  <c:v>1986</c:v>
                </c:pt>
                <c:pt idx="26">
                  <c:v>1987</c:v>
                </c:pt>
                <c:pt idx="27">
                  <c:v>1988</c:v>
                </c:pt>
                <c:pt idx="28">
                  <c:v>1989</c:v>
                </c:pt>
                <c:pt idx="29">
                  <c:v>1990</c:v>
                </c:pt>
                <c:pt idx="30">
                  <c:v>1991</c:v>
                </c:pt>
                <c:pt idx="31">
                  <c:v>1992</c:v>
                </c:pt>
                <c:pt idx="32">
                  <c:v>1993</c:v>
                </c:pt>
                <c:pt idx="33">
                  <c:v>1994</c:v>
                </c:pt>
                <c:pt idx="34">
                  <c:v>1995</c:v>
                </c:pt>
                <c:pt idx="35">
                  <c:v>1996</c:v>
                </c:pt>
                <c:pt idx="36">
                  <c:v>1997</c:v>
                </c:pt>
                <c:pt idx="37">
                  <c:v>1998</c:v>
                </c:pt>
                <c:pt idx="38">
                  <c:v>1999</c:v>
                </c:pt>
                <c:pt idx="39">
                  <c:v>2000</c:v>
                </c:pt>
                <c:pt idx="40">
                  <c:v>2001</c:v>
                </c:pt>
                <c:pt idx="41">
                  <c:v>2002</c:v>
                </c:pt>
                <c:pt idx="42">
                  <c:v>2003</c:v>
                </c:pt>
                <c:pt idx="43">
                  <c:v>2004</c:v>
                </c:pt>
                <c:pt idx="44">
                  <c:v>2005</c:v>
                </c:pt>
                <c:pt idx="45">
                  <c:v>2006</c:v>
                </c:pt>
                <c:pt idx="46">
                  <c:v>2007</c:v>
                </c:pt>
                <c:pt idx="47">
                  <c:v>2008</c:v>
                </c:pt>
                <c:pt idx="48">
                  <c:v>2009</c:v>
                </c:pt>
                <c:pt idx="49">
                  <c:v>2010</c:v>
                </c:pt>
                <c:pt idx="50">
                  <c:v>2011</c:v>
                </c:pt>
                <c:pt idx="51">
                  <c:v>2012</c:v>
                </c:pt>
                <c:pt idx="52">
                  <c:v>2013</c:v>
                </c:pt>
              </c:numCache>
            </c:numRef>
          </c:cat>
          <c:val>
            <c:numRef>
              <c:f>AB28_EF!$C$2:$C$54</c:f>
              <c:numCache>
                <c:formatCode>General</c:formatCode>
                <c:ptCount val="53"/>
                <c:pt idx="0">
                  <c:v>5.6071568735929089</c:v>
                </c:pt>
                <c:pt idx="1">
                  <c:v>5.9000738002280899</c:v>
                </c:pt>
                <c:pt idx="2">
                  <c:v>6.0704826249622998</c:v>
                </c:pt>
                <c:pt idx="3">
                  <c:v>6.4566041672808003</c:v>
                </c:pt>
                <c:pt idx="4">
                  <c:v>6.2694310919645364</c:v>
                </c:pt>
                <c:pt idx="5">
                  <c:v>6.2573229216637802</c:v>
                </c:pt>
                <c:pt idx="6">
                  <c:v>6.3611515660651978</c:v>
                </c:pt>
                <c:pt idx="7">
                  <c:v>6.6961728952218103</c:v>
                </c:pt>
                <c:pt idx="8">
                  <c:v>6.8895905802522899</c:v>
                </c:pt>
                <c:pt idx="9">
                  <c:v>7.2585486340753604</c:v>
                </c:pt>
                <c:pt idx="10">
                  <c:v>7.155882255391095</c:v>
                </c:pt>
                <c:pt idx="11">
                  <c:v>7.4637082496463201</c:v>
                </c:pt>
                <c:pt idx="12">
                  <c:v>7.6544980823709485</c:v>
                </c:pt>
                <c:pt idx="13">
                  <c:v>7.4973469868530653</c:v>
                </c:pt>
                <c:pt idx="14">
                  <c:v>6.6520115685383301</c:v>
                </c:pt>
                <c:pt idx="15">
                  <c:v>7.4036368997599098</c:v>
                </c:pt>
                <c:pt idx="16">
                  <c:v>7.2244912867485676</c:v>
                </c:pt>
                <c:pt idx="17">
                  <c:v>7.5033883289704955</c:v>
                </c:pt>
                <c:pt idx="18">
                  <c:v>7.7169139234939301</c:v>
                </c:pt>
                <c:pt idx="19">
                  <c:v>7.1808067010126253</c:v>
                </c:pt>
                <c:pt idx="20">
                  <c:v>6.5369842888322696</c:v>
                </c:pt>
                <c:pt idx="21">
                  <c:v>6.6494731013083266</c:v>
                </c:pt>
                <c:pt idx="22">
                  <c:v>5.8933172280097841</c:v>
                </c:pt>
                <c:pt idx="23">
                  <c:v>6.2054215657482885</c:v>
                </c:pt>
                <c:pt idx="24">
                  <c:v>6.4524344649594765</c:v>
                </c:pt>
                <c:pt idx="25">
                  <c:v>6.5454971372013002</c:v>
                </c:pt>
                <c:pt idx="26">
                  <c:v>6.7148910223807601</c:v>
                </c:pt>
                <c:pt idx="27">
                  <c:v>6.8470749369776831</c:v>
                </c:pt>
                <c:pt idx="28">
                  <c:v>6.7195018583070842</c:v>
                </c:pt>
                <c:pt idx="29">
                  <c:v>6.8353253146710902</c:v>
                </c:pt>
                <c:pt idx="30">
                  <c:v>6.9336442568898002</c:v>
                </c:pt>
                <c:pt idx="31">
                  <c:v>6.8761608983184601</c:v>
                </c:pt>
                <c:pt idx="32">
                  <c:v>6.5638155023608551</c:v>
                </c:pt>
                <c:pt idx="33">
                  <c:v>6.8047424639667797</c:v>
                </c:pt>
                <c:pt idx="34">
                  <c:v>7.0140704069678375</c:v>
                </c:pt>
                <c:pt idx="35">
                  <c:v>7.34575668523249</c:v>
                </c:pt>
                <c:pt idx="36">
                  <c:v>7.3390851087533404</c:v>
                </c:pt>
                <c:pt idx="37">
                  <c:v>7.6550221131437004</c:v>
                </c:pt>
                <c:pt idx="38">
                  <c:v>7.3469121104862145</c:v>
                </c:pt>
                <c:pt idx="39">
                  <c:v>7.5737644001336566</c:v>
                </c:pt>
                <c:pt idx="40">
                  <c:v>7.6504446533030297</c:v>
                </c:pt>
                <c:pt idx="41">
                  <c:v>7.4493466814905807</c:v>
                </c:pt>
                <c:pt idx="42">
                  <c:v>7.6850274571115875</c:v>
                </c:pt>
                <c:pt idx="43">
                  <c:v>7.5596500328882303</c:v>
                </c:pt>
                <c:pt idx="44">
                  <c:v>7.7452957434985734</c:v>
                </c:pt>
                <c:pt idx="45">
                  <c:v>7.7213083339741164</c:v>
                </c:pt>
                <c:pt idx="46">
                  <c:v>7.7348881591154344</c:v>
                </c:pt>
                <c:pt idx="47">
                  <c:v>7.6444412843696998</c:v>
                </c:pt>
                <c:pt idx="48">
                  <c:v>7.1997722551748113</c:v>
                </c:pt>
                <c:pt idx="49">
                  <c:v>7.2701522855722853</c:v>
                </c:pt>
                <c:pt idx="50">
                  <c:v>7.1612734500190003</c:v>
                </c:pt>
                <c:pt idx="51">
                  <c:v>7.4394148492431</c:v>
                </c:pt>
                <c:pt idx="52">
                  <c:v>7.2831476404196902</c:v>
                </c:pt>
              </c:numCache>
            </c:numRef>
          </c:val>
          <c:extLst xmlns:c16r2="http://schemas.microsoft.com/office/drawing/2015/06/chart">
            <c:ext xmlns:c16="http://schemas.microsoft.com/office/drawing/2014/chart" uri="{C3380CC4-5D6E-409C-BE32-E72D297353CC}">
              <c16:uniqueId val="{00000001-30E9-4046-8AC8-33051F54B066}"/>
            </c:ext>
          </c:extLst>
        </c:ser>
        <c:ser>
          <c:idx val="2"/>
          <c:order val="2"/>
          <c:tx>
            <c:strRef>
              <c:f>AB28_EF!$D$1</c:f>
              <c:strCache>
                <c:ptCount val="1"/>
                <c:pt idx="0">
                  <c:v>UK</c:v>
                </c:pt>
              </c:strCache>
            </c:strRef>
          </c:tx>
          <c:marker>
            <c:symbol val="none"/>
          </c:marker>
          <c:cat>
            <c:numRef>
              <c:f>AB28_EF!$A$2:$A$54</c:f>
              <c:numCache>
                <c:formatCode>General</c:formatCode>
                <c:ptCount val="53"/>
                <c:pt idx="0">
                  <c:v>1961</c:v>
                </c:pt>
                <c:pt idx="1">
                  <c:v>1962</c:v>
                </c:pt>
                <c:pt idx="2">
                  <c:v>1963</c:v>
                </c:pt>
                <c:pt idx="3">
                  <c:v>1964</c:v>
                </c:pt>
                <c:pt idx="4">
                  <c:v>1965</c:v>
                </c:pt>
                <c:pt idx="5">
                  <c:v>1966</c:v>
                </c:pt>
                <c:pt idx="6">
                  <c:v>1967</c:v>
                </c:pt>
                <c:pt idx="7">
                  <c:v>1968</c:v>
                </c:pt>
                <c:pt idx="8">
                  <c:v>1969</c:v>
                </c:pt>
                <c:pt idx="9">
                  <c:v>1970</c:v>
                </c:pt>
                <c:pt idx="10">
                  <c:v>1971</c:v>
                </c:pt>
                <c:pt idx="11">
                  <c:v>1972</c:v>
                </c:pt>
                <c:pt idx="12">
                  <c:v>1973</c:v>
                </c:pt>
                <c:pt idx="13">
                  <c:v>1974</c:v>
                </c:pt>
                <c:pt idx="14">
                  <c:v>1975</c:v>
                </c:pt>
                <c:pt idx="15">
                  <c:v>1976</c:v>
                </c:pt>
                <c:pt idx="16">
                  <c:v>1977</c:v>
                </c:pt>
                <c:pt idx="17">
                  <c:v>1978</c:v>
                </c:pt>
                <c:pt idx="18">
                  <c:v>1979</c:v>
                </c:pt>
                <c:pt idx="19">
                  <c:v>1980</c:v>
                </c:pt>
                <c:pt idx="20">
                  <c:v>1981</c:v>
                </c:pt>
                <c:pt idx="21">
                  <c:v>1982</c:v>
                </c:pt>
                <c:pt idx="22">
                  <c:v>1983</c:v>
                </c:pt>
                <c:pt idx="23">
                  <c:v>1984</c:v>
                </c:pt>
                <c:pt idx="24">
                  <c:v>1985</c:v>
                </c:pt>
                <c:pt idx="25">
                  <c:v>1986</c:v>
                </c:pt>
                <c:pt idx="26">
                  <c:v>1987</c:v>
                </c:pt>
                <c:pt idx="27">
                  <c:v>1988</c:v>
                </c:pt>
                <c:pt idx="28">
                  <c:v>1989</c:v>
                </c:pt>
                <c:pt idx="29">
                  <c:v>1990</c:v>
                </c:pt>
                <c:pt idx="30">
                  <c:v>1991</c:v>
                </c:pt>
                <c:pt idx="31">
                  <c:v>1992</c:v>
                </c:pt>
                <c:pt idx="32">
                  <c:v>1993</c:v>
                </c:pt>
                <c:pt idx="33">
                  <c:v>1994</c:v>
                </c:pt>
                <c:pt idx="34">
                  <c:v>1995</c:v>
                </c:pt>
                <c:pt idx="35">
                  <c:v>1996</c:v>
                </c:pt>
                <c:pt idx="36">
                  <c:v>1997</c:v>
                </c:pt>
                <c:pt idx="37">
                  <c:v>1998</c:v>
                </c:pt>
                <c:pt idx="38">
                  <c:v>1999</c:v>
                </c:pt>
                <c:pt idx="39">
                  <c:v>2000</c:v>
                </c:pt>
                <c:pt idx="40">
                  <c:v>2001</c:v>
                </c:pt>
                <c:pt idx="41">
                  <c:v>2002</c:v>
                </c:pt>
                <c:pt idx="42">
                  <c:v>2003</c:v>
                </c:pt>
                <c:pt idx="43">
                  <c:v>2004</c:v>
                </c:pt>
                <c:pt idx="44">
                  <c:v>2005</c:v>
                </c:pt>
                <c:pt idx="45">
                  <c:v>2006</c:v>
                </c:pt>
                <c:pt idx="46">
                  <c:v>2007</c:v>
                </c:pt>
                <c:pt idx="47">
                  <c:v>2008</c:v>
                </c:pt>
                <c:pt idx="48">
                  <c:v>2009</c:v>
                </c:pt>
                <c:pt idx="49">
                  <c:v>2010</c:v>
                </c:pt>
                <c:pt idx="50">
                  <c:v>2011</c:v>
                </c:pt>
                <c:pt idx="51">
                  <c:v>2012</c:v>
                </c:pt>
                <c:pt idx="52">
                  <c:v>2013</c:v>
                </c:pt>
              </c:numCache>
            </c:numRef>
          </c:cat>
          <c:val>
            <c:numRef>
              <c:f>AB28_EF!$D$2:$D$54</c:f>
              <c:numCache>
                <c:formatCode>General</c:formatCode>
                <c:ptCount val="53"/>
                <c:pt idx="0">
                  <c:v>6.0815335619845801</c:v>
                </c:pt>
                <c:pt idx="1">
                  <c:v>6.2473567204005498</c:v>
                </c:pt>
                <c:pt idx="2">
                  <c:v>6.4156784309872323</c:v>
                </c:pt>
                <c:pt idx="3">
                  <c:v>6.5570455859870895</c:v>
                </c:pt>
                <c:pt idx="4">
                  <c:v>6.62006076781591</c:v>
                </c:pt>
                <c:pt idx="5">
                  <c:v>6.4710628355212076</c:v>
                </c:pt>
                <c:pt idx="6">
                  <c:v>6.5221273310477521</c:v>
                </c:pt>
                <c:pt idx="7">
                  <c:v>6.5991930885039833</c:v>
                </c:pt>
                <c:pt idx="8">
                  <c:v>6.8019378633852741</c:v>
                </c:pt>
                <c:pt idx="9">
                  <c:v>6.9196869858618806</c:v>
                </c:pt>
                <c:pt idx="10">
                  <c:v>6.7735727153056278</c:v>
                </c:pt>
                <c:pt idx="11">
                  <c:v>6.7576087070659296</c:v>
                </c:pt>
                <c:pt idx="12">
                  <c:v>6.9327843745963298</c:v>
                </c:pt>
                <c:pt idx="13">
                  <c:v>6.4910743205434303</c:v>
                </c:pt>
                <c:pt idx="14">
                  <c:v>5.9601024412760601</c:v>
                </c:pt>
                <c:pt idx="15">
                  <c:v>6.1694648893032698</c:v>
                </c:pt>
                <c:pt idx="16">
                  <c:v>6.1151821486071345</c:v>
                </c:pt>
                <c:pt idx="17">
                  <c:v>6.0367524127017678</c:v>
                </c:pt>
                <c:pt idx="18">
                  <c:v>6.3139879533158343</c:v>
                </c:pt>
                <c:pt idx="19">
                  <c:v>5.6659798212302102</c:v>
                </c:pt>
                <c:pt idx="20">
                  <c:v>5.4547007430320802</c:v>
                </c:pt>
                <c:pt idx="21">
                  <c:v>5.4138413261692095</c:v>
                </c:pt>
                <c:pt idx="22">
                  <c:v>5.2574185606932744</c:v>
                </c:pt>
                <c:pt idx="23">
                  <c:v>5.27762055241692</c:v>
                </c:pt>
                <c:pt idx="24">
                  <c:v>5.5286285775789743</c:v>
                </c:pt>
                <c:pt idx="25">
                  <c:v>5.7374211929085677</c:v>
                </c:pt>
                <c:pt idx="26">
                  <c:v>5.8536356005522086</c:v>
                </c:pt>
                <c:pt idx="27">
                  <c:v>6.0499869896229796</c:v>
                </c:pt>
                <c:pt idx="28">
                  <c:v>5.9140281793821199</c:v>
                </c:pt>
                <c:pt idx="29">
                  <c:v>5.8523636726999397</c:v>
                </c:pt>
                <c:pt idx="30">
                  <c:v>5.8309361666140545</c:v>
                </c:pt>
                <c:pt idx="31">
                  <c:v>5.8877065171911145</c:v>
                </c:pt>
                <c:pt idx="32">
                  <c:v>5.5471198442114744</c:v>
                </c:pt>
                <c:pt idx="33">
                  <c:v>5.7074961737105099</c:v>
                </c:pt>
                <c:pt idx="34">
                  <c:v>5.5701547434899155</c:v>
                </c:pt>
                <c:pt idx="35">
                  <c:v>5.8015564347633353</c:v>
                </c:pt>
                <c:pt idx="36">
                  <c:v>5.5823880598953144</c:v>
                </c:pt>
                <c:pt idx="37">
                  <c:v>5.62776985419013</c:v>
                </c:pt>
                <c:pt idx="38">
                  <c:v>5.5752834600590901</c:v>
                </c:pt>
                <c:pt idx="39">
                  <c:v>5.7898865973288496</c:v>
                </c:pt>
                <c:pt idx="40">
                  <c:v>6.2087849792362722</c:v>
                </c:pt>
                <c:pt idx="41">
                  <c:v>6.0194664623911134</c:v>
                </c:pt>
                <c:pt idx="42">
                  <c:v>5.9318747358713164</c:v>
                </c:pt>
                <c:pt idx="43">
                  <c:v>6.117227050855484</c:v>
                </c:pt>
                <c:pt idx="44">
                  <c:v>6.1166330256797901</c:v>
                </c:pt>
                <c:pt idx="45">
                  <c:v>6.2271495949619302</c:v>
                </c:pt>
                <c:pt idx="46">
                  <c:v>6.2378766062719055</c:v>
                </c:pt>
                <c:pt idx="47">
                  <c:v>5.9912593116938506</c:v>
                </c:pt>
                <c:pt idx="48">
                  <c:v>5.9650725251417702</c:v>
                </c:pt>
                <c:pt idx="49">
                  <c:v>5.4269823439812885</c:v>
                </c:pt>
                <c:pt idx="50">
                  <c:v>5.0739135717969646</c:v>
                </c:pt>
                <c:pt idx="51">
                  <c:v>4.9404766240446563</c:v>
                </c:pt>
                <c:pt idx="52">
                  <c:v>4.9932177767035597</c:v>
                </c:pt>
              </c:numCache>
            </c:numRef>
          </c:val>
          <c:extLst xmlns:c16r2="http://schemas.microsoft.com/office/drawing/2015/06/chart">
            <c:ext xmlns:c16="http://schemas.microsoft.com/office/drawing/2014/chart" uri="{C3380CC4-5D6E-409C-BE32-E72D297353CC}">
              <c16:uniqueId val="{00000002-30E9-4046-8AC8-33051F54B066}"/>
            </c:ext>
          </c:extLst>
        </c:ser>
        <c:ser>
          <c:idx val="3"/>
          <c:order val="3"/>
          <c:tx>
            <c:strRef>
              <c:f>AB28_EF!$E$1</c:f>
              <c:strCache>
                <c:ptCount val="1"/>
                <c:pt idx="0">
                  <c:v>Sweden</c:v>
                </c:pt>
              </c:strCache>
            </c:strRef>
          </c:tx>
          <c:marker>
            <c:symbol val="none"/>
          </c:marker>
          <c:cat>
            <c:numRef>
              <c:f>AB28_EF!$A$2:$A$54</c:f>
              <c:numCache>
                <c:formatCode>General</c:formatCode>
                <c:ptCount val="53"/>
                <c:pt idx="0">
                  <c:v>1961</c:v>
                </c:pt>
                <c:pt idx="1">
                  <c:v>1962</c:v>
                </c:pt>
                <c:pt idx="2">
                  <c:v>1963</c:v>
                </c:pt>
                <c:pt idx="3">
                  <c:v>1964</c:v>
                </c:pt>
                <c:pt idx="4">
                  <c:v>1965</c:v>
                </c:pt>
                <c:pt idx="5">
                  <c:v>1966</c:v>
                </c:pt>
                <c:pt idx="6">
                  <c:v>1967</c:v>
                </c:pt>
                <c:pt idx="7">
                  <c:v>1968</c:v>
                </c:pt>
                <c:pt idx="8">
                  <c:v>1969</c:v>
                </c:pt>
                <c:pt idx="9">
                  <c:v>1970</c:v>
                </c:pt>
                <c:pt idx="10">
                  <c:v>1971</c:v>
                </c:pt>
                <c:pt idx="11">
                  <c:v>1972</c:v>
                </c:pt>
                <c:pt idx="12">
                  <c:v>1973</c:v>
                </c:pt>
                <c:pt idx="13">
                  <c:v>1974</c:v>
                </c:pt>
                <c:pt idx="14">
                  <c:v>1975</c:v>
                </c:pt>
                <c:pt idx="15">
                  <c:v>1976</c:v>
                </c:pt>
                <c:pt idx="16">
                  <c:v>1977</c:v>
                </c:pt>
                <c:pt idx="17">
                  <c:v>1978</c:v>
                </c:pt>
                <c:pt idx="18">
                  <c:v>1979</c:v>
                </c:pt>
                <c:pt idx="19">
                  <c:v>1980</c:v>
                </c:pt>
                <c:pt idx="20">
                  <c:v>1981</c:v>
                </c:pt>
                <c:pt idx="21">
                  <c:v>1982</c:v>
                </c:pt>
                <c:pt idx="22">
                  <c:v>1983</c:v>
                </c:pt>
                <c:pt idx="23">
                  <c:v>1984</c:v>
                </c:pt>
                <c:pt idx="24">
                  <c:v>1985</c:v>
                </c:pt>
                <c:pt idx="25">
                  <c:v>1986</c:v>
                </c:pt>
                <c:pt idx="26">
                  <c:v>1987</c:v>
                </c:pt>
                <c:pt idx="27">
                  <c:v>1988</c:v>
                </c:pt>
                <c:pt idx="28">
                  <c:v>1989</c:v>
                </c:pt>
                <c:pt idx="29">
                  <c:v>1990</c:v>
                </c:pt>
                <c:pt idx="30">
                  <c:v>1991</c:v>
                </c:pt>
                <c:pt idx="31">
                  <c:v>1992</c:v>
                </c:pt>
                <c:pt idx="32">
                  <c:v>1993</c:v>
                </c:pt>
                <c:pt idx="33">
                  <c:v>1994</c:v>
                </c:pt>
                <c:pt idx="34">
                  <c:v>1995</c:v>
                </c:pt>
                <c:pt idx="35">
                  <c:v>1996</c:v>
                </c:pt>
                <c:pt idx="36">
                  <c:v>1997</c:v>
                </c:pt>
                <c:pt idx="37">
                  <c:v>1998</c:v>
                </c:pt>
                <c:pt idx="38">
                  <c:v>1999</c:v>
                </c:pt>
                <c:pt idx="39">
                  <c:v>2000</c:v>
                </c:pt>
                <c:pt idx="40">
                  <c:v>2001</c:v>
                </c:pt>
                <c:pt idx="41">
                  <c:v>2002</c:v>
                </c:pt>
                <c:pt idx="42">
                  <c:v>2003</c:v>
                </c:pt>
                <c:pt idx="43">
                  <c:v>2004</c:v>
                </c:pt>
                <c:pt idx="44">
                  <c:v>2005</c:v>
                </c:pt>
                <c:pt idx="45">
                  <c:v>2006</c:v>
                </c:pt>
                <c:pt idx="46">
                  <c:v>2007</c:v>
                </c:pt>
                <c:pt idx="47">
                  <c:v>2008</c:v>
                </c:pt>
                <c:pt idx="48">
                  <c:v>2009</c:v>
                </c:pt>
                <c:pt idx="49">
                  <c:v>2010</c:v>
                </c:pt>
                <c:pt idx="50">
                  <c:v>2011</c:v>
                </c:pt>
                <c:pt idx="51">
                  <c:v>2012</c:v>
                </c:pt>
                <c:pt idx="52">
                  <c:v>2013</c:v>
                </c:pt>
              </c:numCache>
            </c:numRef>
          </c:cat>
          <c:val>
            <c:numRef>
              <c:f>AB28_EF!$E$2:$E$54</c:f>
              <c:numCache>
                <c:formatCode>General</c:formatCode>
                <c:ptCount val="53"/>
                <c:pt idx="0">
                  <c:v>6.4135307193617495</c:v>
                </c:pt>
                <c:pt idx="1">
                  <c:v>6.36696203023764</c:v>
                </c:pt>
                <c:pt idx="2">
                  <c:v>6.0210248703559621</c:v>
                </c:pt>
                <c:pt idx="3">
                  <c:v>6.5113592564482445</c:v>
                </c:pt>
                <c:pt idx="4">
                  <c:v>6.9722448536808663</c:v>
                </c:pt>
                <c:pt idx="5">
                  <c:v>6.7679836382315255</c:v>
                </c:pt>
                <c:pt idx="6">
                  <c:v>7.0578094866791314</c:v>
                </c:pt>
                <c:pt idx="7">
                  <c:v>6.8945938450014665</c:v>
                </c:pt>
                <c:pt idx="8">
                  <c:v>7.0837096992414663</c:v>
                </c:pt>
                <c:pt idx="9">
                  <c:v>8.3667447422915</c:v>
                </c:pt>
                <c:pt idx="10">
                  <c:v>8.5320268226823295</c:v>
                </c:pt>
                <c:pt idx="11">
                  <c:v>7.3439322806819201</c:v>
                </c:pt>
                <c:pt idx="12">
                  <c:v>6.8649782658031455</c:v>
                </c:pt>
                <c:pt idx="13">
                  <c:v>7.6842789583390285</c:v>
                </c:pt>
                <c:pt idx="14">
                  <c:v>8.4938647516802792</c:v>
                </c:pt>
                <c:pt idx="15">
                  <c:v>8.3323776057699597</c:v>
                </c:pt>
                <c:pt idx="16">
                  <c:v>7.2422481133474266</c:v>
                </c:pt>
                <c:pt idx="17">
                  <c:v>6.2557910256177314</c:v>
                </c:pt>
                <c:pt idx="18">
                  <c:v>7.1955084867885697</c:v>
                </c:pt>
                <c:pt idx="19">
                  <c:v>6.9261365009029285</c:v>
                </c:pt>
                <c:pt idx="20">
                  <c:v>6.9042298465197396</c:v>
                </c:pt>
                <c:pt idx="21">
                  <c:v>6.6677262913456685</c:v>
                </c:pt>
                <c:pt idx="22">
                  <c:v>6.1864753172661144</c:v>
                </c:pt>
                <c:pt idx="23">
                  <c:v>6.1562852649826398</c:v>
                </c:pt>
                <c:pt idx="24">
                  <c:v>6.2699781445797198</c:v>
                </c:pt>
                <c:pt idx="25">
                  <c:v>6.6974671737562543</c:v>
                </c:pt>
                <c:pt idx="26">
                  <c:v>6.6572645620234141</c:v>
                </c:pt>
                <c:pt idx="27">
                  <c:v>6.9360146747564695</c:v>
                </c:pt>
                <c:pt idx="28">
                  <c:v>7.1969711317376799</c:v>
                </c:pt>
                <c:pt idx="29">
                  <c:v>6.6690473957458813</c:v>
                </c:pt>
                <c:pt idx="30">
                  <c:v>6.3257370915947098</c:v>
                </c:pt>
                <c:pt idx="31">
                  <c:v>6.2834781788747502</c:v>
                </c:pt>
                <c:pt idx="32">
                  <c:v>6.1339677737306664</c:v>
                </c:pt>
                <c:pt idx="33">
                  <c:v>6.5356321004747953</c:v>
                </c:pt>
                <c:pt idx="34">
                  <c:v>7.3501855910095744</c:v>
                </c:pt>
                <c:pt idx="35">
                  <c:v>6.71967025477639</c:v>
                </c:pt>
                <c:pt idx="36">
                  <c:v>6.8893392484769844</c:v>
                </c:pt>
                <c:pt idx="37">
                  <c:v>6.9329188887783699</c:v>
                </c:pt>
                <c:pt idx="38">
                  <c:v>6.5735612744871199</c:v>
                </c:pt>
                <c:pt idx="39">
                  <c:v>7.1328189980013201</c:v>
                </c:pt>
                <c:pt idx="40">
                  <c:v>6.9532339638557303</c:v>
                </c:pt>
                <c:pt idx="41">
                  <c:v>7.5160667496727402</c:v>
                </c:pt>
                <c:pt idx="42">
                  <c:v>7.5982919359192014</c:v>
                </c:pt>
                <c:pt idx="43">
                  <c:v>7.0847473939066123</c:v>
                </c:pt>
                <c:pt idx="44">
                  <c:v>9.2654068568942911</c:v>
                </c:pt>
                <c:pt idx="45">
                  <c:v>6.4039236483258</c:v>
                </c:pt>
                <c:pt idx="46">
                  <c:v>7.85419916440914</c:v>
                </c:pt>
                <c:pt idx="47">
                  <c:v>7.1812837255417152</c:v>
                </c:pt>
                <c:pt idx="48">
                  <c:v>6.3457829288359031</c:v>
                </c:pt>
                <c:pt idx="49">
                  <c:v>7.5957765089912295</c:v>
                </c:pt>
                <c:pt idx="50">
                  <c:v>7.6331038268116895</c:v>
                </c:pt>
                <c:pt idx="51">
                  <c:v>7.2484136805685324</c:v>
                </c:pt>
                <c:pt idx="52">
                  <c:v>7.1077175594852591</c:v>
                </c:pt>
              </c:numCache>
            </c:numRef>
          </c:val>
          <c:extLst xmlns:c16r2="http://schemas.microsoft.com/office/drawing/2015/06/chart">
            <c:ext xmlns:c16="http://schemas.microsoft.com/office/drawing/2014/chart" uri="{C3380CC4-5D6E-409C-BE32-E72D297353CC}">
              <c16:uniqueId val="{00000003-30E9-4046-8AC8-33051F54B066}"/>
            </c:ext>
          </c:extLst>
        </c:ser>
        <c:ser>
          <c:idx val="4"/>
          <c:order val="4"/>
          <c:tx>
            <c:strRef>
              <c:f>AB28_EF!$F$1</c:f>
              <c:strCache>
                <c:ptCount val="1"/>
                <c:pt idx="0">
                  <c:v>Spain</c:v>
                </c:pt>
              </c:strCache>
            </c:strRef>
          </c:tx>
          <c:marker>
            <c:symbol val="none"/>
          </c:marker>
          <c:cat>
            <c:numRef>
              <c:f>AB28_EF!$A$2:$A$54</c:f>
              <c:numCache>
                <c:formatCode>General</c:formatCode>
                <c:ptCount val="53"/>
                <c:pt idx="0">
                  <c:v>1961</c:v>
                </c:pt>
                <c:pt idx="1">
                  <c:v>1962</c:v>
                </c:pt>
                <c:pt idx="2">
                  <c:v>1963</c:v>
                </c:pt>
                <c:pt idx="3">
                  <c:v>1964</c:v>
                </c:pt>
                <c:pt idx="4">
                  <c:v>1965</c:v>
                </c:pt>
                <c:pt idx="5">
                  <c:v>1966</c:v>
                </c:pt>
                <c:pt idx="6">
                  <c:v>1967</c:v>
                </c:pt>
                <c:pt idx="7">
                  <c:v>1968</c:v>
                </c:pt>
                <c:pt idx="8">
                  <c:v>1969</c:v>
                </c:pt>
                <c:pt idx="9">
                  <c:v>1970</c:v>
                </c:pt>
                <c:pt idx="10">
                  <c:v>1971</c:v>
                </c:pt>
                <c:pt idx="11">
                  <c:v>1972</c:v>
                </c:pt>
                <c:pt idx="12">
                  <c:v>1973</c:v>
                </c:pt>
                <c:pt idx="13">
                  <c:v>1974</c:v>
                </c:pt>
                <c:pt idx="14">
                  <c:v>1975</c:v>
                </c:pt>
                <c:pt idx="15">
                  <c:v>1976</c:v>
                </c:pt>
                <c:pt idx="16">
                  <c:v>1977</c:v>
                </c:pt>
                <c:pt idx="17">
                  <c:v>1978</c:v>
                </c:pt>
                <c:pt idx="18">
                  <c:v>1979</c:v>
                </c:pt>
                <c:pt idx="19">
                  <c:v>1980</c:v>
                </c:pt>
                <c:pt idx="20">
                  <c:v>1981</c:v>
                </c:pt>
                <c:pt idx="21">
                  <c:v>1982</c:v>
                </c:pt>
                <c:pt idx="22">
                  <c:v>1983</c:v>
                </c:pt>
                <c:pt idx="23">
                  <c:v>1984</c:v>
                </c:pt>
                <c:pt idx="24">
                  <c:v>1985</c:v>
                </c:pt>
                <c:pt idx="25">
                  <c:v>1986</c:v>
                </c:pt>
                <c:pt idx="26">
                  <c:v>1987</c:v>
                </c:pt>
                <c:pt idx="27">
                  <c:v>1988</c:v>
                </c:pt>
                <c:pt idx="28">
                  <c:v>1989</c:v>
                </c:pt>
                <c:pt idx="29">
                  <c:v>1990</c:v>
                </c:pt>
                <c:pt idx="30">
                  <c:v>1991</c:v>
                </c:pt>
                <c:pt idx="31">
                  <c:v>1992</c:v>
                </c:pt>
                <c:pt idx="32">
                  <c:v>1993</c:v>
                </c:pt>
                <c:pt idx="33">
                  <c:v>1994</c:v>
                </c:pt>
                <c:pt idx="34">
                  <c:v>1995</c:v>
                </c:pt>
                <c:pt idx="35">
                  <c:v>1996</c:v>
                </c:pt>
                <c:pt idx="36">
                  <c:v>1997</c:v>
                </c:pt>
                <c:pt idx="37">
                  <c:v>1998</c:v>
                </c:pt>
                <c:pt idx="38">
                  <c:v>1999</c:v>
                </c:pt>
                <c:pt idx="39">
                  <c:v>2000</c:v>
                </c:pt>
                <c:pt idx="40">
                  <c:v>2001</c:v>
                </c:pt>
                <c:pt idx="41">
                  <c:v>2002</c:v>
                </c:pt>
                <c:pt idx="42">
                  <c:v>2003</c:v>
                </c:pt>
                <c:pt idx="43">
                  <c:v>2004</c:v>
                </c:pt>
                <c:pt idx="44">
                  <c:v>2005</c:v>
                </c:pt>
                <c:pt idx="45">
                  <c:v>2006</c:v>
                </c:pt>
                <c:pt idx="46">
                  <c:v>2007</c:v>
                </c:pt>
                <c:pt idx="47">
                  <c:v>2008</c:v>
                </c:pt>
                <c:pt idx="48">
                  <c:v>2009</c:v>
                </c:pt>
                <c:pt idx="49">
                  <c:v>2010</c:v>
                </c:pt>
                <c:pt idx="50">
                  <c:v>2011</c:v>
                </c:pt>
                <c:pt idx="51">
                  <c:v>2012</c:v>
                </c:pt>
                <c:pt idx="52">
                  <c:v>2013</c:v>
                </c:pt>
              </c:numCache>
            </c:numRef>
          </c:cat>
          <c:val>
            <c:numRef>
              <c:f>AB28_EF!$F$2:$F$54</c:f>
              <c:numCache>
                <c:formatCode>General</c:formatCode>
                <c:ptCount val="53"/>
                <c:pt idx="0">
                  <c:v>2.351423482049245</c:v>
                </c:pt>
                <c:pt idx="1">
                  <c:v>2.5553153294323501</c:v>
                </c:pt>
                <c:pt idx="2">
                  <c:v>2.7173712308739626</c:v>
                </c:pt>
                <c:pt idx="3">
                  <c:v>2.5791417174666527</c:v>
                </c:pt>
                <c:pt idx="4">
                  <c:v>2.8845380103396798</c:v>
                </c:pt>
                <c:pt idx="5">
                  <c:v>3.0678621984695797</c:v>
                </c:pt>
                <c:pt idx="6">
                  <c:v>3.14548335595385</c:v>
                </c:pt>
                <c:pt idx="7">
                  <c:v>3.2608677976565632</c:v>
                </c:pt>
                <c:pt idx="8">
                  <c:v>3.4097286514536798</c:v>
                </c:pt>
                <c:pt idx="9">
                  <c:v>3.5185539379858977</c:v>
                </c:pt>
                <c:pt idx="10">
                  <c:v>3.6496384936761777</c:v>
                </c:pt>
                <c:pt idx="11">
                  <c:v>3.8354742455094102</c:v>
                </c:pt>
                <c:pt idx="12">
                  <c:v>3.88440310946253</c:v>
                </c:pt>
                <c:pt idx="13">
                  <c:v>4.0027750326414795</c:v>
                </c:pt>
                <c:pt idx="14">
                  <c:v>3.994883110813805</c:v>
                </c:pt>
                <c:pt idx="15">
                  <c:v>4.0675714176856745</c:v>
                </c:pt>
                <c:pt idx="16">
                  <c:v>3.8583773670418702</c:v>
                </c:pt>
                <c:pt idx="17">
                  <c:v>3.8934807370406901</c:v>
                </c:pt>
                <c:pt idx="18">
                  <c:v>3.92001535109859</c:v>
                </c:pt>
                <c:pt idx="19">
                  <c:v>4.1130504696300045</c:v>
                </c:pt>
                <c:pt idx="20">
                  <c:v>3.6213956808600098</c:v>
                </c:pt>
                <c:pt idx="21">
                  <c:v>3.8445615816811212</c:v>
                </c:pt>
                <c:pt idx="22">
                  <c:v>3.6273554820127001</c:v>
                </c:pt>
                <c:pt idx="23">
                  <c:v>3.8181936339871072</c:v>
                </c:pt>
                <c:pt idx="24">
                  <c:v>3.5502437972859999</c:v>
                </c:pt>
                <c:pt idx="25">
                  <c:v>3.7809883024320032</c:v>
                </c:pt>
                <c:pt idx="26">
                  <c:v>4.0429697600486101</c:v>
                </c:pt>
                <c:pt idx="27">
                  <c:v>4.2216375332196714</c:v>
                </c:pt>
                <c:pt idx="28">
                  <c:v>4.4764514623210934</c:v>
                </c:pt>
                <c:pt idx="29">
                  <c:v>4.5827759591980843</c:v>
                </c:pt>
                <c:pt idx="30">
                  <c:v>4.6844854791405321</c:v>
                </c:pt>
                <c:pt idx="31">
                  <c:v>4.7787276391606124</c:v>
                </c:pt>
                <c:pt idx="32">
                  <c:v>4.5656217502277485</c:v>
                </c:pt>
                <c:pt idx="33">
                  <c:v>4.6516720845593165</c:v>
                </c:pt>
                <c:pt idx="34">
                  <c:v>4.7820352822621404</c:v>
                </c:pt>
                <c:pt idx="35">
                  <c:v>4.8829290383492765</c:v>
                </c:pt>
                <c:pt idx="36">
                  <c:v>4.9595028514443262</c:v>
                </c:pt>
                <c:pt idx="37">
                  <c:v>5.3601740109474321</c:v>
                </c:pt>
                <c:pt idx="38">
                  <c:v>5.4927053785623485</c:v>
                </c:pt>
                <c:pt idx="39">
                  <c:v>5.5951315279259077</c:v>
                </c:pt>
                <c:pt idx="40">
                  <c:v>5.3999067560122365</c:v>
                </c:pt>
                <c:pt idx="41">
                  <c:v>5.6135339610157242</c:v>
                </c:pt>
                <c:pt idx="42">
                  <c:v>5.7535006326816198</c:v>
                </c:pt>
                <c:pt idx="43">
                  <c:v>5.7824083286578301</c:v>
                </c:pt>
                <c:pt idx="44">
                  <c:v>5.6653011837567497</c:v>
                </c:pt>
                <c:pt idx="45">
                  <c:v>5.82950344429719</c:v>
                </c:pt>
                <c:pt idx="46">
                  <c:v>5.8904102898505055</c:v>
                </c:pt>
                <c:pt idx="47">
                  <c:v>5.5138150543275941</c:v>
                </c:pt>
                <c:pt idx="48">
                  <c:v>4.64030631566711</c:v>
                </c:pt>
                <c:pt idx="49">
                  <c:v>4.4744128807343753</c:v>
                </c:pt>
                <c:pt idx="50">
                  <c:v>4.1522082762633845</c:v>
                </c:pt>
                <c:pt idx="51">
                  <c:v>3.6701357634708902</c:v>
                </c:pt>
                <c:pt idx="52">
                  <c:v>3.8242094524267198</c:v>
                </c:pt>
              </c:numCache>
            </c:numRef>
          </c:val>
          <c:extLst xmlns:c16r2="http://schemas.microsoft.com/office/drawing/2015/06/chart">
            <c:ext xmlns:c16="http://schemas.microsoft.com/office/drawing/2014/chart" uri="{C3380CC4-5D6E-409C-BE32-E72D297353CC}">
              <c16:uniqueId val="{00000004-30E9-4046-8AC8-33051F54B066}"/>
            </c:ext>
          </c:extLst>
        </c:ser>
        <c:ser>
          <c:idx val="5"/>
          <c:order val="5"/>
          <c:tx>
            <c:strRef>
              <c:f>AB28_EF!$G$1</c:f>
              <c:strCache>
                <c:ptCount val="1"/>
                <c:pt idx="0">
                  <c:v>Romania</c:v>
                </c:pt>
              </c:strCache>
            </c:strRef>
          </c:tx>
          <c:marker>
            <c:symbol val="none"/>
          </c:marker>
          <c:cat>
            <c:numRef>
              <c:f>AB28_EF!$A$2:$A$54</c:f>
              <c:numCache>
                <c:formatCode>General</c:formatCode>
                <c:ptCount val="53"/>
                <c:pt idx="0">
                  <c:v>1961</c:v>
                </c:pt>
                <c:pt idx="1">
                  <c:v>1962</c:v>
                </c:pt>
                <c:pt idx="2">
                  <c:v>1963</c:v>
                </c:pt>
                <c:pt idx="3">
                  <c:v>1964</c:v>
                </c:pt>
                <c:pt idx="4">
                  <c:v>1965</c:v>
                </c:pt>
                <c:pt idx="5">
                  <c:v>1966</c:v>
                </c:pt>
                <c:pt idx="6">
                  <c:v>1967</c:v>
                </c:pt>
                <c:pt idx="7">
                  <c:v>1968</c:v>
                </c:pt>
                <c:pt idx="8">
                  <c:v>1969</c:v>
                </c:pt>
                <c:pt idx="9">
                  <c:v>1970</c:v>
                </c:pt>
                <c:pt idx="10">
                  <c:v>1971</c:v>
                </c:pt>
                <c:pt idx="11">
                  <c:v>1972</c:v>
                </c:pt>
                <c:pt idx="12">
                  <c:v>1973</c:v>
                </c:pt>
                <c:pt idx="13">
                  <c:v>1974</c:v>
                </c:pt>
                <c:pt idx="14">
                  <c:v>1975</c:v>
                </c:pt>
                <c:pt idx="15">
                  <c:v>1976</c:v>
                </c:pt>
                <c:pt idx="16">
                  <c:v>1977</c:v>
                </c:pt>
                <c:pt idx="17">
                  <c:v>1978</c:v>
                </c:pt>
                <c:pt idx="18">
                  <c:v>1979</c:v>
                </c:pt>
                <c:pt idx="19">
                  <c:v>1980</c:v>
                </c:pt>
                <c:pt idx="20">
                  <c:v>1981</c:v>
                </c:pt>
                <c:pt idx="21">
                  <c:v>1982</c:v>
                </c:pt>
                <c:pt idx="22">
                  <c:v>1983</c:v>
                </c:pt>
                <c:pt idx="23">
                  <c:v>1984</c:v>
                </c:pt>
                <c:pt idx="24">
                  <c:v>1985</c:v>
                </c:pt>
                <c:pt idx="25">
                  <c:v>1986</c:v>
                </c:pt>
                <c:pt idx="26">
                  <c:v>1987</c:v>
                </c:pt>
                <c:pt idx="27">
                  <c:v>1988</c:v>
                </c:pt>
                <c:pt idx="28">
                  <c:v>1989</c:v>
                </c:pt>
                <c:pt idx="29">
                  <c:v>1990</c:v>
                </c:pt>
                <c:pt idx="30">
                  <c:v>1991</c:v>
                </c:pt>
                <c:pt idx="31">
                  <c:v>1992</c:v>
                </c:pt>
                <c:pt idx="32">
                  <c:v>1993</c:v>
                </c:pt>
                <c:pt idx="33">
                  <c:v>1994</c:v>
                </c:pt>
                <c:pt idx="34">
                  <c:v>1995</c:v>
                </c:pt>
                <c:pt idx="35">
                  <c:v>1996</c:v>
                </c:pt>
                <c:pt idx="36">
                  <c:v>1997</c:v>
                </c:pt>
                <c:pt idx="37">
                  <c:v>1998</c:v>
                </c:pt>
                <c:pt idx="38">
                  <c:v>1999</c:v>
                </c:pt>
                <c:pt idx="39">
                  <c:v>2000</c:v>
                </c:pt>
                <c:pt idx="40">
                  <c:v>2001</c:v>
                </c:pt>
                <c:pt idx="41">
                  <c:v>2002</c:v>
                </c:pt>
                <c:pt idx="42">
                  <c:v>2003</c:v>
                </c:pt>
                <c:pt idx="43">
                  <c:v>2004</c:v>
                </c:pt>
                <c:pt idx="44">
                  <c:v>2005</c:v>
                </c:pt>
                <c:pt idx="45">
                  <c:v>2006</c:v>
                </c:pt>
                <c:pt idx="46">
                  <c:v>2007</c:v>
                </c:pt>
                <c:pt idx="47">
                  <c:v>2008</c:v>
                </c:pt>
                <c:pt idx="48">
                  <c:v>2009</c:v>
                </c:pt>
                <c:pt idx="49">
                  <c:v>2010</c:v>
                </c:pt>
                <c:pt idx="50">
                  <c:v>2011</c:v>
                </c:pt>
                <c:pt idx="51">
                  <c:v>2012</c:v>
                </c:pt>
                <c:pt idx="52">
                  <c:v>2013</c:v>
                </c:pt>
              </c:numCache>
            </c:numRef>
          </c:cat>
          <c:val>
            <c:numRef>
              <c:f>AB28_EF!$G$2:$G$54</c:f>
              <c:numCache>
                <c:formatCode>General</c:formatCode>
                <c:ptCount val="53"/>
                <c:pt idx="0">
                  <c:v>2.3899999999999997</c:v>
                </c:pt>
                <c:pt idx="1">
                  <c:v>2.4899999999999998</c:v>
                </c:pt>
                <c:pt idx="2">
                  <c:v>2.57</c:v>
                </c:pt>
                <c:pt idx="3">
                  <c:v>2.69</c:v>
                </c:pt>
                <c:pt idx="4">
                  <c:v>2.92</c:v>
                </c:pt>
                <c:pt idx="5">
                  <c:v>3.05</c:v>
                </c:pt>
                <c:pt idx="6">
                  <c:v>3.1</c:v>
                </c:pt>
                <c:pt idx="7">
                  <c:v>3.16</c:v>
                </c:pt>
                <c:pt idx="8">
                  <c:v>3.3899999999999997</c:v>
                </c:pt>
                <c:pt idx="9">
                  <c:v>3.53</c:v>
                </c:pt>
                <c:pt idx="10">
                  <c:v>3.8</c:v>
                </c:pt>
                <c:pt idx="11">
                  <c:v>3.92</c:v>
                </c:pt>
                <c:pt idx="12">
                  <c:v>3.96</c:v>
                </c:pt>
                <c:pt idx="13">
                  <c:v>3.9099999999999997</c:v>
                </c:pt>
                <c:pt idx="14">
                  <c:v>3.98</c:v>
                </c:pt>
                <c:pt idx="15">
                  <c:v>4.45</c:v>
                </c:pt>
                <c:pt idx="16">
                  <c:v>4.46</c:v>
                </c:pt>
                <c:pt idx="17">
                  <c:v>4.6399999999999997</c:v>
                </c:pt>
                <c:pt idx="18">
                  <c:v>4.68</c:v>
                </c:pt>
                <c:pt idx="19">
                  <c:v>4.6899999999999995</c:v>
                </c:pt>
                <c:pt idx="20">
                  <c:v>4.5199999999999996</c:v>
                </c:pt>
                <c:pt idx="21">
                  <c:v>4.6399999999999997</c:v>
                </c:pt>
                <c:pt idx="22">
                  <c:v>4.4700000000000024</c:v>
                </c:pt>
                <c:pt idx="23">
                  <c:v>4.63</c:v>
                </c:pt>
                <c:pt idx="24">
                  <c:v>4.4300000000000024</c:v>
                </c:pt>
                <c:pt idx="25">
                  <c:v>4.59</c:v>
                </c:pt>
                <c:pt idx="26">
                  <c:v>4.51</c:v>
                </c:pt>
                <c:pt idx="27">
                  <c:v>4.6499999999999995</c:v>
                </c:pt>
                <c:pt idx="28">
                  <c:v>4.58</c:v>
                </c:pt>
                <c:pt idx="29">
                  <c:v>4.3</c:v>
                </c:pt>
                <c:pt idx="30">
                  <c:v>3.73</c:v>
                </c:pt>
                <c:pt idx="31">
                  <c:v>3.16</c:v>
                </c:pt>
                <c:pt idx="32">
                  <c:v>3.08</c:v>
                </c:pt>
                <c:pt idx="33">
                  <c:v>3.05</c:v>
                </c:pt>
                <c:pt idx="34">
                  <c:v>3.18</c:v>
                </c:pt>
                <c:pt idx="35">
                  <c:v>2.96</c:v>
                </c:pt>
                <c:pt idx="36">
                  <c:v>3.14</c:v>
                </c:pt>
                <c:pt idx="37">
                  <c:v>2.8</c:v>
                </c:pt>
                <c:pt idx="38">
                  <c:v>2.4899999999999998</c:v>
                </c:pt>
                <c:pt idx="39">
                  <c:v>2.34</c:v>
                </c:pt>
                <c:pt idx="40">
                  <c:v>2.88</c:v>
                </c:pt>
                <c:pt idx="41">
                  <c:v>2.7600000000000002</c:v>
                </c:pt>
                <c:pt idx="42">
                  <c:v>2.9299999999999997</c:v>
                </c:pt>
                <c:pt idx="43">
                  <c:v>3.3899999999999997</c:v>
                </c:pt>
                <c:pt idx="44">
                  <c:v>3.27</c:v>
                </c:pt>
                <c:pt idx="45">
                  <c:v>3.2</c:v>
                </c:pt>
                <c:pt idx="46">
                  <c:v>3.1</c:v>
                </c:pt>
                <c:pt idx="47">
                  <c:v>3.42</c:v>
                </c:pt>
                <c:pt idx="48">
                  <c:v>2.88</c:v>
                </c:pt>
                <c:pt idx="49">
                  <c:v>2.84</c:v>
                </c:pt>
                <c:pt idx="50">
                  <c:v>3.07</c:v>
                </c:pt>
                <c:pt idx="51">
                  <c:v>2.75</c:v>
                </c:pt>
                <c:pt idx="52">
                  <c:v>2.63</c:v>
                </c:pt>
              </c:numCache>
            </c:numRef>
          </c:val>
          <c:extLst xmlns:c16r2="http://schemas.microsoft.com/office/drawing/2015/06/chart">
            <c:ext xmlns:c16="http://schemas.microsoft.com/office/drawing/2014/chart" uri="{C3380CC4-5D6E-409C-BE32-E72D297353CC}">
              <c16:uniqueId val="{00000005-30E9-4046-8AC8-33051F54B066}"/>
            </c:ext>
          </c:extLst>
        </c:ser>
        <c:ser>
          <c:idx val="6"/>
          <c:order val="6"/>
          <c:tx>
            <c:strRef>
              <c:f>AB28_EF!$H$1</c:f>
              <c:strCache>
                <c:ptCount val="1"/>
                <c:pt idx="0">
                  <c:v>Portugal</c:v>
                </c:pt>
              </c:strCache>
            </c:strRef>
          </c:tx>
          <c:marker>
            <c:symbol val="none"/>
          </c:marker>
          <c:cat>
            <c:numRef>
              <c:f>AB28_EF!$A$2:$A$54</c:f>
              <c:numCache>
                <c:formatCode>General</c:formatCode>
                <c:ptCount val="53"/>
                <c:pt idx="0">
                  <c:v>1961</c:v>
                </c:pt>
                <c:pt idx="1">
                  <c:v>1962</c:v>
                </c:pt>
                <c:pt idx="2">
                  <c:v>1963</c:v>
                </c:pt>
                <c:pt idx="3">
                  <c:v>1964</c:v>
                </c:pt>
                <c:pt idx="4">
                  <c:v>1965</c:v>
                </c:pt>
                <c:pt idx="5">
                  <c:v>1966</c:v>
                </c:pt>
                <c:pt idx="6">
                  <c:v>1967</c:v>
                </c:pt>
                <c:pt idx="7">
                  <c:v>1968</c:v>
                </c:pt>
                <c:pt idx="8">
                  <c:v>1969</c:v>
                </c:pt>
                <c:pt idx="9">
                  <c:v>1970</c:v>
                </c:pt>
                <c:pt idx="10">
                  <c:v>1971</c:v>
                </c:pt>
                <c:pt idx="11">
                  <c:v>1972</c:v>
                </c:pt>
                <c:pt idx="12">
                  <c:v>1973</c:v>
                </c:pt>
                <c:pt idx="13">
                  <c:v>1974</c:v>
                </c:pt>
                <c:pt idx="14">
                  <c:v>1975</c:v>
                </c:pt>
                <c:pt idx="15">
                  <c:v>1976</c:v>
                </c:pt>
                <c:pt idx="16">
                  <c:v>1977</c:v>
                </c:pt>
                <c:pt idx="17">
                  <c:v>1978</c:v>
                </c:pt>
                <c:pt idx="18">
                  <c:v>1979</c:v>
                </c:pt>
                <c:pt idx="19">
                  <c:v>1980</c:v>
                </c:pt>
                <c:pt idx="20">
                  <c:v>1981</c:v>
                </c:pt>
                <c:pt idx="21">
                  <c:v>1982</c:v>
                </c:pt>
                <c:pt idx="22">
                  <c:v>1983</c:v>
                </c:pt>
                <c:pt idx="23">
                  <c:v>1984</c:v>
                </c:pt>
                <c:pt idx="24">
                  <c:v>1985</c:v>
                </c:pt>
                <c:pt idx="25">
                  <c:v>1986</c:v>
                </c:pt>
                <c:pt idx="26">
                  <c:v>1987</c:v>
                </c:pt>
                <c:pt idx="27">
                  <c:v>1988</c:v>
                </c:pt>
                <c:pt idx="28">
                  <c:v>1989</c:v>
                </c:pt>
                <c:pt idx="29">
                  <c:v>1990</c:v>
                </c:pt>
                <c:pt idx="30">
                  <c:v>1991</c:v>
                </c:pt>
                <c:pt idx="31">
                  <c:v>1992</c:v>
                </c:pt>
                <c:pt idx="32">
                  <c:v>1993</c:v>
                </c:pt>
                <c:pt idx="33">
                  <c:v>1994</c:v>
                </c:pt>
                <c:pt idx="34">
                  <c:v>1995</c:v>
                </c:pt>
                <c:pt idx="35">
                  <c:v>1996</c:v>
                </c:pt>
                <c:pt idx="36">
                  <c:v>1997</c:v>
                </c:pt>
                <c:pt idx="37">
                  <c:v>1998</c:v>
                </c:pt>
                <c:pt idx="38">
                  <c:v>1999</c:v>
                </c:pt>
                <c:pt idx="39">
                  <c:v>2000</c:v>
                </c:pt>
                <c:pt idx="40">
                  <c:v>2001</c:v>
                </c:pt>
                <c:pt idx="41">
                  <c:v>2002</c:v>
                </c:pt>
                <c:pt idx="42">
                  <c:v>2003</c:v>
                </c:pt>
                <c:pt idx="43">
                  <c:v>2004</c:v>
                </c:pt>
                <c:pt idx="44">
                  <c:v>2005</c:v>
                </c:pt>
                <c:pt idx="45">
                  <c:v>2006</c:v>
                </c:pt>
                <c:pt idx="46">
                  <c:v>2007</c:v>
                </c:pt>
                <c:pt idx="47">
                  <c:v>2008</c:v>
                </c:pt>
                <c:pt idx="48">
                  <c:v>2009</c:v>
                </c:pt>
                <c:pt idx="49">
                  <c:v>2010</c:v>
                </c:pt>
                <c:pt idx="50">
                  <c:v>2011</c:v>
                </c:pt>
                <c:pt idx="51">
                  <c:v>2012</c:v>
                </c:pt>
                <c:pt idx="52">
                  <c:v>2013</c:v>
                </c:pt>
              </c:numCache>
            </c:numRef>
          </c:cat>
          <c:val>
            <c:numRef>
              <c:f>AB28_EF!$H$2:$H$54</c:f>
              <c:numCache>
                <c:formatCode>General</c:formatCode>
                <c:ptCount val="53"/>
                <c:pt idx="0">
                  <c:v>2.2522383199313598</c:v>
                </c:pt>
                <c:pt idx="1">
                  <c:v>2.3168028263966165</c:v>
                </c:pt>
                <c:pt idx="2">
                  <c:v>2.4959189658605077</c:v>
                </c:pt>
                <c:pt idx="3">
                  <c:v>2.3733010705062201</c:v>
                </c:pt>
                <c:pt idx="4">
                  <c:v>2.5371478602072002</c:v>
                </c:pt>
                <c:pt idx="5">
                  <c:v>2.4238251486163538</c:v>
                </c:pt>
                <c:pt idx="6">
                  <c:v>2.8127802415618</c:v>
                </c:pt>
                <c:pt idx="7">
                  <c:v>2.6604159650808277</c:v>
                </c:pt>
                <c:pt idx="8">
                  <c:v>2.6336752031062072</c:v>
                </c:pt>
                <c:pt idx="9">
                  <c:v>2.7513809314154201</c:v>
                </c:pt>
                <c:pt idx="10">
                  <c:v>2.9016784195219865</c:v>
                </c:pt>
                <c:pt idx="11">
                  <c:v>2.9171588648350397</c:v>
                </c:pt>
                <c:pt idx="12">
                  <c:v>2.98941316661179</c:v>
                </c:pt>
                <c:pt idx="13">
                  <c:v>3.1503547410426447</c:v>
                </c:pt>
                <c:pt idx="14">
                  <c:v>2.79966551479751</c:v>
                </c:pt>
                <c:pt idx="15">
                  <c:v>2.9867708490834399</c:v>
                </c:pt>
                <c:pt idx="16">
                  <c:v>2.8079259224564201</c:v>
                </c:pt>
                <c:pt idx="17">
                  <c:v>2.7834675567067548</c:v>
                </c:pt>
                <c:pt idx="18">
                  <c:v>2.7305660555370812</c:v>
                </c:pt>
                <c:pt idx="19">
                  <c:v>2.8003735191988377</c:v>
                </c:pt>
                <c:pt idx="20">
                  <c:v>2.8056416650773999</c:v>
                </c:pt>
                <c:pt idx="21">
                  <c:v>2.898499174710687</c:v>
                </c:pt>
                <c:pt idx="22">
                  <c:v>2.5978635558826699</c:v>
                </c:pt>
                <c:pt idx="23">
                  <c:v>2.6466119115654498</c:v>
                </c:pt>
                <c:pt idx="24">
                  <c:v>2.7866679995360197</c:v>
                </c:pt>
                <c:pt idx="25">
                  <c:v>3.3867259214779502</c:v>
                </c:pt>
                <c:pt idx="26">
                  <c:v>3.6785583474368302</c:v>
                </c:pt>
                <c:pt idx="27">
                  <c:v>3.83398442879525</c:v>
                </c:pt>
                <c:pt idx="28">
                  <c:v>4.1096206379340501</c:v>
                </c:pt>
                <c:pt idx="29">
                  <c:v>4.313321277808714</c:v>
                </c:pt>
                <c:pt idx="30">
                  <c:v>4.3907075247744096</c:v>
                </c:pt>
                <c:pt idx="31">
                  <c:v>4.4800796131247376</c:v>
                </c:pt>
                <c:pt idx="32">
                  <c:v>4.4435167471686796</c:v>
                </c:pt>
                <c:pt idx="33">
                  <c:v>4.5852404747696296</c:v>
                </c:pt>
                <c:pt idx="34">
                  <c:v>4.7407633867713406</c:v>
                </c:pt>
                <c:pt idx="35">
                  <c:v>4.3194558946768398</c:v>
                </c:pt>
                <c:pt idx="36">
                  <c:v>4.3848922131157151</c:v>
                </c:pt>
                <c:pt idx="37">
                  <c:v>4.6775560029071697</c:v>
                </c:pt>
                <c:pt idx="38">
                  <c:v>4.9168470793010304</c:v>
                </c:pt>
                <c:pt idx="39">
                  <c:v>5.0024974925896766</c:v>
                </c:pt>
                <c:pt idx="40">
                  <c:v>4.8450296849387353</c:v>
                </c:pt>
                <c:pt idx="41">
                  <c:v>4.8433509095982865</c:v>
                </c:pt>
                <c:pt idx="42">
                  <c:v>4.5624480765531095</c:v>
                </c:pt>
                <c:pt idx="43">
                  <c:v>4.8097290283324403</c:v>
                </c:pt>
                <c:pt idx="44">
                  <c:v>4.8598273799715397</c:v>
                </c:pt>
                <c:pt idx="45">
                  <c:v>4.7275641266210355</c:v>
                </c:pt>
                <c:pt idx="46">
                  <c:v>4.7705478462651065</c:v>
                </c:pt>
                <c:pt idx="47">
                  <c:v>4.6372321073708598</c:v>
                </c:pt>
                <c:pt idx="48">
                  <c:v>4.4985339331224603</c:v>
                </c:pt>
                <c:pt idx="49">
                  <c:v>4.6085779609718296</c:v>
                </c:pt>
                <c:pt idx="50">
                  <c:v>4.1599750971281955</c:v>
                </c:pt>
                <c:pt idx="51">
                  <c:v>3.8842879566633499</c:v>
                </c:pt>
                <c:pt idx="52">
                  <c:v>3.7797755075779627</c:v>
                </c:pt>
              </c:numCache>
            </c:numRef>
          </c:val>
          <c:extLst xmlns:c16r2="http://schemas.microsoft.com/office/drawing/2015/06/chart">
            <c:ext xmlns:c16="http://schemas.microsoft.com/office/drawing/2014/chart" uri="{C3380CC4-5D6E-409C-BE32-E72D297353CC}">
              <c16:uniqueId val="{00000006-30E9-4046-8AC8-33051F54B066}"/>
            </c:ext>
          </c:extLst>
        </c:ser>
        <c:ser>
          <c:idx val="7"/>
          <c:order val="7"/>
          <c:tx>
            <c:strRef>
              <c:f>AB28_EF!$I$1</c:f>
              <c:strCache>
                <c:ptCount val="1"/>
                <c:pt idx="0">
                  <c:v>Poland</c:v>
                </c:pt>
              </c:strCache>
            </c:strRef>
          </c:tx>
          <c:marker>
            <c:symbol val="none"/>
          </c:marker>
          <c:cat>
            <c:numRef>
              <c:f>AB28_EF!$A$2:$A$54</c:f>
              <c:numCache>
                <c:formatCode>General</c:formatCode>
                <c:ptCount val="53"/>
                <c:pt idx="0">
                  <c:v>1961</c:v>
                </c:pt>
                <c:pt idx="1">
                  <c:v>1962</c:v>
                </c:pt>
                <c:pt idx="2">
                  <c:v>1963</c:v>
                </c:pt>
                <c:pt idx="3">
                  <c:v>1964</c:v>
                </c:pt>
                <c:pt idx="4">
                  <c:v>1965</c:v>
                </c:pt>
                <c:pt idx="5">
                  <c:v>1966</c:v>
                </c:pt>
                <c:pt idx="6">
                  <c:v>1967</c:v>
                </c:pt>
                <c:pt idx="7">
                  <c:v>1968</c:v>
                </c:pt>
                <c:pt idx="8">
                  <c:v>1969</c:v>
                </c:pt>
                <c:pt idx="9">
                  <c:v>1970</c:v>
                </c:pt>
                <c:pt idx="10">
                  <c:v>1971</c:v>
                </c:pt>
                <c:pt idx="11">
                  <c:v>1972</c:v>
                </c:pt>
                <c:pt idx="12">
                  <c:v>1973</c:v>
                </c:pt>
                <c:pt idx="13">
                  <c:v>1974</c:v>
                </c:pt>
                <c:pt idx="14">
                  <c:v>1975</c:v>
                </c:pt>
                <c:pt idx="15">
                  <c:v>1976</c:v>
                </c:pt>
                <c:pt idx="16">
                  <c:v>1977</c:v>
                </c:pt>
                <c:pt idx="17">
                  <c:v>1978</c:v>
                </c:pt>
                <c:pt idx="18">
                  <c:v>1979</c:v>
                </c:pt>
                <c:pt idx="19">
                  <c:v>1980</c:v>
                </c:pt>
                <c:pt idx="20">
                  <c:v>1981</c:v>
                </c:pt>
                <c:pt idx="21">
                  <c:v>1982</c:v>
                </c:pt>
                <c:pt idx="22">
                  <c:v>1983</c:v>
                </c:pt>
                <c:pt idx="23">
                  <c:v>1984</c:v>
                </c:pt>
                <c:pt idx="24">
                  <c:v>1985</c:v>
                </c:pt>
                <c:pt idx="25">
                  <c:v>1986</c:v>
                </c:pt>
                <c:pt idx="26">
                  <c:v>1987</c:v>
                </c:pt>
                <c:pt idx="27">
                  <c:v>1988</c:v>
                </c:pt>
                <c:pt idx="28">
                  <c:v>1989</c:v>
                </c:pt>
                <c:pt idx="29">
                  <c:v>1990</c:v>
                </c:pt>
                <c:pt idx="30">
                  <c:v>1991</c:v>
                </c:pt>
                <c:pt idx="31">
                  <c:v>1992</c:v>
                </c:pt>
                <c:pt idx="32">
                  <c:v>1993</c:v>
                </c:pt>
                <c:pt idx="33">
                  <c:v>1994</c:v>
                </c:pt>
                <c:pt idx="34">
                  <c:v>1995</c:v>
                </c:pt>
                <c:pt idx="35">
                  <c:v>1996</c:v>
                </c:pt>
                <c:pt idx="36">
                  <c:v>1997</c:v>
                </c:pt>
                <c:pt idx="37">
                  <c:v>1998</c:v>
                </c:pt>
                <c:pt idx="38">
                  <c:v>1999</c:v>
                </c:pt>
                <c:pt idx="39">
                  <c:v>2000</c:v>
                </c:pt>
                <c:pt idx="40">
                  <c:v>2001</c:v>
                </c:pt>
                <c:pt idx="41">
                  <c:v>2002</c:v>
                </c:pt>
                <c:pt idx="42">
                  <c:v>2003</c:v>
                </c:pt>
                <c:pt idx="43">
                  <c:v>2004</c:v>
                </c:pt>
                <c:pt idx="44">
                  <c:v>2005</c:v>
                </c:pt>
                <c:pt idx="45">
                  <c:v>2006</c:v>
                </c:pt>
                <c:pt idx="46">
                  <c:v>2007</c:v>
                </c:pt>
                <c:pt idx="47">
                  <c:v>2008</c:v>
                </c:pt>
                <c:pt idx="48">
                  <c:v>2009</c:v>
                </c:pt>
                <c:pt idx="49">
                  <c:v>2010</c:v>
                </c:pt>
                <c:pt idx="50">
                  <c:v>2011</c:v>
                </c:pt>
                <c:pt idx="51">
                  <c:v>2012</c:v>
                </c:pt>
                <c:pt idx="52">
                  <c:v>2013</c:v>
                </c:pt>
              </c:numCache>
            </c:numRef>
          </c:cat>
          <c:val>
            <c:numRef>
              <c:f>AB28_EF!$I$2:$I$54</c:f>
              <c:numCache>
                <c:formatCode>General</c:formatCode>
                <c:ptCount val="53"/>
                <c:pt idx="0">
                  <c:v>3.9243490406692998</c:v>
                </c:pt>
                <c:pt idx="1">
                  <c:v>3.9057265767072127</c:v>
                </c:pt>
                <c:pt idx="2">
                  <c:v>4.0634833723408397</c:v>
                </c:pt>
                <c:pt idx="3">
                  <c:v>4.0622145659688842</c:v>
                </c:pt>
                <c:pt idx="4">
                  <c:v>4.2148519688646795</c:v>
                </c:pt>
                <c:pt idx="5">
                  <c:v>4.2998742683345395</c:v>
                </c:pt>
                <c:pt idx="6">
                  <c:v>4.4414140284275785</c:v>
                </c:pt>
                <c:pt idx="7">
                  <c:v>4.6184588162830744</c:v>
                </c:pt>
                <c:pt idx="8">
                  <c:v>4.8270677210628099</c:v>
                </c:pt>
                <c:pt idx="9">
                  <c:v>4.9364117069069895</c:v>
                </c:pt>
                <c:pt idx="10">
                  <c:v>5.0665368010001295</c:v>
                </c:pt>
                <c:pt idx="11">
                  <c:v>5.2569014736750601</c:v>
                </c:pt>
                <c:pt idx="12">
                  <c:v>5.4525759670534821</c:v>
                </c:pt>
                <c:pt idx="13">
                  <c:v>5.6186697423856353</c:v>
                </c:pt>
                <c:pt idx="14">
                  <c:v>5.7033754200790803</c:v>
                </c:pt>
                <c:pt idx="15">
                  <c:v>5.9646470364151796</c:v>
                </c:pt>
                <c:pt idx="16">
                  <c:v>5.9027470842278875</c:v>
                </c:pt>
                <c:pt idx="17">
                  <c:v>6.1451270482807265</c:v>
                </c:pt>
                <c:pt idx="18">
                  <c:v>6.0845737697644795</c:v>
                </c:pt>
                <c:pt idx="19">
                  <c:v>6.0266129765350644</c:v>
                </c:pt>
                <c:pt idx="20">
                  <c:v>5.7619176313039144</c:v>
                </c:pt>
                <c:pt idx="21">
                  <c:v>5.5471642020054821</c:v>
                </c:pt>
                <c:pt idx="22">
                  <c:v>5.4071786364227297</c:v>
                </c:pt>
                <c:pt idx="23">
                  <c:v>5.5366169729120598</c:v>
                </c:pt>
                <c:pt idx="24">
                  <c:v>5.6955816441479321</c:v>
                </c:pt>
                <c:pt idx="25">
                  <c:v>5.7943696967758704</c:v>
                </c:pt>
                <c:pt idx="26">
                  <c:v>5.9420988447435814</c:v>
                </c:pt>
                <c:pt idx="27">
                  <c:v>5.8349460895497396</c:v>
                </c:pt>
                <c:pt idx="28">
                  <c:v>5.5604107137279151</c:v>
                </c:pt>
                <c:pt idx="29">
                  <c:v>4.4211060896553196</c:v>
                </c:pt>
                <c:pt idx="30">
                  <c:v>4.3589508443241796</c:v>
                </c:pt>
                <c:pt idx="31">
                  <c:v>4.0596000906052314</c:v>
                </c:pt>
                <c:pt idx="32">
                  <c:v>4.3655661869791302</c:v>
                </c:pt>
                <c:pt idx="33">
                  <c:v>4.1637038528818398</c:v>
                </c:pt>
                <c:pt idx="34">
                  <c:v>4.4607384007300901</c:v>
                </c:pt>
                <c:pt idx="35">
                  <c:v>4.7086486848490408</c:v>
                </c:pt>
                <c:pt idx="36">
                  <c:v>4.5644605277586443</c:v>
                </c:pt>
                <c:pt idx="37">
                  <c:v>4.4705733199749034</c:v>
                </c:pt>
                <c:pt idx="38">
                  <c:v>4.3504443778101445</c:v>
                </c:pt>
                <c:pt idx="39">
                  <c:v>4.1960558079182642</c:v>
                </c:pt>
                <c:pt idx="40">
                  <c:v>4.254351649219454</c:v>
                </c:pt>
                <c:pt idx="41">
                  <c:v>4.1369652961102297</c:v>
                </c:pt>
                <c:pt idx="42">
                  <c:v>4.1239494129712897</c:v>
                </c:pt>
                <c:pt idx="43">
                  <c:v>4.4443869210639795</c:v>
                </c:pt>
                <c:pt idx="44">
                  <c:v>4.3392415081761904</c:v>
                </c:pt>
                <c:pt idx="45">
                  <c:v>4.4347619626525514</c:v>
                </c:pt>
                <c:pt idx="46">
                  <c:v>4.8667675326064055</c:v>
                </c:pt>
                <c:pt idx="47">
                  <c:v>4.8431670893657603</c:v>
                </c:pt>
                <c:pt idx="48">
                  <c:v>4.6242582160368642</c:v>
                </c:pt>
                <c:pt idx="49">
                  <c:v>4.7706160894938163</c:v>
                </c:pt>
                <c:pt idx="50">
                  <c:v>4.7133447673797875</c:v>
                </c:pt>
                <c:pt idx="51">
                  <c:v>4.4432347870531297</c:v>
                </c:pt>
                <c:pt idx="52">
                  <c:v>4.2902739473422997</c:v>
                </c:pt>
              </c:numCache>
            </c:numRef>
          </c:val>
          <c:extLst xmlns:c16r2="http://schemas.microsoft.com/office/drawing/2015/06/chart">
            <c:ext xmlns:c16="http://schemas.microsoft.com/office/drawing/2014/chart" uri="{C3380CC4-5D6E-409C-BE32-E72D297353CC}">
              <c16:uniqueId val="{00000007-30E9-4046-8AC8-33051F54B066}"/>
            </c:ext>
          </c:extLst>
        </c:ser>
        <c:ser>
          <c:idx val="8"/>
          <c:order val="8"/>
          <c:tx>
            <c:strRef>
              <c:f>AB28_EF!$J$1</c:f>
              <c:strCache>
                <c:ptCount val="1"/>
                <c:pt idx="0">
                  <c:v>Netherland</c:v>
                </c:pt>
              </c:strCache>
            </c:strRef>
          </c:tx>
          <c:marker>
            <c:symbol val="none"/>
          </c:marker>
          <c:cat>
            <c:numRef>
              <c:f>AB28_EF!$A$2:$A$54</c:f>
              <c:numCache>
                <c:formatCode>General</c:formatCode>
                <c:ptCount val="53"/>
                <c:pt idx="0">
                  <c:v>1961</c:v>
                </c:pt>
                <c:pt idx="1">
                  <c:v>1962</c:v>
                </c:pt>
                <c:pt idx="2">
                  <c:v>1963</c:v>
                </c:pt>
                <c:pt idx="3">
                  <c:v>1964</c:v>
                </c:pt>
                <c:pt idx="4">
                  <c:v>1965</c:v>
                </c:pt>
                <c:pt idx="5">
                  <c:v>1966</c:v>
                </c:pt>
                <c:pt idx="6">
                  <c:v>1967</c:v>
                </c:pt>
                <c:pt idx="7">
                  <c:v>1968</c:v>
                </c:pt>
                <c:pt idx="8">
                  <c:v>1969</c:v>
                </c:pt>
                <c:pt idx="9">
                  <c:v>1970</c:v>
                </c:pt>
                <c:pt idx="10">
                  <c:v>1971</c:v>
                </c:pt>
                <c:pt idx="11">
                  <c:v>1972</c:v>
                </c:pt>
                <c:pt idx="12">
                  <c:v>1973</c:v>
                </c:pt>
                <c:pt idx="13">
                  <c:v>1974</c:v>
                </c:pt>
                <c:pt idx="14">
                  <c:v>1975</c:v>
                </c:pt>
                <c:pt idx="15">
                  <c:v>1976</c:v>
                </c:pt>
                <c:pt idx="16">
                  <c:v>1977</c:v>
                </c:pt>
                <c:pt idx="17">
                  <c:v>1978</c:v>
                </c:pt>
                <c:pt idx="18">
                  <c:v>1979</c:v>
                </c:pt>
                <c:pt idx="19">
                  <c:v>1980</c:v>
                </c:pt>
                <c:pt idx="20">
                  <c:v>1981</c:v>
                </c:pt>
                <c:pt idx="21">
                  <c:v>1982</c:v>
                </c:pt>
                <c:pt idx="22">
                  <c:v>1983</c:v>
                </c:pt>
                <c:pt idx="23">
                  <c:v>1984</c:v>
                </c:pt>
                <c:pt idx="24">
                  <c:v>1985</c:v>
                </c:pt>
                <c:pt idx="25">
                  <c:v>1986</c:v>
                </c:pt>
                <c:pt idx="26">
                  <c:v>1987</c:v>
                </c:pt>
                <c:pt idx="27">
                  <c:v>1988</c:v>
                </c:pt>
                <c:pt idx="28">
                  <c:v>1989</c:v>
                </c:pt>
                <c:pt idx="29">
                  <c:v>1990</c:v>
                </c:pt>
                <c:pt idx="30">
                  <c:v>1991</c:v>
                </c:pt>
                <c:pt idx="31">
                  <c:v>1992</c:v>
                </c:pt>
                <c:pt idx="32">
                  <c:v>1993</c:v>
                </c:pt>
                <c:pt idx="33">
                  <c:v>1994</c:v>
                </c:pt>
                <c:pt idx="34">
                  <c:v>1995</c:v>
                </c:pt>
                <c:pt idx="35">
                  <c:v>1996</c:v>
                </c:pt>
                <c:pt idx="36">
                  <c:v>1997</c:v>
                </c:pt>
                <c:pt idx="37">
                  <c:v>1998</c:v>
                </c:pt>
                <c:pt idx="38">
                  <c:v>1999</c:v>
                </c:pt>
                <c:pt idx="39">
                  <c:v>2000</c:v>
                </c:pt>
                <c:pt idx="40">
                  <c:v>2001</c:v>
                </c:pt>
                <c:pt idx="41">
                  <c:v>2002</c:v>
                </c:pt>
                <c:pt idx="42">
                  <c:v>2003</c:v>
                </c:pt>
                <c:pt idx="43">
                  <c:v>2004</c:v>
                </c:pt>
                <c:pt idx="44">
                  <c:v>2005</c:v>
                </c:pt>
                <c:pt idx="45">
                  <c:v>2006</c:v>
                </c:pt>
                <c:pt idx="46">
                  <c:v>2007</c:v>
                </c:pt>
                <c:pt idx="47">
                  <c:v>2008</c:v>
                </c:pt>
                <c:pt idx="48">
                  <c:v>2009</c:v>
                </c:pt>
                <c:pt idx="49">
                  <c:v>2010</c:v>
                </c:pt>
                <c:pt idx="50">
                  <c:v>2011</c:v>
                </c:pt>
                <c:pt idx="51">
                  <c:v>2012</c:v>
                </c:pt>
                <c:pt idx="52">
                  <c:v>2013</c:v>
                </c:pt>
              </c:numCache>
            </c:numRef>
          </c:cat>
          <c:val>
            <c:numRef>
              <c:f>AB28_EF!$J$2:$J$54</c:f>
              <c:numCache>
                <c:formatCode>General</c:formatCode>
                <c:ptCount val="53"/>
                <c:pt idx="0">
                  <c:v>3.4253249710122327</c:v>
                </c:pt>
                <c:pt idx="1">
                  <c:v>3.69495066204176</c:v>
                </c:pt>
                <c:pt idx="2">
                  <c:v>3.9743577612132999</c:v>
                </c:pt>
                <c:pt idx="3">
                  <c:v>4.3177814484982742</c:v>
                </c:pt>
                <c:pt idx="4">
                  <c:v>4.33905752114803</c:v>
                </c:pt>
                <c:pt idx="5">
                  <c:v>4.3906828269124043</c:v>
                </c:pt>
                <c:pt idx="6">
                  <c:v>4.55892875456097</c:v>
                </c:pt>
                <c:pt idx="7">
                  <c:v>4.8640807075647343</c:v>
                </c:pt>
                <c:pt idx="8">
                  <c:v>5.2742220916871965</c:v>
                </c:pt>
                <c:pt idx="9">
                  <c:v>5.8991157136071397</c:v>
                </c:pt>
                <c:pt idx="10">
                  <c:v>5.9637575979382298</c:v>
                </c:pt>
                <c:pt idx="11">
                  <c:v>6.46617833592647</c:v>
                </c:pt>
                <c:pt idx="12">
                  <c:v>6.7854973527677895</c:v>
                </c:pt>
                <c:pt idx="13">
                  <c:v>6.1174519821595865</c:v>
                </c:pt>
                <c:pt idx="14">
                  <c:v>5.868180808225957</c:v>
                </c:pt>
                <c:pt idx="15">
                  <c:v>6.1872876111621</c:v>
                </c:pt>
                <c:pt idx="16">
                  <c:v>6.3695109459031398</c:v>
                </c:pt>
                <c:pt idx="17">
                  <c:v>6.61346751029002</c:v>
                </c:pt>
                <c:pt idx="18">
                  <c:v>6.9780615491223514</c:v>
                </c:pt>
                <c:pt idx="19">
                  <c:v>6.6971016197518765</c:v>
                </c:pt>
                <c:pt idx="20">
                  <c:v>5.724824554994294</c:v>
                </c:pt>
                <c:pt idx="21">
                  <c:v>5.2577898981655755</c:v>
                </c:pt>
                <c:pt idx="22">
                  <c:v>5.1376684682486404</c:v>
                </c:pt>
                <c:pt idx="23">
                  <c:v>5.3563458177333096</c:v>
                </c:pt>
                <c:pt idx="24">
                  <c:v>5.6454726143931264</c:v>
                </c:pt>
                <c:pt idx="25">
                  <c:v>5.5990126530458202</c:v>
                </c:pt>
                <c:pt idx="26">
                  <c:v>5.4320614248676407</c:v>
                </c:pt>
                <c:pt idx="27">
                  <c:v>5.69927762208121</c:v>
                </c:pt>
                <c:pt idx="28">
                  <c:v>5.5297535285174044</c:v>
                </c:pt>
                <c:pt idx="29">
                  <c:v>5.7261303994755943</c:v>
                </c:pt>
                <c:pt idx="30">
                  <c:v>5.7050912608041324</c:v>
                </c:pt>
                <c:pt idx="31">
                  <c:v>5.9864465869861103</c:v>
                </c:pt>
                <c:pt idx="32">
                  <c:v>5.4523381663966966</c:v>
                </c:pt>
                <c:pt idx="33">
                  <c:v>5.7427557337505499</c:v>
                </c:pt>
                <c:pt idx="34">
                  <c:v>5.9701614744518965</c:v>
                </c:pt>
                <c:pt idx="35">
                  <c:v>5.8806913908677902</c:v>
                </c:pt>
                <c:pt idx="36">
                  <c:v>5.1930934333162204</c:v>
                </c:pt>
                <c:pt idx="37">
                  <c:v>5.6647301806548498</c:v>
                </c:pt>
                <c:pt idx="38">
                  <c:v>5.9243823485604921</c:v>
                </c:pt>
                <c:pt idx="39">
                  <c:v>5.6950947978828985</c:v>
                </c:pt>
                <c:pt idx="40">
                  <c:v>5.9381855929254455</c:v>
                </c:pt>
                <c:pt idx="41">
                  <c:v>5.7989323313521304</c:v>
                </c:pt>
                <c:pt idx="42">
                  <c:v>5.8463895803093102</c:v>
                </c:pt>
                <c:pt idx="43">
                  <c:v>5.7378078679488844</c:v>
                </c:pt>
                <c:pt idx="44">
                  <c:v>5.9645763970741097</c:v>
                </c:pt>
                <c:pt idx="45">
                  <c:v>6.1213676290106314</c:v>
                </c:pt>
                <c:pt idx="46">
                  <c:v>6.2559276162977344</c:v>
                </c:pt>
                <c:pt idx="47">
                  <c:v>6.3721900244145804</c:v>
                </c:pt>
                <c:pt idx="48">
                  <c:v>4.9125771173896897</c:v>
                </c:pt>
                <c:pt idx="49">
                  <c:v>5.6964829945127597</c:v>
                </c:pt>
                <c:pt idx="50">
                  <c:v>5.1544062056163344</c:v>
                </c:pt>
                <c:pt idx="51">
                  <c:v>5.2795104612490196</c:v>
                </c:pt>
                <c:pt idx="52">
                  <c:v>5.1313666393314801</c:v>
                </c:pt>
              </c:numCache>
            </c:numRef>
          </c:val>
          <c:extLst xmlns:c16r2="http://schemas.microsoft.com/office/drawing/2015/06/chart">
            <c:ext xmlns:c16="http://schemas.microsoft.com/office/drawing/2014/chart" uri="{C3380CC4-5D6E-409C-BE32-E72D297353CC}">
              <c16:uniqueId val="{00000008-30E9-4046-8AC8-33051F54B066}"/>
            </c:ext>
          </c:extLst>
        </c:ser>
        <c:ser>
          <c:idx val="9"/>
          <c:order val="9"/>
          <c:tx>
            <c:strRef>
              <c:f>AB28_EF!$K$1</c:f>
              <c:strCache>
                <c:ptCount val="1"/>
                <c:pt idx="0">
                  <c:v>luxembourg</c:v>
                </c:pt>
              </c:strCache>
            </c:strRef>
          </c:tx>
          <c:marker>
            <c:symbol val="none"/>
          </c:marker>
          <c:cat>
            <c:numRef>
              <c:f>AB28_EF!$A$2:$A$54</c:f>
              <c:numCache>
                <c:formatCode>General</c:formatCode>
                <c:ptCount val="53"/>
                <c:pt idx="0">
                  <c:v>1961</c:v>
                </c:pt>
                <c:pt idx="1">
                  <c:v>1962</c:v>
                </c:pt>
                <c:pt idx="2">
                  <c:v>1963</c:v>
                </c:pt>
                <c:pt idx="3">
                  <c:v>1964</c:v>
                </c:pt>
                <c:pt idx="4">
                  <c:v>1965</c:v>
                </c:pt>
                <c:pt idx="5">
                  <c:v>1966</c:v>
                </c:pt>
                <c:pt idx="6">
                  <c:v>1967</c:v>
                </c:pt>
                <c:pt idx="7">
                  <c:v>1968</c:v>
                </c:pt>
                <c:pt idx="8">
                  <c:v>1969</c:v>
                </c:pt>
                <c:pt idx="9">
                  <c:v>1970</c:v>
                </c:pt>
                <c:pt idx="10">
                  <c:v>1971</c:v>
                </c:pt>
                <c:pt idx="11">
                  <c:v>1972</c:v>
                </c:pt>
                <c:pt idx="12">
                  <c:v>1973</c:v>
                </c:pt>
                <c:pt idx="13">
                  <c:v>1974</c:v>
                </c:pt>
                <c:pt idx="14">
                  <c:v>1975</c:v>
                </c:pt>
                <c:pt idx="15">
                  <c:v>1976</c:v>
                </c:pt>
                <c:pt idx="16">
                  <c:v>1977</c:v>
                </c:pt>
                <c:pt idx="17">
                  <c:v>1978</c:v>
                </c:pt>
                <c:pt idx="18">
                  <c:v>1979</c:v>
                </c:pt>
                <c:pt idx="19">
                  <c:v>1980</c:v>
                </c:pt>
                <c:pt idx="20">
                  <c:v>1981</c:v>
                </c:pt>
                <c:pt idx="21">
                  <c:v>1982</c:v>
                </c:pt>
                <c:pt idx="22">
                  <c:v>1983</c:v>
                </c:pt>
                <c:pt idx="23">
                  <c:v>1984</c:v>
                </c:pt>
                <c:pt idx="24">
                  <c:v>1985</c:v>
                </c:pt>
                <c:pt idx="25">
                  <c:v>1986</c:v>
                </c:pt>
                <c:pt idx="26">
                  <c:v>1987</c:v>
                </c:pt>
                <c:pt idx="27">
                  <c:v>1988</c:v>
                </c:pt>
                <c:pt idx="28">
                  <c:v>1989</c:v>
                </c:pt>
                <c:pt idx="29">
                  <c:v>1990</c:v>
                </c:pt>
                <c:pt idx="30">
                  <c:v>1991</c:v>
                </c:pt>
                <c:pt idx="31">
                  <c:v>1992</c:v>
                </c:pt>
                <c:pt idx="32">
                  <c:v>1993</c:v>
                </c:pt>
                <c:pt idx="33">
                  <c:v>1994</c:v>
                </c:pt>
                <c:pt idx="34">
                  <c:v>1995</c:v>
                </c:pt>
                <c:pt idx="35">
                  <c:v>1996</c:v>
                </c:pt>
                <c:pt idx="36">
                  <c:v>1997</c:v>
                </c:pt>
                <c:pt idx="37">
                  <c:v>1998</c:v>
                </c:pt>
                <c:pt idx="38">
                  <c:v>1999</c:v>
                </c:pt>
                <c:pt idx="39">
                  <c:v>2000</c:v>
                </c:pt>
                <c:pt idx="40">
                  <c:v>2001</c:v>
                </c:pt>
                <c:pt idx="41">
                  <c:v>2002</c:v>
                </c:pt>
                <c:pt idx="42">
                  <c:v>2003</c:v>
                </c:pt>
                <c:pt idx="43">
                  <c:v>2004</c:v>
                </c:pt>
                <c:pt idx="44">
                  <c:v>2005</c:v>
                </c:pt>
                <c:pt idx="45">
                  <c:v>2006</c:v>
                </c:pt>
                <c:pt idx="46">
                  <c:v>2007</c:v>
                </c:pt>
                <c:pt idx="47">
                  <c:v>2008</c:v>
                </c:pt>
                <c:pt idx="48">
                  <c:v>2009</c:v>
                </c:pt>
                <c:pt idx="49">
                  <c:v>2010</c:v>
                </c:pt>
                <c:pt idx="50">
                  <c:v>2011</c:v>
                </c:pt>
                <c:pt idx="51">
                  <c:v>2012</c:v>
                </c:pt>
                <c:pt idx="52">
                  <c:v>2013</c:v>
                </c:pt>
              </c:numCache>
            </c:numRef>
          </c:cat>
          <c:val>
            <c:numRef>
              <c:f>AB28_EF!$K$2:$K$54</c:f>
              <c:numCache>
                <c:formatCode>General</c:formatCode>
                <c:ptCount val="53"/>
                <c:pt idx="0">
                  <c:v>15.83</c:v>
                </c:pt>
                <c:pt idx="1">
                  <c:v>12.65</c:v>
                </c:pt>
                <c:pt idx="2">
                  <c:v>11.5</c:v>
                </c:pt>
                <c:pt idx="3">
                  <c:v>12.4</c:v>
                </c:pt>
                <c:pt idx="4">
                  <c:v>12.64</c:v>
                </c:pt>
                <c:pt idx="5">
                  <c:v>12.52</c:v>
                </c:pt>
                <c:pt idx="6">
                  <c:v>12.82</c:v>
                </c:pt>
                <c:pt idx="7">
                  <c:v>13.01</c:v>
                </c:pt>
                <c:pt idx="8">
                  <c:v>14.42</c:v>
                </c:pt>
                <c:pt idx="9">
                  <c:v>13.71</c:v>
                </c:pt>
                <c:pt idx="10">
                  <c:v>14.14</c:v>
                </c:pt>
                <c:pt idx="11">
                  <c:v>13.39</c:v>
                </c:pt>
                <c:pt idx="12">
                  <c:v>14.02</c:v>
                </c:pt>
                <c:pt idx="13">
                  <c:v>14.04</c:v>
                </c:pt>
                <c:pt idx="14">
                  <c:v>11.56</c:v>
                </c:pt>
                <c:pt idx="15">
                  <c:v>12.86000000000001</c:v>
                </c:pt>
                <c:pt idx="16">
                  <c:v>12.6</c:v>
                </c:pt>
                <c:pt idx="17">
                  <c:v>13.22</c:v>
                </c:pt>
                <c:pt idx="18">
                  <c:v>12.6</c:v>
                </c:pt>
                <c:pt idx="19">
                  <c:v>11.84</c:v>
                </c:pt>
                <c:pt idx="20">
                  <c:v>10.3</c:v>
                </c:pt>
                <c:pt idx="21">
                  <c:v>10.82</c:v>
                </c:pt>
                <c:pt idx="22">
                  <c:v>9.67</c:v>
                </c:pt>
                <c:pt idx="23">
                  <c:v>10.65</c:v>
                </c:pt>
                <c:pt idx="24">
                  <c:v>11.14</c:v>
                </c:pt>
                <c:pt idx="25">
                  <c:v>11.12</c:v>
                </c:pt>
                <c:pt idx="26">
                  <c:v>11.07</c:v>
                </c:pt>
                <c:pt idx="27">
                  <c:v>12.23</c:v>
                </c:pt>
                <c:pt idx="28">
                  <c:v>12.58</c:v>
                </c:pt>
                <c:pt idx="29">
                  <c:v>12.53</c:v>
                </c:pt>
                <c:pt idx="30">
                  <c:v>12.84</c:v>
                </c:pt>
                <c:pt idx="31">
                  <c:v>12.94</c:v>
                </c:pt>
                <c:pt idx="32">
                  <c:v>13.33</c:v>
                </c:pt>
                <c:pt idx="33">
                  <c:v>13.82</c:v>
                </c:pt>
                <c:pt idx="34">
                  <c:v>13.370000000000006</c:v>
                </c:pt>
                <c:pt idx="35">
                  <c:v>13.88</c:v>
                </c:pt>
                <c:pt idx="36">
                  <c:v>14.83</c:v>
                </c:pt>
                <c:pt idx="37">
                  <c:v>13.77</c:v>
                </c:pt>
                <c:pt idx="38">
                  <c:v>15.11</c:v>
                </c:pt>
                <c:pt idx="39">
                  <c:v>15.870000000000006</c:v>
                </c:pt>
                <c:pt idx="40">
                  <c:v>14.58</c:v>
                </c:pt>
                <c:pt idx="41">
                  <c:v>15.27</c:v>
                </c:pt>
                <c:pt idx="42">
                  <c:v>17.190000000000001</c:v>
                </c:pt>
                <c:pt idx="43">
                  <c:v>15.68</c:v>
                </c:pt>
                <c:pt idx="44">
                  <c:v>15.71</c:v>
                </c:pt>
                <c:pt idx="45">
                  <c:v>15.09</c:v>
                </c:pt>
                <c:pt idx="46">
                  <c:v>14.12</c:v>
                </c:pt>
                <c:pt idx="47">
                  <c:v>15.31</c:v>
                </c:pt>
                <c:pt idx="48">
                  <c:v>13.92</c:v>
                </c:pt>
                <c:pt idx="49">
                  <c:v>15.33</c:v>
                </c:pt>
                <c:pt idx="50">
                  <c:v>14.86000000000001</c:v>
                </c:pt>
                <c:pt idx="51">
                  <c:v>13.72</c:v>
                </c:pt>
                <c:pt idx="52">
                  <c:v>13.09</c:v>
                </c:pt>
              </c:numCache>
            </c:numRef>
          </c:val>
          <c:extLst xmlns:c16r2="http://schemas.microsoft.com/office/drawing/2015/06/chart">
            <c:ext xmlns:c16="http://schemas.microsoft.com/office/drawing/2014/chart" uri="{C3380CC4-5D6E-409C-BE32-E72D297353CC}">
              <c16:uniqueId val="{00000009-30E9-4046-8AC8-33051F54B066}"/>
            </c:ext>
          </c:extLst>
        </c:ser>
        <c:ser>
          <c:idx val="10"/>
          <c:order val="10"/>
          <c:tx>
            <c:strRef>
              <c:f>AB28_EF!$L$1</c:f>
              <c:strCache>
                <c:ptCount val="1"/>
                <c:pt idx="0">
                  <c:v>Italy</c:v>
                </c:pt>
              </c:strCache>
            </c:strRef>
          </c:tx>
          <c:marker>
            <c:symbol val="none"/>
          </c:marker>
          <c:cat>
            <c:numRef>
              <c:f>AB28_EF!$A$2:$A$54</c:f>
              <c:numCache>
                <c:formatCode>General</c:formatCode>
                <c:ptCount val="53"/>
                <c:pt idx="0">
                  <c:v>1961</c:v>
                </c:pt>
                <c:pt idx="1">
                  <c:v>1962</c:v>
                </c:pt>
                <c:pt idx="2">
                  <c:v>1963</c:v>
                </c:pt>
                <c:pt idx="3">
                  <c:v>1964</c:v>
                </c:pt>
                <c:pt idx="4">
                  <c:v>1965</c:v>
                </c:pt>
                <c:pt idx="5">
                  <c:v>1966</c:v>
                </c:pt>
                <c:pt idx="6">
                  <c:v>1967</c:v>
                </c:pt>
                <c:pt idx="7">
                  <c:v>1968</c:v>
                </c:pt>
                <c:pt idx="8">
                  <c:v>1969</c:v>
                </c:pt>
                <c:pt idx="9">
                  <c:v>1970</c:v>
                </c:pt>
                <c:pt idx="10">
                  <c:v>1971</c:v>
                </c:pt>
                <c:pt idx="11">
                  <c:v>1972</c:v>
                </c:pt>
                <c:pt idx="12">
                  <c:v>1973</c:v>
                </c:pt>
                <c:pt idx="13">
                  <c:v>1974</c:v>
                </c:pt>
                <c:pt idx="14">
                  <c:v>1975</c:v>
                </c:pt>
                <c:pt idx="15">
                  <c:v>1976</c:v>
                </c:pt>
                <c:pt idx="16">
                  <c:v>1977</c:v>
                </c:pt>
                <c:pt idx="17">
                  <c:v>1978</c:v>
                </c:pt>
                <c:pt idx="18">
                  <c:v>1979</c:v>
                </c:pt>
                <c:pt idx="19">
                  <c:v>1980</c:v>
                </c:pt>
                <c:pt idx="20">
                  <c:v>1981</c:v>
                </c:pt>
                <c:pt idx="21">
                  <c:v>1982</c:v>
                </c:pt>
                <c:pt idx="22">
                  <c:v>1983</c:v>
                </c:pt>
                <c:pt idx="23">
                  <c:v>1984</c:v>
                </c:pt>
                <c:pt idx="24">
                  <c:v>1985</c:v>
                </c:pt>
                <c:pt idx="25">
                  <c:v>1986</c:v>
                </c:pt>
                <c:pt idx="26">
                  <c:v>1987</c:v>
                </c:pt>
                <c:pt idx="27">
                  <c:v>1988</c:v>
                </c:pt>
                <c:pt idx="28">
                  <c:v>1989</c:v>
                </c:pt>
                <c:pt idx="29">
                  <c:v>1990</c:v>
                </c:pt>
                <c:pt idx="30">
                  <c:v>1991</c:v>
                </c:pt>
                <c:pt idx="31">
                  <c:v>1992</c:v>
                </c:pt>
                <c:pt idx="32">
                  <c:v>1993</c:v>
                </c:pt>
                <c:pt idx="33">
                  <c:v>1994</c:v>
                </c:pt>
                <c:pt idx="34">
                  <c:v>1995</c:v>
                </c:pt>
                <c:pt idx="35">
                  <c:v>1996</c:v>
                </c:pt>
                <c:pt idx="36">
                  <c:v>1997</c:v>
                </c:pt>
                <c:pt idx="37">
                  <c:v>1998</c:v>
                </c:pt>
                <c:pt idx="38">
                  <c:v>1999</c:v>
                </c:pt>
                <c:pt idx="39">
                  <c:v>2000</c:v>
                </c:pt>
                <c:pt idx="40">
                  <c:v>2001</c:v>
                </c:pt>
                <c:pt idx="41">
                  <c:v>2002</c:v>
                </c:pt>
                <c:pt idx="42">
                  <c:v>2003</c:v>
                </c:pt>
                <c:pt idx="43">
                  <c:v>2004</c:v>
                </c:pt>
                <c:pt idx="44">
                  <c:v>2005</c:v>
                </c:pt>
                <c:pt idx="45">
                  <c:v>2006</c:v>
                </c:pt>
                <c:pt idx="46">
                  <c:v>2007</c:v>
                </c:pt>
                <c:pt idx="47">
                  <c:v>2008</c:v>
                </c:pt>
                <c:pt idx="48">
                  <c:v>2009</c:v>
                </c:pt>
                <c:pt idx="49">
                  <c:v>2010</c:v>
                </c:pt>
                <c:pt idx="50">
                  <c:v>2011</c:v>
                </c:pt>
                <c:pt idx="51">
                  <c:v>2012</c:v>
                </c:pt>
                <c:pt idx="52">
                  <c:v>2013</c:v>
                </c:pt>
              </c:numCache>
            </c:numRef>
          </c:cat>
          <c:val>
            <c:numRef>
              <c:f>AB28_EF!$L$2:$L$54</c:f>
              <c:numCache>
                <c:formatCode>General</c:formatCode>
                <c:ptCount val="53"/>
                <c:pt idx="0">
                  <c:v>2.4260117141029527</c:v>
                </c:pt>
                <c:pt idx="1">
                  <c:v>2.5740077612112726</c:v>
                </c:pt>
                <c:pt idx="2">
                  <c:v>2.9129759042838819</c:v>
                </c:pt>
                <c:pt idx="3">
                  <c:v>2.89339133905465</c:v>
                </c:pt>
                <c:pt idx="4">
                  <c:v>3.0077167728692937</c:v>
                </c:pt>
                <c:pt idx="5">
                  <c:v>3.2771147390536899</c:v>
                </c:pt>
                <c:pt idx="6">
                  <c:v>3.5528279055574101</c:v>
                </c:pt>
                <c:pt idx="7">
                  <c:v>3.6113558629094902</c:v>
                </c:pt>
                <c:pt idx="8">
                  <c:v>3.9319609946863587</c:v>
                </c:pt>
                <c:pt idx="9">
                  <c:v>4.22171809875221</c:v>
                </c:pt>
                <c:pt idx="10">
                  <c:v>4.2103809008089446</c:v>
                </c:pt>
                <c:pt idx="11">
                  <c:v>4.4368755670730202</c:v>
                </c:pt>
                <c:pt idx="12">
                  <c:v>4.6825855789656758</c:v>
                </c:pt>
                <c:pt idx="13">
                  <c:v>4.43716166866409</c:v>
                </c:pt>
                <c:pt idx="14">
                  <c:v>4.1606921290497301</c:v>
                </c:pt>
                <c:pt idx="15">
                  <c:v>4.5019609012247352</c:v>
                </c:pt>
                <c:pt idx="16">
                  <c:v>4.4938886913949903</c:v>
                </c:pt>
                <c:pt idx="17">
                  <c:v>4.6332042244999698</c:v>
                </c:pt>
                <c:pt idx="18">
                  <c:v>4.9714878804553804</c:v>
                </c:pt>
                <c:pt idx="19">
                  <c:v>4.9764667914172476</c:v>
                </c:pt>
                <c:pt idx="20">
                  <c:v>4.6365999526874555</c:v>
                </c:pt>
                <c:pt idx="21">
                  <c:v>4.5258241071563843</c:v>
                </c:pt>
                <c:pt idx="22">
                  <c:v>4.5519562161140295</c:v>
                </c:pt>
                <c:pt idx="23">
                  <c:v>4.677078540415704</c:v>
                </c:pt>
                <c:pt idx="24">
                  <c:v>4.7412707868725166</c:v>
                </c:pt>
                <c:pt idx="25">
                  <c:v>4.8313693624171776</c:v>
                </c:pt>
                <c:pt idx="26">
                  <c:v>5.0703627236036128</c:v>
                </c:pt>
                <c:pt idx="27">
                  <c:v>4.9948833870292075</c:v>
                </c:pt>
                <c:pt idx="28">
                  <c:v>5.2230672255445665</c:v>
                </c:pt>
                <c:pt idx="29">
                  <c:v>5.2984536019990403</c:v>
                </c:pt>
                <c:pt idx="30">
                  <c:v>5.5351993741238434</c:v>
                </c:pt>
                <c:pt idx="31">
                  <c:v>5.4011334024208395</c:v>
                </c:pt>
                <c:pt idx="32">
                  <c:v>5.0853383874376314</c:v>
                </c:pt>
                <c:pt idx="33">
                  <c:v>5.2883319006751597</c:v>
                </c:pt>
                <c:pt idx="34">
                  <c:v>5.3511111175583155</c:v>
                </c:pt>
                <c:pt idx="35">
                  <c:v>5.1715326996979885</c:v>
                </c:pt>
                <c:pt idx="36">
                  <c:v>5.4057479042176064</c:v>
                </c:pt>
                <c:pt idx="37">
                  <c:v>5.6280367145949395</c:v>
                </c:pt>
                <c:pt idx="38">
                  <c:v>5.6651434690267655</c:v>
                </c:pt>
                <c:pt idx="39">
                  <c:v>5.7360118327691714</c:v>
                </c:pt>
                <c:pt idx="40">
                  <c:v>5.6073073863950365</c:v>
                </c:pt>
                <c:pt idx="41">
                  <c:v>5.6350548186223675</c:v>
                </c:pt>
                <c:pt idx="42">
                  <c:v>5.7417989603518365</c:v>
                </c:pt>
                <c:pt idx="43">
                  <c:v>5.8917134840533896</c:v>
                </c:pt>
                <c:pt idx="44">
                  <c:v>5.8353510733133724</c:v>
                </c:pt>
                <c:pt idx="45">
                  <c:v>5.8701139439083798</c:v>
                </c:pt>
                <c:pt idx="46">
                  <c:v>5.7514937901710566</c:v>
                </c:pt>
                <c:pt idx="47">
                  <c:v>5.3877925894943104</c:v>
                </c:pt>
                <c:pt idx="48">
                  <c:v>5.00500291617083</c:v>
                </c:pt>
                <c:pt idx="49">
                  <c:v>5.30027514765258</c:v>
                </c:pt>
                <c:pt idx="50">
                  <c:v>5.1353470886257497</c:v>
                </c:pt>
                <c:pt idx="51">
                  <c:v>4.6099417884132663</c:v>
                </c:pt>
                <c:pt idx="52">
                  <c:v>4.4703235575498104</c:v>
                </c:pt>
              </c:numCache>
            </c:numRef>
          </c:val>
          <c:extLst xmlns:c16r2="http://schemas.microsoft.com/office/drawing/2015/06/chart">
            <c:ext xmlns:c16="http://schemas.microsoft.com/office/drawing/2014/chart" uri="{C3380CC4-5D6E-409C-BE32-E72D297353CC}">
              <c16:uniqueId val="{0000000A-30E9-4046-8AC8-33051F54B066}"/>
            </c:ext>
          </c:extLst>
        </c:ser>
        <c:ser>
          <c:idx val="11"/>
          <c:order val="11"/>
          <c:tx>
            <c:strRef>
              <c:f>AB28_EF!$M$1</c:f>
              <c:strCache>
                <c:ptCount val="1"/>
                <c:pt idx="0">
                  <c:v>Irland</c:v>
                </c:pt>
              </c:strCache>
            </c:strRef>
          </c:tx>
          <c:marker>
            <c:symbol val="none"/>
          </c:marker>
          <c:cat>
            <c:numRef>
              <c:f>AB28_EF!$A$2:$A$54</c:f>
              <c:numCache>
                <c:formatCode>General</c:formatCode>
                <c:ptCount val="53"/>
                <c:pt idx="0">
                  <c:v>1961</c:v>
                </c:pt>
                <c:pt idx="1">
                  <c:v>1962</c:v>
                </c:pt>
                <c:pt idx="2">
                  <c:v>1963</c:v>
                </c:pt>
                <c:pt idx="3">
                  <c:v>1964</c:v>
                </c:pt>
                <c:pt idx="4">
                  <c:v>1965</c:v>
                </c:pt>
                <c:pt idx="5">
                  <c:v>1966</c:v>
                </c:pt>
                <c:pt idx="6">
                  <c:v>1967</c:v>
                </c:pt>
                <c:pt idx="7">
                  <c:v>1968</c:v>
                </c:pt>
                <c:pt idx="8">
                  <c:v>1969</c:v>
                </c:pt>
                <c:pt idx="9">
                  <c:v>1970</c:v>
                </c:pt>
                <c:pt idx="10">
                  <c:v>1971</c:v>
                </c:pt>
                <c:pt idx="11">
                  <c:v>1972</c:v>
                </c:pt>
                <c:pt idx="12">
                  <c:v>1973</c:v>
                </c:pt>
                <c:pt idx="13">
                  <c:v>1974</c:v>
                </c:pt>
                <c:pt idx="14">
                  <c:v>1975</c:v>
                </c:pt>
                <c:pt idx="15">
                  <c:v>1976</c:v>
                </c:pt>
                <c:pt idx="16">
                  <c:v>1977</c:v>
                </c:pt>
                <c:pt idx="17">
                  <c:v>1978</c:v>
                </c:pt>
                <c:pt idx="18">
                  <c:v>1979</c:v>
                </c:pt>
                <c:pt idx="19">
                  <c:v>1980</c:v>
                </c:pt>
                <c:pt idx="20">
                  <c:v>1981</c:v>
                </c:pt>
                <c:pt idx="21">
                  <c:v>1982</c:v>
                </c:pt>
                <c:pt idx="22">
                  <c:v>1983</c:v>
                </c:pt>
                <c:pt idx="23">
                  <c:v>1984</c:v>
                </c:pt>
                <c:pt idx="24">
                  <c:v>1985</c:v>
                </c:pt>
                <c:pt idx="25">
                  <c:v>1986</c:v>
                </c:pt>
                <c:pt idx="26">
                  <c:v>1987</c:v>
                </c:pt>
                <c:pt idx="27">
                  <c:v>1988</c:v>
                </c:pt>
                <c:pt idx="28">
                  <c:v>1989</c:v>
                </c:pt>
                <c:pt idx="29">
                  <c:v>1990</c:v>
                </c:pt>
                <c:pt idx="30">
                  <c:v>1991</c:v>
                </c:pt>
                <c:pt idx="31">
                  <c:v>1992</c:v>
                </c:pt>
                <c:pt idx="32">
                  <c:v>1993</c:v>
                </c:pt>
                <c:pt idx="33">
                  <c:v>1994</c:v>
                </c:pt>
                <c:pt idx="34">
                  <c:v>1995</c:v>
                </c:pt>
                <c:pt idx="35">
                  <c:v>1996</c:v>
                </c:pt>
                <c:pt idx="36">
                  <c:v>1997</c:v>
                </c:pt>
                <c:pt idx="37">
                  <c:v>1998</c:v>
                </c:pt>
                <c:pt idx="38">
                  <c:v>1999</c:v>
                </c:pt>
                <c:pt idx="39">
                  <c:v>2000</c:v>
                </c:pt>
                <c:pt idx="40">
                  <c:v>2001</c:v>
                </c:pt>
                <c:pt idx="41">
                  <c:v>2002</c:v>
                </c:pt>
                <c:pt idx="42">
                  <c:v>2003</c:v>
                </c:pt>
                <c:pt idx="43">
                  <c:v>2004</c:v>
                </c:pt>
                <c:pt idx="44">
                  <c:v>2005</c:v>
                </c:pt>
                <c:pt idx="45">
                  <c:v>2006</c:v>
                </c:pt>
                <c:pt idx="46">
                  <c:v>2007</c:v>
                </c:pt>
                <c:pt idx="47">
                  <c:v>2008</c:v>
                </c:pt>
                <c:pt idx="48">
                  <c:v>2009</c:v>
                </c:pt>
                <c:pt idx="49">
                  <c:v>2010</c:v>
                </c:pt>
                <c:pt idx="50">
                  <c:v>2011</c:v>
                </c:pt>
                <c:pt idx="51">
                  <c:v>2012</c:v>
                </c:pt>
                <c:pt idx="52">
                  <c:v>2013</c:v>
                </c:pt>
              </c:numCache>
            </c:numRef>
          </c:cat>
          <c:val>
            <c:numRef>
              <c:f>AB28_EF!$M$2:$M$54</c:f>
              <c:numCache>
                <c:formatCode>General</c:formatCode>
                <c:ptCount val="53"/>
                <c:pt idx="0">
                  <c:v>4.0418538699367055</c:v>
                </c:pt>
                <c:pt idx="1">
                  <c:v>4.0970397252256596</c:v>
                </c:pt>
                <c:pt idx="2">
                  <c:v>4.1508677137703724</c:v>
                </c:pt>
                <c:pt idx="3">
                  <c:v>4.2414458080919397</c:v>
                </c:pt>
                <c:pt idx="4">
                  <c:v>4.2272918209352275</c:v>
                </c:pt>
                <c:pt idx="5">
                  <c:v>4.39320890761807</c:v>
                </c:pt>
                <c:pt idx="6">
                  <c:v>4.4887754517920264</c:v>
                </c:pt>
                <c:pt idx="7">
                  <c:v>4.9868393727265303</c:v>
                </c:pt>
                <c:pt idx="8">
                  <c:v>5.0660111492141704</c:v>
                </c:pt>
                <c:pt idx="9">
                  <c:v>5.2117497654426908</c:v>
                </c:pt>
                <c:pt idx="10">
                  <c:v>5.5099687193243865</c:v>
                </c:pt>
                <c:pt idx="11">
                  <c:v>5.5529106246395443</c:v>
                </c:pt>
                <c:pt idx="12">
                  <c:v>5.7296651392243776</c:v>
                </c:pt>
                <c:pt idx="13">
                  <c:v>5.7168036933752253</c:v>
                </c:pt>
                <c:pt idx="14">
                  <c:v>4.8212355005718797</c:v>
                </c:pt>
                <c:pt idx="15">
                  <c:v>5.2420472450165398</c:v>
                </c:pt>
                <c:pt idx="16">
                  <c:v>5.5374471055043566</c:v>
                </c:pt>
                <c:pt idx="17">
                  <c:v>5.2660312845504604</c:v>
                </c:pt>
                <c:pt idx="18">
                  <c:v>6.115785460838512</c:v>
                </c:pt>
                <c:pt idx="19">
                  <c:v>5.3490974097016366</c:v>
                </c:pt>
                <c:pt idx="20">
                  <c:v>5.5547838504637443</c:v>
                </c:pt>
                <c:pt idx="21">
                  <c:v>5.3387173002361603</c:v>
                </c:pt>
                <c:pt idx="22">
                  <c:v>5.0267692851278696</c:v>
                </c:pt>
                <c:pt idx="23">
                  <c:v>5.1256392991844475</c:v>
                </c:pt>
                <c:pt idx="24">
                  <c:v>5.664025007646929</c:v>
                </c:pt>
                <c:pt idx="25">
                  <c:v>5.7358668507380797</c:v>
                </c:pt>
                <c:pt idx="26">
                  <c:v>5.89262927237968</c:v>
                </c:pt>
                <c:pt idx="27">
                  <c:v>5.6815483635558497</c:v>
                </c:pt>
                <c:pt idx="28">
                  <c:v>5.8975562657053331</c:v>
                </c:pt>
                <c:pt idx="29">
                  <c:v>6.5715549919368197</c:v>
                </c:pt>
                <c:pt idx="30">
                  <c:v>6.4172666844908077</c:v>
                </c:pt>
                <c:pt idx="31">
                  <c:v>5.9918201059583476</c:v>
                </c:pt>
                <c:pt idx="32">
                  <c:v>5.6435424278440314</c:v>
                </c:pt>
                <c:pt idx="33">
                  <c:v>6.2771310003830703</c:v>
                </c:pt>
                <c:pt idx="34">
                  <c:v>6.2793369204670499</c:v>
                </c:pt>
                <c:pt idx="35">
                  <c:v>6.7495889125664466</c:v>
                </c:pt>
                <c:pt idx="36">
                  <c:v>6.1665813299416143</c:v>
                </c:pt>
                <c:pt idx="37">
                  <c:v>6.5593851633659686</c:v>
                </c:pt>
                <c:pt idx="38">
                  <c:v>6.8997104699515202</c:v>
                </c:pt>
                <c:pt idx="39">
                  <c:v>6.7601942412295744</c:v>
                </c:pt>
                <c:pt idx="40">
                  <c:v>6.9326771543580863</c:v>
                </c:pt>
                <c:pt idx="41">
                  <c:v>6.4009993564444496</c:v>
                </c:pt>
                <c:pt idx="42">
                  <c:v>6.1399807012684695</c:v>
                </c:pt>
                <c:pt idx="43">
                  <c:v>6.352547600015094</c:v>
                </c:pt>
                <c:pt idx="44">
                  <c:v>6.5453592347539704</c:v>
                </c:pt>
                <c:pt idx="45">
                  <c:v>7.0973110801502601</c:v>
                </c:pt>
                <c:pt idx="46">
                  <c:v>6.8791076711664845</c:v>
                </c:pt>
                <c:pt idx="47">
                  <c:v>6.827482539954234</c:v>
                </c:pt>
                <c:pt idx="48">
                  <c:v>5.9780685481249414</c:v>
                </c:pt>
                <c:pt idx="49">
                  <c:v>5.9490097216453677</c:v>
                </c:pt>
                <c:pt idx="50">
                  <c:v>5.3478753304031095</c:v>
                </c:pt>
                <c:pt idx="51">
                  <c:v>5.5661912575469801</c:v>
                </c:pt>
                <c:pt idx="52">
                  <c:v>5.5647221772723299</c:v>
                </c:pt>
              </c:numCache>
            </c:numRef>
          </c:val>
          <c:extLst xmlns:c16r2="http://schemas.microsoft.com/office/drawing/2015/06/chart">
            <c:ext xmlns:c16="http://schemas.microsoft.com/office/drawing/2014/chart" uri="{C3380CC4-5D6E-409C-BE32-E72D297353CC}">
              <c16:uniqueId val="{0000000B-30E9-4046-8AC8-33051F54B066}"/>
            </c:ext>
          </c:extLst>
        </c:ser>
        <c:ser>
          <c:idx val="12"/>
          <c:order val="12"/>
          <c:tx>
            <c:strRef>
              <c:f>AB28_EF!$N$1</c:f>
              <c:strCache>
                <c:ptCount val="1"/>
                <c:pt idx="0">
                  <c:v>Hungary</c:v>
                </c:pt>
              </c:strCache>
            </c:strRef>
          </c:tx>
          <c:marker>
            <c:symbol val="none"/>
          </c:marker>
          <c:cat>
            <c:numRef>
              <c:f>AB28_EF!$A$2:$A$54</c:f>
              <c:numCache>
                <c:formatCode>General</c:formatCode>
                <c:ptCount val="53"/>
                <c:pt idx="0">
                  <c:v>1961</c:v>
                </c:pt>
                <c:pt idx="1">
                  <c:v>1962</c:v>
                </c:pt>
                <c:pt idx="2">
                  <c:v>1963</c:v>
                </c:pt>
                <c:pt idx="3">
                  <c:v>1964</c:v>
                </c:pt>
                <c:pt idx="4">
                  <c:v>1965</c:v>
                </c:pt>
                <c:pt idx="5">
                  <c:v>1966</c:v>
                </c:pt>
                <c:pt idx="6">
                  <c:v>1967</c:v>
                </c:pt>
                <c:pt idx="7">
                  <c:v>1968</c:v>
                </c:pt>
                <c:pt idx="8">
                  <c:v>1969</c:v>
                </c:pt>
                <c:pt idx="9">
                  <c:v>1970</c:v>
                </c:pt>
                <c:pt idx="10">
                  <c:v>1971</c:v>
                </c:pt>
                <c:pt idx="11">
                  <c:v>1972</c:v>
                </c:pt>
                <c:pt idx="12">
                  <c:v>1973</c:v>
                </c:pt>
                <c:pt idx="13">
                  <c:v>1974</c:v>
                </c:pt>
                <c:pt idx="14">
                  <c:v>1975</c:v>
                </c:pt>
                <c:pt idx="15">
                  <c:v>1976</c:v>
                </c:pt>
                <c:pt idx="16">
                  <c:v>1977</c:v>
                </c:pt>
                <c:pt idx="17">
                  <c:v>1978</c:v>
                </c:pt>
                <c:pt idx="18">
                  <c:v>1979</c:v>
                </c:pt>
                <c:pt idx="19">
                  <c:v>1980</c:v>
                </c:pt>
                <c:pt idx="20">
                  <c:v>1981</c:v>
                </c:pt>
                <c:pt idx="21">
                  <c:v>1982</c:v>
                </c:pt>
                <c:pt idx="22">
                  <c:v>1983</c:v>
                </c:pt>
                <c:pt idx="23">
                  <c:v>1984</c:v>
                </c:pt>
                <c:pt idx="24">
                  <c:v>1985</c:v>
                </c:pt>
                <c:pt idx="25">
                  <c:v>1986</c:v>
                </c:pt>
                <c:pt idx="26">
                  <c:v>1987</c:v>
                </c:pt>
                <c:pt idx="27">
                  <c:v>1988</c:v>
                </c:pt>
                <c:pt idx="28">
                  <c:v>1989</c:v>
                </c:pt>
                <c:pt idx="29">
                  <c:v>1990</c:v>
                </c:pt>
                <c:pt idx="30">
                  <c:v>1991</c:v>
                </c:pt>
                <c:pt idx="31">
                  <c:v>1992</c:v>
                </c:pt>
                <c:pt idx="32">
                  <c:v>1993</c:v>
                </c:pt>
                <c:pt idx="33">
                  <c:v>1994</c:v>
                </c:pt>
                <c:pt idx="34">
                  <c:v>1995</c:v>
                </c:pt>
                <c:pt idx="35">
                  <c:v>1996</c:v>
                </c:pt>
                <c:pt idx="36">
                  <c:v>1997</c:v>
                </c:pt>
                <c:pt idx="37">
                  <c:v>1998</c:v>
                </c:pt>
                <c:pt idx="38">
                  <c:v>1999</c:v>
                </c:pt>
                <c:pt idx="39">
                  <c:v>2000</c:v>
                </c:pt>
                <c:pt idx="40">
                  <c:v>2001</c:v>
                </c:pt>
                <c:pt idx="41">
                  <c:v>2002</c:v>
                </c:pt>
                <c:pt idx="42">
                  <c:v>2003</c:v>
                </c:pt>
                <c:pt idx="43">
                  <c:v>2004</c:v>
                </c:pt>
                <c:pt idx="44">
                  <c:v>2005</c:v>
                </c:pt>
                <c:pt idx="45">
                  <c:v>2006</c:v>
                </c:pt>
                <c:pt idx="46">
                  <c:v>2007</c:v>
                </c:pt>
                <c:pt idx="47">
                  <c:v>2008</c:v>
                </c:pt>
                <c:pt idx="48">
                  <c:v>2009</c:v>
                </c:pt>
                <c:pt idx="49">
                  <c:v>2010</c:v>
                </c:pt>
                <c:pt idx="50">
                  <c:v>2011</c:v>
                </c:pt>
                <c:pt idx="51">
                  <c:v>2012</c:v>
                </c:pt>
                <c:pt idx="52">
                  <c:v>2013</c:v>
                </c:pt>
              </c:numCache>
            </c:numRef>
          </c:cat>
          <c:val>
            <c:numRef>
              <c:f>AB28_EF!$N$2:$N$54</c:f>
              <c:numCache>
                <c:formatCode>General</c:formatCode>
                <c:ptCount val="53"/>
                <c:pt idx="0">
                  <c:v>2.9299999999999997</c:v>
                </c:pt>
                <c:pt idx="1">
                  <c:v>3.11</c:v>
                </c:pt>
                <c:pt idx="2">
                  <c:v>3.3499999999999988</c:v>
                </c:pt>
                <c:pt idx="3">
                  <c:v>3.62</c:v>
                </c:pt>
                <c:pt idx="4">
                  <c:v>3.64</c:v>
                </c:pt>
                <c:pt idx="5">
                  <c:v>3.7</c:v>
                </c:pt>
                <c:pt idx="6">
                  <c:v>3.71</c:v>
                </c:pt>
                <c:pt idx="7">
                  <c:v>3.7600000000000002</c:v>
                </c:pt>
                <c:pt idx="8">
                  <c:v>3.9299999999999997</c:v>
                </c:pt>
                <c:pt idx="9">
                  <c:v>3.96</c:v>
                </c:pt>
                <c:pt idx="10">
                  <c:v>4.3099999999999996</c:v>
                </c:pt>
                <c:pt idx="11">
                  <c:v>4.24</c:v>
                </c:pt>
                <c:pt idx="12">
                  <c:v>4.45</c:v>
                </c:pt>
                <c:pt idx="13">
                  <c:v>4.55</c:v>
                </c:pt>
                <c:pt idx="14">
                  <c:v>4.4300000000000024</c:v>
                </c:pt>
                <c:pt idx="15">
                  <c:v>4.5599999999999996</c:v>
                </c:pt>
                <c:pt idx="16">
                  <c:v>4.7</c:v>
                </c:pt>
                <c:pt idx="17">
                  <c:v>5.08</c:v>
                </c:pt>
                <c:pt idx="18">
                  <c:v>4.8099999999999996</c:v>
                </c:pt>
                <c:pt idx="19">
                  <c:v>5.04</c:v>
                </c:pt>
                <c:pt idx="20">
                  <c:v>4.71</c:v>
                </c:pt>
                <c:pt idx="21">
                  <c:v>4.78</c:v>
                </c:pt>
                <c:pt idx="22">
                  <c:v>4.67</c:v>
                </c:pt>
                <c:pt idx="23">
                  <c:v>4.9000000000000004</c:v>
                </c:pt>
                <c:pt idx="24">
                  <c:v>4.6599999999999975</c:v>
                </c:pt>
                <c:pt idx="25">
                  <c:v>4.7300000000000004</c:v>
                </c:pt>
                <c:pt idx="26">
                  <c:v>4.75</c:v>
                </c:pt>
                <c:pt idx="27">
                  <c:v>4.72</c:v>
                </c:pt>
                <c:pt idx="28">
                  <c:v>4.6899999999999995</c:v>
                </c:pt>
                <c:pt idx="29">
                  <c:v>4.1899999999999995</c:v>
                </c:pt>
                <c:pt idx="30">
                  <c:v>4.28</c:v>
                </c:pt>
                <c:pt idx="31">
                  <c:v>3.1</c:v>
                </c:pt>
                <c:pt idx="32">
                  <c:v>3.4699999999999998</c:v>
                </c:pt>
                <c:pt idx="33">
                  <c:v>3.8499999999999988</c:v>
                </c:pt>
                <c:pt idx="34">
                  <c:v>3.4099999999999997</c:v>
                </c:pt>
                <c:pt idx="35">
                  <c:v>3.74</c:v>
                </c:pt>
                <c:pt idx="36">
                  <c:v>3.7600000000000002</c:v>
                </c:pt>
                <c:pt idx="37">
                  <c:v>3.65</c:v>
                </c:pt>
                <c:pt idx="38">
                  <c:v>3.62</c:v>
                </c:pt>
                <c:pt idx="39">
                  <c:v>3.4899999999999998</c:v>
                </c:pt>
                <c:pt idx="40">
                  <c:v>4.01</c:v>
                </c:pt>
                <c:pt idx="41">
                  <c:v>3.8</c:v>
                </c:pt>
                <c:pt idx="42">
                  <c:v>3.7600000000000002</c:v>
                </c:pt>
                <c:pt idx="43">
                  <c:v>4.6899999999999995</c:v>
                </c:pt>
                <c:pt idx="44">
                  <c:v>4.29</c:v>
                </c:pt>
                <c:pt idx="45">
                  <c:v>4.0999999999999996</c:v>
                </c:pt>
                <c:pt idx="46">
                  <c:v>3.57</c:v>
                </c:pt>
                <c:pt idx="47">
                  <c:v>4.13</c:v>
                </c:pt>
                <c:pt idx="48">
                  <c:v>3.36</c:v>
                </c:pt>
                <c:pt idx="49">
                  <c:v>3.19</c:v>
                </c:pt>
                <c:pt idx="50">
                  <c:v>3.52</c:v>
                </c:pt>
                <c:pt idx="51">
                  <c:v>2.98</c:v>
                </c:pt>
                <c:pt idx="52">
                  <c:v>3.2600000000000002</c:v>
                </c:pt>
              </c:numCache>
            </c:numRef>
          </c:val>
          <c:extLst xmlns:c16r2="http://schemas.microsoft.com/office/drawing/2015/06/chart">
            <c:ext xmlns:c16="http://schemas.microsoft.com/office/drawing/2014/chart" uri="{C3380CC4-5D6E-409C-BE32-E72D297353CC}">
              <c16:uniqueId val="{0000000C-30E9-4046-8AC8-33051F54B066}"/>
            </c:ext>
          </c:extLst>
        </c:ser>
        <c:ser>
          <c:idx val="13"/>
          <c:order val="13"/>
          <c:tx>
            <c:strRef>
              <c:f>AB28_EF!$O$1</c:f>
              <c:strCache>
                <c:ptCount val="1"/>
                <c:pt idx="0">
                  <c:v>Greece</c:v>
                </c:pt>
              </c:strCache>
            </c:strRef>
          </c:tx>
          <c:marker>
            <c:symbol val="none"/>
          </c:marker>
          <c:cat>
            <c:numRef>
              <c:f>AB28_EF!$A$2:$A$54</c:f>
              <c:numCache>
                <c:formatCode>General</c:formatCode>
                <c:ptCount val="53"/>
                <c:pt idx="0">
                  <c:v>1961</c:v>
                </c:pt>
                <c:pt idx="1">
                  <c:v>1962</c:v>
                </c:pt>
                <c:pt idx="2">
                  <c:v>1963</c:v>
                </c:pt>
                <c:pt idx="3">
                  <c:v>1964</c:v>
                </c:pt>
                <c:pt idx="4">
                  <c:v>1965</c:v>
                </c:pt>
                <c:pt idx="5">
                  <c:v>1966</c:v>
                </c:pt>
                <c:pt idx="6">
                  <c:v>1967</c:v>
                </c:pt>
                <c:pt idx="7">
                  <c:v>1968</c:v>
                </c:pt>
                <c:pt idx="8">
                  <c:v>1969</c:v>
                </c:pt>
                <c:pt idx="9">
                  <c:v>1970</c:v>
                </c:pt>
                <c:pt idx="10">
                  <c:v>1971</c:v>
                </c:pt>
                <c:pt idx="11">
                  <c:v>1972</c:v>
                </c:pt>
                <c:pt idx="12">
                  <c:v>1973</c:v>
                </c:pt>
                <c:pt idx="13">
                  <c:v>1974</c:v>
                </c:pt>
                <c:pt idx="14">
                  <c:v>1975</c:v>
                </c:pt>
                <c:pt idx="15">
                  <c:v>1976</c:v>
                </c:pt>
                <c:pt idx="16">
                  <c:v>1977</c:v>
                </c:pt>
                <c:pt idx="17">
                  <c:v>1978</c:v>
                </c:pt>
                <c:pt idx="18">
                  <c:v>1979</c:v>
                </c:pt>
                <c:pt idx="19">
                  <c:v>1980</c:v>
                </c:pt>
                <c:pt idx="20">
                  <c:v>1981</c:v>
                </c:pt>
                <c:pt idx="21">
                  <c:v>1982</c:v>
                </c:pt>
                <c:pt idx="22">
                  <c:v>1983</c:v>
                </c:pt>
                <c:pt idx="23">
                  <c:v>1984</c:v>
                </c:pt>
                <c:pt idx="24">
                  <c:v>1985</c:v>
                </c:pt>
                <c:pt idx="25">
                  <c:v>1986</c:v>
                </c:pt>
                <c:pt idx="26">
                  <c:v>1987</c:v>
                </c:pt>
                <c:pt idx="27">
                  <c:v>1988</c:v>
                </c:pt>
                <c:pt idx="28">
                  <c:v>1989</c:v>
                </c:pt>
                <c:pt idx="29">
                  <c:v>1990</c:v>
                </c:pt>
                <c:pt idx="30">
                  <c:v>1991</c:v>
                </c:pt>
                <c:pt idx="31">
                  <c:v>1992</c:v>
                </c:pt>
                <c:pt idx="32">
                  <c:v>1993</c:v>
                </c:pt>
                <c:pt idx="33">
                  <c:v>1994</c:v>
                </c:pt>
                <c:pt idx="34">
                  <c:v>1995</c:v>
                </c:pt>
                <c:pt idx="35">
                  <c:v>1996</c:v>
                </c:pt>
                <c:pt idx="36">
                  <c:v>1997</c:v>
                </c:pt>
                <c:pt idx="37">
                  <c:v>1998</c:v>
                </c:pt>
                <c:pt idx="38">
                  <c:v>1999</c:v>
                </c:pt>
                <c:pt idx="39">
                  <c:v>2000</c:v>
                </c:pt>
                <c:pt idx="40">
                  <c:v>2001</c:v>
                </c:pt>
                <c:pt idx="41">
                  <c:v>2002</c:v>
                </c:pt>
                <c:pt idx="42">
                  <c:v>2003</c:v>
                </c:pt>
                <c:pt idx="43">
                  <c:v>2004</c:v>
                </c:pt>
                <c:pt idx="44">
                  <c:v>2005</c:v>
                </c:pt>
                <c:pt idx="45">
                  <c:v>2006</c:v>
                </c:pt>
                <c:pt idx="46">
                  <c:v>2007</c:v>
                </c:pt>
                <c:pt idx="47">
                  <c:v>2008</c:v>
                </c:pt>
                <c:pt idx="48">
                  <c:v>2009</c:v>
                </c:pt>
                <c:pt idx="49">
                  <c:v>2010</c:v>
                </c:pt>
                <c:pt idx="50">
                  <c:v>2011</c:v>
                </c:pt>
                <c:pt idx="51">
                  <c:v>2012</c:v>
                </c:pt>
                <c:pt idx="52">
                  <c:v>2013</c:v>
                </c:pt>
              </c:numCache>
            </c:numRef>
          </c:cat>
          <c:val>
            <c:numRef>
              <c:f>AB28_EF!$O$2:$O$54</c:f>
              <c:numCache>
                <c:formatCode>General</c:formatCode>
                <c:ptCount val="53"/>
                <c:pt idx="0">
                  <c:v>1.8503633901571988</c:v>
                </c:pt>
                <c:pt idx="1">
                  <c:v>1.7581162945952105</c:v>
                </c:pt>
                <c:pt idx="2">
                  <c:v>1.9330006737004395</c:v>
                </c:pt>
                <c:pt idx="3">
                  <c:v>2.0612990816893002</c:v>
                </c:pt>
                <c:pt idx="4">
                  <c:v>2.2982107778052732</c:v>
                </c:pt>
                <c:pt idx="5">
                  <c:v>2.3471138928144026</c:v>
                </c:pt>
                <c:pt idx="6">
                  <c:v>2.3984850357924277</c:v>
                </c:pt>
                <c:pt idx="7">
                  <c:v>2.419512605478825</c:v>
                </c:pt>
                <c:pt idx="8">
                  <c:v>2.5779963006842102</c:v>
                </c:pt>
                <c:pt idx="9">
                  <c:v>2.9124160939924675</c:v>
                </c:pt>
                <c:pt idx="10">
                  <c:v>3.014099930424806</c:v>
                </c:pt>
                <c:pt idx="11">
                  <c:v>3.2406999174693802</c:v>
                </c:pt>
                <c:pt idx="12">
                  <c:v>3.5306057436659701</c:v>
                </c:pt>
                <c:pt idx="13">
                  <c:v>3.3831464223694798</c:v>
                </c:pt>
                <c:pt idx="14">
                  <c:v>3.3533099311633277</c:v>
                </c:pt>
                <c:pt idx="15">
                  <c:v>4.0477237732568314</c:v>
                </c:pt>
                <c:pt idx="16">
                  <c:v>3.6042707209727927</c:v>
                </c:pt>
                <c:pt idx="17">
                  <c:v>3.7947170139590698</c:v>
                </c:pt>
                <c:pt idx="18">
                  <c:v>3.8422179055103101</c:v>
                </c:pt>
                <c:pt idx="19">
                  <c:v>3.8348503572776198</c:v>
                </c:pt>
                <c:pt idx="20">
                  <c:v>3.6565637894581875</c:v>
                </c:pt>
                <c:pt idx="21">
                  <c:v>3.8083770449914338</c:v>
                </c:pt>
                <c:pt idx="22">
                  <c:v>3.7084427180349602</c:v>
                </c:pt>
                <c:pt idx="23">
                  <c:v>3.7424374615928202</c:v>
                </c:pt>
                <c:pt idx="24">
                  <c:v>4.1282314060660941</c:v>
                </c:pt>
                <c:pt idx="25">
                  <c:v>4.1972709849378598</c:v>
                </c:pt>
                <c:pt idx="26">
                  <c:v>4.5686124465113975</c:v>
                </c:pt>
                <c:pt idx="27">
                  <c:v>4.5861656543257396</c:v>
                </c:pt>
                <c:pt idx="28">
                  <c:v>4.896714397045554</c:v>
                </c:pt>
                <c:pt idx="29">
                  <c:v>4.8255542097092778</c:v>
                </c:pt>
                <c:pt idx="30">
                  <c:v>4.9864630978624707</c:v>
                </c:pt>
                <c:pt idx="31">
                  <c:v>4.8915888588194321</c:v>
                </c:pt>
                <c:pt idx="32">
                  <c:v>4.7449596745454645</c:v>
                </c:pt>
                <c:pt idx="33">
                  <c:v>4.8433176367842155</c:v>
                </c:pt>
                <c:pt idx="34">
                  <c:v>5.0071338434203785</c:v>
                </c:pt>
                <c:pt idx="35">
                  <c:v>5.1337033452457304</c:v>
                </c:pt>
                <c:pt idx="36">
                  <c:v>5.0500978451343199</c:v>
                </c:pt>
                <c:pt idx="37">
                  <c:v>5.2451923799447497</c:v>
                </c:pt>
                <c:pt idx="38">
                  <c:v>5.2677262547247299</c:v>
                </c:pt>
                <c:pt idx="39">
                  <c:v>6.96831389034441</c:v>
                </c:pt>
                <c:pt idx="40">
                  <c:v>5.8807564098190701</c:v>
                </c:pt>
                <c:pt idx="41">
                  <c:v>5.5316658139950263</c:v>
                </c:pt>
                <c:pt idx="42">
                  <c:v>5.8263892038190699</c:v>
                </c:pt>
                <c:pt idx="43">
                  <c:v>5.9882167472718004</c:v>
                </c:pt>
                <c:pt idx="44">
                  <c:v>5.9563583383470302</c:v>
                </c:pt>
                <c:pt idx="45">
                  <c:v>6.1422803800961301</c:v>
                </c:pt>
                <c:pt idx="46">
                  <c:v>6.4188865995276698</c:v>
                </c:pt>
                <c:pt idx="47">
                  <c:v>5.9948226903853996</c:v>
                </c:pt>
                <c:pt idx="48">
                  <c:v>5.6672186117096555</c:v>
                </c:pt>
                <c:pt idx="49">
                  <c:v>5.0950308027064422</c:v>
                </c:pt>
                <c:pt idx="50">
                  <c:v>4.7708566050383734</c:v>
                </c:pt>
                <c:pt idx="51">
                  <c:v>4.3806759299337203</c:v>
                </c:pt>
                <c:pt idx="52">
                  <c:v>4.1377498812270996</c:v>
                </c:pt>
              </c:numCache>
            </c:numRef>
          </c:val>
          <c:extLst xmlns:c16r2="http://schemas.microsoft.com/office/drawing/2015/06/chart">
            <c:ext xmlns:c16="http://schemas.microsoft.com/office/drawing/2014/chart" uri="{C3380CC4-5D6E-409C-BE32-E72D297353CC}">
              <c16:uniqueId val="{0000000D-30E9-4046-8AC8-33051F54B066}"/>
            </c:ext>
          </c:extLst>
        </c:ser>
        <c:ser>
          <c:idx val="14"/>
          <c:order val="14"/>
          <c:tx>
            <c:strRef>
              <c:f>AB28_EF!$P$1</c:f>
              <c:strCache>
                <c:ptCount val="1"/>
                <c:pt idx="0">
                  <c:v>Germany</c:v>
                </c:pt>
              </c:strCache>
            </c:strRef>
          </c:tx>
          <c:marker>
            <c:symbol val="none"/>
          </c:marker>
          <c:cat>
            <c:numRef>
              <c:f>AB28_EF!$A$2:$A$54</c:f>
              <c:numCache>
                <c:formatCode>General</c:formatCode>
                <c:ptCount val="53"/>
                <c:pt idx="0">
                  <c:v>1961</c:v>
                </c:pt>
                <c:pt idx="1">
                  <c:v>1962</c:v>
                </c:pt>
                <c:pt idx="2">
                  <c:v>1963</c:v>
                </c:pt>
                <c:pt idx="3">
                  <c:v>1964</c:v>
                </c:pt>
                <c:pt idx="4">
                  <c:v>1965</c:v>
                </c:pt>
                <c:pt idx="5">
                  <c:v>1966</c:v>
                </c:pt>
                <c:pt idx="6">
                  <c:v>1967</c:v>
                </c:pt>
                <c:pt idx="7">
                  <c:v>1968</c:v>
                </c:pt>
                <c:pt idx="8">
                  <c:v>1969</c:v>
                </c:pt>
                <c:pt idx="9">
                  <c:v>1970</c:v>
                </c:pt>
                <c:pt idx="10">
                  <c:v>1971</c:v>
                </c:pt>
                <c:pt idx="11">
                  <c:v>1972</c:v>
                </c:pt>
                <c:pt idx="12">
                  <c:v>1973</c:v>
                </c:pt>
                <c:pt idx="13">
                  <c:v>1974</c:v>
                </c:pt>
                <c:pt idx="14">
                  <c:v>1975</c:v>
                </c:pt>
                <c:pt idx="15">
                  <c:v>1976</c:v>
                </c:pt>
                <c:pt idx="16">
                  <c:v>1977</c:v>
                </c:pt>
                <c:pt idx="17">
                  <c:v>1978</c:v>
                </c:pt>
                <c:pt idx="18">
                  <c:v>1979</c:v>
                </c:pt>
                <c:pt idx="19">
                  <c:v>1980</c:v>
                </c:pt>
                <c:pt idx="20">
                  <c:v>1981</c:v>
                </c:pt>
                <c:pt idx="21">
                  <c:v>1982</c:v>
                </c:pt>
                <c:pt idx="22">
                  <c:v>1983</c:v>
                </c:pt>
                <c:pt idx="23">
                  <c:v>1984</c:v>
                </c:pt>
                <c:pt idx="24">
                  <c:v>1985</c:v>
                </c:pt>
                <c:pt idx="25">
                  <c:v>1986</c:v>
                </c:pt>
                <c:pt idx="26">
                  <c:v>1987</c:v>
                </c:pt>
                <c:pt idx="27">
                  <c:v>1988</c:v>
                </c:pt>
                <c:pt idx="28">
                  <c:v>1989</c:v>
                </c:pt>
                <c:pt idx="29">
                  <c:v>1990</c:v>
                </c:pt>
                <c:pt idx="30">
                  <c:v>1991</c:v>
                </c:pt>
                <c:pt idx="31">
                  <c:v>1992</c:v>
                </c:pt>
                <c:pt idx="32">
                  <c:v>1993</c:v>
                </c:pt>
                <c:pt idx="33">
                  <c:v>1994</c:v>
                </c:pt>
                <c:pt idx="34">
                  <c:v>1995</c:v>
                </c:pt>
                <c:pt idx="35">
                  <c:v>1996</c:v>
                </c:pt>
                <c:pt idx="36">
                  <c:v>1997</c:v>
                </c:pt>
                <c:pt idx="37">
                  <c:v>1998</c:v>
                </c:pt>
                <c:pt idx="38">
                  <c:v>1999</c:v>
                </c:pt>
                <c:pt idx="39">
                  <c:v>2000</c:v>
                </c:pt>
                <c:pt idx="40">
                  <c:v>2001</c:v>
                </c:pt>
                <c:pt idx="41">
                  <c:v>2002</c:v>
                </c:pt>
                <c:pt idx="42">
                  <c:v>2003</c:v>
                </c:pt>
                <c:pt idx="43">
                  <c:v>2004</c:v>
                </c:pt>
                <c:pt idx="44">
                  <c:v>2005</c:v>
                </c:pt>
                <c:pt idx="45">
                  <c:v>2006</c:v>
                </c:pt>
                <c:pt idx="46">
                  <c:v>2007</c:v>
                </c:pt>
                <c:pt idx="47">
                  <c:v>2008</c:v>
                </c:pt>
                <c:pt idx="48">
                  <c:v>2009</c:v>
                </c:pt>
                <c:pt idx="49">
                  <c:v>2010</c:v>
                </c:pt>
                <c:pt idx="50">
                  <c:v>2011</c:v>
                </c:pt>
                <c:pt idx="51">
                  <c:v>2012</c:v>
                </c:pt>
                <c:pt idx="52">
                  <c:v>2013</c:v>
                </c:pt>
              </c:numCache>
            </c:numRef>
          </c:cat>
          <c:val>
            <c:numRef>
              <c:f>AB28_EF!$P$2:$P$54</c:f>
              <c:numCache>
                <c:formatCode>General</c:formatCode>
                <c:ptCount val="53"/>
                <c:pt idx="0">
                  <c:v>4.1776690527868263</c:v>
                </c:pt>
                <c:pt idx="1">
                  <c:v>4.5104863046256298</c:v>
                </c:pt>
                <c:pt idx="2">
                  <c:v>4.5858065480072421</c:v>
                </c:pt>
                <c:pt idx="3">
                  <c:v>4.7407941051157803</c:v>
                </c:pt>
                <c:pt idx="4">
                  <c:v>4.8177942182002242</c:v>
                </c:pt>
                <c:pt idx="5">
                  <c:v>4.794913961709482</c:v>
                </c:pt>
                <c:pt idx="6">
                  <c:v>4.7482921434685865</c:v>
                </c:pt>
                <c:pt idx="7">
                  <c:v>4.9641598698530043</c:v>
                </c:pt>
                <c:pt idx="8">
                  <c:v>5.3182022327746363</c:v>
                </c:pt>
                <c:pt idx="9">
                  <c:v>6.6900798944896263</c:v>
                </c:pt>
                <c:pt idx="10">
                  <c:v>6.7319153889828263</c:v>
                </c:pt>
                <c:pt idx="11">
                  <c:v>6.9458913833308564</c:v>
                </c:pt>
                <c:pt idx="12">
                  <c:v>7.0793433192942796</c:v>
                </c:pt>
                <c:pt idx="13">
                  <c:v>6.6847108953958045</c:v>
                </c:pt>
                <c:pt idx="14">
                  <c:v>6.4337807576569865</c:v>
                </c:pt>
                <c:pt idx="15">
                  <c:v>6.8015330122605304</c:v>
                </c:pt>
                <c:pt idx="16">
                  <c:v>6.8038615032650398</c:v>
                </c:pt>
                <c:pt idx="17">
                  <c:v>7.0477906942416952</c:v>
                </c:pt>
                <c:pt idx="18">
                  <c:v>7.3326375246410898</c:v>
                </c:pt>
                <c:pt idx="19">
                  <c:v>7.066311808201994</c:v>
                </c:pt>
                <c:pt idx="20">
                  <c:v>6.6592558690693844</c:v>
                </c:pt>
                <c:pt idx="21">
                  <c:v>6.5004387646261703</c:v>
                </c:pt>
                <c:pt idx="22">
                  <c:v>6.4695304278780386</c:v>
                </c:pt>
                <c:pt idx="23">
                  <c:v>6.6053221681045899</c:v>
                </c:pt>
                <c:pt idx="24">
                  <c:v>6.66880059184082</c:v>
                </c:pt>
                <c:pt idx="25">
                  <c:v>6.6543961836394798</c:v>
                </c:pt>
                <c:pt idx="26">
                  <c:v>6.5828773238457465</c:v>
                </c:pt>
                <c:pt idx="27">
                  <c:v>6.5515643844988833</c:v>
                </c:pt>
                <c:pt idx="28">
                  <c:v>6.4953314006193663</c:v>
                </c:pt>
                <c:pt idx="29">
                  <c:v>6.8227089550711799</c:v>
                </c:pt>
                <c:pt idx="30">
                  <c:v>6.2609098741758142</c:v>
                </c:pt>
                <c:pt idx="31">
                  <c:v>6.0879626163022698</c:v>
                </c:pt>
                <c:pt idx="32">
                  <c:v>5.8479413343081497</c:v>
                </c:pt>
                <c:pt idx="33">
                  <c:v>5.9014958278681702</c:v>
                </c:pt>
                <c:pt idx="34">
                  <c:v>5.8238113976571944</c:v>
                </c:pt>
                <c:pt idx="35">
                  <c:v>5.7552435038745076</c:v>
                </c:pt>
                <c:pt idx="36">
                  <c:v>5.6743062157156698</c:v>
                </c:pt>
                <c:pt idx="37">
                  <c:v>5.7212661163957401</c:v>
                </c:pt>
                <c:pt idx="38">
                  <c:v>5.4187056926058803</c:v>
                </c:pt>
                <c:pt idx="39">
                  <c:v>5.5873243456876995</c:v>
                </c:pt>
                <c:pt idx="40">
                  <c:v>5.4937973721898263</c:v>
                </c:pt>
                <c:pt idx="41">
                  <c:v>5.2748669455487098</c:v>
                </c:pt>
                <c:pt idx="42">
                  <c:v>5.3357710853013165</c:v>
                </c:pt>
                <c:pt idx="43">
                  <c:v>5.4575409975742399</c:v>
                </c:pt>
                <c:pt idx="44">
                  <c:v>5.2904970987208264</c:v>
                </c:pt>
                <c:pt idx="45">
                  <c:v>5.5082165559743714</c:v>
                </c:pt>
                <c:pt idx="46">
                  <c:v>5.5211040067517745</c:v>
                </c:pt>
                <c:pt idx="47">
                  <c:v>5.4071019791273542</c:v>
                </c:pt>
                <c:pt idx="48">
                  <c:v>5.1179577989859322</c:v>
                </c:pt>
                <c:pt idx="49">
                  <c:v>5.500634049605944</c:v>
                </c:pt>
                <c:pt idx="50">
                  <c:v>5.4564506282029202</c:v>
                </c:pt>
                <c:pt idx="51">
                  <c:v>5.2962891942997965</c:v>
                </c:pt>
                <c:pt idx="52">
                  <c:v>5.3050026549591198</c:v>
                </c:pt>
              </c:numCache>
            </c:numRef>
          </c:val>
          <c:extLst xmlns:c16r2="http://schemas.microsoft.com/office/drawing/2015/06/chart">
            <c:ext xmlns:c16="http://schemas.microsoft.com/office/drawing/2014/chart" uri="{C3380CC4-5D6E-409C-BE32-E72D297353CC}">
              <c16:uniqueId val="{0000000E-30E9-4046-8AC8-33051F54B066}"/>
            </c:ext>
          </c:extLst>
        </c:ser>
        <c:ser>
          <c:idx val="15"/>
          <c:order val="15"/>
          <c:tx>
            <c:strRef>
              <c:f>AB28_EF!$Q$1</c:f>
              <c:strCache>
                <c:ptCount val="1"/>
                <c:pt idx="0">
                  <c:v>France</c:v>
                </c:pt>
              </c:strCache>
            </c:strRef>
          </c:tx>
          <c:marker>
            <c:symbol val="none"/>
          </c:marker>
          <c:cat>
            <c:numRef>
              <c:f>AB28_EF!$A$2:$A$54</c:f>
              <c:numCache>
                <c:formatCode>General</c:formatCode>
                <c:ptCount val="53"/>
                <c:pt idx="0">
                  <c:v>1961</c:v>
                </c:pt>
                <c:pt idx="1">
                  <c:v>1962</c:v>
                </c:pt>
                <c:pt idx="2">
                  <c:v>1963</c:v>
                </c:pt>
                <c:pt idx="3">
                  <c:v>1964</c:v>
                </c:pt>
                <c:pt idx="4">
                  <c:v>1965</c:v>
                </c:pt>
                <c:pt idx="5">
                  <c:v>1966</c:v>
                </c:pt>
                <c:pt idx="6">
                  <c:v>1967</c:v>
                </c:pt>
                <c:pt idx="7">
                  <c:v>1968</c:v>
                </c:pt>
                <c:pt idx="8">
                  <c:v>1969</c:v>
                </c:pt>
                <c:pt idx="9">
                  <c:v>1970</c:v>
                </c:pt>
                <c:pt idx="10">
                  <c:v>1971</c:v>
                </c:pt>
                <c:pt idx="11">
                  <c:v>1972</c:v>
                </c:pt>
                <c:pt idx="12">
                  <c:v>1973</c:v>
                </c:pt>
                <c:pt idx="13">
                  <c:v>1974</c:v>
                </c:pt>
                <c:pt idx="14">
                  <c:v>1975</c:v>
                </c:pt>
                <c:pt idx="15">
                  <c:v>1976</c:v>
                </c:pt>
                <c:pt idx="16">
                  <c:v>1977</c:v>
                </c:pt>
                <c:pt idx="17">
                  <c:v>1978</c:v>
                </c:pt>
                <c:pt idx="18">
                  <c:v>1979</c:v>
                </c:pt>
                <c:pt idx="19">
                  <c:v>1980</c:v>
                </c:pt>
                <c:pt idx="20">
                  <c:v>1981</c:v>
                </c:pt>
                <c:pt idx="21">
                  <c:v>1982</c:v>
                </c:pt>
                <c:pt idx="22">
                  <c:v>1983</c:v>
                </c:pt>
                <c:pt idx="23">
                  <c:v>1984</c:v>
                </c:pt>
                <c:pt idx="24">
                  <c:v>1985</c:v>
                </c:pt>
                <c:pt idx="25">
                  <c:v>1986</c:v>
                </c:pt>
                <c:pt idx="26">
                  <c:v>1987</c:v>
                </c:pt>
                <c:pt idx="27">
                  <c:v>1988</c:v>
                </c:pt>
                <c:pt idx="28">
                  <c:v>1989</c:v>
                </c:pt>
                <c:pt idx="29">
                  <c:v>1990</c:v>
                </c:pt>
                <c:pt idx="30">
                  <c:v>1991</c:v>
                </c:pt>
                <c:pt idx="31">
                  <c:v>1992</c:v>
                </c:pt>
                <c:pt idx="32">
                  <c:v>1993</c:v>
                </c:pt>
                <c:pt idx="33">
                  <c:v>1994</c:v>
                </c:pt>
                <c:pt idx="34">
                  <c:v>1995</c:v>
                </c:pt>
                <c:pt idx="35">
                  <c:v>1996</c:v>
                </c:pt>
                <c:pt idx="36">
                  <c:v>1997</c:v>
                </c:pt>
                <c:pt idx="37">
                  <c:v>1998</c:v>
                </c:pt>
                <c:pt idx="38">
                  <c:v>1999</c:v>
                </c:pt>
                <c:pt idx="39">
                  <c:v>2000</c:v>
                </c:pt>
                <c:pt idx="40">
                  <c:v>2001</c:v>
                </c:pt>
                <c:pt idx="41">
                  <c:v>2002</c:v>
                </c:pt>
                <c:pt idx="42">
                  <c:v>2003</c:v>
                </c:pt>
                <c:pt idx="43">
                  <c:v>2004</c:v>
                </c:pt>
                <c:pt idx="44">
                  <c:v>2005</c:v>
                </c:pt>
                <c:pt idx="45">
                  <c:v>2006</c:v>
                </c:pt>
                <c:pt idx="46">
                  <c:v>2007</c:v>
                </c:pt>
                <c:pt idx="47">
                  <c:v>2008</c:v>
                </c:pt>
                <c:pt idx="48">
                  <c:v>2009</c:v>
                </c:pt>
                <c:pt idx="49">
                  <c:v>2010</c:v>
                </c:pt>
                <c:pt idx="50">
                  <c:v>2011</c:v>
                </c:pt>
                <c:pt idx="51">
                  <c:v>2012</c:v>
                </c:pt>
                <c:pt idx="52">
                  <c:v>2013</c:v>
                </c:pt>
              </c:numCache>
            </c:numRef>
          </c:cat>
          <c:val>
            <c:numRef>
              <c:f>AB28_EF!$Q$2:$Q$54</c:f>
              <c:numCache>
                <c:formatCode>General</c:formatCode>
                <c:ptCount val="53"/>
                <c:pt idx="0">
                  <c:v>4.1959665129769244</c:v>
                </c:pt>
                <c:pt idx="1">
                  <c:v>4.4713151400671904</c:v>
                </c:pt>
                <c:pt idx="2">
                  <c:v>4.5600642957247999</c:v>
                </c:pt>
                <c:pt idx="3">
                  <c:v>4.7417729291269302</c:v>
                </c:pt>
                <c:pt idx="4">
                  <c:v>4.7550020509016004</c:v>
                </c:pt>
                <c:pt idx="5">
                  <c:v>4.7621273971127795</c:v>
                </c:pt>
                <c:pt idx="6">
                  <c:v>4.9970798725419385</c:v>
                </c:pt>
                <c:pt idx="7">
                  <c:v>4.9964802564873665</c:v>
                </c:pt>
                <c:pt idx="8">
                  <c:v>5.2762806782488996</c:v>
                </c:pt>
                <c:pt idx="9">
                  <c:v>5.6708452367428865</c:v>
                </c:pt>
                <c:pt idx="10">
                  <c:v>5.8934014891847823</c:v>
                </c:pt>
                <c:pt idx="11">
                  <c:v>6.0716810434845163</c:v>
                </c:pt>
                <c:pt idx="12">
                  <c:v>6.3943594552135101</c:v>
                </c:pt>
                <c:pt idx="13">
                  <c:v>6.0714631740022496</c:v>
                </c:pt>
                <c:pt idx="14">
                  <c:v>5.5561732937769204</c:v>
                </c:pt>
                <c:pt idx="15">
                  <c:v>5.9501494096617664</c:v>
                </c:pt>
                <c:pt idx="16">
                  <c:v>5.9622329076069951</c:v>
                </c:pt>
                <c:pt idx="17">
                  <c:v>6.1250557040741498</c:v>
                </c:pt>
                <c:pt idx="18">
                  <c:v>6.2215894451307703</c:v>
                </c:pt>
                <c:pt idx="19">
                  <c:v>6.1801269941835724</c:v>
                </c:pt>
                <c:pt idx="20">
                  <c:v>5.50068415002037</c:v>
                </c:pt>
                <c:pt idx="21">
                  <c:v>5.5200279701636497</c:v>
                </c:pt>
                <c:pt idx="22">
                  <c:v>5.2079750940543814</c:v>
                </c:pt>
                <c:pt idx="23">
                  <c:v>5.2430872376090543</c:v>
                </c:pt>
                <c:pt idx="24">
                  <c:v>5.2381294165597598</c:v>
                </c:pt>
                <c:pt idx="25">
                  <c:v>5.3015176712199743</c:v>
                </c:pt>
                <c:pt idx="26">
                  <c:v>5.5132720836230895</c:v>
                </c:pt>
                <c:pt idx="27">
                  <c:v>5.666189827534982</c:v>
                </c:pt>
                <c:pt idx="28">
                  <c:v>5.7410562670516603</c:v>
                </c:pt>
                <c:pt idx="29">
                  <c:v>5.7663361902105503</c:v>
                </c:pt>
                <c:pt idx="30">
                  <c:v>5.9901494371889701</c:v>
                </c:pt>
                <c:pt idx="31">
                  <c:v>5.85289292912916</c:v>
                </c:pt>
                <c:pt idx="32">
                  <c:v>5.3274845951062231</c:v>
                </c:pt>
                <c:pt idx="33">
                  <c:v>5.6509318215856643</c:v>
                </c:pt>
                <c:pt idx="34">
                  <c:v>5.5952371037297404</c:v>
                </c:pt>
                <c:pt idx="35">
                  <c:v>5.6378276691448201</c:v>
                </c:pt>
                <c:pt idx="36">
                  <c:v>5.5826537752628953</c:v>
                </c:pt>
                <c:pt idx="37">
                  <c:v>5.9919760020255897</c:v>
                </c:pt>
                <c:pt idx="38">
                  <c:v>5.7543031214243676</c:v>
                </c:pt>
                <c:pt idx="39">
                  <c:v>5.8408998738312601</c:v>
                </c:pt>
                <c:pt idx="40">
                  <c:v>5.7557108593537141</c:v>
                </c:pt>
                <c:pt idx="41">
                  <c:v>5.7503315392682941</c:v>
                </c:pt>
                <c:pt idx="42">
                  <c:v>5.3314169355773897</c:v>
                </c:pt>
                <c:pt idx="43">
                  <c:v>5.7930423936733719</c:v>
                </c:pt>
                <c:pt idx="44">
                  <c:v>5.6068802627585921</c:v>
                </c:pt>
                <c:pt idx="45">
                  <c:v>5.6190896064300775</c:v>
                </c:pt>
                <c:pt idx="46">
                  <c:v>5.7156700427644314</c:v>
                </c:pt>
                <c:pt idx="47">
                  <c:v>5.78030121240299</c:v>
                </c:pt>
                <c:pt idx="48">
                  <c:v>5.41701395498667</c:v>
                </c:pt>
                <c:pt idx="49">
                  <c:v>5.38149195993714</c:v>
                </c:pt>
                <c:pt idx="50">
                  <c:v>5.1200808695311721</c:v>
                </c:pt>
                <c:pt idx="51">
                  <c:v>5.1421942800815366</c:v>
                </c:pt>
                <c:pt idx="52">
                  <c:v>4.9827635311462402</c:v>
                </c:pt>
              </c:numCache>
            </c:numRef>
          </c:val>
          <c:extLst xmlns:c16r2="http://schemas.microsoft.com/office/drawing/2015/06/chart">
            <c:ext xmlns:c16="http://schemas.microsoft.com/office/drawing/2014/chart" uri="{C3380CC4-5D6E-409C-BE32-E72D297353CC}">
              <c16:uniqueId val="{0000000F-30E9-4046-8AC8-33051F54B066}"/>
            </c:ext>
          </c:extLst>
        </c:ser>
        <c:ser>
          <c:idx val="16"/>
          <c:order val="16"/>
          <c:tx>
            <c:strRef>
              <c:f>AB28_EF!$R$1</c:f>
              <c:strCache>
                <c:ptCount val="1"/>
                <c:pt idx="0">
                  <c:v>Finland</c:v>
                </c:pt>
              </c:strCache>
            </c:strRef>
          </c:tx>
          <c:marker>
            <c:symbol val="none"/>
          </c:marker>
          <c:cat>
            <c:numRef>
              <c:f>AB28_EF!$A$2:$A$54</c:f>
              <c:numCache>
                <c:formatCode>General</c:formatCode>
                <c:ptCount val="53"/>
                <c:pt idx="0">
                  <c:v>1961</c:v>
                </c:pt>
                <c:pt idx="1">
                  <c:v>1962</c:v>
                </c:pt>
                <c:pt idx="2">
                  <c:v>1963</c:v>
                </c:pt>
                <c:pt idx="3">
                  <c:v>1964</c:v>
                </c:pt>
                <c:pt idx="4">
                  <c:v>1965</c:v>
                </c:pt>
                <c:pt idx="5">
                  <c:v>1966</c:v>
                </c:pt>
                <c:pt idx="6">
                  <c:v>1967</c:v>
                </c:pt>
                <c:pt idx="7">
                  <c:v>1968</c:v>
                </c:pt>
                <c:pt idx="8">
                  <c:v>1969</c:v>
                </c:pt>
                <c:pt idx="9">
                  <c:v>1970</c:v>
                </c:pt>
                <c:pt idx="10">
                  <c:v>1971</c:v>
                </c:pt>
                <c:pt idx="11">
                  <c:v>1972</c:v>
                </c:pt>
                <c:pt idx="12">
                  <c:v>1973</c:v>
                </c:pt>
                <c:pt idx="13">
                  <c:v>1974</c:v>
                </c:pt>
                <c:pt idx="14">
                  <c:v>1975</c:v>
                </c:pt>
                <c:pt idx="15">
                  <c:v>1976</c:v>
                </c:pt>
                <c:pt idx="16">
                  <c:v>1977</c:v>
                </c:pt>
                <c:pt idx="17">
                  <c:v>1978</c:v>
                </c:pt>
                <c:pt idx="18">
                  <c:v>1979</c:v>
                </c:pt>
                <c:pt idx="19">
                  <c:v>1980</c:v>
                </c:pt>
                <c:pt idx="20">
                  <c:v>1981</c:v>
                </c:pt>
                <c:pt idx="21">
                  <c:v>1982</c:v>
                </c:pt>
                <c:pt idx="22">
                  <c:v>1983</c:v>
                </c:pt>
                <c:pt idx="23">
                  <c:v>1984</c:v>
                </c:pt>
                <c:pt idx="24">
                  <c:v>1985</c:v>
                </c:pt>
                <c:pt idx="25">
                  <c:v>1986</c:v>
                </c:pt>
                <c:pt idx="26">
                  <c:v>1987</c:v>
                </c:pt>
                <c:pt idx="27">
                  <c:v>1988</c:v>
                </c:pt>
                <c:pt idx="28">
                  <c:v>1989</c:v>
                </c:pt>
                <c:pt idx="29">
                  <c:v>1990</c:v>
                </c:pt>
                <c:pt idx="30">
                  <c:v>1991</c:v>
                </c:pt>
                <c:pt idx="31">
                  <c:v>1992</c:v>
                </c:pt>
                <c:pt idx="32">
                  <c:v>1993</c:v>
                </c:pt>
                <c:pt idx="33">
                  <c:v>1994</c:v>
                </c:pt>
                <c:pt idx="34">
                  <c:v>1995</c:v>
                </c:pt>
                <c:pt idx="35">
                  <c:v>1996</c:v>
                </c:pt>
                <c:pt idx="36">
                  <c:v>1997</c:v>
                </c:pt>
                <c:pt idx="37">
                  <c:v>1998</c:v>
                </c:pt>
                <c:pt idx="38">
                  <c:v>1999</c:v>
                </c:pt>
                <c:pt idx="39">
                  <c:v>2000</c:v>
                </c:pt>
                <c:pt idx="40">
                  <c:v>2001</c:v>
                </c:pt>
                <c:pt idx="41">
                  <c:v>2002</c:v>
                </c:pt>
                <c:pt idx="42">
                  <c:v>2003</c:v>
                </c:pt>
                <c:pt idx="43">
                  <c:v>2004</c:v>
                </c:pt>
                <c:pt idx="44">
                  <c:v>2005</c:v>
                </c:pt>
                <c:pt idx="45">
                  <c:v>2006</c:v>
                </c:pt>
                <c:pt idx="46">
                  <c:v>2007</c:v>
                </c:pt>
                <c:pt idx="47">
                  <c:v>2008</c:v>
                </c:pt>
                <c:pt idx="48">
                  <c:v>2009</c:v>
                </c:pt>
                <c:pt idx="49">
                  <c:v>2010</c:v>
                </c:pt>
                <c:pt idx="50">
                  <c:v>2011</c:v>
                </c:pt>
                <c:pt idx="51">
                  <c:v>2012</c:v>
                </c:pt>
                <c:pt idx="52">
                  <c:v>2013</c:v>
                </c:pt>
              </c:numCache>
            </c:numRef>
          </c:cat>
          <c:val>
            <c:numRef>
              <c:f>AB28_EF!$R$2:$R$54</c:f>
              <c:numCache>
                <c:formatCode>General</c:formatCode>
                <c:ptCount val="53"/>
                <c:pt idx="0">
                  <c:v>5.4761912690120402</c:v>
                </c:pt>
                <c:pt idx="1">
                  <c:v>5.0383503026110263</c:v>
                </c:pt>
                <c:pt idx="2">
                  <c:v>6.4559443794114539</c:v>
                </c:pt>
                <c:pt idx="3">
                  <c:v>5.4744697833287006</c:v>
                </c:pt>
                <c:pt idx="4">
                  <c:v>5.7136008369815796</c:v>
                </c:pt>
                <c:pt idx="5">
                  <c:v>5.3538251904181253</c:v>
                </c:pt>
                <c:pt idx="6">
                  <c:v>5.6354937813838566</c:v>
                </c:pt>
                <c:pt idx="7">
                  <c:v>5.5879100838483797</c:v>
                </c:pt>
                <c:pt idx="8">
                  <c:v>6.2045247306469902</c:v>
                </c:pt>
                <c:pt idx="9">
                  <c:v>6.9408416756153501</c:v>
                </c:pt>
                <c:pt idx="10">
                  <c:v>7.1518497755713453</c:v>
                </c:pt>
                <c:pt idx="11">
                  <c:v>6.9422687290164014</c:v>
                </c:pt>
                <c:pt idx="12">
                  <c:v>7.3691382156001701</c:v>
                </c:pt>
                <c:pt idx="13">
                  <c:v>7.2092597234883096</c:v>
                </c:pt>
                <c:pt idx="14">
                  <c:v>7.6280274387319142</c:v>
                </c:pt>
                <c:pt idx="15">
                  <c:v>7.4102646563242702</c:v>
                </c:pt>
                <c:pt idx="16">
                  <c:v>6.6334254836694404</c:v>
                </c:pt>
                <c:pt idx="17">
                  <c:v>6.7495221077042062</c:v>
                </c:pt>
                <c:pt idx="18">
                  <c:v>7.5120664384237603</c:v>
                </c:pt>
                <c:pt idx="19">
                  <c:v>7.8364256184943724</c:v>
                </c:pt>
                <c:pt idx="20">
                  <c:v>6.7188696100554397</c:v>
                </c:pt>
                <c:pt idx="21">
                  <c:v>6.9052119323788004</c:v>
                </c:pt>
                <c:pt idx="22">
                  <c:v>6.5356862968076799</c:v>
                </c:pt>
                <c:pt idx="23">
                  <c:v>6.3719721286363198</c:v>
                </c:pt>
                <c:pt idx="24">
                  <c:v>6.8961620067210996</c:v>
                </c:pt>
                <c:pt idx="25">
                  <c:v>6.7331258111979695</c:v>
                </c:pt>
                <c:pt idx="26">
                  <c:v>6.5184348828263445</c:v>
                </c:pt>
                <c:pt idx="27">
                  <c:v>7.1138480973009397</c:v>
                </c:pt>
                <c:pt idx="28">
                  <c:v>8.2529940207631007</c:v>
                </c:pt>
                <c:pt idx="29">
                  <c:v>7.4666304297368402</c:v>
                </c:pt>
                <c:pt idx="30">
                  <c:v>5.73947656294279</c:v>
                </c:pt>
                <c:pt idx="31">
                  <c:v>6.0053216785787296</c:v>
                </c:pt>
                <c:pt idx="32">
                  <c:v>5.6591498038500498</c:v>
                </c:pt>
                <c:pt idx="33">
                  <c:v>6.4459094733858402</c:v>
                </c:pt>
                <c:pt idx="34">
                  <c:v>7.15039914840896</c:v>
                </c:pt>
                <c:pt idx="35">
                  <c:v>6.7151171687035855</c:v>
                </c:pt>
                <c:pt idx="36">
                  <c:v>6.3759492333565797</c:v>
                </c:pt>
                <c:pt idx="37">
                  <c:v>6.3429737009692397</c:v>
                </c:pt>
                <c:pt idx="38">
                  <c:v>6.0818102395126203</c:v>
                </c:pt>
                <c:pt idx="39">
                  <c:v>6.324978064166884</c:v>
                </c:pt>
                <c:pt idx="40">
                  <c:v>6.8034095570258151</c:v>
                </c:pt>
                <c:pt idx="41">
                  <c:v>6.9686647825164734</c:v>
                </c:pt>
                <c:pt idx="42">
                  <c:v>7.1096293686532102</c:v>
                </c:pt>
                <c:pt idx="43">
                  <c:v>6.7805347450813995</c:v>
                </c:pt>
                <c:pt idx="44">
                  <c:v>7.71716764468181</c:v>
                </c:pt>
                <c:pt idx="45">
                  <c:v>7.1388874613135798</c:v>
                </c:pt>
                <c:pt idx="46">
                  <c:v>7.1800096340385204</c:v>
                </c:pt>
                <c:pt idx="47">
                  <c:v>7.4117513940923807</c:v>
                </c:pt>
                <c:pt idx="48">
                  <c:v>6.2223070505978297</c:v>
                </c:pt>
                <c:pt idx="49">
                  <c:v>6.4152987187175903</c:v>
                </c:pt>
                <c:pt idx="50">
                  <c:v>6.1377550624811965</c:v>
                </c:pt>
                <c:pt idx="51">
                  <c:v>5.8668100499296143</c:v>
                </c:pt>
                <c:pt idx="52">
                  <c:v>6.4879612008316903</c:v>
                </c:pt>
              </c:numCache>
            </c:numRef>
          </c:val>
          <c:extLst xmlns:c16r2="http://schemas.microsoft.com/office/drawing/2015/06/chart">
            <c:ext xmlns:c16="http://schemas.microsoft.com/office/drawing/2014/chart" uri="{C3380CC4-5D6E-409C-BE32-E72D297353CC}">
              <c16:uniqueId val="{00000010-30E9-4046-8AC8-33051F54B066}"/>
            </c:ext>
          </c:extLst>
        </c:ser>
        <c:ser>
          <c:idx val="17"/>
          <c:order val="17"/>
          <c:tx>
            <c:strRef>
              <c:f>AB28_EF!$S$1</c:f>
              <c:strCache>
                <c:ptCount val="1"/>
                <c:pt idx="0">
                  <c:v>Denmark</c:v>
                </c:pt>
              </c:strCache>
            </c:strRef>
          </c:tx>
          <c:marker>
            <c:symbol val="none"/>
          </c:marker>
          <c:cat>
            <c:numRef>
              <c:f>AB28_EF!$A$2:$A$54</c:f>
              <c:numCache>
                <c:formatCode>General</c:formatCode>
                <c:ptCount val="53"/>
                <c:pt idx="0">
                  <c:v>1961</c:v>
                </c:pt>
                <c:pt idx="1">
                  <c:v>1962</c:v>
                </c:pt>
                <c:pt idx="2">
                  <c:v>1963</c:v>
                </c:pt>
                <c:pt idx="3">
                  <c:v>1964</c:v>
                </c:pt>
                <c:pt idx="4">
                  <c:v>1965</c:v>
                </c:pt>
                <c:pt idx="5">
                  <c:v>1966</c:v>
                </c:pt>
                <c:pt idx="6">
                  <c:v>1967</c:v>
                </c:pt>
                <c:pt idx="7">
                  <c:v>1968</c:v>
                </c:pt>
                <c:pt idx="8">
                  <c:v>1969</c:v>
                </c:pt>
                <c:pt idx="9">
                  <c:v>1970</c:v>
                </c:pt>
                <c:pt idx="10">
                  <c:v>1971</c:v>
                </c:pt>
                <c:pt idx="11">
                  <c:v>1972</c:v>
                </c:pt>
                <c:pt idx="12">
                  <c:v>1973</c:v>
                </c:pt>
                <c:pt idx="13">
                  <c:v>1974</c:v>
                </c:pt>
                <c:pt idx="14">
                  <c:v>1975</c:v>
                </c:pt>
                <c:pt idx="15">
                  <c:v>1976</c:v>
                </c:pt>
                <c:pt idx="16">
                  <c:v>1977</c:v>
                </c:pt>
                <c:pt idx="17">
                  <c:v>1978</c:v>
                </c:pt>
                <c:pt idx="18">
                  <c:v>1979</c:v>
                </c:pt>
                <c:pt idx="19">
                  <c:v>1980</c:v>
                </c:pt>
                <c:pt idx="20">
                  <c:v>1981</c:v>
                </c:pt>
                <c:pt idx="21">
                  <c:v>1982</c:v>
                </c:pt>
                <c:pt idx="22">
                  <c:v>1983</c:v>
                </c:pt>
                <c:pt idx="23">
                  <c:v>1984</c:v>
                </c:pt>
                <c:pt idx="24">
                  <c:v>1985</c:v>
                </c:pt>
                <c:pt idx="25">
                  <c:v>1986</c:v>
                </c:pt>
                <c:pt idx="26">
                  <c:v>1987</c:v>
                </c:pt>
                <c:pt idx="27">
                  <c:v>1988</c:v>
                </c:pt>
                <c:pt idx="28">
                  <c:v>1989</c:v>
                </c:pt>
                <c:pt idx="29">
                  <c:v>1990</c:v>
                </c:pt>
                <c:pt idx="30">
                  <c:v>1991</c:v>
                </c:pt>
                <c:pt idx="31">
                  <c:v>1992</c:v>
                </c:pt>
                <c:pt idx="32">
                  <c:v>1993</c:v>
                </c:pt>
                <c:pt idx="33">
                  <c:v>1994</c:v>
                </c:pt>
                <c:pt idx="34">
                  <c:v>1995</c:v>
                </c:pt>
                <c:pt idx="35">
                  <c:v>1996</c:v>
                </c:pt>
                <c:pt idx="36">
                  <c:v>1997</c:v>
                </c:pt>
                <c:pt idx="37">
                  <c:v>1998</c:v>
                </c:pt>
                <c:pt idx="38">
                  <c:v>1999</c:v>
                </c:pt>
                <c:pt idx="39">
                  <c:v>2000</c:v>
                </c:pt>
                <c:pt idx="40">
                  <c:v>2001</c:v>
                </c:pt>
                <c:pt idx="41">
                  <c:v>2002</c:v>
                </c:pt>
                <c:pt idx="42">
                  <c:v>2003</c:v>
                </c:pt>
                <c:pt idx="43">
                  <c:v>2004</c:v>
                </c:pt>
                <c:pt idx="44">
                  <c:v>2005</c:v>
                </c:pt>
                <c:pt idx="45">
                  <c:v>2006</c:v>
                </c:pt>
                <c:pt idx="46">
                  <c:v>2007</c:v>
                </c:pt>
                <c:pt idx="47">
                  <c:v>2008</c:v>
                </c:pt>
                <c:pt idx="48">
                  <c:v>2009</c:v>
                </c:pt>
                <c:pt idx="49">
                  <c:v>2010</c:v>
                </c:pt>
                <c:pt idx="50">
                  <c:v>2011</c:v>
                </c:pt>
                <c:pt idx="51">
                  <c:v>2012</c:v>
                </c:pt>
                <c:pt idx="52">
                  <c:v>2013</c:v>
                </c:pt>
              </c:numCache>
            </c:numRef>
          </c:cat>
          <c:val>
            <c:numRef>
              <c:f>AB28_EF!$S$2:$S$54</c:f>
              <c:numCache>
                <c:formatCode>General</c:formatCode>
                <c:ptCount val="53"/>
                <c:pt idx="0">
                  <c:v>5.6411424020157002</c:v>
                </c:pt>
                <c:pt idx="1">
                  <c:v>6.2443597098444998</c:v>
                </c:pt>
                <c:pt idx="2">
                  <c:v>6.1953281102140103</c:v>
                </c:pt>
                <c:pt idx="3">
                  <c:v>6.8784176074442298</c:v>
                </c:pt>
                <c:pt idx="4">
                  <c:v>7.0866493533909862</c:v>
                </c:pt>
                <c:pt idx="5">
                  <c:v>7.2884251570449896</c:v>
                </c:pt>
                <c:pt idx="6">
                  <c:v>7.3561090642777796</c:v>
                </c:pt>
                <c:pt idx="7">
                  <c:v>8.5903062596569448</c:v>
                </c:pt>
                <c:pt idx="8">
                  <c:v>9.0687970257819508</c:v>
                </c:pt>
                <c:pt idx="9">
                  <c:v>8.7761205464024403</c:v>
                </c:pt>
                <c:pt idx="10">
                  <c:v>8.5467438090540995</c:v>
                </c:pt>
                <c:pt idx="11">
                  <c:v>8.9353240341338491</c:v>
                </c:pt>
                <c:pt idx="12">
                  <c:v>9.0722829685090556</c:v>
                </c:pt>
                <c:pt idx="13">
                  <c:v>8.8722914572271705</c:v>
                </c:pt>
                <c:pt idx="14">
                  <c:v>7.9708955207269696</c:v>
                </c:pt>
                <c:pt idx="15">
                  <c:v>9.3382442636303402</c:v>
                </c:pt>
                <c:pt idx="16">
                  <c:v>9.1485582625980157</c:v>
                </c:pt>
                <c:pt idx="17">
                  <c:v>8.990565168834868</c:v>
                </c:pt>
                <c:pt idx="18">
                  <c:v>9.2802514653474137</c:v>
                </c:pt>
                <c:pt idx="19">
                  <c:v>8.6390199111568187</c:v>
                </c:pt>
                <c:pt idx="20">
                  <c:v>8.2102876173712591</c:v>
                </c:pt>
                <c:pt idx="21">
                  <c:v>8.6171036931184979</c:v>
                </c:pt>
                <c:pt idx="22">
                  <c:v>7.6403426728895703</c:v>
                </c:pt>
                <c:pt idx="23">
                  <c:v>8.4613341342652451</c:v>
                </c:pt>
                <c:pt idx="24">
                  <c:v>8.4657178637782948</c:v>
                </c:pt>
                <c:pt idx="25">
                  <c:v>8.4242130276751119</c:v>
                </c:pt>
                <c:pt idx="26">
                  <c:v>8.2329250377458099</c:v>
                </c:pt>
                <c:pt idx="27">
                  <c:v>8.7057187715835589</c:v>
                </c:pt>
                <c:pt idx="28">
                  <c:v>8.6390675684644993</c:v>
                </c:pt>
                <c:pt idx="29">
                  <c:v>8.3983605155658694</c:v>
                </c:pt>
                <c:pt idx="30">
                  <c:v>8.4135377347842848</c:v>
                </c:pt>
                <c:pt idx="31">
                  <c:v>7.7119564699618204</c:v>
                </c:pt>
                <c:pt idx="32">
                  <c:v>7.9105985316859844</c:v>
                </c:pt>
                <c:pt idx="33">
                  <c:v>7.8433689784068301</c:v>
                </c:pt>
                <c:pt idx="34">
                  <c:v>8.2803803063858759</c:v>
                </c:pt>
                <c:pt idx="35">
                  <c:v>7.845541917460455</c:v>
                </c:pt>
                <c:pt idx="36">
                  <c:v>8.02640976401727</c:v>
                </c:pt>
                <c:pt idx="37">
                  <c:v>8.334010852179528</c:v>
                </c:pt>
                <c:pt idx="38">
                  <c:v>8.3807713219580187</c:v>
                </c:pt>
                <c:pt idx="39">
                  <c:v>8.3523696623456267</c:v>
                </c:pt>
                <c:pt idx="40">
                  <c:v>8.0075446623309094</c:v>
                </c:pt>
                <c:pt idx="41">
                  <c:v>7.7383994229574364</c:v>
                </c:pt>
                <c:pt idx="42">
                  <c:v>7.8508276403755275</c:v>
                </c:pt>
                <c:pt idx="43">
                  <c:v>7.8928582343217375</c:v>
                </c:pt>
                <c:pt idx="44">
                  <c:v>7.8456837599820304</c:v>
                </c:pt>
                <c:pt idx="45">
                  <c:v>7.5885533829657703</c:v>
                </c:pt>
                <c:pt idx="46">
                  <c:v>7.5587865003163275</c:v>
                </c:pt>
                <c:pt idx="47">
                  <c:v>7.3723962396984941</c:v>
                </c:pt>
                <c:pt idx="48">
                  <c:v>6.368142840726752</c:v>
                </c:pt>
                <c:pt idx="49">
                  <c:v>6.1424969310649544</c:v>
                </c:pt>
                <c:pt idx="50">
                  <c:v>5.7247079250305095</c:v>
                </c:pt>
                <c:pt idx="51">
                  <c:v>5.5076088169352255</c:v>
                </c:pt>
                <c:pt idx="52">
                  <c:v>5.664812741710052</c:v>
                </c:pt>
              </c:numCache>
            </c:numRef>
          </c:val>
          <c:extLst xmlns:c16r2="http://schemas.microsoft.com/office/drawing/2015/06/chart">
            <c:ext xmlns:c16="http://schemas.microsoft.com/office/drawing/2014/chart" uri="{C3380CC4-5D6E-409C-BE32-E72D297353CC}">
              <c16:uniqueId val="{00000011-30E9-4046-8AC8-33051F54B066}"/>
            </c:ext>
          </c:extLst>
        </c:ser>
        <c:ser>
          <c:idx val="18"/>
          <c:order val="18"/>
          <c:tx>
            <c:strRef>
              <c:f>AB28_EF!$T$1</c:f>
              <c:strCache>
                <c:ptCount val="1"/>
                <c:pt idx="0">
                  <c:v>Cyprus</c:v>
                </c:pt>
              </c:strCache>
            </c:strRef>
          </c:tx>
          <c:marker>
            <c:symbol val="none"/>
          </c:marker>
          <c:cat>
            <c:numRef>
              <c:f>AB28_EF!$A$2:$A$54</c:f>
              <c:numCache>
                <c:formatCode>General</c:formatCode>
                <c:ptCount val="53"/>
                <c:pt idx="0">
                  <c:v>1961</c:v>
                </c:pt>
                <c:pt idx="1">
                  <c:v>1962</c:v>
                </c:pt>
                <c:pt idx="2">
                  <c:v>1963</c:v>
                </c:pt>
                <c:pt idx="3">
                  <c:v>1964</c:v>
                </c:pt>
                <c:pt idx="4">
                  <c:v>1965</c:v>
                </c:pt>
                <c:pt idx="5">
                  <c:v>1966</c:v>
                </c:pt>
                <c:pt idx="6">
                  <c:v>1967</c:v>
                </c:pt>
                <c:pt idx="7">
                  <c:v>1968</c:v>
                </c:pt>
                <c:pt idx="8">
                  <c:v>1969</c:v>
                </c:pt>
                <c:pt idx="9">
                  <c:v>1970</c:v>
                </c:pt>
                <c:pt idx="10">
                  <c:v>1971</c:v>
                </c:pt>
                <c:pt idx="11">
                  <c:v>1972</c:v>
                </c:pt>
                <c:pt idx="12">
                  <c:v>1973</c:v>
                </c:pt>
                <c:pt idx="13">
                  <c:v>1974</c:v>
                </c:pt>
                <c:pt idx="14">
                  <c:v>1975</c:v>
                </c:pt>
                <c:pt idx="15">
                  <c:v>1976</c:v>
                </c:pt>
                <c:pt idx="16">
                  <c:v>1977</c:v>
                </c:pt>
                <c:pt idx="17">
                  <c:v>1978</c:v>
                </c:pt>
                <c:pt idx="18">
                  <c:v>1979</c:v>
                </c:pt>
                <c:pt idx="19">
                  <c:v>1980</c:v>
                </c:pt>
                <c:pt idx="20">
                  <c:v>1981</c:v>
                </c:pt>
                <c:pt idx="21">
                  <c:v>1982</c:v>
                </c:pt>
                <c:pt idx="22">
                  <c:v>1983</c:v>
                </c:pt>
                <c:pt idx="23">
                  <c:v>1984</c:v>
                </c:pt>
                <c:pt idx="24">
                  <c:v>1985</c:v>
                </c:pt>
                <c:pt idx="25">
                  <c:v>1986</c:v>
                </c:pt>
                <c:pt idx="26">
                  <c:v>1987</c:v>
                </c:pt>
                <c:pt idx="27">
                  <c:v>1988</c:v>
                </c:pt>
                <c:pt idx="28">
                  <c:v>1989</c:v>
                </c:pt>
                <c:pt idx="29">
                  <c:v>1990</c:v>
                </c:pt>
                <c:pt idx="30">
                  <c:v>1991</c:v>
                </c:pt>
                <c:pt idx="31">
                  <c:v>1992</c:v>
                </c:pt>
                <c:pt idx="32">
                  <c:v>1993</c:v>
                </c:pt>
                <c:pt idx="33">
                  <c:v>1994</c:v>
                </c:pt>
                <c:pt idx="34">
                  <c:v>1995</c:v>
                </c:pt>
                <c:pt idx="35">
                  <c:v>1996</c:v>
                </c:pt>
                <c:pt idx="36">
                  <c:v>1997</c:v>
                </c:pt>
                <c:pt idx="37">
                  <c:v>1998</c:v>
                </c:pt>
                <c:pt idx="38">
                  <c:v>1999</c:v>
                </c:pt>
                <c:pt idx="39">
                  <c:v>2000</c:v>
                </c:pt>
                <c:pt idx="40">
                  <c:v>2001</c:v>
                </c:pt>
                <c:pt idx="41">
                  <c:v>2002</c:v>
                </c:pt>
                <c:pt idx="42">
                  <c:v>2003</c:v>
                </c:pt>
                <c:pt idx="43">
                  <c:v>2004</c:v>
                </c:pt>
                <c:pt idx="44">
                  <c:v>2005</c:v>
                </c:pt>
                <c:pt idx="45">
                  <c:v>2006</c:v>
                </c:pt>
                <c:pt idx="46">
                  <c:v>2007</c:v>
                </c:pt>
                <c:pt idx="47">
                  <c:v>2008</c:v>
                </c:pt>
                <c:pt idx="48">
                  <c:v>2009</c:v>
                </c:pt>
                <c:pt idx="49">
                  <c:v>2010</c:v>
                </c:pt>
                <c:pt idx="50">
                  <c:v>2011</c:v>
                </c:pt>
                <c:pt idx="51">
                  <c:v>2012</c:v>
                </c:pt>
                <c:pt idx="52">
                  <c:v>2013</c:v>
                </c:pt>
              </c:numCache>
            </c:numRef>
          </c:cat>
          <c:val>
            <c:numRef>
              <c:f>AB28_EF!$T$2:$T$54</c:f>
              <c:numCache>
                <c:formatCode>General</c:formatCode>
                <c:ptCount val="53"/>
                <c:pt idx="0">
                  <c:v>1.6600000000000001</c:v>
                </c:pt>
                <c:pt idx="1">
                  <c:v>1.9400000000000008</c:v>
                </c:pt>
                <c:pt idx="2">
                  <c:v>1.8900000000000001</c:v>
                </c:pt>
                <c:pt idx="3">
                  <c:v>1.7700000000000005</c:v>
                </c:pt>
                <c:pt idx="4">
                  <c:v>2.11</c:v>
                </c:pt>
                <c:pt idx="5">
                  <c:v>2.15</c:v>
                </c:pt>
                <c:pt idx="6">
                  <c:v>2.4899999999999998</c:v>
                </c:pt>
                <c:pt idx="7">
                  <c:v>2.6</c:v>
                </c:pt>
                <c:pt idx="8">
                  <c:v>2.8299999999999987</c:v>
                </c:pt>
                <c:pt idx="9">
                  <c:v>2.72</c:v>
                </c:pt>
                <c:pt idx="10">
                  <c:v>2.98</c:v>
                </c:pt>
                <c:pt idx="11">
                  <c:v>3.16</c:v>
                </c:pt>
                <c:pt idx="12">
                  <c:v>3.4099999999999997</c:v>
                </c:pt>
                <c:pt idx="13">
                  <c:v>2.63</c:v>
                </c:pt>
                <c:pt idx="14">
                  <c:v>2.3099999999999987</c:v>
                </c:pt>
                <c:pt idx="15">
                  <c:v>2.5299999999999998</c:v>
                </c:pt>
                <c:pt idx="16">
                  <c:v>2.63</c:v>
                </c:pt>
                <c:pt idx="17">
                  <c:v>2.8</c:v>
                </c:pt>
                <c:pt idx="18">
                  <c:v>3.19</c:v>
                </c:pt>
                <c:pt idx="19">
                  <c:v>3.16</c:v>
                </c:pt>
                <c:pt idx="20">
                  <c:v>3.3</c:v>
                </c:pt>
                <c:pt idx="21">
                  <c:v>3.2600000000000002</c:v>
                </c:pt>
                <c:pt idx="22">
                  <c:v>3.5</c:v>
                </c:pt>
                <c:pt idx="23">
                  <c:v>3.7</c:v>
                </c:pt>
                <c:pt idx="24">
                  <c:v>3.8299999999999987</c:v>
                </c:pt>
                <c:pt idx="25">
                  <c:v>3.8899999999999997</c:v>
                </c:pt>
                <c:pt idx="26">
                  <c:v>4.3599999999999985</c:v>
                </c:pt>
                <c:pt idx="27">
                  <c:v>4.13</c:v>
                </c:pt>
                <c:pt idx="28">
                  <c:v>3.74</c:v>
                </c:pt>
                <c:pt idx="29">
                  <c:v>4.29</c:v>
                </c:pt>
                <c:pt idx="30">
                  <c:v>4.78</c:v>
                </c:pt>
                <c:pt idx="31">
                  <c:v>5.14</c:v>
                </c:pt>
                <c:pt idx="32">
                  <c:v>5.08</c:v>
                </c:pt>
                <c:pt idx="33">
                  <c:v>5.17</c:v>
                </c:pt>
                <c:pt idx="34">
                  <c:v>5.04</c:v>
                </c:pt>
                <c:pt idx="35">
                  <c:v>4.9300000000000024</c:v>
                </c:pt>
                <c:pt idx="36">
                  <c:v>4.87</c:v>
                </c:pt>
                <c:pt idx="37">
                  <c:v>5.13</c:v>
                </c:pt>
                <c:pt idx="38">
                  <c:v>4.9400000000000004</c:v>
                </c:pt>
                <c:pt idx="39">
                  <c:v>5.35</c:v>
                </c:pt>
                <c:pt idx="40">
                  <c:v>5.29</c:v>
                </c:pt>
                <c:pt idx="41">
                  <c:v>5.4300000000000024</c:v>
                </c:pt>
                <c:pt idx="42">
                  <c:v>5.34</c:v>
                </c:pt>
                <c:pt idx="43">
                  <c:v>5.4700000000000024</c:v>
                </c:pt>
                <c:pt idx="44">
                  <c:v>5.52</c:v>
                </c:pt>
                <c:pt idx="45">
                  <c:v>5.4700000000000024</c:v>
                </c:pt>
                <c:pt idx="46">
                  <c:v>5.6199999999999966</c:v>
                </c:pt>
                <c:pt idx="47">
                  <c:v>5.74</c:v>
                </c:pt>
                <c:pt idx="48">
                  <c:v>5.2700000000000014</c:v>
                </c:pt>
                <c:pt idx="49">
                  <c:v>5.14</c:v>
                </c:pt>
                <c:pt idx="50">
                  <c:v>4.6899999999999995</c:v>
                </c:pt>
                <c:pt idx="51">
                  <c:v>4.05</c:v>
                </c:pt>
                <c:pt idx="52">
                  <c:v>3.3099999999999987</c:v>
                </c:pt>
              </c:numCache>
            </c:numRef>
          </c:val>
          <c:extLst xmlns:c16r2="http://schemas.microsoft.com/office/drawing/2015/06/chart">
            <c:ext xmlns:c16="http://schemas.microsoft.com/office/drawing/2014/chart" uri="{C3380CC4-5D6E-409C-BE32-E72D297353CC}">
              <c16:uniqueId val="{00000012-30E9-4046-8AC8-33051F54B066}"/>
            </c:ext>
          </c:extLst>
        </c:ser>
        <c:ser>
          <c:idx val="19"/>
          <c:order val="19"/>
          <c:tx>
            <c:strRef>
              <c:f>AB28_EF!$U$1</c:f>
              <c:strCache>
                <c:ptCount val="1"/>
                <c:pt idx="0">
                  <c:v>Bulgaria</c:v>
                </c:pt>
              </c:strCache>
            </c:strRef>
          </c:tx>
          <c:marker>
            <c:symbol val="none"/>
          </c:marker>
          <c:cat>
            <c:numRef>
              <c:f>AB28_EF!$A$2:$A$54</c:f>
              <c:numCache>
                <c:formatCode>General</c:formatCode>
                <c:ptCount val="53"/>
                <c:pt idx="0">
                  <c:v>1961</c:v>
                </c:pt>
                <c:pt idx="1">
                  <c:v>1962</c:v>
                </c:pt>
                <c:pt idx="2">
                  <c:v>1963</c:v>
                </c:pt>
                <c:pt idx="3">
                  <c:v>1964</c:v>
                </c:pt>
                <c:pt idx="4">
                  <c:v>1965</c:v>
                </c:pt>
                <c:pt idx="5">
                  <c:v>1966</c:v>
                </c:pt>
                <c:pt idx="6">
                  <c:v>1967</c:v>
                </c:pt>
                <c:pt idx="7">
                  <c:v>1968</c:v>
                </c:pt>
                <c:pt idx="8">
                  <c:v>1969</c:v>
                </c:pt>
                <c:pt idx="9">
                  <c:v>1970</c:v>
                </c:pt>
                <c:pt idx="10">
                  <c:v>1971</c:v>
                </c:pt>
                <c:pt idx="11">
                  <c:v>1972</c:v>
                </c:pt>
                <c:pt idx="12">
                  <c:v>1973</c:v>
                </c:pt>
                <c:pt idx="13">
                  <c:v>1974</c:v>
                </c:pt>
                <c:pt idx="14">
                  <c:v>1975</c:v>
                </c:pt>
                <c:pt idx="15">
                  <c:v>1976</c:v>
                </c:pt>
                <c:pt idx="16">
                  <c:v>1977</c:v>
                </c:pt>
                <c:pt idx="17">
                  <c:v>1978</c:v>
                </c:pt>
                <c:pt idx="18">
                  <c:v>1979</c:v>
                </c:pt>
                <c:pt idx="19">
                  <c:v>1980</c:v>
                </c:pt>
                <c:pt idx="20">
                  <c:v>1981</c:v>
                </c:pt>
                <c:pt idx="21">
                  <c:v>1982</c:v>
                </c:pt>
                <c:pt idx="22">
                  <c:v>1983</c:v>
                </c:pt>
                <c:pt idx="23">
                  <c:v>1984</c:v>
                </c:pt>
                <c:pt idx="24">
                  <c:v>1985</c:v>
                </c:pt>
                <c:pt idx="25">
                  <c:v>1986</c:v>
                </c:pt>
                <c:pt idx="26">
                  <c:v>1987</c:v>
                </c:pt>
                <c:pt idx="27">
                  <c:v>1988</c:v>
                </c:pt>
                <c:pt idx="28">
                  <c:v>1989</c:v>
                </c:pt>
                <c:pt idx="29">
                  <c:v>1990</c:v>
                </c:pt>
                <c:pt idx="30">
                  <c:v>1991</c:v>
                </c:pt>
                <c:pt idx="31">
                  <c:v>1992</c:v>
                </c:pt>
                <c:pt idx="32">
                  <c:v>1993</c:v>
                </c:pt>
                <c:pt idx="33">
                  <c:v>1994</c:v>
                </c:pt>
                <c:pt idx="34">
                  <c:v>1995</c:v>
                </c:pt>
                <c:pt idx="35">
                  <c:v>1996</c:v>
                </c:pt>
                <c:pt idx="36">
                  <c:v>1997</c:v>
                </c:pt>
                <c:pt idx="37">
                  <c:v>1998</c:v>
                </c:pt>
                <c:pt idx="38">
                  <c:v>1999</c:v>
                </c:pt>
                <c:pt idx="39">
                  <c:v>2000</c:v>
                </c:pt>
                <c:pt idx="40">
                  <c:v>2001</c:v>
                </c:pt>
                <c:pt idx="41">
                  <c:v>2002</c:v>
                </c:pt>
                <c:pt idx="42">
                  <c:v>2003</c:v>
                </c:pt>
                <c:pt idx="43">
                  <c:v>2004</c:v>
                </c:pt>
                <c:pt idx="44">
                  <c:v>2005</c:v>
                </c:pt>
                <c:pt idx="45">
                  <c:v>2006</c:v>
                </c:pt>
                <c:pt idx="46">
                  <c:v>2007</c:v>
                </c:pt>
                <c:pt idx="47">
                  <c:v>2008</c:v>
                </c:pt>
                <c:pt idx="48">
                  <c:v>2009</c:v>
                </c:pt>
                <c:pt idx="49">
                  <c:v>2010</c:v>
                </c:pt>
                <c:pt idx="50">
                  <c:v>2011</c:v>
                </c:pt>
                <c:pt idx="51">
                  <c:v>2012</c:v>
                </c:pt>
                <c:pt idx="52">
                  <c:v>2013</c:v>
                </c:pt>
              </c:numCache>
            </c:numRef>
          </c:cat>
          <c:val>
            <c:numRef>
              <c:f>AB28_EF!$U$2:$U$54</c:f>
              <c:numCache>
                <c:formatCode>General</c:formatCode>
                <c:ptCount val="53"/>
                <c:pt idx="0">
                  <c:v>2.52</c:v>
                </c:pt>
                <c:pt idx="1">
                  <c:v>2.69</c:v>
                </c:pt>
                <c:pt idx="2">
                  <c:v>2.96</c:v>
                </c:pt>
                <c:pt idx="3">
                  <c:v>3.4299999999999997</c:v>
                </c:pt>
                <c:pt idx="4">
                  <c:v>3.58</c:v>
                </c:pt>
                <c:pt idx="5">
                  <c:v>3.8499999999999988</c:v>
                </c:pt>
                <c:pt idx="6">
                  <c:v>4</c:v>
                </c:pt>
                <c:pt idx="7">
                  <c:v>4.0599999999999996</c:v>
                </c:pt>
                <c:pt idx="8">
                  <c:v>4.4800000000000004</c:v>
                </c:pt>
                <c:pt idx="9">
                  <c:v>4.3599999999999985</c:v>
                </c:pt>
                <c:pt idx="10">
                  <c:v>4.4700000000000024</c:v>
                </c:pt>
                <c:pt idx="11">
                  <c:v>4.6099999999999985</c:v>
                </c:pt>
                <c:pt idx="12">
                  <c:v>4.7</c:v>
                </c:pt>
                <c:pt idx="13">
                  <c:v>4.76</c:v>
                </c:pt>
                <c:pt idx="14">
                  <c:v>5.04</c:v>
                </c:pt>
                <c:pt idx="15">
                  <c:v>5.0999999999999996</c:v>
                </c:pt>
                <c:pt idx="16">
                  <c:v>4.95</c:v>
                </c:pt>
                <c:pt idx="17">
                  <c:v>5.05</c:v>
                </c:pt>
                <c:pt idx="18">
                  <c:v>5.26</c:v>
                </c:pt>
                <c:pt idx="19">
                  <c:v>5.14</c:v>
                </c:pt>
                <c:pt idx="20">
                  <c:v>5.13</c:v>
                </c:pt>
                <c:pt idx="21">
                  <c:v>5.18</c:v>
                </c:pt>
                <c:pt idx="22">
                  <c:v>4.84</c:v>
                </c:pt>
                <c:pt idx="23">
                  <c:v>4.9400000000000004</c:v>
                </c:pt>
                <c:pt idx="24">
                  <c:v>4.72</c:v>
                </c:pt>
                <c:pt idx="25">
                  <c:v>5.1099999999999985</c:v>
                </c:pt>
                <c:pt idx="26">
                  <c:v>4.95</c:v>
                </c:pt>
                <c:pt idx="27">
                  <c:v>5.01</c:v>
                </c:pt>
                <c:pt idx="28">
                  <c:v>5.22</c:v>
                </c:pt>
                <c:pt idx="29">
                  <c:v>4.53</c:v>
                </c:pt>
                <c:pt idx="30">
                  <c:v>3.9299999999999997</c:v>
                </c:pt>
                <c:pt idx="31">
                  <c:v>3.32</c:v>
                </c:pt>
                <c:pt idx="32">
                  <c:v>3.3699999999999997</c:v>
                </c:pt>
                <c:pt idx="33">
                  <c:v>3.3899999999999997</c:v>
                </c:pt>
                <c:pt idx="34">
                  <c:v>3.4099999999999997</c:v>
                </c:pt>
                <c:pt idx="35">
                  <c:v>3.05</c:v>
                </c:pt>
                <c:pt idx="36">
                  <c:v>3.2800000000000002</c:v>
                </c:pt>
                <c:pt idx="37">
                  <c:v>3.2</c:v>
                </c:pt>
                <c:pt idx="38">
                  <c:v>3.07</c:v>
                </c:pt>
                <c:pt idx="39">
                  <c:v>2.96</c:v>
                </c:pt>
                <c:pt idx="40">
                  <c:v>3.3099999999999987</c:v>
                </c:pt>
                <c:pt idx="41">
                  <c:v>3.32</c:v>
                </c:pt>
                <c:pt idx="42">
                  <c:v>3.4299999999999997</c:v>
                </c:pt>
                <c:pt idx="43">
                  <c:v>4.01</c:v>
                </c:pt>
                <c:pt idx="44">
                  <c:v>3.65</c:v>
                </c:pt>
                <c:pt idx="45">
                  <c:v>4.09</c:v>
                </c:pt>
                <c:pt idx="46">
                  <c:v>3.9</c:v>
                </c:pt>
                <c:pt idx="47">
                  <c:v>4.4300000000000024</c:v>
                </c:pt>
                <c:pt idx="48">
                  <c:v>3.5</c:v>
                </c:pt>
                <c:pt idx="49">
                  <c:v>3.4699999999999998</c:v>
                </c:pt>
                <c:pt idx="50">
                  <c:v>3.42</c:v>
                </c:pt>
                <c:pt idx="51">
                  <c:v>3.3299999999999987</c:v>
                </c:pt>
                <c:pt idx="52">
                  <c:v>3.13</c:v>
                </c:pt>
              </c:numCache>
            </c:numRef>
          </c:val>
          <c:extLst xmlns:c16r2="http://schemas.microsoft.com/office/drawing/2015/06/chart">
            <c:ext xmlns:c16="http://schemas.microsoft.com/office/drawing/2014/chart" uri="{C3380CC4-5D6E-409C-BE32-E72D297353CC}">
              <c16:uniqueId val="{00000013-30E9-4046-8AC8-33051F54B066}"/>
            </c:ext>
          </c:extLst>
        </c:ser>
        <c:marker val="1"/>
        <c:axId val="52972928"/>
        <c:axId val="76358784"/>
      </c:lineChart>
      <c:catAx>
        <c:axId val="52972928"/>
        <c:scaling>
          <c:orientation val="minMax"/>
        </c:scaling>
        <c:axPos val="b"/>
        <c:numFmt formatCode="General" sourceLinked="1"/>
        <c:tickLblPos val="nextTo"/>
        <c:crossAx val="76358784"/>
        <c:crosses val="autoZero"/>
        <c:auto val="1"/>
        <c:lblAlgn val="ctr"/>
        <c:lblOffset val="100"/>
      </c:catAx>
      <c:valAx>
        <c:axId val="76358784"/>
        <c:scaling>
          <c:orientation val="minMax"/>
        </c:scaling>
        <c:axPos val="l"/>
        <c:majorGridlines/>
        <c:numFmt formatCode="General" sourceLinked="1"/>
        <c:tickLblPos val="nextTo"/>
        <c:crossAx val="52972928"/>
        <c:crosses val="autoZero"/>
        <c:crossBetween val="between"/>
      </c:valAx>
    </c:plotArea>
    <c:legend>
      <c:legendPos val="r"/>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l-GR"/>
  <c:chart>
    <c:autoTitleDeleted val="1"/>
    <c:view3D>
      <c:rotX val="30"/>
      <c:rotY val="108"/>
      <c:depthPercent val="100"/>
      <c:perspective val="30"/>
    </c:view3D>
    <c:floor>
      <c:spPr>
        <a:noFill/>
        <a:ln>
          <a:noFill/>
        </a:ln>
        <a:effectLst/>
        <a:sp3d/>
      </c:spPr>
    </c:floor>
    <c:sideWall>
      <c:spPr>
        <a:noFill/>
        <a:ln>
          <a:noFill/>
        </a:ln>
        <a:effectLst/>
        <a:sp3d/>
      </c:spPr>
    </c:sideWall>
    <c:backWall>
      <c:spPr>
        <a:noFill/>
        <a:ln>
          <a:noFill/>
        </a:ln>
        <a:effectLst/>
        <a:sp3d/>
      </c:spPr>
    </c:backWall>
    <c:plotArea>
      <c:layout/>
      <c:pie3DChart>
        <c:varyColors val="1"/>
        <c:ser>
          <c:idx val="0"/>
          <c:order val="0"/>
          <c:dPt>
            <c:idx val="0"/>
            <c:spPr>
              <a:solidFill>
                <a:schemeClr val="accent1"/>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1-E6EE-47D1-ABCE-853BC74170EA}"/>
              </c:ext>
            </c:extLst>
          </c:dPt>
          <c:dPt>
            <c:idx val="1"/>
            <c:spPr>
              <a:solidFill>
                <a:schemeClr val="accent2"/>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3-E6EE-47D1-ABCE-853BC74170EA}"/>
              </c:ext>
            </c:extLst>
          </c:dPt>
          <c:dPt>
            <c:idx val="2"/>
            <c:spPr>
              <a:solidFill>
                <a:schemeClr val="accent3"/>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5-E6EE-47D1-ABCE-853BC74170EA}"/>
              </c:ext>
            </c:extLst>
          </c:dPt>
          <c:dPt>
            <c:idx val="3"/>
            <c:spPr>
              <a:solidFill>
                <a:schemeClr val="accent4"/>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7-E6EE-47D1-ABCE-853BC74170EA}"/>
              </c:ext>
            </c:extLst>
          </c:dPt>
          <c:dPt>
            <c:idx val="4"/>
            <c:spPr>
              <a:solidFill>
                <a:schemeClr val="accent5"/>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9-E6EE-47D1-ABCE-853BC74170EA}"/>
              </c:ext>
            </c:extLst>
          </c:dPt>
          <c:dPt>
            <c:idx val="5"/>
            <c:spPr>
              <a:solidFill>
                <a:schemeClr val="accent6"/>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B-E6EE-47D1-ABCE-853BC74170EA}"/>
              </c:ext>
            </c:extLst>
          </c:dPt>
          <c:dPt>
            <c:idx val="6"/>
            <c:spPr>
              <a:solidFill>
                <a:schemeClr val="accent1">
                  <a:lumMod val="60000"/>
                </a:schemeClr>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D-E6EE-47D1-ABCE-853BC74170EA}"/>
              </c:ext>
            </c:extLst>
          </c:dPt>
          <c:dPt>
            <c:idx val="7"/>
            <c:spPr>
              <a:solidFill>
                <a:schemeClr val="accent2">
                  <a:lumMod val="60000"/>
                </a:schemeClr>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F-E6EE-47D1-ABCE-853BC74170EA}"/>
              </c:ext>
            </c:extLst>
          </c:dPt>
          <c:dPt>
            <c:idx val="8"/>
            <c:spPr>
              <a:solidFill>
                <a:schemeClr val="accent3">
                  <a:lumMod val="60000"/>
                </a:schemeClr>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11-E6EE-47D1-ABCE-853BC74170EA}"/>
              </c:ext>
            </c:extLst>
          </c:dPt>
          <c:dPt>
            <c:idx val="9"/>
            <c:spPr>
              <a:solidFill>
                <a:schemeClr val="accent4">
                  <a:lumMod val="60000"/>
                </a:schemeClr>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13-E6EE-47D1-ABCE-853BC74170EA}"/>
              </c:ext>
            </c:extLst>
          </c:dPt>
          <c:dPt>
            <c:idx val="10"/>
            <c:spPr>
              <a:solidFill>
                <a:schemeClr val="accent5">
                  <a:lumMod val="60000"/>
                </a:schemeClr>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15-E6EE-47D1-ABCE-853BC74170EA}"/>
              </c:ext>
            </c:extLst>
          </c:dPt>
          <c:dPt>
            <c:idx val="11"/>
            <c:spPr>
              <a:solidFill>
                <a:schemeClr val="accent6">
                  <a:lumMod val="60000"/>
                </a:schemeClr>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17-E6EE-47D1-ABCE-853BC74170EA}"/>
              </c:ext>
            </c:extLst>
          </c:dPt>
          <c:dPt>
            <c:idx val="12"/>
            <c:spPr>
              <a:solidFill>
                <a:schemeClr val="accent1">
                  <a:lumMod val="80000"/>
                  <a:lumOff val="20000"/>
                </a:schemeClr>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19-E6EE-47D1-ABCE-853BC74170EA}"/>
              </c:ext>
            </c:extLst>
          </c:dPt>
          <c:dPt>
            <c:idx val="13"/>
            <c:spPr>
              <a:solidFill>
                <a:schemeClr val="accent2">
                  <a:lumMod val="80000"/>
                  <a:lumOff val="20000"/>
                </a:schemeClr>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1B-E6EE-47D1-ABCE-853BC74170EA}"/>
              </c:ext>
            </c:extLst>
          </c:dPt>
          <c:dPt>
            <c:idx val="14"/>
            <c:spPr>
              <a:solidFill>
                <a:schemeClr val="accent3">
                  <a:lumMod val="80000"/>
                  <a:lumOff val="20000"/>
                </a:schemeClr>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1D-E6EE-47D1-ABCE-853BC74170EA}"/>
              </c:ext>
            </c:extLst>
          </c:dPt>
          <c:dPt>
            <c:idx val="15"/>
            <c:spPr>
              <a:solidFill>
                <a:schemeClr val="accent4">
                  <a:lumMod val="80000"/>
                  <a:lumOff val="20000"/>
                </a:schemeClr>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1F-E6EE-47D1-ABCE-853BC74170EA}"/>
              </c:ext>
            </c:extLst>
          </c:dPt>
          <c:dPt>
            <c:idx val="16"/>
            <c:spPr>
              <a:solidFill>
                <a:schemeClr val="accent5">
                  <a:lumMod val="80000"/>
                  <a:lumOff val="20000"/>
                </a:schemeClr>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21-E6EE-47D1-ABCE-853BC74170EA}"/>
              </c:ext>
            </c:extLst>
          </c:dPt>
          <c:dPt>
            <c:idx val="17"/>
            <c:spPr>
              <a:solidFill>
                <a:schemeClr val="accent6">
                  <a:lumMod val="80000"/>
                  <a:lumOff val="20000"/>
                </a:schemeClr>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23-E6EE-47D1-ABCE-853BC74170EA}"/>
              </c:ext>
            </c:extLst>
          </c:dPt>
          <c:dPt>
            <c:idx val="18"/>
            <c:spPr>
              <a:solidFill>
                <a:schemeClr val="accent1">
                  <a:lumMod val="80000"/>
                </a:schemeClr>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25-E6EE-47D1-ABCE-853BC74170EA}"/>
              </c:ext>
            </c:extLst>
          </c:dPt>
          <c:dPt>
            <c:idx val="19"/>
            <c:spPr>
              <a:solidFill>
                <a:schemeClr val="accent2">
                  <a:lumMod val="80000"/>
                </a:schemeClr>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27-E6EE-47D1-ABCE-853BC74170EA}"/>
              </c:ext>
            </c:extLst>
          </c:dPt>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l-GR"/>
              </a:p>
            </c:txPr>
            <c:showVal val="1"/>
            <c:showCatName val="1"/>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Sayfa2!$A$1:$A$20</c:f>
              <c:strCache>
                <c:ptCount val="20"/>
                <c:pt idx="0">
                  <c:v>luxembourg</c:v>
                </c:pt>
                <c:pt idx="1">
                  <c:v>Belgium</c:v>
                </c:pt>
                <c:pt idx="2">
                  <c:v>Sweden</c:v>
                </c:pt>
                <c:pt idx="3">
                  <c:v>Finland</c:v>
                </c:pt>
                <c:pt idx="4">
                  <c:v>Austria</c:v>
                </c:pt>
                <c:pt idx="5">
                  <c:v>Denmark</c:v>
                </c:pt>
                <c:pt idx="6">
                  <c:v>Irland</c:v>
                </c:pt>
                <c:pt idx="7">
                  <c:v>Germany</c:v>
                </c:pt>
                <c:pt idx="8">
                  <c:v>Netherland</c:v>
                </c:pt>
                <c:pt idx="9">
                  <c:v>UK</c:v>
                </c:pt>
                <c:pt idx="10">
                  <c:v>France</c:v>
                </c:pt>
                <c:pt idx="11">
                  <c:v>Italy</c:v>
                </c:pt>
                <c:pt idx="12">
                  <c:v>Poland</c:v>
                </c:pt>
                <c:pt idx="13">
                  <c:v>Greece</c:v>
                </c:pt>
                <c:pt idx="14">
                  <c:v>Spain</c:v>
                </c:pt>
                <c:pt idx="15">
                  <c:v>Portugal</c:v>
                </c:pt>
                <c:pt idx="16">
                  <c:v>Cyprus</c:v>
                </c:pt>
                <c:pt idx="17">
                  <c:v>Hungary</c:v>
                </c:pt>
                <c:pt idx="18">
                  <c:v>Bulgaria</c:v>
                </c:pt>
                <c:pt idx="19">
                  <c:v>Romania</c:v>
                </c:pt>
              </c:strCache>
            </c:strRef>
          </c:cat>
          <c:val>
            <c:numRef>
              <c:f>Sayfa2!$B$1:$B$20</c:f>
              <c:numCache>
                <c:formatCode>General</c:formatCode>
                <c:ptCount val="20"/>
                <c:pt idx="0">
                  <c:v>13.09</c:v>
                </c:pt>
                <c:pt idx="1">
                  <c:v>7.28</c:v>
                </c:pt>
                <c:pt idx="2">
                  <c:v>7.1</c:v>
                </c:pt>
                <c:pt idx="3">
                  <c:v>6.48</c:v>
                </c:pt>
                <c:pt idx="4">
                  <c:v>6.14</c:v>
                </c:pt>
                <c:pt idx="5">
                  <c:v>5.6599999999999975</c:v>
                </c:pt>
                <c:pt idx="6">
                  <c:v>5.56</c:v>
                </c:pt>
                <c:pt idx="7">
                  <c:v>5.3</c:v>
                </c:pt>
                <c:pt idx="8">
                  <c:v>5.13</c:v>
                </c:pt>
                <c:pt idx="9">
                  <c:v>4.99</c:v>
                </c:pt>
                <c:pt idx="10">
                  <c:v>4.9800000000000004</c:v>
                </c:pt>
                <c:pt idx="11">
                  <c:v>4.4700000000000024</c:v>
                </c:pt>
                <c:pt idx="12">
                  <c:v>4.29</c:v>
                </c:pt>
                <c:pt idx="13">
                  <c:v>4.13</c:v>
                </c:pt>
                <c:pt idx="14">
                  <c:v>3.82</c:v>
                </c:pt>
                <c:pt idx="15">
                  <c:v>3.77</c:v>
                </c:pt>
                <c:pt idx="16">
                  <c:v>3.3099999999999987</c:v>
                </c:pt>
                <c:pt idx="17">
                  <c:v>3.2600000000000002</c:v>
                </c:pt>
                <c:pt idx="18">
                  <c:v>3.13</c:v>
                </c:pt>
                <c:pt idx="19">
                  <c:v>2.63</c:v>
                </c:pt>
              </c:numCache>
            </c:numRef>
          </c:val>
          <c:extLst xmlns:c16r2="http://schemas.microsoft.com/office/drawing/2015/06/chart">
            <c:ext xmlns:c16="http://schemas.microsoft.com/office/drawing/2014/chart" uri="{C3380CC4-5D6E-409C-BE32-E72D297353CC}">
              <c16:uniqueId val="{00000028-E6EE-47D1-ABCE-853BC74170EA}"/>
            </c:ext>
          </c:extLst>
        </c:ser>
      </c:pie3DChart>
      <c:spPr>
        <a:noFill/>
        <a:ln>
          <a:noFill/>
        </a:ln>
        <a:effectLst/>
      </c:spPr>
    </c:plotArea>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el-GR"/>
    </a:p>
  </c:txPr>
  <c:externalData r:id="rId1"/>
</c:chartSpace>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0E50E8-7BC6-46B8-8355-4B26FBDD7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32553</Words>
  <Characters>175788</Characters>
  <Application>Microsoft Office Word</Application>
  <DocSecurity>0</DocSecurity>
  <Lines>1464</Lines>
  <Paragraphs>415</Paragraphs>
  <ScaleCrop>false</ScaleCrop>
  <HeadingPairs>
    <vt:vector size="6" baseType="variant">
      <vt:variant>
        <vt:lpstr>Konu Başlığı</vt:lpstr>
      </vt:variant>
      <vt:variant>
        <vt:i4>1</vt:i4>
      </vt:variant>
      <vt:variant>
        <vt:lpstr>Τίτλος</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207926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Recep ULUCAK</dc:creator>
  <cp:lastModifiedBy>Nikos</cp:lastModifiedBy>
  <cp:revision>2</cp:revision>
  <dcterms:created xsi:type="dcterms:W3CDTF">2017-11-08T17:42:00Z</dcterms:created>
  <dcterms:modified xsi:type="dcterms:W3CDTF">2017-11-08T17:42:00Z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80ba4ba6-8683-3060-8f89-5c735d81c6df</vt:lpwstr>
  </property>
  <property fmtid="{D5CDD505-2E9C-101B-9397-08002B2CF9AE}" pid="4" name="Mendeley Citation Style_1">
    <vt:lpwstr>http://www.zotero.org/styles/chicago-author-date</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16th edition (author-date)</vt:lpwstr>
  </property>
  <property fmtid="{D5CDD505-2E9C-101B-9397-08002B2CF9AE}" pid="13" name="Mendeley Recent Style Id 4_1">
    <vt:lpwstr>http://www.zotero.org/styles/harvard1</vt:lpwstr>
  </property>
  <property fmtid="{D5CDD505-2E9C-101B-9397-08002B2CF9AE}" pid="14" name="Mendeley Recent Style Name 4_1">
    <vt:lpwstr>Harvard Reference format 1 (author-date)</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http://www.zotero.org/styles/modern-humanities-research-association</vt:lpwstr>
  </property>
  <property fmtid="{D5CDD505-2E9C-101B-9397-08002B2CF9AE}" pid="18" name="Mendeley Recent Style Name 6_1">
    <vt:lpwstr>Modern Humanities Research Association 3rd edition (note with bibliography)</vt:lpwstr>
  </property>
  <property fmtid="{D5CDD505-2E9C-101B-9397-08002B2CF9AE}" pid="19" name="Mendeley Recent Style Id 7_1">
    <vt:lpwstr>http://www.zotero.org/styles/modern-language-association</vt:lpwstr>
  </property>
  <property fmtid="{D5CDD505-2E9C-101B-9397-08002B2CF9AE}" pid="20" name="Mendeley Recent Style Name 7_1">
    <vt:lpwstr>Modern Language Association 7th edition</vt:lpwstr>
  </property>
  <property fmtid="{D5CDD505-2E9C-101B-9397-08002B2CF9AE}" pid="21" name="Mendeley Recent Style Id 8_1">
    <vt:lpwstr>http://www.zotero.org/styles/nature</vt:lpwstr>
  </property>
  <property fmtid="{D5CDD505-2E9C-101B-9397-08002B2CF9AE}" pid="22" name="Mendeley Recent Style Name 8_1">
    <vt:lpwstr>Nature</vt:lpwstr>
  </property>
  <property fmtid="{D5CDD505-2E9C-101B-9397-08002B2CF9AE}" pid="23" name="Mendeley Recent Style Id 9_1">
    <vt:lpwstr>http://www.zotero.org/styles/renewable-and-sustainable-energy-reviews</vt:lpwstr>
  </property>
  <property fmtid="{D5CDD505-2E9C-101B-9397-08002B2CF9AE}" pid="24" name="Mendeley Recent Style Name 9_1">
    <vt:lpwstr>Renewable and Sustainable Energy Reviews</vt:lpwstr>
  </property>
</Properties>
</file>