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30D84" w14:textId="77777777" w:rsidR="00E770DD" w:rsidRDefault="00E770DD" w:rsidP="006668EA">
      <w:pPr>
        <w:spacing w:line="240" w:lineRule="auto"/>
        <w:jc w:val="center"/>
        <w:rPr>
          <w:rFonts w:ascii="Times New Roman" w:eastAsia="Calibri" w:hAnsi="Times New Roman" w:cs="Times New Roman"/>
          <w:sz w:val="24"/>
          <w:szCs w:val="24"/>
          <w:lang w:val="en-GB"/>
        </w:rPr>
      </w:pPr>
      <w:bookmarkStart w:id="0" w:name="_GoBack"/>
      <w:bookmarkEnd w:id="0"/>
    </w:p>
    <w:p w14:paraId="7AA56488" w14:textId="77777777" w:rsidR="00405346" w:rsidRDefault="00405346" w:rsidP="00405346">
      <w:pPr>
        <w:spacing w:after="0" w:line="480" w:lineRule="auto"/>
        <w:jc w:val="center"/>
        <w:rPr>
          <w:sz w:val="24"/>
          <w:szCs w:val="24"/>
        </w:rPr>
      </w:pPr>
      <w:r w:rsidRPr="006668EA">
        <w:rPr>
          <w:sz w:val="24"/>
          <w:szCs w:val="24"/>
        </w:rPr>
        <w:t xml:space="preserve">Understanding Interpersonal Relationships and Psychopathy in </w:t>
      </w:r>
    </w:p>
    <w:p w14:paraId="360EC02D" w14:textId="77777777" w:rsidR="00405346" w:rsidRDefault="00405346" w:rsidP="00405346">
      <w:pPr>
        <w:spacing w:after="0" w:line="480" w:lineRule="auto"/>
        <w:jc w:val="center"/>
        <w:rPr>
          <w:sz w:val="24"/>
          <w:szCs w:val="24"/>
        </w:rPr>
      </w:pPr>
      <w:r w:rsidRPr="006668EA">
        <w:rPr>
          <w:sz w:val="24"/>
          <w:szCs w:val="24"/>
        </w:rPr>
        <w:t xml:space="preserve">Forensic Psychiatric and </w:t>
      </w:r>
      <w:r>
        <w:rPr>
          <w:sz w:val="24"/>
          <w:szCs w:val="24"/>
        </w:rPr>
        <w:t>Student</w:t>
      </w:r>
      <w:r w:rsidRPr="006668EA">
        <w:rPr>
          <w:sz w:val="24"/>
          <w:szCs w:val="24"/>
        </w:rPr>
        <w:t xml:space="preserve"> Samples</w:t>
      </w:r>
    </w:p>
    <w:p w14:paraId="6DDD47B9" w14:textId="2373C656" w:rsidR="00D4694D" w:rsidRDefault="00D4694D" w:rsidP="00E62AD9">
      <w:pPr>
        <w:spacing w:line="240" w:lineRule="auto"/>
        <w:jc w:val="center"/>
        <w:rPr>
          <w:rFonts w:ascii="Times New Roman" w:eastAsia="Calibri" w:hAnsi="Times New Roman" w:cs="Times New Roman"/>
          <w:sz w:val="24"/>
          <w:szCs w:val="24"/>
          <w:lang w:val="en-GB"/>
        </w:rPr>
      </w:pPr>
    </w:p>
    <w:p w14:paraId="70DC430B" w14:textId="5F088714" w:rsidR="00D4694D" w:rsidRPr="00D4694D" w:rsidRDefault="00D4694D" w:rsidP="00405346">
      <w:pPr>
        <w:spacing w:after="0" w:line="480" w:lineRule="auto"/>
        <w:jc w:val="center"/>
        <w:rPr>
          <w:rFonts w:ascii="Times New Roman" w:hAnsi="Times New Roman"/>
          <w:sz w:val="24"/>
          <w:szCs w:val="24"/>
        </w:rPr>
      </w:pPr>
      <w:r w:rsidRPr="00D4694D">
        <w:rPr>
          <w:rFonts w:ascii="Times New Roman" w:hAnsi="Times New Roman"/>
          <w:sz w:val="24"/>
          <w:szCs w:val="24"/>
        </w:rPr>
        <w:t>Robyn Mooney*, Jane L. Ireland</w:t>
      </w:r>
      <w:r w:rsidRPr="00D4694D">
        <w:rPr>
          <w:rFonts w:ascii="Times New Roman" w:eastAsia="Times New Roman" w:hAnsi="Times New Roman"/>
          <w:sz w:val="24"/>
          <w:szCs w:val="24"/>
          <w:vertAlign w:val="superscript"/>
        </w:rPr>
        <w:footnoteReference w:id="1"/>
      </w:r>
      <w:r w:rsidRPr="00D4694D">
        <w:rPr>
          <w:rFonts w:ascii="Times New Roman" w:eastAsia="Times New Roman" w:hAnsi="Times New Roman"/>
          <w:sz w:val="24"/>
          <w:szCs w:val="24"/>
        </w:rPr>
        <w:t xml:space="preserve">, </w:t>
      </w:r>
      <w:r w:rsidRPr="00D4694D">
        <w:rPr>
          <w:rFonts w:ascii="Times New Roman" w:hAnsi="Times New Roman"/>
          <w:sz w:val="24"/>
          <w:szCs w:val="24"/>
        </w:rPr>
        <w:t>Michael Lewis</w:t>
      </w:r>
    </w:p>
    <w:p w14:paraId="2D642044" w14:textId="77777777" w:rsidR="00D4694D" w:rsidRPr="00D4694D" w:rsidRDefault="00D4694D" w:rsidP="00405346">
      <w:pPr>
        <w:spacing w:after="0" w:line="480" w:lineRule="auto"/>
        <w:jc w:val="center"/>
        <w:rPr>
          <w:rFonts w:ascii="Times New Roman" w:eastAsia="Calibri" w:hAnsi="Times New Roman" w:cs="Times New Roman"/>
          <w:sz w:val="24"/>
          <w:szCs w:val="24"/>
          <w:lang w:val="en-GB"/>
        </w:rPr>
      </w:pPr>
      <w:r w:rsidRPr="00D4694D">
        <w:rPr>
          <w:rFonts w:ascii="Times New Roman" w:eastAsia="Calibri" w:hAnsi="Times New Roman" w:cs="Times New Roman"/>
          <w:sz w:val="24"/>
          <w:szCs w:val="24"/>
          <w:lang w:val="en-GB"/>
        </w:rPr>
        <w:t>*</w:t>
      </w:r>
      <w:r w:rsidR="00FB4A2D" w:rsidRPr="00D4694D">
        <w:rPr>
          <w:rFonts w:ascii="Times New Roman" w:eastAsia="Calibri" w:hAnsi="Times New Roman" w:cs="Times New Roman"/>
          <w:sz w:val="24"/>
          <w:szCs w:val="24"/>
          <w:lang w:val="en-GB"/>
        </w:rPr>
        <w:t xml:space="preserve">Maastricht University, Netherlands and </w:t>
      </w:r>
      <w:r w:rsidRPr="00D4694D">
        <w:rPr>
          <w:rFonts w:ascii="Times New Roman" w:eastAsia="Calibri" w:hAnsi="Times New Roman" w:cs="Times New Roman"/>
          <w:sz w:val="24"/>
          <w:szCs w:val="24"/>
          <w:lang w:val="en-GB"/>
        </w:rPr>
        <w:t xml:space="preserve">Ashworth Research Centre, </w:t>
      </w:r>
      <w:r w:rsidR="00FB4A2D" w:rsidRPr="00D4694D">
        <w:rPr>
          <w:rFonts w:ascii="Times New Roman" w:eastAsia="Calibri" w:hAnsi="Times New Roman" w:cs="Times New Roman"/>
          <w:sz w:val="24"/>
          <w:szCs w:val="24"/>
          <w:lang w:val="en-GB"/>
        </w:rPr>
        <w:t>Mersey Care NHS Trust, UK</w:t>
      </w:r>
    </w:p>
    <w:p w14:paraId="0BBEC09C" w14:textId="72535977" w:rsidR="00D4694D" w:rsidRPr="00D4694D" w:rsidRDefault="00D4694D" w:rsidP="00405346">
      <w:pPr>
        <w:spacing w:after="0" w:line="480" w:lineRule="auto"/>
        <w:jc w:val="center"/>
        <w:rPr>
          <w:rFonts w:ascii="Times New Roman" w:eastAsia="Times New Roman" w:hAnsi="Times New Roman"/>
          <w:sz w:val="24"/>
          <w:szCs w:val="24"/>
        </w:rPr>
      </w:pPr>
      <w:r w:rsidRPr="00D4694D">
        <w:rPr>
          <w:rFonts w:ascii="Times New Roman" w:eastAsia="Times New Roman" w:hAnsi="Times New Roman"/>
          <w:sz w:val="24"/>
          <w:szCs w:val="24"/>
        </w:rPr>
        <w:t>University of Central Lancashire, Preston, UK and Ashworth Research Centre, Mersey Care NHS Trust, UK.</w:t>
      </w:r>
    </w:p>
    <w:p w14:paraId="679A7EB1" w14:textId="4015C62A" w:rsidR="001E4567" w:rsidRDefault="001E4567" w:rsidP="00405346">
      <w:pPr>
        <w:spacing w:after="0" w:line="240" w:lineRule="auto"/>
        <w:rPr>
          <w:sz w:val="24"/>
          <w:szCs w:val="24"/>
        </w:rPr>
      </w:pPr>
    </w:p>
    <w:p w14:paraId="1B6ACD04" w14:textId="2B9C9B7F" w:rsidR="00460760" w:rsidRDefault="00460760" w:rsidP="00460760">
      <w:pPr>
        <w:spacing w:after="0" w:line="240" w:lineRule="auto"/>
        <w:jc w:val="center"/>
        <w:rPr>
          <w:sz w:val="24"/>
          <w:szCs w:val="24"/>
        </w:rPr>
        <w:sectPr w:rsidR="00460760" w:rsidSect="00893CB1">
          <w:headerReference w:type="default" r:id="rId8"/>
          <w:footerReference w:type="default" r:id="rId9"/>
          <w:headerReference w:type="first" r:id="rId10"/>
          <w:pgSz w:w="12240" w:h="15840"/>
          <w:pgMar w:top="1440" w:right="1440" w:bottom="1440" w:left="1440" w:header="708" w:footer="708" w:gutter="0"/>
          <w:cols w:space="708"/>
          <w:titlePg/>
          <w:docGrid w:linePitch="360"/>
        </w:sectPr>
      </w:pPr>
    </w:p>
    <w:p w14:paraId="5B8FE9DD" w14:textId="1E6B0833" w:rsidR="00E62AD9" w:rsidRDefault="00E62AD9" w:rsidP="00EE44A7">
      <w:pPr>
        <w:spacing w:after="0" w:line="480" w:lineRule="auto"/>
        <w:jc w:val="center"/>
        <w:rPr>
          <w:sz w:val="24"/>
          <w:szCs w:val="24"/>
        </w:rPr>
      </w:pPr>
      <w:r w:rsidRPr="009D500F">
        <w:rPr>
          <w:sz w:val="24"/>
          <w:szCs w:val="24"/>
        </w:rPr>
        <w:lastRenderedPageBreak/>
        <w:t>Abstract</w:t>
      </w:r>
    </w:p>
    <w:p w14:paraId="10D40DC3" w14:textId="6F1EBC6F" w:rsidR="00E62AD9" w:rsidRDefault="00EE44A7" w:rsidP="009D500F">
      <w:pPr>
        <w:spacing w:after="0" w:line="480" w:lineRule="auto"/>
        <w:rPr>
          <w:sz w:val="24"/>
          <w:szCs w:val="24"/>
        </w:rPr>
      </w:pPr>
      <w:r w:rsidRPr="00EE44A7">
        <w:rPr>
          <w:sz w:val="24"/>
          <w:szCs w:val="24"/>
        </w:rPr>
        <w:t xml:space="preserve">Although psychopathy is widely recognised for its importance in forensic and criminal justice settings, the range of interpersonal relationships that are experienced and engaged in by individuals with psychopathy is understudied. </w:t>
      </w:r>
      <w:r w:rsidR="00F82CBC">
        <w:rPr>
          <w:sz w:val="24"/>
          <w:szCs w:val="24"/>
        </w:rPr>
        <w:t xml:space="preserve">A Rapid Evidence Assessment (Study 1) examined what is known empirically about the nature and quality of relationships for individuals with psychopathy. </w:t>
      </w:r>
      <w:r w:rsidR="00F82CBC" w:rsidRPr="00F82CBC">
        <w:rPr>
          <w:sz w:val="24"/>
          <w:szCs w:val="24"/>
        </w:rPr>
        <w:t>Affective, Cognitive and Lifestyle Assessment (ACL) interviews and genograms were then analy</w:t>
      </w:r>
      <w:r w:rsidR="009D500F">
        <w:rPr>
          <w:sz w:val="24"/>
          <w:szCs w:val="24"/>
        </w:rPr>
        <w:t>s</w:t>
      </w:r>
      <w:r w:rsidR="00F82CBC" w:rsidRPr="00F82CBC">
        <w:rPr>
          <w:sz w:val="24"/>
          <w:szCs w:val="24"/>
        </w:rPr>
        <w:t xml:space="preserve">ed in conjunction with </w:t>
      </w:r>
      <w:r w:rsidR="00F82CBC">
        <w:rPr>
          <w:sz w:val="24"/>
          <w:szCs w:val="24"/>
        </w:rPr>
        <w:t>Psychopathy Checklist: Screening Version (</w:t>
      </w:r>
      <w:r w:rsidR="00F82CBC" w:rsidRPr="00F82CBC">
        <w:rPr>
          <w:sz w:val="24"/>
          <w:szCs w:val="24"/>
        </w:rPr>
        <w:t>PCL:SV</w:t>
      </w:r>
      <w:r w:rsidR="00F82CBC">
        <w:rPr>
          <w:sz w:val="24"/>
          <w:szCs w:val="24"/>
        </w:rPr>
        <w:t>)</w:t>
      </w:r>
      <w:r w:rsidR="00F82CBC" w:rsidRPr="00F82CBC">
        <w:rPr>
          <w:sz w:val="24"/>
          <w:szCs w:val="24"/>
        </w:rPr>
        <w:t xml:space="preserve"> scores</w:t>
      </w:r>
      <w:r w:rsidR="00F82CBC">
        <w:rPr>
          <w:sz w:val="24"/>
          <w:szCs w:val="24"/>
        </w:rPr>
        <w:t xml:space="preserve"> to explore the extent, nature, and quality of interpersonal relationships in student and forensic psychiatric samples (Study 2). </w:t>
      </w:r>
      <w:r w:rsidR="009D500F">
        <w:rPr>
          <w:sz w:val="24"/>
          <w:szCs w:val="24"/>
        </w:rPr>
        <w:t>Quantitative data indicated that total psychopathy score predicted a smaller number of positive interpersonal relationships. Findings regarding Factors 1 and 2 and number</w:t>
      </w:r>
      <w:r w:rsidR="006449C9">
        <w:rPr>
          <w:sz w:val="24"/>
          <w:szCs w:val="24"/>
        </w:rPr>
        <w:t>s</w:t>
      </w:r>
      <w:r w:rsidR="009D500F">
        <w:rPr>
          <w:sz w:val="24"/>
          <w:szCs w:val="24"/>
        </w:rPr>
        <w:t xml:space="preserve"> of positive and negative interpersonal relationships varied between samples. Qualitative analyses demonstrated that psychopathic participants used less positive descriptors </w:t>
      </w:r>
      <w:r w:rsidR="006449C9">
        <w:rPr>
          <w:sz w:val="24"/>
          <w:szCs w:val="24"/>
        </w:rPr>
        <w:t xml:space="preserve">than non-psychopathic participants </w:t>
      </w:r>
      <w:r w:rsidR="009D500F">
        <w:rPr>
          <w:sz w:val="24"/>
          <w:szCs w:val="24"/>
        </w:rPr>
        <w:t>when discussing their interpersonal relationships. Findings are examined through the lenses of attachment theory and interpersonal theory.</w:t>
      </w:r>
    </w:p>
    <w:p w14:paraId="2C896289" w14:textId="2D95E668" w:rsidR="00E62AD9" w:rsidRDefault="00E62AD9" w:rsidP="00E62AD9">
      <w:pPr>
        <w:spacing w:line="480" w:lineRule="auto"/>
        <w:jc w:val="center"/>
        <w:rPr>
          <w:sz w:val="24"/>
          <w:szCs w:val="24"/>
        </w:rPr>
      </w:pPr>
    </w:p>
    <w:p w14:paraId="6AB4E5F1" w14:textId="38E6374D" w:rsidR="00E62AD9" w:rsidRDefault="00E62AD9" w:rsidP="00E62AD9">
      <w:pPr>
        <w:spacing w:line="480" w:lineRule="auto"/>
        <w:jc w:val="center"/>
        <w:rPr>
          <w:sz w:val="24"/>
          <w:szCs w:val="24"/>
        </w:rPr>
      </w:pPr>
    </w:p>
    <w:p w14:paraId="72E45C43" w14:textId="3DB467A2" w:rsidR="00E62AD9" w:rsidRDefault="00E62AD9" w:rsidP="00E62AD9">
      <w:pPr>
        <w:spacing w:line="480" w:lineRule="auto"/>
        <w:jc w:val="center"/>
        <w:rPr>
          <w:sz w:val="24"/>
          <w:szCs w:val="24"/>
        </w:rPr>
      </w:pPr>
    </w:p>
    <w:p w14:paraId="4CF87DE7" w14:textId="7402EEC4" w:rsidR="00E62AD9" w:rsidRDefault="00E62AD9" w:rsidP="00E62AD9">
      <w:pPr>
        <w:spacing w:line="480" w:lineRule="auto"/>
        <w:jc w:val="center"/>
        <w:rPr>
          <w:sz w:val="24"/>
          <w:szCs w:val="24"/>
        </w:rPr>
      </w:pPr>
    </w:p>
    <w:p w14:paraId="5BE71A18" w14:textId="4BE0FBDC" w:rsidR="00E62AD9" w:rsidRDefault="00E62AD9" w:rsidP="00E62AD9">
      <w:pPr>
        <w:spacing w:line="480" w:lineRule="auto"/>
        <w:jc w:val="center"/>
        <w:rPr>
          <w:sz w:val="24"/>
          <w:szCs w:val="24"/>
        </w:rPr>
      </w:pPr>
    </w:p>
    <w:p w14:paraId="05F57931" w14:textId="77777777" w:rsidR="00893CB1" w:rsidRDefault="00893CB1">
      <w:pPr>
        <w:rPr>
          <w:sz w:val="24"/>
          <w:szCs w:val="24"/>
        </w:rPr>
        <w:sectPr w:rsidR="00893CB1" w:rsidSect="00893CB1">
          <w:headerReference w:type="first" r:id="rId11"/>
          <w:pgSz w:w="12240" w:h="15840"/>
          <w:pgMar w:top="1440" w:right="1440" w:bottom="1440" w:left="1440" w:header="708" w:footer="708" w:gutter="0"/>
          <w:cols w:space="708"/>
          <w:titlePg/>
          <w:docGrid w:linePitch="360"/>
        </w:sectPr>
      </w:pPr>
      <w:r>
        <w:rPr>
          <w:sz w:val="24"/>
          <w:szCs w:val="24"/>
        </w:rPr>
        <w:br w:type="page"/>
      </w:r>
    </w:p>
    <w:p w14:paraId="6200E459" w14:textId="77777777" w:rsidR="006668EA" w:rsidRDefault="006668EA" w:rsidP="006668EA">
      <w:pPr>
        <w:spacing w:after="0" w:line="480" w:lineRule="auto"/>
        <w:jc w:val="center"/>
        <w:rPr>
          <w:sz w:val="24"/>
          <w:szCs w:val="24"/>
        </w:rPr>
      </w:pPr>
      <w:r w:rsidRPr="006668EA">
        <w:rPr>
          <w:sz w:val="24"/>
          <w:szCs w:val="24"/>
        </w:rPr>
        <w:t xml:space="preserve">Understanding Interpersonal Relationships and Psychopathy in </w:t>
      </w:r>
    </w:p>
    <w:p w14:paraId="347E29A0" w14:textId="6E71E4D1" w:rsidR="006668EA" w:rsidRDefault="006668EA" w:rsidP="006668EA">
      <w:pPr>
        <w:spacing w:after="0" w:line="480" w:lineRule="auto"/>
        <w:jc w:val="center"/>
        <w:rPr>
          <w:sz w:val="24"/>
          <w:szCs w:val="24"/>
        </w:rPr>
      </w:pPr>
      <w:r w:rsidRPr="006668EA">
        <w:rPr>
          <w:sz w:val="24"/>
          <w:szCs w:val="24"/>
        </w:rPr>
        <w:t xml:space="preserve">Forensic Psychiatric and </w:t>
      </w:r>
      <w:r w:rsidR="00F82CBC">
        <w:rPr>
          <w:sz w:val="24"/>
          <w:szCs w:val="24"/>
        </w:rPr>
        <w:t>Student</w:t>
      </w:r>
      <w:r w:rsidRPr="006668EA">
        <w:rPr>
          <w:sz w:val="24"/>
          <w:szCs w:val="24"/>
        </w:rPr>
        <w:t xml:space="preserve"> Samples</w:t>
      </w:r>
    </w:p>
    <w:p w14:paraId="4EC0EE7D" w14:textId="20FC4C51" w:rsidR="00346A4E" w:rsidRDefault="00346A4E" w:rsidP="006668EA">
      <w:pPr>
        <w:spacing w:after="0" w:line="480" w:lineRule="auto"/>
        <w:ind w:firstLine="720"/>
        <w:rPr>
          <w:rFonts w:ascii="Times New Roman" w:hAnsi="Times New Roman" w:cs="Times New Roman"/>
          <w:sz w:val="24"/>
        </w:rPr>
      </w:pPr>
      <w:r w:rsidRPr="00EB1504">
        <w:rPr>
          <w:rFonts w:ascii="Times New Roman" w:hAnsi="Times New Roman" w:cs="Times New Roman"/>
          <w:sz w:val="24"/>
        </w:rPr>
        <w:t>Although individuals with psychopathy comprise</w:t>
      </w:r>
      <w:r>
        <w:rPr>
          <w:rFonts w:ascii="Times New Roman" w:hAnsi="Times New Roman" w:cs="Times New Roman"/>
          <w:sz w:val="24"/>
        </w:rPr>
        <w:t xml:space="preserve"> </w:t>
      </w:r>
      <w:r w:rsidR="005D5E50">
        <w:rPr>
          <w:rFonts w:ascii="Times New Roman" w:hAnsi="Times New Roman" w:cs="Times New Roman"/>
          <w:sz w:val="24"/>
        </w:rPr>
        <w:t>less than</w:t>
      </w:r>
      <w:r w:rsidRPr="00EB1504">
        <w:rPr>
          <w:rFonts w:ascii="Times New Roman" w:hAnsi="Times New Roman" w:cs="Times New Roman"/>
          <w:sz w:val="24"/>
        </w:rPr>
        <w:t xml:space="preserve"> 1% of the general population </w:t>
      </w:r>
      <w:r w:rsidRPr="00EF2278">
        <w:rPr>
          <w:rFonts w:ascii="Times New Roman" w:hAnsi="Times New Roman" w:cs="Times New Roman"/>
          <w:sz w:val="24"/>
        </w:rPr>
        <w:t>(</w:t>
      </w:r>
      <w:r w:rsidR="00851795" w:rsidRPr="00523381">
        <w:rPr>
          <w:rFonts w:ascii="Times New Roman" w:hAnsi="Times New Roman" w:cs="Times New Roman"/>
          <w:sz w:val="24"/>
        </w:rPr>
        <w:t>Blair, Mitchel, &amp; Clair, 2005</w:t>
      </w:r>
      <w:r w:rsidR="00851795">
        <w:rPr>
          <w:rFonts w:ascii="Times New Roman" w:hAnsi="Times New Roman" w:cs="Times New Roman"/>
          <w:sz w:val="24"/>
        </w:rPr>
        <w:t xml:space="preserve">; </w:t>
      </w:r>
      <w:r w:rsidRPr="00CB360C">
        <w:rPr>
          <w:rFonts w:ascii="Times New Roman" w:hAnsi="Times New Roman" w:cs="Times New Roman"/>
          <w:sz w:val="24"/>
          <w:lang w:val="en-GB"/>
        </w:rPr>
        <w:t>Coid</w:t>
      </w:r>
      <w:r w:rsidRPr="00EF2278">
        <w:rPr>
          <w:rFonts w:ascii="Times New Roman" w:hAnsi="Times New Roman" w:cs="Times New Roman"/>
          <w:sz w:val="24"/>
        </w:rPr>
        <w:t>, Yang, Ullrich, Roberts, &amp; Hare, 2009</w:t>
      </w:r>
      <w:r w:rsidR="005B02FF" w:rsidRPr="00EF2278">
        <w:rPr>
          <w:rFonts w:ascii="Times New Roman" w:hAnsi="Times New Roman" w:cs="Times New Roman"/>
          <w:sz w:val="24"/>
        </w:rPr>
        <w:t>; Neumann &amp; Hare, 2008),</w:t>
      </w:r>
      <w:r w:rsidRPr="00EF2278">
        <w:rPr>
          <w:rFonts w:ascii="Times New Roman" w:hAnsi="Times New Roman" w:cs="Times New Roman"/>
          <w:sz w:val="24"/>
        </w:rPr>
        <w:t xml:space="preserve"> their representation is much higher in correctional settings: it is estimated that 11% of forensic psychiatric patients and </w:t>
      </w:r>
      <w:r w:rsidR="004D0506">
        <w:rPr>
          <w:rFonts w:ascii="Times New Roman" w:hAnsi="Times New Roman" w:cs="Times New Roman"/>
          <w:sz w:val="24"/>
        </w:rPr>
        <w:t>8</w:t>
      </w:r>
      <w:r w:rsidRPr="00EF2278">
        <w:rPr>
          <w:rFonts w:ascii="Times New Roman" w:hAnsi="Times New Roman" w:cs="Times New Roman"/>
          <w:sz w:val="24"/>
        </w:rPr>
        <w:t xml:space="preserve">-25% of prison inmates </w:t>
      </w:r>
      <w:r w:rsidR="004E5DC0">
        <w:rPr>
          <w:rFonts w:ascii="Times New Roman" w:hAnsi="Times New Roman" w:cs="Times New Roman"/>
          <w:sz w:val="24"/>
        </w:rPr>
        <w:t>have psychopathy</w:t>
      </w:r>
      <w:r w:rsidRPr="00EF2278">
        <w:rPr>
          <w:rFonts w:ascii="Times New Roman" w:hAnsi="Times New Roman" w:cs="Times New Roman"/>
          <w:sz w:val="24"/>
        </w:rPr>
        <w:t xml:space="preserve"> (</w:t>
      </w:r>
      <w:r w:rsidR="004D0506">
        <w:rPr>
          <w:rFonts w:ascii="Times New Roman" w:hAnsi="Times New Roman" w:cs="Times New Roman"/>
          <w:sz w:val="24"/>
        </w:rPr>
        <w:t>Coid</w:t>
      </w:r>
      <w:r w:rsidR="00F94847">
        <w:rPr>
          <w:rFonts w:ascii="Times New Roman" w:hAnsi="Times New Roman" w:cs="Times New Roman"/>
          <w:sz w:val="24"/>
        </w:rPr>
        <w:t>, Yang, Ullrich, Roberts, Moran,</w:t>
      </w:r>
      <w:r w:rsidR="004D0506">
        <w:rPr>
          <w:rFonts w:ascii="Times New Roman" w:hAnsi="Times New Roman" w:cs="Times New Roman"/>
          <w:sz w:val="24"/>
        </w:rPr>
        <w:t xml:space="preserve"> et al., 2009</w:t>
      </w:r>
      <w:r w:rsidR="00F94847">
        <w:rPr>
          <w:rFonts w:ascii="Times New Roman" w:hAnsi="Times New Roman" w:cs="Times New Roman"/>
          <w:sz w:val="24"/>
        </w:rPr>
        <w:t xml:space="preserve">; </w:t>
      </w:r>
      <w:r w:rsidR="005B02FF" w:rsidRPr="00EF2278">
        <w:rPr>
          <w:rFonts w:ascii="Times New Roman" w:hAnsi="Times New Roman" w:cs="Times New Roman"/>
          <w:sz w:val="24"/>
        </w:rPr>
        <w:t>Hare, 2003</w:t>
      </w:r>
      <w:r w:rsidRPr="00EF2278">
        <w:rPr>
          <w:rFonts w:ascii="Times New Roman" w:hAnsi="Times New Roman" w:cs="Times New Roman"/>
          <w:sz w:val="24"/>
        </w:rPr>
        <w:t>).</w:t>
      </w:r>
      <w:r w:rsidRPr="00EB1504">
        <w:rPr>
          <w:rFonts w:ascii="Times New Roman" w:hAnsi="Times New Roman" w:cs="Times New Roman"/>
          <w:sz w:val="24"/>
        </w:rPr>
        <w:t xml:space="preserve"> These individuals are responsible for approximately half of all serious criminal offences (Hare, 2003). </w:t>
      </w:r>
      <w:r w:rsidRPr="0019149B">
        <w:rPr>
          <w:rFonts w:ascii="Times New Roman" w:hAnsi="Times New Roman" w:cs="Times New Roman"/>
          <w:sz w:val="24"/>
        </w:rPr>
        <w:t xml:space="preserve">Because individuals with psychopathy commit a disproportionate number of criminal offenses, </w:t>
      </w:r>
      <w:r w:rsidR="005F3286" w:rsidRPr="0019149B">
        <w:rPr>
          <w:rFonts w:ascii="Times New Roman" w:hAnsi="Times New Roman" w:cs="Times New Roman"/>
          <w:sz w:val="24"/>
        </w:rPr>
        <w:t>understanding th</w:t>
      </w:r>
      <w:r w:rsidR="00187019" w:rsidRPr="0019149B">
        <w:rPr>
          <w:rFonts w:ascii="Times New Roman" w:hAnsi="Times New Roman" w:cs="Times New Roman"/>
          <w:sz w:val="24"/>
        </w:rPr>
        <w:t>is</w:t>
      </w:r>
      <w:r w:rsidR="005F3286" w:rsidRPr="0019149B">
        <w:rPr>
          <w:rFonts w:ascii="Times New Roman" w:hAnsi="Times New Roman" w:cs="Times New Roman"/>
          <w:sz w:val="24"/>
        </w:rPr>
        <w:t xml:space="preserve"> challenging population </w:t>
      </w:r>
      <w:r w:rsidR="00187019" w:rsidRPr="0019149B">
        <w:rPr>
          <w:rFonts w:ascii="Times New Roman" w:hAnsi="Times New Roman" w:cs="Times New Roman"/>
          <w:sz w:val="24"/>
        </w:rPr>
        <w:t>and the range of their relationships with others is of significant interest to forensic mental health professionals</w:t>
      </w:r>
      <w:r w:rsidRPr="0019149B">
        <w:rPr>
          <w:rFonts w:ascii="Times New Roman" w:hAnsi="Times New Roman" w:cs="Times New Roman"/>
          <w:sz w:val="24"/>
        </w:rPr>
        <w:t>.</w:t>
      </w:r>
      <w:r w:rsidR="00C0476A" w:rsidRPr="0019149B">
        <w:rPr>
          <w:rFonts w:ascii="Times New Roman" w:hAnsi="Times New Roman" w:cs="Times New Roman"/>
          <w:sz w:val="24"/>
        </w:rPr>
        <w:t xml:space="preserve"> Despite this, the interpersonal relationships of psychopathic individuals remain poorly understood</w:t>
      </w:r>
      <w:r w:rsidR="0019149B" w:rsidRPr="0019149B">
        <w:rPr>
          <w:rFonts w:ascii="Times New Roman" w:hAnsi="Times New Roman" w:cs="Times New Roman"/>
          <w:sz w:val="24"/>
        </w:rPr>
        <w:t xml:space="preserve"> by researchers and clinicians alike</w:t>
      </w:r>
      <w:r w:rsidR="00C0476A" w:rsidRPr="0019149B">
        <w:rPr>
          <w:rFonts w:ascii="Times New Roman" w:hAnsi="Times New Roman" w:cs="Times New Roman"/>
          <w:sz w:val="24"/>
        </w:rPr>
        <w:t>.</w:t>
      </w:r>
    </w:p>
    <w:p w14:paraId="5A8A0794" w14:textId="642E00B1" w:rsidR="00346A4E" w:rsidRDefault="008C580E" w:rsidP="00786D87">
      <w:pPr>
        <w:spacing w:after="0" w:line="480" w:lineRule="auto"/>
        <w:ind w:firstLine="720"/>
        <w:rPr>
          <w:rFonts w:ascii="Times New Roman" w:hAnsi="Times New Roman" w:cs="Times New Roman"/>
          <w:sz w:val="24"/>
        </w:rPr>
      </w:pPr>
      <w:r w:rsidRPr="008C580E">
        <w:rPr>
          <w:rFonts w:ascii="Times New Roman" w:hAnsi="Times New Roman" w:cs="Times New Roman"/>
          <w:sz w:val="24"/>
        </w:rPr>
        <w:t>Psychopathy</w:t>
      </w:r>
      <w:r w:rsidR="00853413">
        <w:rPr>
          <w:rFonts w:ascii="Times New Roman" w:hAnsi="Times New Roman" w:cs="Times New Roman"/>
          <w:sz w:val="24"/>
        </w:rPr>
        <w:t>, first defined by Cleckley (1941),</w:t>
      </w:r>
      <w:r w:rsidRPr="008C580E">
        <w:rPr>
          <w:rFonts w:ascii="Times New Roman" w:hAnsi="Times New Roman" w:cs="Times New Roman"/>
          <w:sz w:val="24"/>
        </w:rPr>
        <w:t xml:space="preserve"> is often disaggregated into different subtypes</w:t>
      </w:r>
      <w:r w:rsidR="00376E06">
        <w:rPr>
          <w:rFonts w:ascii="Times New Roman" w:hAnsi="Times New Roman" w:cs="Times New Roman"/>
          <w:sz w:val="24"/>
        </w:rPr>
        <w:t xml:space="preserve">, such as primary and secondary </w:t>
      </w:r>
      <w:r>
        <w:rPr>
          <w:rFonts w:ascii="Times New Roman" w:hAnsi="Times New Roman" w:cs="Times New Roman"/>
          <w:sz w:val="24"/>
        </w:rPr>
        <w:t>psychopathy</w:t>
      </w:r>
      <w:r w:rsidR="000478B5">
        <w:rPr>
          <w:rFonts w:ascii="Times New Roman" w:hAnsi="Times New Roman" w:cs="Times New Roman"/>
          <w:sz w:val="24"/>
        </w:rPr>
        <w:t>. According to Karpman, while the two subtypes are phenotypically similar (</w:t>
      </w:r>
      <w:r w:rsidR="000478B5" w:rsidRPr="00A12286">
        <w:rPr>
          <w:rFonts w:ascii="Times New Roman" w:hAnsi="Times New Roman" w:cs="Times New Roman"/>
          <w:sz w:val="24"/>
        </w:rPr>
        <w:t>Poythress &amp; Skeem, 2006</w:t>
      </w:r>
      <w:r w:rsidR="000478B5">
        <w:rPr>
          <w:rFonts w:ascii="Times New Roman" w:hAnsi="Times New Roman" w:cs="Times New Roman"/>
          <w:sz w:val="24"/>
        </w:rPr>
        <w:t xml:space="preserve">), their </w:t>
      </w:r>
      <w:r w:rsidR="00CB360C">
        <w:rPr>
          <w:rFonts w:ascii="Times New Roman" w:hAnsi="Times New Roman" w:cs="Times New Roman"/>
          <w:sz w:val="24"/>
        </w:rPr>
        <w:t>aetiologies</w:t>
      </w:r>
      <w:r w:rsidR="000478B5">
        <w:rPr>
          <w:rFonts w:ascii="Times New Roman" w:hAnsi="Times New Roman" w:cs="Times New Roman"/>
          <w:sz w:val="24"/>
        </w:rPr>
        <w:t xml:space="preserve"> differ. Primary psychopathy is said to originate </w:t>
      </w:r>
      <w:r w:rsidR="009F3314">
        <w:rPr>
          <w:rFonts w:ascii="Times New Roman" w:hAnsi="Times New Roman" w:cs="Times New Roman"/>
          <w:sz w:val="24"/>
        </w:rPr>
        <w:t>in a dispositional absence of conscience (Karpman, 1948)</w:t>
      </w:r>
      <w:r w:rsidR="000478B5">
        <w:rPr>
          <w:rFonts w:ascii="Times New Roman" w:hAnsi="Times New Roman" w:cs="Times New Roman"/>
          <w:sz w:val="24"/>
        </w:rPr>
        <w:t xml:space="preserve">, while secondary psychopathy is </w:t>
      </w:r>
      <w:r w:rsidR="00435D47">
        <w:rPr>
          <w:rFonts w:ascii="Times New Roman" w:hAnsi="Times New Roman" w:cs="Times New Roman"/>
          <w:sz w:val="24"/>
        </w:rPr>
        <w:t xml:space="preserve">believed to be </w:t>
      </w:r>
      <w:r w:rsidR="000478B5">
        <w:rPr>
          <w:rFonts w:ascii="Times New Roman" w:hAnsi="Times New Roman" w:cs="Times New Roman"/>
          <w:sz w:val="24"/>
        </w:rPr>
        <w:t>a product of one’s environment and early experiences. Not all researchers embrace the primary vs. secondary classification of psychopathy</w:t>
      </w:r>
      <w:r w:rsidR="00376E06">
        <w:rPr>
          <w:rFonts w:ascii="Times New Roman" w:hAnsi="Times New Roman" w:cs="Times New Roman"/>
          <w:sz w:val="24"/>
        </w:rPr>
        <w:t>, however</w:t>
      </w:r>
      <w:r w:rsidR="000478B5">
        <w:rPr>
          <w:rFonts w:ascii="Times New Roman" w:hAnsi="Times New Roman" w:cs="Times New Roman"/>
          <w:sz w:val="24"/>
        </w:rPr>
        <w:t xml:space="preserve">. </w:t>
      </w:r>
      <w:r w:rsidR="00C0476A">
        <w:rPr>
          <w:rFonts w:ascii="Times New Roman" w:hAnsi="Times New Roman" w:cs="Times New Roman"/>
          <w:sz w:val="24"/>
        </w:rPr>
        <w:t>At present, the most extensively validated, researched, and utilised diagnostic instrument for psychopathy is Hare’s (</w:t>
      </w:r>
      <w:r w:rsidR="00C0476A" w:rsidRPr="00A12286">
        <w:rPr>
          <w:rFonts w:ascii="Times New Roman" w:hAnsi="Times New Roman" w:cs="Times New Roman"/>
          <w:sz w:val="24"/>
        </w:rPr>
        <w:t>1991</w:t>
      </w:r>
      <w:r w:rsidR="00C0476A">
        <w:rPr>
          <w:rFonts w:ascii="Times New Roman" w:hAnsi="Times New Roman" w:cs="Times New Roman"/>
          <w:sz w:val="24"/>
        </w:rPr>
        <w:t xml:space="preserve">, 2003) Psychopathy Checklist-Revised (PCL-R). As a result, </w:t>
      </w:r>
      <w:r w:rsidR="00523381">
        <w:rPr>
          <w:rFonts w:ascii="Times New Roman" w:hAnsi="Times New Roman" w:cs="Times New Roman"/>
          <w:sz w:val="24"/>
        </w:rPr>
        <w:t xml:space="preserve">although other classifications have been proposed (e.g. </w:t>
      </w:r>
      <w:r w:rsidR="00523381" w:rsidRPr="00A12286">
        <w:rPr>
          <w:rFonts w:ascii="Times New Roman" w:hAnsi="Times New Roman" w:cs="Times New Roman"/>
          <w:sz w:val="24"/>
        </w:rPr>
        <w:t>Cooke &amp; Michie, 2001</w:t>
      </w:r>
      <w:r w:rsidR="00523381">
        <w:rPr>
          <w:rFonts w:ascii="Times New Roman" w:hAnsi="Times New Roman" w:cs="Times New Roman"/>
          <w:sz w:val="24"/>
        </w:rPr>
        <w:t xml:space="preserve">), </w:t>
      </w:r>
      <w:r w:rsidR="00C0476A">
        <w:rPr>
          <w:rFonts w:ascii="Times New Roman" w:hAnsi="Times New Roman" w:cs="Times New Roman"/>
          <w:sz w:val="24"/>
        </w:rPr>
        <w:t>Hare’s conceptuali</w:t>
      </w:r>
      <w:r w:rsidR="00CB360C">
        <w:rPr>
          <w:rFonts w:ascii="Times New Roman" w:hAnsi="Times New Roman" w:cs="Times New Roman"/>
          <w:sz w:val="24"/>
        </w:rPr>
        <w:t>s</w:t>
      </w:r>
      <w:r w:rsidR="00C0476A">
        <w:rPr>
          <w:rFonts w:ascii="Times New Roman" w:hAnsi="Times New Roman" w:cs="Times New Roman"/>
          <w:sz w:val="24"/>
        </w:rPr>
        <w:t xml:space="preserve">ation of the construct dominates in the literature (e.g. </w:t>
      </w:r>
      <w:r w:rsidR="00C0476A" w:rsidRPr="00C0476A">
        <w:rPr>
          <w:rFonts w:ascii="Times New Roman" w:hAnsi="Times New Roman" w:cs="Times New Roman"/>
          <w:sz w:val="24"/>
        </w:rPr>
        <w:t>Harpur, Hare, &amp; Hakstian, 1989; Kosson, Forth, Steuerwald, &amp; Kirkhart, 1997)</w:t>
      </w:r>
      <w:r w:rsidR="00C0476A">
        <w:rPr>
          <w:rFonts w:ascii="Times New Roman" w:hAnsi="Times New Roman" w:cs="Times New Roman"/>
          <w:sz w:val="24"/>
        </w:rPr>
        <w:t>. According to Hare</w:t>
      </w:r>
      <w:r w:rsidR="00523381">
        <w:rPr>
          <w:rFonts w:ascii="Times New Roman" w:hAnsi="Times New Roman" w:cs="Times New Roman"/>
          <w:sz w:val="24"/>
        </w:rPr>
        <w:t xml:space="preserve"> (1991, 2003)</w:t>
      </w:r>
      <w:r w:rsidR="00C0476A" w:rsidRPr="00C0476A">
        <w:rPr>
          <w:rFonts w:ascii="Times New Roman" w:hAnsi="Times New Roman" w:cs="Times New Roman"/>
          <w:sz w:val="24"/>
        </w:rPr>
        <w:t>,</w:t>
      </w:r>
      <w:r w:rsidR="00DE35C7" w:rsidRPr="00C0476A">
        <w:rPr>
          <w:rFonts w:ascii="Times New Roman" w:hAnsi="Times New Roman" w:cs="Times New Roman"/>
          <w:sz w:val="24"/>
        </w:rPr>
        <w:t xml:space="preserve"> p</w:t>
      </w:r>
      <w:r w:rsidR="008668F5" w:rsidRPr="00C0476A">
        <w:rPr>
          <w:rFonts w:ascii="Times New Roman" w:hAnsi="Times New Roman" w:cs="Times New Roman"/>
          <w:sz w:val="24"/>
        </w:rPr>
        <w:t>sychopathy comprise</w:t>
      </w:r>
      <w:r w:rsidR="00DE35C7" w:rsidRPr="00C0476A">
        <w:rPr>
          <w:rFonts w:ascii="Times New Roman" w:hAnsi="Times New Roman" w:cs="Times New Roman"/>
          <w:sz w:val="24"/>
        </w:rPr>
        <w:t>s</w:t>
      </w:r>
      <w:r w:rsidR="008668F5" w:rsidRPr="00C0476A">
        <w:rPr>
          <w:rFonts w:ascii="Times New Roman" w:hAnsi="Times New Roman" w:cs="Times New Roman"/>
          <w:sz w:val="24"/>
        </w:rPr>
        <w:t xml:space="preserve"> two factors</w:t>
      </w:r>
      <w:r w:rsidR="008668F5" w:rsidRPr="00EF2278">
        <w:rPr>
          <w:rFonts w:ascii="Times New Roman" w:hAnsi="Times New Roman" w:cs="Times New Roman"/>
          <w:sz w:val="24"/>
        </w:rPr>
        <w:t xml:space="preserve">. </w:t>
      </w:r>
      <w:r w:rsidR="003A7BC8" w:rsidRPr="00EF2278">
        <w:rPr>
          <w:rFonts w:ascii="Times New Roman" w:hAnsi="Times New Roman" w:cs="Times New Roman"/>
          <w:sz w:val="24"/>
        </w:rPr>
        <w:t>Factor</w:t>
      </w:r>
      <w:r w:rsidR="003A7BC8">
        <w:rPr>
          <w:rFonts w:ascii="Times New Roman" w:hAnsi="Times New Roman" w:cs="Times New Roman"/>
          <w:sz w:val="24"/>
        </w:rPr>
        <w:t xml:space="preserve"> 1 </w:t>
      </w:r>
      <w:r w:rsidR="00BC5499">
        <w:rPr>
          <w:rFonts w:ascii="Times New Roman" w:hAnsi="Times New Roman" w:cs="Times New Roman"/>
          <w:sz w:val="24"/>
        </w:rPr>
        <w:t>refers to interpersonal and affective deficits, incorporating such traits as interpersonal manipulation, lack of empathy, shallow affect, and egotism; meanwhile, Factor 2 encompasses aspects of a chronically antisocial lifestyle, such as impulsivity, irresponsibility, and criminal versatility</w:t>
      </w:r>
      <w:r w:rsidR="00C3204E">
        <w:rPr>
          <w:rFonts w:ascii="Times New Roman" w:hAnsi="Times New Roman" w:cs="Times New Roman"/>
          <w:sz w:val="24"/>
        </w:rPr>
        <w:t xml:space="preserve">. </w:t>
      </w:r>
      <w:r w:rsidR="004E5DC0">
        <w:rPr>
          <w:rFonts w:ascii="Times New Roman" w:hAnsi="Times New Roman" w:cs="Times New Roman"/>
          <w:sz w:val="24"/>
        </w:rPr>
        <w:t xml:space="preserve">These two factors correspond roughly </w:t>
      </w:r>
      <w:r w:rsidR="00435D47">
        <w:rPr>
          <w:rFonts w:ascii="Times New Roman" w:hAnsi="Times New Roman" w:cs="Times New Roman"/>
          <w:sz w:val="24"/>
        </w:rPr>
        <w:t>with</w:t>
      </w:r>
      <w:r w:rsidR="004E5DC0">
        <w:rPr>
          <w:rFonts w:ascii="Times New Roman" w:hAnsi="Times New Roman" w:cs="Times New Roman"/>
          <w:sz w:val="24"/>
        </w:rPr>
        <w:t xml:space="preserve"> primary (Factor 1) and secondary (Factor 2) psychopathy. </w:t>
      </w:r>
      <w:r w:rsidR="00346A4E" w:rsidRPr="00EB1504">
        <w:rPr>
          <w:rFonts w:ascii="Times New Roman" w:hAnsi="Times New Roman" w:cs="Times New Roman"/>
          <w:sz w:val="24"/>
        </w:rPr>
        <w:t xml:space="preserve">While Factor </w:t>
      </w:r>
      <w:r w:rsidR="00215ABB">
        <w:rPr>
          <w:rFonts w:ascii="Times New Roman" w:hAnsi="Times New Roman" w:cs="Times New Roman"/>
          <w:sz w:val="24"/>
        </w:rPr>
        <w:t>2</w:t>
      </w:r>
      <w:r w:rsidR="00346A4E" w:rsidRPr="00EB1504">
        <w:rPr>
          <w:rFonts w:ascii="Times New Roman" w:hAnsi="Times New Roman" w:cs="Times New Roman"/>
          <w:sz w:val="24"/>
        </w:rPr>
        <w:t xml:space="preserve"> is more strongly implicated in criminality than Factor </w:t>
      </w:r>
      <w:r w:rsidR="00215ABB">
        <w:rPr>
          <w:rFonts w:ascii="Times New Roman" w:hAnsi="Times New Roman" w:cs="Times New Roman"/>
          <w:sz w:val="24"/>
        </w:rPr>
        <w:t>1</w:t>
      </w:r>
      <w:r w:rsidR="00346A4E" w:rsidRPr="00EB1504">
        <w:rPr>
          <w:rFonts w:ascii="Times New Roman" w:hAnsi="Times New Roman" w:cs="Times New Roman"/>
          <w:sz w:val="24"/>
        </w:rPr>
        <w:t xml:space="preserve"> </w:t>
      </w:r>
      <w:r w:rsidR="00346A4E" w:rsidRPr="00EF2278">
        <w:rPr>
          <w:rFonts w:ascii="Times New Roman" w:hAnsi="Times New Roman" w:cs="Times New Roman"/>
          <w:sz w:val="24"/>
        </w:rPr>
        <w:t>(Kennealy, Skeem, Walters, &amp; Camp, 2010), Factor</w:t>
      </w:r>
      <w:r w:rsidR="00215ABB" w:rsidRPr="00EF2278">
        <w:rPr>
          <w:rFonts w:ascii="Times New Roman" w:hAnsi="Times New Roman" w:cs="Times New Roman"/>
          <w:sz w:val="24"/>
        </w:rPr>
        <w:t xml:space="preserve"> 1</w:t>
      </w:r>
      <w:r w:rsidR="00346A4E" w:rsidRPr="00EF2278">
        <w:rPr>
          <w:rFonts w:ascii="Times New Roman" w:hAnsi="Times New Roman" w:cs="Times New Roman"/>
          <w:sz w:val="24"/>
        </w:rPr>
        <w:t xml:space="preserve"> </w:t>
      </w:r>
      <w:r w:rsidR="00C0476A">
        <w:rPr>
          <w:rFonts w:ascii="Times New Roman" w:hAnsi="Times New Roman" w:cs="Times New Roman"/>
          <w:sz w:val="24"/>
        </w:rPr>
        <w:t>is often said to represent the core of psychopathic personality (Blackburn, 1998</w:t>
      </w:r>
      <w:r w:rsidR="00DB12D5">
        <w:rPr>
          <w:rFonts w:ascii="Times New Roman" w:hAnsi="Times New Roman" w:cs="Times New Roman"/>
          <w:sz w:val="24"/>
        </w:rPr>
        <w:t>; Harpur et al., 1989</w:t>
      </w:r>
      <w:r w:rsidR="00C0476A">
        <w:rPr>
          <w:rFonts w:ascii="Times New Roman" w:hAnsi="Times New Roman" w:cs="Times New Roman"/>
          <w:sz w:val="24"/>
        </w:rPr>
        <w:t>).</w:t>
      </w:r>
    </w:p>
    <w:p w14:paraId="7BC07037" w14:textId="384514E2" w:rsidR="00CC239F" w:rsidRDefault="00A57B1B" w:rsidP="00376E06">
      <w:pPr>
        <w:spacing w:after="0" w:line="480" w:lineRule="auto"/>
        <w:ind w:firstLine="720"/>
        <w:rPr>
          <w:rFonts w:ascii="Times New Roman" w:hAnsi="Times New Roman" w:cs="Times New Roman"/>
          <w:sz w:val="24"/>
        </w:rPr>
      </w:pPr>
      <w:r w:rsidRPr="00A57B1B">
        <w:rPr>
          <w:rFonts w:ascii="Times New Roman" w:hAnsi="Times New Roman" w:cs="Times New Roman"/>
          <w:sz w:val="24"/>
        </w:rPr>
        <w:t xml:space="preserve">Several theories have been posited regarding the </w:t>
      </w:r>
      <w:r w:rsidR="00435D47">
        <w:rPr>
          <w:rFonts w:ascii="Times New Roman" w:hAnsi="Times New Roman" w:cs="Times New Roman"/>
          <w:sz w:val="24"/>
        </w:rPr>
        <w:t>a</w:t>
      </w:r>
      <w:r w:rsidRPr="00A57B1B">
        <w:rPr>
          <w:rFonts w:ascii="Times New Roman" w:hAnsi="Times New Roman" w:cs="Times New Roman"/>
          <w:sz w:val="24"/>
        </w:rPr>
        <w:t>etiology of interpersonal difficulties in psychopathy. This study utili</w:t>
      </w:r>
      <w:r>
        <w:rPr>
          <w:rFonts w:ascii="Times New Roman" w:hAnsi="Times New Roman" w:cs="Times New Roman"/>
          <w:sz w:val="24"/>
        </w:rPr>
        <w:t>ses</w:t>
      </w:r>
      <w:r w:rsidRPr="00A57B1B">
        <w:rPr>
          <w:rFonts w:ascii="Times New Roman" w:hAnsi="Times New Roman" w:cs="Times New Roman"/>
          <w:sz w:val="24"/>
        </w:rPr>
        <w:t xml:space="preserve"> attachment theory and interpersonal theory as guiding frameworks</w:t>
      </w:r>
      <w:r w:rsidR="00523381">
        <w:rPr>
          <w:rFonts w:ascii="Times New Roman" w:hAnsi="Times New Roman" w:cs="Times New Roman"/>
          <w:sz w:val="24"/>
        </w:rPr>
        <w:t xml:space="preserve"> for an examination </w:t>
      </w:r>
      <w:r w:rsidR="00AF1E0B">
        <w:rPr>
          <w:rFonts w:ascii="Times New Roman" w:hAnsi="Times New Roman" w:cs="Times New Roman"/>
          <w:sz w:val="24"/>
        </w:rPr>
        <w:t>into</w:t>
      </w:r>
      <w:r w:rsidR="00523381">
        <w:rPr>
          <w:rFonts w:ascii="Times New Roman" w:hAnsi="Times New Roman" w:cs="Times New Roman"/>
          <w:sz w:val="24"/>
        </w:rPr>
        <w:t xml:space="preserve"> </w:t>
      </w:r>
      <w:r w:rsidR="009F3314">
        <w:rPr>
          <w:rFonts w:ascii="Times New Roman" w:hAnsi="Times New Roman" w:cs="Times New Roman"/>
          <w:sz w:val="24"/>
        </w:rPr>
        <w:t xml:space="preserve">the extent, nature, and quality of </w:t>
      </w:r>
      <w:r w:rsidR="004E5DC0">
        <w:rPr>
          <w:rFonts w:ascii="Times New Roman" w:hAnsi="Times New Roman" w:cs="Times New Roman"/>
          <w:sz w:val="24"/>
        </w:rPr>
        <w:t xml:space="preserve">interpersonal </w:t>
      </w:r>
      <w:r w:rsidR="009F3314">
        <w:rPr>
          <w:rFonts w:ascii="Times New Roman" w:hAnsi="Times New Roman" w:cs="Times New Roman"/>
          <w:sz w:val="24"/>
        </w:rPr>
        <w:t xml:space="preserve">relationships in </w:t>
      </w:r>
      <w:r w:rsidR="004E5DC0">
        <w:rPr>
          <w:rFonts w:ascii="Times New Roman" w:hAnsi="Times New Roman" w:cs="Times New Roman"/>
          <w:sz w:val="24"/>
        </w:rPr>
        <w:t xml:space="preserve">those with </w:t>
      </w:r>
      <w:r w:rsidR="00523381">
        <w:rPr>
          <w:rFonts w:ascii="Times New Roman" w:hAnsi="Times New Roman" w:cs="Times New Roman"/>
          <w:sz w:val="24"/>
        </w:rPr>
        <w:t>p</w:t>
      </w:r>
      <w:r w:rsidRPr="00A57B1B">
        <w:rPr>
          <w:rFonts w:ascii="Times New Roman" w:hAnsi="Times New Roman" w:cs="Times New Roman"/>
          <w:sz w:val="24"/>
        </w:rPr>
        <w:t>sychopathy.</w:t>
      </w:r>
      <w:r w:rsidR="00F42121">
        <w:rPr>
          <w:rFonts w:ascii="Times New Roman" w:hAnsi="Times New Roman" w:cs="Times New Roman"/>
          <w:sz w:val="24"/>
        </w:rPr>
        <w:t xml:space="preserve"> </w:t>
      </w:r>
      <w:r w:rsidRPr="00A57B1B">
        <w:rPr>
          <w:rFonts w:ascii="Times New Roman" w:hAnsi="Times New Roman" w:cs="Times New Roman"/>
          <w:sz w:val="24"/>
        </w:rPr>
        <w:t xml:space="preserve">Attachment theory proposes that an individual’s adult relationships will be dictated in large part by the quality of the relationship they had with their primary caregiver in their first year of life (Blackburn, 1998). </w:t>
      </w:r>
      <w:r w:rsidR="00936F07">
        <w:rPr>
          <w:rFonts w:ascii="Times New Roman" w:hAnsi="Times New Roman" w:cs="Times New Roman"/>
          <w:sz w:val="24"/>
        </w:rPr>
        <w:t xml:space="preserve">These relationships </w:t>
      </w:r>
      <w:r w:rsidR="009A5CB7">
        <w:rPr>
          <w:rFonts w:ascii="Times New Roman" w:hAnsi="Times New Roman" w:cs="Times New Roman"/>
          <w:sz w:val="24"/>
        </w:rPr>
        <w:t>form the basis of internal working models that the individual holds about hi</w:t>
      </w:r>
      <w:r w:rsidR="00435D47">
        <w:rPr>
          <w:rFonts w:ascii="Times New Roman" w:hAnsi="Times New Roman" w:cs="Times New Roman"/>
          <w:sz w:val="24"/>
        </w:rPr>
        <w:t>m</w:t>
      </w:r>
      <w:r w:rsidR="009A5CB7">
        <w:rPr>
          <w:rFonts w:ascii="Times New Roman" w:hAnsi="Times New Roman" w:cs="Times New Roman"/>
          <w:sz w:val="24"/>
        </w:rPr>
        <w:t>- or herself and others (Bowlby, 1982).</w:t>
      </w:r>
      <w:r w:rsidR="005F4336">
        <w:rPr>
          <w:rFonts w:ascii="Times New Roman" w:hAnsi="Times New Roman" w:cs="Times New Roman"/>
          <w:sz w:val="24"/>
        </w:rPr>
        <w:t xml:space="preserve"> These models include beliefs, cognitions, emotional appraisals, and expectations </w:t>
      </w:r>
      <w:r w:rsidR="005F4336" w:rsidRPr="005F4336">
        <w:rPr>
          <w:rFonts w:ascii="Times New Roman" w:hAnsi="Times New Roman" w:cs="Times New Roman"/>
          <w:sz w:val="24"/>
        </w:rPr>
        <w:t>(Levy, Blatt, &amp; Shaver, 1998)</w:t>
      </w:r>
      <w:r w:rsidR="004E5DC0">
        <w:rPr>
          <w:rFonts w:ascii="Times New Roman" w:hAnsi="Times New Roman" w:cs="Times New Roman"/>
          <w:sz w:val="24"/>
        </w:rPr>
        <w:t xml:space="preserve"> about interpersonal relationships</w:t>
      </w:r>
      <w:r w:rsidR="005F4336">
        <w:rPr>
          <w:rFonts w:ascii="Times New Roman" w:hAnsi="Times New Roman" w:cs="Times New Roman"/>
          <w:sz w:val="24"/>
        </w:rPr>
        <w:t xml:space="preserve">, and are said to persist </w:t>
      </w:r>
      <w:r w:rsidR="00612141">
        <w:rPr>
          <w:rFonts w:ascii="Times New Roman" w:hAnsi="Times New Roman" w:cs="Times New Roman"/>
          <w:sz w:val="24"/>
        </w:rPr>
        <w:t xml:space="preserve">in influencing </w:t>
      </w:r>
      <w:r w:rsidR="004E5DC0">
        <w:rPr>
          <w:rFonts w:ascii="Times New Roman" w:hAnsi="Times New Roman" w:cs="Times New Roman"/>
          <w:sz w:val="24"/>
        </w:rPr>
        <w:t>these</w:t>
      </w:r>
      <w:r w:rsidR="00612141">
        <w:rPr>
          <w:rFonts w:ascii="Times New Roman" w:hAnsi="Times New Roman" w:cs="Times New Roman"/>
          <w:sz w:val="24"/>
        </w:rPr>
        <w:t xml:space="preserve"> relationships </w:t>
      </w:r>
      <w:r w:rsidR="005F4336">
        <w:rPr>
          <w:rFonts w:ascii="Times New Roman" w:hAnsi="Times New Roman" w:cs="Times New Roman"/>
          <w:sz w:val="24"/>
        </w:rPr>
        <w:t>throughout the lifespan (Bowlby, 1979)</w:t>
      </w:r>
      <w:r w:rsidR="00612141">
        <w:rPr>
          <w:rFonts w:ascii="Times New Roman" w:hAnsi="Times New Roman" w:cs="Times New Roman"/>
          <w:sz w:val="24"/>
        </w:rPr>
        <w:t>.</w:t>
      </w:r>
      <w:r w:rsidR="00376E06">
        <w:rPr>
          <w:rFonts w:ascii="Times New Roman" w:hAnsi="Times New Roman" w:cs="Times New Roman"/>
          <w:sz w:val="24"/>
        </w:rPr>
        <w:t xml:space="preserve"> S</w:t>
      </w:r>
      <w:r w:rsidR="00865D4A">
        <w:rPr>
          <w:rFonts w:ascii="Times New Roman" w:hAnsi="Times New Roman" w:cs="Times New Roman"/>
          <w:sz w:val="24"/>
        </w:rPr>
        <w:t xml:space="preserve">urprisingly </w:t>
      </w:r>
      <w:r w:rsidRPr="00A57B1B">
        <w:rPr>
          <w:rFonts w:ascii="Times New Roman" w:hAnsi="Times New Roman" w:cs="Times New Roman"/>
          <w:sz w:val="24"/>
        </w:rPr>
        <w:t xml:space="preserve">few studies have examined the nature of attachment relationships in psychopathic individuals </w:t>
      </w:r>
      <w:r w:rsidRPr="001557EA">
        <w:rPr>
          <w:rFonts w:ascii="Times New Roman" w:hAnsi="Times New Roman" w:cs="Times New Roman"/>
          <w:sz w:val="24"/>
        </w:rPr>
        <w:t>(Conradi, Boertien, Cavus, &amp; Verschuere, 2016).</w:t>
      </w:r>
      <w:r w:rsidR="00612141" w:rsidRPr="00612141">
        <w:rPr>
          <w:rFonts w:ascii="Times New Roman" w:hAnsi="Times New Roman" w:cs="Times New Roman"/>
          <w:sz w:val="24"/>
        </w:rPr>
        <w:t xml:space="preserve"> </w:t>
      </w:r>
      <w:r w:rsidR="00612141">
        <w:rPr>
          <w:rFonts w:ascii="Times New Roman" w:hAnsi="Times New Roman" w:cs="Times New Roman"/>
          <w:sz w:val="24"/>
        </w:rPr>
        <w:t xml:space="preserve">The studies that do examine links tend to use </w:t>
      </w:r>
      <w:r w:rsidR="00CC239F">
        <w:rPr>
          <w:rFonts w:ascii="Times New Roman" w:hAnsi="Times New Roman" w:cs="Times New Roman"/>
          <w:sz w:val="24"/>
        </w:rPr>
        <w:t xml:space="preserve">Brennan, Clark, and Shaver’s (1998) conceptualisation of adult attachment. In this model, </w:t>
      </w:r>
      <w:r w:rsidR="00376E06">
        <w:rPr>
          <w:rFonts w:ascii="Times New Roman" w:hAnsi="Times New Roman" w:cs="Times New Roman"/>
          <w:sz w:val="24"/>
        </w:rPr>
        <w:t xml:space="preserve">an individual </w:t>
      </w:r>
      <w:r w:rsidR="00CC239F">
        <w:rPr>
          <w:rFonts w:ascii="Times New Roman" w:hAnsi="Times New Roman" w:cs="Times New Roman"/>
          <w:sz w:val="24"/>
        </w:rPr>
        <w:t xml:space="preserve">may be securely attached in their relationships, or they may experience attachment-related anxiety or attachment-related avoidance. Individuals who </w:t>
      </w:r>
      <w:r w:rsidR="00435D47">
        <w:rPr>
          <w:rFonts w:ascii="Times New Roman" w:hAnsi="Times New Roman" w:cs="Times New Roman"/>
          <w:sz w:val="24"/>
        </w:rPr>
        <w:t>are</w:t>
      </w:r>
      <w:r w:rsidR="00CC239F">
        <w:rPr>
          <w:rFonts w:ascii="Times New Roman" w:hAnsi="Times New Roman" w:cs="Times New Roman"/>
          <w:sz w:val="24"/>
        </w:rPr>
        <w:t xml:space="preserve"> high </w:t>
      </w:r>
      <w:r w:rsidR="00435D47">
        <w:rPr>
          <w:rFonts w:ascii="Times New Roman" w:hAnsi="Times New Roman" w:cs="Times New Roman"/>
          <w:sz w:val="24"/>
        </w:rPr>
        <w:t>i</w:t>
      </w:r>
      <w:r w:rsidR="00CC239F">
        <w:rPr>
          <w:rFonts w:ascii="Times New Roman" w:hAnsi="Times New Roman" w:cs="Times New Roman"/>
          <w:sz w:val="24"/>
        </w:rPr>
        <w:t xml:space="preserve">n attachment anxiety </w:t>
      </w:r>
      <w:r w:rsidR="009317E8">
        <w:rPr>
          <w:rFonts w:ascii="Times New Roman" w:hAnsi="Times New Roman" w:cs="Times New Roman"/>
          <w:sz w:val="24"/>
        </w:rPr>
        <w:t xml:space="preserve">exhibit </w:t>
      </w:r>
      <w:r w:rsidR="00435D47">
        <w:rPr>
          <w:rFonts w:ascii="Times New Roman" w:hAnsi="Times New Roman" w:cs="Times New Roman"/>
          <w:sz w:val="24"/>
        </w:rPr>
        <w:t>elevated</w:t>
      </w:r>
      <w:r w:rsidR="009317E8">
        <w:rPr>
          <w:rFonts w:ascii="Times New Roman" w:hAnsi="Times New Roman" w:cs="Times New Roman"/>
          <w:sz w:val="24"/>
        </w:rPr>
        <w:t xml:space="preserve"> levels of emotional instability; they </w:t>
      </w:r>
      <w:r w:rsidR="00CC239F">
        <w:rPr>
          <w:rFonts w:ascii="Times New Roman" w:hAnsi="Times New Roman" w:cs="Times New Roman"/>
          <w:sz w:val="24"/>
        </w:rPr>
        <w:t xml:space="preserve">view themselves negatively and </w:t>
      </w:r>
      <w:r w:rsidR="009317E8">
        <w:rPr>
          <w:rFonts w:ascii="Times New Roman" w:hAnsi="Times New Roman" w:cs="Times New Roman"/>
          <w:sz w:val="24"/>
        </w:rPr>
        <w:t xml:space="preserve">often </w:t>
      </w:r>
      <w:r w:rsidR="00CC239F">
        <w:rPr>
          <w:rFonts w:ascii="Times New Roman" w:hAnsi="Times New Roman" w:cs="Times New Roman"/>
          <w:sz w:val="24"/>
        </w:rPr>
        <w:t xml:space="preserve">compensate with over-engagement in proximity-seeking behaviours with significant others. </w:t>
      </w:r>
      <w:r w:rsidR="00B41532">
        <w:rPr>
          <w:rFonts w:ascii="Times New Roman" w:hAnsi="Times New Roman" w:cs="Times New Roman"/>
          <w:sz w:val="24"/>
        </w:rPr>
        <w:t>Conversely,</w:t>
      </w:r>
      <w:r w:rsidR="00CC239F">
        <w:rPr>
          <w:rFonts w:ascii="Times New Roman" w:hAnsi="Times New Roman" w:cs="Times New Roman"/>
          <w:sz w:val="24"/>
        </w:rPr>
        <w:t xml:space="preserve"> those who </w:t>
      </w:r>
      <w:r w:rsidR="00435D47">
        <w:rPr>
          <w:rFonts w:ascii="Times New Roman" w:hAnsi="Times New Roman" w:cs="Times New Roman"/>
          <w:sz w:val="24"/>
        </w:rPr>
        <w:t>are</w:t>
      </w:r>
      <w:r w:rsidR="00CC239F">
        <w:rPr>
          <w:rFonts w:ascii="Times New Roman" w:hAnsi="Times New Roman" w:cs="Times New Roman"/>
          <w:sz w:val="24"/>
        </w:rPr>
        <w:t xml:space="preserve"> high </w:t>
      </w:r>
      <w:r w:rsidR="00435D47">
        <w:rPr>
          <w:rFonts w:ascii="Times New Roman" w:hAnsi="Times New Roman" w:cs="Times New Roman"/>
          <w:sz w:val="24"/>
        </w:rPr>
        <w:t>i</w:t>
      </w:r>
      <w:r w:rsidR="00CC239F">
        <w:rPr>
          <w:rFonts w:ascii="Times New Roman" w:hAnsi="Times New Roman" w:cs="Times New Roman"/>
          <w:sz w:val="24"/>
        </w:rPr>
        <w:t xml:space="preserve">n attachment avoidance </w:t>
      </w:r>
      <w:r w:rsidR="00C50E40">
        <w:rPr>
          <w:rFonts w:ascii="Times New Roman" w:hAnsi="Times New Roman" w:cs="Times New Roman"/>
          <w:sz w:val="24"/>
        </w:rPr>
        <w:t>believe that other people cannot be depended upon</w:t>
      </w:r>
      <w:r w:rsidR="00435D47">
        <w:rPr>
          <w:rFonts w:ascii="Times New Roman" w:hAnsi="Times New Roman" w:cs="Times New Roman"/>
          <w:sz w:val="24"/>
        </w:rPr>
        <w:t>.</w:t>
      </w:r>
      <w:r w:rsidR="00C50E40">
        <w:rPr>
          <w:rFonts w:ascii="Times New Roman" w:hAnsi="Times New Roman" w:cs="Times New Roman"/>
          <w:sz w:val="24"/>
        </w:rPr>
        <w:t xml:space="preserve"> </w:t>
      </w:r>
      <w:r w:rsidR="00435D47">
        <w:rPr>
          <w:rFonts w:ascii="Times New Roman" w:hAnsi="Times New Roman" w:cs="Times New Roman"/>
          <w:sz w:val="24"/>
        </w:rPr>
        <w:t>A</w:t>
      </w:r>
      <w:r w:rsidR="00C50E40">
        <w:rPr>
          <w:rFonts w:ascii="Times New Roman" w:hAnsi="Times New Roman" w:cs="Times New Roman"/>
          <w:sz w:val="24"/>
        </w:rPr>
        <w:t>s a result</w:t>
      </w:r>
      <w:r w:rsidR="00435D47">
        <w:rPr>
          <w:rFonts w:ascii="Times New Roman" w:hAnsi="Times New Roman" w:cs="Times New Roman"/>
          <w:sz w:val="24"/>
        </w:rPr>
        <w:t>,</w:t>
      </w:r>
      <w:r w:rsidR="00C50E40">
        <w:rPr>
          <w:rFonts w:ascii="Times New Roman" w:hAnsi="Times New Roman" w:cs="Times New Roman"/>
          <w:sz w:val="24"/>
        </w:rPr>
        <w:t xml:space="preserve"> they</w:t>
      </w:r>
      <w:r w:rsidR="009317E8">
        <w:rPr>
          <w:rFonts w:ascii="Times New Roman" w:hAnsi="Times New Roman" w:cs="Times New Roman"/>
          <w:sz w:val="24"/>
        </w:rPr>
        <w:t xml:space="preserve"> minimi</w:t>
      </w:r>
      <w:r w:rsidR="00CB360C">
        <w:rPr>
          <w:rFonts w:ascii="Times New Roman" w:hAnsi="Times New Roman" w:cs="Times New Roman"/>
          <w:sz w:val="24"/>
        </w:rPr>
        <w:t>s</w:t>
      </w:r>
      <w:r w:rsidR="009317E8">
        <w:rPr>
          <w:rFonts w:ascii="Times New Roman" w:hAnsi="Times New Roman" w:cs="Times New Roman"/>
          <w:sz w:val="24"/>
        </w:rPr>
        <w:t xml:space="preserve">e or deny their need for attachment or </w:t>
      </w:r>
      <w:r w:rsidR="00435D47">
        <w:rPr>
          <w:rFonts w:ascii="Times New Roman" w:hAnsi="Times New Roman" w:cs="Times New Roman"/>
          <w:sz w:val="24"/>
        </w:rPr>
        <w:t xml:space="preserve">interpersonal </w:t>
      </w:r>
      <w:r w:rsidR="009317E8">
        <w:rPr>
          <w:rFonts w:ascii="Times New Roman" w:hAnsi="Times New Roman" w:cs="Times New Roman"/>
          <w:sz w:val="24"/>
        </w:rPr>
        <w:t>closeness (Savard, Brassard, Lussier, &amp; Sabourin, 2015),</w:t>
      </w:r>
      <w:r w:rsidR="00C50E40">
        <w:rPr>
          <w:rFonts w:ascii="Times New Roman" w:hAnsi="Times New Roman" w:cs="Times New Roman"/>
          <w:sz w:val="24"/>
        </w:rPr>
        <w:t xml:space="preserve"> choos</w:t>
      </w:r>
      <w:r w:rsidR="009317E8">
        <w:rPr>
          <w:rFonts w:ascii="Times New Roman" w:hAnsi="Times New Roman" w:cs="Times New Roman"/>
          <w:sz w:val="24"/>
        </w:rPr>
        <w:t>ing instead</w:t>
      </w:r>
      <w:r w:rsidR="00C50E40">
        <w:rPr>
          <w:rFonts w:ascii="Times New Roman" w:hAnsi="Times New Roman" w:cs="Times New Roman"/>
          <w:sz w:val="24"/>
        </w:rPr>
        <w:t xml:space="preserve"> to rely only on themselves</w:t>
      </w:r>
      <w:r w:rsidR="009317E8">
        <w:rPr>
          <w:rFonts w:ascii="Times New Roman" w:hAnsi="Times New Roman" w:cs="Times New Roman"/>
          <w:sz w:val="24"/>
        </w:rPr>
        <w:t xml:space="preserve"> (Mack, Hackney, &amp; Pyle, 2011)</w:t>
      </w:r>
      <w:r w:rsidR="00C50E40">
        <w:rPr>
          <w:rFonts w:ascii="Times New Roman" w:hAnsi="Times New Roman" w:cs="Times New Roman"/>
          <w:sz w:val="24"/>
        </w:rPr>
        <w:t>.</w:t>
      </w:r>
    </w:p>
    <w:p w14:paraId="39597379" w14:textId="60BE0A37" w:rsidR="00A57B1B" w:rsidRDefault="00E2723E" w:rsidP="004D766F">
      <w:pPr>
        <w:spacing w:after="0" w:line="480" w:lineRule="auto"/>
        <w:ind w:firstLine="720"/>
        <w:rPr>
          <w:rFonts w:ascii="Times New Roman" w:hAnsi="Times New Roman" w:cs="Times New Roman"/>
          <w:sz w:val="24"/>
        </w:rPr>
      </w:pPr>
      <w:r>
        <w:rPr>
          <w:rFonts w:ascii="Times New Roman" w:hAnsi="Times New Roman" w:cs="Times New Roman"/>
          <w:sz w:val="24"/>
        </w:rPr>
        <w:t xml:space="preserve">Several studies have found a link between psychopathy and poor attachment. In an undergraduate and community sample, Christian, Sellbom, and Wilkinson (2018) </w:t>
      </w:r>
      <w:r w:rsidR="00435D47">
        <w:rPr>
          <w:rFonts w:ascii="Times New Roman" w:hAnsi="Times New Roman" w:cs="Times New Roman"/>
          <w:sz w:val="24"/>
        </w:rPr>
        <w:t>observed</w:t>
      </w:r>
      <w:r>
        <w:rPr>
          <w:rFonts w:ascii="Times New Roman" w:hAnsi="Times New Roman" w:cs="Times New Roman"/>
          <w:sz w:val="24"/>
        </w:rPr>
        <w:t xml:space="preserve"> that participants who scored high on affective psychopathic traits (which fall under Factor 1) had fewer bonds with peers and family, although the effect size was small. </w:t>
      </w:r>
      <w:r w:rsidR="00A57B1B" w:rsidRPr="001557EA">
        <w:rPr>
          <w:rFonts w:ascii="Times New Roman" w:hAnsi="Times New Roman" w:cs="Times New Roman"/>
          <w:sz w:val="24"/>
        </w:rPr>
        <w:t>Frodi, Der</w:t>
      </w:r>
      <w:r w:rsidR="00CB360C">
        <w:rPr>
          <w:rFonts w:ascii="Times New Roman" w:hAnsi="Times New Roman" w:cs="Times New Roman"/>
          <w:sz w:val="24"/>
        </w:rPr>
        <w:t>ne</w:t>
      </w:r>
      <w:r w:rsidR="00A57B1B" w:rsidRPr="001557EA">
        <w:rPr>
          <w:rFonts w:ascii="Times New Roman" w:hAnsi="Times New Roman" w:cs="Times New Roman"/>
          <w:sz w:val="24"/>
        </w:rPr>
        <w:t>vik, Sepa, Philipson, and Bragesjo</w:t>
      </w:r>
      <w:r w:rsidR="00A57B1B" w:rsidRPr="00A57B1B">
        <w:rPr>
          <w:rFonts w:ascii="Times New Roman" w:hAnsi="Times New Roman" w:cs="Times New Roman"/>
          <w:sz w:val="24"/>
        </w:rPr>
        <w:t xml:space="preserve"> (2001) examined mental representations of early attachment relationships in a sample of 24 </w:t>
      </w:r>
      <w:r w:rsidR="008F6139">
        <w:rPr>
          <w:rFonts w:ascii="Times New Roman" w:hAnsi="Times New Roman" w:cs="Times New Roman"/>
          <w:sz w:val="24"/>
        </w:rPr>
        <w:t xml:space="preserve">Swedish </w:t>
      </w:r>
      <w:r w:rsidR="00A57B1B" w:rsidRPr="00A57B1B">
        <w:rPr>
          <w:rFonts w:ascii="Times New Roman" w:hAnsi="Times New Roman" w:cs="Times New Roman"/>
          <w:sz w:val="24"/>
        </w:rPr>
        <w:t xml:space="preserve">psychopathic offenders, finding that none of their participants could be considered securely attached, and most tended to dismiss their attachment-related experiences. </w:t>
      </w:r>
      <w:r w:rsidR="00B41532">
        <w:rPr>
          <w:rFonts w:ascii="Times New Roman" w:hAnsi="Times New Roman" w:cs="Times New Roman"/>
          <w:sz w:val="24"/>
        </w:rPr>
        <w:t>Meanwhile</w:t>
      </w:r>
      <w:r w:rsidR="00C50E40">
        <w:rPr>
          <w:rFonts w:ascii="Times New Roman" w:hAnsi="Times New Roman" w:cs="Times New Roman"/>
          <w:sz w:val="24"/>
        </w:rPr>
        <w:t xml:space="preserve">, using a self-report measure of trait psychopathy, </w:t>
      </w:r>
      <w:r w:rsidR="00C50E40" w:rsidRPr="00C874B3">
        <w:rPr>
          <w:rFonts w:ascii="Times New Roman" w:hAnsi="Times New Roman" w:cs="Times New Roman"/>
          <w:sz w:val="24"/>
        </w:rPr>
        <w:t>Mack</w:t>
      </w:r>
      <w:r w:rsidR="009317E8">
        <w:rPr>
          <w:rFonts w:ascii="Times New Roman" w:hAnsi="Times New Roman" w:cs="Times New Roman"/>
          <w:sz w:val="24"/>
        </w:rPr>
        <w:t xml:space="preserve"> and colleagues</w:t>
      </w:r>
      <w:r w:rsidR="00C50E40" w:rsidRPr="00C874B3">
        <w:rPr>
          <w:rFonts w:ascii="Times New Roman" w:hAnsi="Times New Roman" w:cs="Times New Roman"/>
          <w:sz w:val="24"/>
        </w:rPr>
        <w:t xml:space="preserve"> (2011) found</w:t>
      </w:r>
      <w:r w:rsidR="00C50E40">
        <w:rPr>
          <w:rFonts w:ascii="Times New Roman" w:hAnsi="Times New Roman" w:cs="Times New Roman"/>
          <w:sz w:val="24"/>
        </w:rPr>
        <w:t xml:space="preserve"> </w:t>
      </w:r>
      <w:r w:rsidR="00B41532">
        <w:rPr>
          <w:rFonts w:ascii="Times New Roman" w:hAnsi="Times New Roman" w:cs="Times New Roman"/>
          <w:sz w:val="24"/>
        </w:rPr>
        <w:t>a positive relationship between secondary psychopathy and each type of insecure attachment (</w:t>
      </w:r>
      <w:r w:rsidR="00435D47">
        <w:rPr>
          <w:rFonts w:ascii="Times New Roman" w:hAnsi="Times New Roman" w:cs="Times New Roman"/>
          <w:sz w:val="24"/>
        </w:rPr>
        <w:t xml:space="preserve">i.e., </w:t>
      </w:r>
      <w:r w:rsidR="00B41532">
        <w:rPr>
          <w:rFonts w:ascii="Times New Roman" w:hAnsi="Times New Roman" w:cs="Times New Roman"/>
          <w:sz w:val="24"/>
        </w:rPr>
        <w:t>anxious and avoidant)</w:t>
      </w:r>
      <w:r w:rsidR="008F6139">
        <w:rPr>
          <w:rFonts w:ascii="Times New Roman" w:hAnsi="Times New Roman" w:cs="Times New Roman"/>
          <w:sz w:val="24"/>
        </w:rPr>
        <w:t xml:space="preserve"> in an American undergraduate sample</w:t>
      </w:r>
      <w:r w:rsidR="00B41532">
        <w:rPr>
          <w:rFonts w:ascii="Times New Roman" w:hAnsi="Times New Roman" w:cs="Times New Roman"/>
          <w:sz w:val="24"/>
        </w:rPr>
        <w:t xml:space="preserve">. In </w:t>
      </w:r>
      <w:r w:rsidR="004351CA">
        <w:rPr>
          <w:rFonts w:ascii="Times New Roman" w:hAnsi="Times New Roman" w:cs="Times New Roman"/>
          <w:sz w:val="24"/>
        </w:rPr>
        <w:t>this study</w:t>
      </w:r>
      <w:r>
        <w:rPr>
          <w:rFonts w:ascii="Times New Roman" w:hAnsi="Times New Roman" w:cs="Times New Roman"/>
          <w:sz w:val="24"/>
        </w:rPr>
        <w:t>,</w:t>
      </w:r>
      <w:r w:rsidR="004351CA">
        <w:rPr>
          <w:rFonts w:ascii="Times New Roman" w:hAnsi="Times New Roman" w:cs="Times New Roman"/>
          <w:sz w:val="24"/>
        </w:rPr>
        <w:t xml:space="preserve"> </w:t>
      </w:r>
      <w:r w:rsidR="00B41532">
        <w:rPr>
          <w:rFonts w:ascii="Times New Roman" w:hAnsi="Times New Roman" w:cs="Times New Roman"/>
          <w:sz w:val="24"/>
        </w:rPr>
        <w:t>participants with high scores on primary psychopathy tended to score high on both anxious and avoidant attachment</w:t>
      </w:r>
      <w:r w:rsidR="004E5DC0">
        <w:rPr>
          <w:rFonts w:ascii="Times New Roman" w:hAnsi="Times New Roman" w:cs="Times New Roman"/>
          <w:sz w:val="24"/>
        </w:rPr>
        <w:t xml:space="preserve"> simultaneously</w:t>
      </w:r>
      <w:r w:rsidR="00B41532">
        <w:rPr>
          <w:rFonts w:ascii="Times New Roman" w:hAnsi="Times New Roman" w:cs="Times New Roman"/>
          <w:sz w:val="24"/>
        </w:rPr>
        <w:t>.</w:t>
      </w:r>
      <w:r w:rsidR="00D23F13">
        <w:rPr>
          <w:rFonts w:ascii="Times New Roman" w:hAnsi="Times New Roman" w:cs="Times New Roman"/>
          <w:sz w:val="24"/>
        </w:rPr>
        <w:t xml:space="preserve"> </w:t>
      </w:r>
      <w:r w:rsidR="00A57B1B" w:rsidRPr="00A57B1B">
        <w:rPr>
          <w:rFonts w:ascii="Times New Roman" w:hAnsi="Times New Roman" w:cs="Times New Roman"/>
          <w:sz w:val="24"/>
        </w:rPr>
        <w:t xml:space="preserve">Conradi </w:t>
      </w:r>
      <w:r w:rsidR="004D766F">
        <w:rPr>
          <w:rFonts w:ascii="Times New Roman" w:hAnsi="Times New Roman" w:cs="Times New Roman"/>
          <w:sz w:val="24"/>
        </w:rPr>
        <w:t>and colleagues</w:t>
      </w:r>
      <w:r w:rsidR="0069154D">
        <w:rPr>
          <w:rFonts w:ascii="Times New Roman" w:hAnsi="Times New Roman" w:cs="Times New Roman"/>
          <w:sz w:val="24"/>
        </w:rPr>
        <w:t xml:space="preserve"> (2016)</w:t>
      </w:r>
      <w:r w:rsidR="00A57B1B" w:rsidRPr="00A57B1B">
        <w:rPr>
          <w:rFonts w:ascii="Times New Roman" w:hAnsi="Times New Roman" w:cs="Times New Roman"/>
          <w:sz w:val="24"/>
        </w:rPr>
        <w:t xml:space="preserve"> </w:t>
      </w:r>
      <w:r w:rsidR="00D23F13">
        <w:rPr>
          <w:rFonts w:ascii="Times New Roman" w:hAnsi="Times New Roman" w:cs="Times New Roman"/>
          <w:sz w:val="24"/>
        </w:rPr>
        <w:t xml:space="preserve">also </w:t>
      </w:r>
      <w:r w:rsidR="00A57B1B" w:rsidRPr="00A57B1B">
        <w:rPr>
          <w:rFonts w:ascii="Times New Roman" w:hAnsi="Times New Roman" w:cs="Times New Roman"/>
          <w:sz w:val="24"/>
        </w:rPr>
        <w:t xml:space="preserve">found a positive correlation between attachment avoidance and </w:t>
      </w:r>
      <w:r w:rsidR="003A3D2C">
        <w:rPr>
          <w:rFonts w:ascii="Times New Roman" w:hAnsi="Times New Roman" w:cs="Times New Roman"/>
          <w:sz w:val="24"/>
        </w:rPr>
        <w:t>both Factor 1 and Factor 2 trait psychopathy in an undergraduate sample.</w:t>
      </w:r>
      <w:r w:rsidR="004D766F">
        <w:rPr>
          <w:rFonts w:ascii="Times New Roman" w:hAnsi="Times New Roman" w:cs="Times New Roman"/>
          <w:sz w:val="24"/>
        </w:rPr>
        <w:t xml:space="preserve"> </w:t>
      </w:r>
      <w:r w:rsidR="00010E06">
        <w:rPr>
          <w:rFonts w:ascii="Times New Roman" w:hAnsi="Times New Roman" w:cs="Times New Roman"/>
          <w:sz w:val="24"/>
        </w:rPr>
        <w:t xml:space="preserve">Finally, </w:t>
      </w:r>
      <w:r w:rsidR="00435D47" w:rsidRPr="00435D47">
        <w:rPr>
          <w:rFonts w:ascii="Times New Roman" w:hAnsi="Times New Roman" w:cs="Times New Roman"/>
          <w:sz w:val="24"/>
        </w:rPr>
        <w:t>Blanchard and Lyons (2016) found that, in male participants, primary psychopathic traits were related to attachment avoidance, while secondary psychopathic traits were linked to attachment anxiety. Conversely, in female participants, primary psychopathic traits were associated with both types of insecure attachment, while secondary psychopathic traits were not predicted by any attachment style.</w:t>
      </w:r>
    </w:p>
    <w:p w14:paraId="73DB7992" w14:textId="7F0777F9" w:rsidR="004351CA" w:rsidRDefault="004351CA" w:rsidP="00A57B1B">
      <w:pPr>
        <w:spacing w:after="0" w:line="480" w:lineRule="auto"/>
        <w:ind w:firstLine="720"/>
        <w:rPr>
          <w:rFonts w:ascii="Times New Roman" w:hAnsi="Times New Roman" w:cs="Times New Roman"/>
          <w:sz w:val="24"/>
        </w:rPr>
      </w:pPr>
      <w:r>
        <w:rPr>
          <w:rFonts w:ascii="Times New Roman" w:hAnsi="Times New Roman" w:cs="Times New Roman"/>
          <w:sz w:val="24"/>
        </w:rPr>
        <w:t xml:space="preserve">While the results of these studies are far from unanimous, it </w:t>
      </w:r>
      <w:r w:rsidR="00F0544C">
        <w:rPr>
          <w:rFonts w:ascii="Times New Roman" w:hAnsi="Times New Roman" w:cs="Times New Roman"/>
          <w:sz w:val="24"/>
        </w:rPr>
        <w:t>has been</w:t>
      </w:r>
      <w:r>
        <w:rPr>
          <w:rFonts w:ascii="Times New Roman" w:hAnsi="Times New Roman" w:cs="Times New Roman"/>
          <w:sz w:val="24"/>
        </w:rPr>
        <w:t xml:space="preserve"> consistently </w:t>
      </w:r>
      <w:r w:rsidR="00F0544C">
        <w:rPr>
          <w:rFonts w:ascii="Times New Roman" w:hAnsi="Times New Roman" w:cs="Times New Roman"/>
          <w:sz w:val="24"/>
        </w:rPr>
        <w:t>concluded</w:t>
      </w:r>
      <w:r>
        <w:rPr>
          <w:rFonts w:ascii="Times New Roman" w:hAnsi="Times New Roman" w:cs="Times New Roman"/>
          <w:sz w:val="24"/>
        </w:rPr>
        <w:t xml:space="preserve"> that there is a link between psychopathy or psychopathic traits and insecure attachment</w:t>
      </w:r>
      <w:r w:rsidR="00F0544C">
        <w:rPr>
          <w:rFonts w:ascii="Times New Roman" w:hAnsi="Times New Roman" w:cs="Times New Roman"/>
          <w:sz w:val="24"/>
        </w:rPr>
        <w:t>, lack of attachment bonds, or adverse childhood experiences involving one’s primary caregiver (Christian et al., 2018; Frodi et al., 2001)</w:t>
      </w:r>
      <w:r>
        <w:rPr>
          <w:rFonts w:ascii="Times New Roman" w:hAnsi="Times New Roman" w:cs="Times New Roman"/>
          <w:sz w:val="24"/>
        </w:rPr>
        <w:t xml:space="preserve">. Indeed, according to Frodi </w:t>
      </w:r>
      <w:r w:rsidR="00435D47">
        <w:rPr>
          <w:rFonts w:ascii="Times New Roman" w:hAnsi="Times New Roman" w:cs="Times New Roman"/>
          <w:sz w:val="24"/>
        </w:rPr>
        <w:t>and colleagues</w:t>
      </w:r>
      <w:r>
        <w:rPr>
          <w:rFonts w:ascii="Times New Roman" w:hAnsi="Times New Roman" w:cs="Times New Roman"/>
          <w:sz w:val="24"/>
        </w:rPr>
        <w:t xml:space="preserve"> (2001), insecure attachment is thrice as common in individuals with psychopathy than in the general population. The most prominent trend that has emerged from the literature is the finding that </w:t>
      </w:r>
      <w:r w:rsidR="00F0544C">
        <w:rPr>
          <w:rFonts w:ascii="Times New Roman" w:hAnsi="Times New Roman" w:cs="Times New Roman"/>
          <w:sz w:val="24"/>
        </w:rPr>
        <w:t>Factor 1 is associated with attachment avoidance (Blanchard &amp; Lyons, 2016; Conradi et al., 2016), while Factor 2 is linked to attachment anxiety (Blanchard &amp; Lyons, 2016; Mack et al., 2011). However, some studies have found a link between Factor 1 and attachment anxiety (Blanchard &amp; Lyons, 2016) or between Factor 2 and attachment avoidance (Conradi et al., 2016; Mack et al., 2011). Therefore, the precise nature of the association between psychopathy and attachment remains unclear.</w:t>
      </w:r>
    </w:p>
    <w:p w14:paraId="0FBE8FA7" w14:textId="6A80662D" w:rsidR="00B71E76" w:rsidRDefault="00A57B1B" w:rsidP="00786D87">
      <w:pPr>
        <w:spacing w:after="0" w:line="480" w:lineRule="auto"/>
        <w:ind w:firstLine="720"/>
        <w:rPr>
          <w:rFonts w:ascii="Times New Roman" w:hAnsi="Times New Roman" w:cs="Times New Roman"/>
          <w:sz w:val="24"/>
        </w:rPr>
      </w:pPr>
      <w:r w:rsidRPr="00A57B1B">
        <w:rPr>
          <w:rFonts w:ascii="Times New Roman" w:hAnsi="Times New Roman" w:cs="Times New Roman"/>
          <w:sz w:val="24"/>
        </w:rPr>
        <w:t xml:space="preserve">Attachment theory has </w:t>
      </w:r>
      <w:r w:rsidR="00F42121">
        <w:rPr>
          <w:rFonts w:ascii="Times New Roman" w:hAnsi="Times New Roman" w:cs="Times New Roman"/>
          <w:sz w:val="24"/>
        </w:rPr>
        <w:t xml:space="preserve">been </w:t>
      </w:r>
      <w:r w:rsidRPr="00A57B1B">
        <w:rPr>
          <w:rFonts w:ascii="Times New Roman" w:hAnsi="Times New Roman" w:cs="Times New Roman"/>
          <w:sz w:val="24"/>
        </w:rPr>
        <w:t>incorporat</w:t>
      </w:r>
      <w:r w:rsidR="00F42121">
        <w:rPr>
          <w:rFonts w:ascii="Times New Roman" w:hAnsi="Times New Roman" w:cs="Times New Roman"/>
          <w:sz w:val="24"/>
        </w:rPr>
        <w:t>ed</w:t>
      </w:r>
      <w:r w:rsidRPr="00A57B1B">
        <w:rPr>
          <w:rFonts w:ascii="Times New Roman" w:hAnsi="Times New Roman" w:cs="Times New Roman"/>
          <w:sz w:val="24"/>
        </w:rPr>
        <w:t xml:space="preserve"> into interpersonal theory</w:t>
      </w:r>
      <w:r w:rsidR="00630519">
        <w:rPr>
          <w:rFonts w:ascii="Times New Roman" w:hAnsi="Times New Roman" w:cs="Times New Roman"/>
          <w:sz w:val="24"/>
        </w:rPr>
        <w:t>. F</w:t>
      </w:r>
      <w:r w:rsidRPr="00A57B1B">
        <w:rPr>
          <w:rFonts w:ascii="Times New Roman" w:hAnsi="Times New Roman" w:cs="Times New Roman"/>
          <w:sz w:val="24"/>
        </w:rPr>
        <w:t>irst conceptuali</w:t>
      </w:r>
      <w:r w:rsidR="00CB360C">
        <w:rPr>
          <w:rFonts w:ascii="Times New Roman" w:hAnsi="Times New Roman" w:cs="Times New Roman"/>
          <w:sz w:val="24"/>
        </w:rPr>
        <w:t>s</w:t>
      </w:r>
      <w:r w:rsidRPr="00A57B1B">
        <w:rPr>
          <w:rFonts w:ascii="Times New Roman" w:hAnsi="Times New Roman" w:cs="Times New Roman"/>
          <w:sz w:val="24"/>
        </w:rPr>
        <w:t>ed by Sullivan (1953) and Leary (1957)</w:t>
      </w:r>
      <w:r w:rsidR="00630519">
        <w:rPr>
          <w:rFonts w:ascii="Times New Roman" w:hAnsi="Times New Roman" w:cs="Times New Roman"/>
          <w:sz w:val="24"/>
        </w:rPr>
        <w:t>, this</w:t>
      </w:r>
      <w:r w:rsidR="00346A4E" w:rsidRPr="00EB1504">
        <w:rPr>
          <w:rFonts w:ascii="Times New Roman" w:hAnsi="Times New Roman" w:cs="Times New Roman"/>
          <w:sz w:val="24"/>
        </w:rPr>
        <w:t xml:space="preserve"> theory </w:t>
      </w:r>
      <w:r w:rsidR="00630519">
        <w:rPr>
          <w:rFonts w:ascii="Times New Roman" w:hAnsi="Times New Roman" w:cs="Times New Roman"/>
          <w:sz w:val="24"/>
        </w:rPr>
        <w:t xml:space="preserve">suggests that </w:t>
      </w:r>
      <w:r w:rsidR="00B71E76" w:rsidRPr="00B71E76">
        <w:rPr>
          <w:rFonts w:ascii="Times New Roman" w:hAnsi="Times New Roman" w:cs="Times New Roman"/>
          <w:sz w:val="24"/>
        </w:rPr>
        <w:t xml:space="preserve">all interpersonal interactions are driven by two orthogonal dimensions of behaviour. </w:t>
      </w:r>
      <w:r w:rsidR="00376E06">
        <w:rPr>
          <w:rFonts w:ascii="Times New Roman" w:hAnsi="Times New Roman" w:cs="Times New Roman"/>
          <w:sz w:val="24"/>
        </w:rPr>
        <w:t>T</w:t>
      </w:r>
      <w:r w:rsidR="00B71E76" w:rsidRPr="00B71E76">
        <w:rPr>
          <w:rFonts w:ascii="Times New Roman" w:hAnsi="Times New Roman" w:cs="Times New Roman"/>
          <w:sz w:val="24"/>
        </w:rPr>
        <w:t xml:space="preserve">he dimension of </w:t>
      </w:r>
      <w:r w:rsidR="00B71E76" w:rsidRPr="00B71E76">
        <w:rPr>
          <w:rFonts w:ascii="Times New Roman" w:hAnsi="Times New Roman" w:cs="Times New Roman"/>
          <w:i/>
          <w:sz w:val="24"/>
        </w:rPr>
        <w:t>power and control</w:t>
      </w:r>
      <w:r w:rsidR="00B71E76" w:rsidRPr="00B71E76">
        <w:rPr>
          <w:rFonts w:ascii="Times New Roman" w:hAnsi="Times New Roman" w:cs="Times New Roman"/>
          <w:sz w:val="24"/>
        </w:rPr>
        <w:t xml:space="preserve"> is anchored on one end by dominance and on the other by submission; meanwhile, the dimension of </w:t>
      </w:r>
      <w:r w:rsidR="00B71E76" w:rsidRPr="00B71E76">
        <w:rPr>
          <w:rFonts w:ascii="Times New Roman" w:hAnsi="Times New Roman" w:cs="Times New Roman"/>
          <w:i/>
          <w:sz w:val="24"/>
        </w:rPr>
        <w:t>affiliation</w:t>
      </w:r>
      <w:r w:rsidR="00B71E76" w:rsidRPr="00B71E76">
        <w:rPr>
          <w:rFonts w:ascii="Times New Roman" w:hAnsi="Times New Roman" w:cs="Times New Roman"/>
          <w:sz w:val="24"/>
        </w:rPr>
        <w:t xml:space="preserve"> is anchored by hostility and nurturance (Blackburn, 1998). These four anchors form the coordinates of </w:t>
      </w:r>
      <w:r w:rsidR="00B71E76">
        <w:rPr>
          <w:rFonts w:ascii="Times New Roman" w:hAnsi="Times New Roman" w:cs="Times New Roman"/>
          <w:sz w:val="24"/>
        </w:rPr>
        <w:t xml:space="preserve">what is known as </w:t>
      </w:r>
      <w:r w:rsidR="00B71E76" w:rsidRPr="00B71E76">
        <w:rPr>
          <w:rFonts w:ascii="Times New Roman" w:hAnsi="Times New Roman" w:cs="Times New Roman"/>
          <w:sz w:val="24"/>
        </w:rPr>
        <w:t xml:space="preserve">the </w:t>
      </w:r>
      <w:r w:rsidR="00B71E76" w:rsidRPr="00B71E76">
        <w:rPr>
          <w:rFonts w:ascii="Times New Roman" w:hAnsi="Times New Roman" w:cs="Times New Roman"/>
          <w:i/>
          <w:sz w:val="24"/>
        </w:rPr>
        <w:t>interpersonal circle</w:t>
      </w:r>
      <w:r w:rsidR="00F60EAB">
        <w:rPr>
          <w:rFonts w:ascii="Times New Roman" w:hAnsi="Times New Roman" w:cs="Times New Roman"/>
          <w:sz w:val="24"/>
        </w:rPr>
        <w:t>. The quadrants of the interpersonal circle can be used to describe t</w:t>
      </w:r>
      <w:r w:rsidR="00F60EAB" w:rsidRPr="00F60EAB">
        <w:rPr>
          <w:rFonts w:ascii="Times New Roman" w:hAnsi="Times New Roman" w:cs="Times New Roman"/>
          <w:sz w:val="24"/>
        </w:rPr>
        <w:t>he interpersonal behaviour of individuals with personality disorders</w:t>
      </w:r>
      <w:r w:rsidR="00F60EAB">
        <w:rPr>
          <w:rFonts w:ascii="Times New Roman" w:hAnsi="Times New Roman" w:cs="Times New Roman"/>
          <w:sz w:val="24"/>
        </w:rPr>
        <w:t>.</w:t>
      </w:r>
    </w:p>
    <w:p w14:paraId="43D44F9D" w14:textId="75294FF0" w:rsidR="00010E06" w:rsidRDefault="00010E06" w:rsidP="00786D87">
      <w:pPr>
        <w:spacing w:after="0" w:line="480" w:lineRule="auto"/>
        <w:ind w:firstLine="720"/>
        <w:rPr>
          <w:rFonts w:ascii="Times New Roman" w:hAnsi="Times New Roman" w:cs="Times New Roman"/>
          <w:sz w:val="24"/>
        </w:rPr>
      </w:pPr>
      <w:r w:rsidRPr="00010E06">
        <w:rPr>
          <w:rFonts w:ascii="Times New Roman" w:hAnsi="Times New Roman" w:cs="Times New Roman"/>
          <w:sz w:val="24"/>
        </w:rPr>
        <w:t xml:space="preserve">According to Sullivan (1953), when studying psychopathology, one should focus on interpersonal dynamics rather than socially deviant behaviour (Blackburn, 1998). He argued that mental disorders are the result of fractured relationships early in life (which, in Bowlby’s terms, lead to maladaptive internal working models of relationships). Because of these early interpersonal experiences, individuals develop stable and persistent approaches to social interactions that can be referred to as one’s interpersonal style. According to interpersonal theory, personality disorders </w:t>
      </w:r>
      <w:r>
        <w:rPr>
          <w:rFonts w:ascii="Times New Roman" w:hAnsi="Times New Roman" w:cs="Times New Roman"/>
          <w:sz w:val="24"/>
        </w:rPr>
        <w:t>represent</w:t>
      </w:r>
      <w:r w:rsidRPr="00010E06">
        <w:rPr>
          <w:rFonts w:ascii="Times New Roman" w:hAnsi="Times New Roman" w:cs="Times New Roman"/>
          <w:sz w:val="24"/>
        </w:rPr>
        <w:t xml:space="preserve"> dysfunctional interpersonal styles that can be described in terms of the interpersonal circle. These interpersonal styles are underpinned by maladaptive internal working models that lead the individual to hold certain expectations about social interactions and relationships. These expectations can function as self-fulfilling prophecies when one’s approach to an interaction serves to elicit the precise response the individual was expecting</w:t>
      </w:r>
      <w:r>
        <w:rPr>
          <w:rFonts w:ascii="Times New Roman" w:hAnsi="Times New Roman" w:cs="Times New Roman"/>
          <w:sz w:val="24"/>
        </w:rPr>
        <w:t xml:space="preserve"> to receive</w:t>
      </w:r>
      <w:r w:rsidRPr="00010E06">
        <w:rPr>
          <w:rFonts w:ascii="Times New Roman" w:hAnsi="Times New Roman" w:cs="Times New Roman"/>
          <w:sz w:val="24"/>
        </w:rPr>
        <w:t xml:space="preserve"> (Carson, 1979).</w:t>
      </w:r>
    </w:p>
    <w:p w14:paraId="73C77465" w14:textId="51293A99" w:rsidR="005B02FF" w:rsidRDefault="00346A4E" w:rsidP="00F60EAB">
      <w:pPr>
        <w:spacing w:after="0" w:line="480" w:lineRule="auto"/>
        <w:ind w:firstLine="720"/>
        <w:rPr>
          <w:rFonts w:ascii="Times New Roman" w:hAnsi="Times New Roman" w:cs="Times New Roman"/>
          <w:sz w:val="24"/>
        </w:rPr>
      </w:pPr>
      <w:r w:rsidRPr="00EF2278">
        <w:rPr>
          <w:rFonts w:ascii="Times New Roman" w:hAnsi="Times New Roman" w:cs="Times New Roman"/>
          <w:sz w:val="24"/>
        </w:rPr>
        <w:t>A</w:t>
      </w:r>
      <w:r w:rsidR="00285193">
        <w:rPr>
          <w:rFonts w:ascii="Times New Roman" w:hAnsi="Times New Roman" w:cs="Times New Roman"/>
          <w:sz w:val="24"/>
        </w:rPr>
        <w:t xml:space="preserve">s </w:t>
      </w:r>
      <w:r w:rsidR="00B14183">
        <w:rPr>
          <w:rFonts w:ascii="Times New Roman" w:hAnsi="Times New Roman" w:cs="Times New Roman"/>
          <w:sz w:val="24"/>
        </w:rPr>
        <w:t>noted</w:t>
      </w:r>
      <w:r w:rsidR="005D5E50" w:rsidRPr="00EF2278">
        <w:rPr>
          <w:rFonts w:ascii="Times New Roman" w:hAnsi="Times New Roman" w:cs="Times New Roman"/>
          <w:sz w:val="24"/>
        </w:rPr>
        <w:t xml:space="preserve">, Factor 1 is </w:t>
      </w:r>
      <w:r w:rsidR="00285193">
        <w:rPr>
          <w:rFonts w:ascii="Times New Roman" w:hAnsi="Times New Roman" w:cs="Times New Roman"/>
          <w:sz w:val="24"/>
        </w:rPr>
        <w:t xml:space="preserve">believed to be </w:t>
      </w:r>
      <w:r w:rsidR="005D5E50" w:rsidRPr="00EF2278">
        <w:rPr>
          <w:rFonts w:ascii="Times New Roman" w:hAnsi="Times New Roman" w:cs="Times New Roman"/>
          <w:sz w:val="24"/>
        </w:rPr>
        <w:t xml:space="preserve">more </w:t>
      </w:r>
      <w:r w:rsidR="003A7BC8" w:rsidRPr="00EF2278">
        <w:rPr>
          <w:rFonts w:ascii="Times New Roman" w:hAnsi="Times New Roman" w:cs="Times New Roman"/>
          <w:sz w:val="24"/>
        </w:rPr>
        <w:t>fundamental to</w:t>
      </w:r>
      <w:r w:rsidR="005D5E50" w:rsidRPr="00EF2278">
        <w:rPr>
          <w:rFonts w:ascii="Times New Roman" w:hAnsi="Times New Roman" w:cs="Times New Roman"/>
          <w:sz w:val="24"/>
        </w:rPr>
        <w:t xml:space="preserve"> the core of</w:t>
      </w:r>
      <w:r w:rsidR="005D5E50">
        <w:rPr>
          <w:rFonts w:ascii="Times New Roman" w:hAnsi="Times New Roman" w:cs="Times New Roman"/>
          <w:sz w:val="24"/>
        </w:rPr>
        <w:t xml:space="preserve"> psychopathy than Factor 2</w:t>
      </w:r>
      <w:r w:rsidR="00285193">
        <w:rPr>
          <w:rFonts w:ascii="Times New Roman" w:hAnsi="Times New Roman" w:cs="Times New Roman"/>
          <w:sz w:val="24"/>
        </w:rPr>
        <w:t xml:space="preserve"> (Blackburn, 1998</w:t>
      </w:r>
      <w:r w:rsidR="00010E06">
        <w:rPr>
          <w:rFonts w:ascii="Times New Roman" w:hAnsi="Times New Roman" w:cs="Times New Roman"/>
          <w:sz w:val="24"/>
        </w:rPr>
        <w:t xml:space="preserve">; </w:t>
      </w:r>
      <w:r w:rsidR="00010E06" w:rsidRPr="00010E06">
        <w:rPr>
          <w:rFonts w:ascii="Times New Roman" w:hAnsi="Times New Roman" w:cs="Times New Roman"/>
          <w:sz w:val="24"/>
        </w:rPr>
        <w:t>Harpur et al., 1989</w:t>
      </w:r>
      <w:r w:rsidR="00285193">
        <w:rPr>
          <w:rFonts w:ascii="Times New Roman" w:hAnsi="Times New Roman" w:cs="Times New Roman"/>
          <w:sz w:val="24"/>
        </w:rPr>
        <w:t>)</w:t>
      </w:r>
      <w:r w:rsidR="00B25793">
        <w:rPr>
          <w:rFonts w:ascii="Times New Roman" w:hAnsi="Times New Roman" w:cs="Times New Roman"/>
          <w:sz w:val="24"/>
        </w:rPr>
        <w:t>.</w:t>
      </w:r>
      <w:r w:rsidR="005D5E50">
        <w:rPr>
          <w:rFonts w:ascii="Times New Roman" w:hAnsi="Times New Roman" w:cs="Times New Roman"/>
          <w:sz w:val="24"/>
        </w:rPr>
        <w:t xml:space="preserve"> </w:t>
      </w:r>
      <w:r w:rsidR="00B25793">
        <w:rPr>
          <w:rFonts w:ascii="Times New Roman" w:hAnsi="Times New Roman" w:cs="Times New Roman"/>
          <w:sz w:val="24"/>
        </w:rPr>
        <w:t>I</w:t>
      </w:r>
      <w:r w:rsidR="003A7BC8">
        <w:rPr>
          <w:rFonts w:ascii="Times New Roman" w:hAnsi="Times New Roman" w:cs="Times New Roman"/>
          <w:sz w:val="24"/>
        </w:rPr>
        <w:t>nterpersonal deviance</w:t>
      </w:r>
      <w:r w:rsidR="00B25793">
        <w:rPr>
          <w:rFonts w:ascii="Times New Roman" w:hAnsi="Times New Roman" w:cs="Times New Roman"/>
          <w:sz w:val="24"/>
        </w:rPr>
        <w:t xml:space="preserve"> is said to </w:t>
      </w:r>
      <w:r w:rsidR="003A7BC8">
        <w:rPr>
          <w:rFonts w:ascii="Times New Roman" w:hAnsi="Times New Roman" w:cs="Times New Roman"/>
          <w:sz w:val="24"/>
        </w:rPr>
        <w:t>lie at the heart of psychopathy (</w:t>
      </w:r>
      <w:bookmarkStart w:id="1" w:name="_Hlk511502830"/>
      <w:r w:rsidR="003A7BC8" w:rsidRPr="00EF2278">
        <w:rPr>
          <w:rFonts w:ascii="Times New Roman" w:hAnsi="Times New Roman" w:cs="Times New Roman"/>
          <w:sz w:val="24"/>
        </w:rPr>
        <w:t>Drarycott, Askari, &amp; Kirkpatrick, 2011</w:t>
      </w:r>
      <w:bookmarkEnd w:id="1"/>
      <w:r w:rsidR="003A7BC8" w:rsidRPr="00EF2278">
        <w:rPr>
          <w:rFonts w:ascii="Times New Roman" w:hAnsi="Times New Roman" w:cs="Times New Roman"/>
          <w:sz w:val="24"/>
        </w:rPr>
        <w:t>)</w:t>
      </w:r>
      <w:r w:rsidR="00010E06">
        <w:rPr>
          <w:rFonts w:ascii="Times New Roman" w:hAnsi="Times New Roman" w:cs="Times New Roman"/>
          <w:sz w:val="24"/>
        </w:rPr>
        <w:t>,</w:t>
      </w:r>
      <w:r w:rsidR="00C3204E" w:rsidRPr="00EF2278">
        <w:rPr>
          <w:rFonts w:ascii="Times New Roman" w:hAnsi="Times New Roman" w:cs="Times New Roman"/>
          <w:sz w:val="24"/>
        </w:rPr>
        <w:t xml:space="preserve"> and these features can be detected by others in interactions </w:t>
      </w:r>
      <w:r w:rsidR="00010E06">
        <w:rPr>
          <w:rFonts w:ascii="Times New Roman" w:hAnsi="Times New Roman" w:cs="Times New Roman"/>
          <w:sz w:val="24"/>
        </w:rPr>
        <w:t xml:space="preserve">lasting </w:t>
      </w:r>
      <w:r w:rsidR="005F3286">
        <w:rPr>
          <w:rFonts w:ascii="Times New Roman" w:hAnsi="Times New Roman" w:cs="Times New Roman"/>
          <w:sz w:val="24"/>
        </w:rPr>
        <w:t>as short as</w:t>
      </w:r>
      <w:r w:rsidR="00C3204E" w:rsidRPr="00EF2278">
        <w:rPr>
          <w:rFonts w:ascii="Times New Roman" w:hAnsi="Times New Roman" w:cs="Times New Roman"/>
          <w:sz w:val="24"/>
        </w:rPr>
        <w:t xml:space="preserve"> five seconds (</w:t>
      </w:r>
      <w:bookmarkStart w:id="2" w:name="_Hlk511502837"/>
      <w:r w:rsidR="00C3204E" w:rsidRPr="00EF2278">
        <w:rPr>
          <w:rFonts w:ascii="Times New Roman" w:hAnsi="Times New Roman" w:cs="Times New Roman"/>
          <w:sz w:val="24"/>
        </w:rPr>
        <w:t>Fowler, Lilienfeld, &amp; Patrick, 2009</w:t>
      </w:r>
      <w:bookmarkEnd w:id="2"/>
      <w:r w:rsidR="00C3204E" w:rsidRPr="00EF2278">
        <w:rPr>
          <w:rFonts w:ascii="Times New Roman" w:hAnsi="Times New Roman" w:cs="Times New Roman"/>
          <w:sz w:val="24"/>
        </w:rPr>
        <w:t>)</w:t>
      </w:r>
      <w:r w:rsidR="003A7BC8" w:rsidRPr="00EF2278">
        <w:rPr>
          <w:rFonts w:ascii="Times New Roman" w:hAnsi="Times New Roman" w:cs="Times New Roman"/>
          <w:sz w:val="24"/>
        </w:rPr>
        <w:t>.</w:t>
      </w:r>
      <w:r w:rsidR="003A7BC8">
        <w:rPr>
          <w:rFonts w:ascii="Times New Roman" w:hAnsi="Times New Roman" w:cs="Times New Roman"/>
          <w:sz w:val="24"/>
        </w:rPr>
        <w:t xml:space="preserve"> Accordingly, </w:t>
      </w:r>
      <w:r w:rsidR="005D5E50">
        <w:rPr>
          <w:rFonts w:ascii="Times New Roman" w:hAnsi="Times New Roman" w:cs="Times New Roman"/>
          <w:sz w:val="24"/>
        </w:rPr>
        <w:t>Blackburn</w:t>
      </w:r>
      <w:r w:rsidR="003A7BC8">
        <w:rPr>
          <w:rFonts w:ascii="Times New Roman" w:hAnsi="Times New Roman" w:cs="Times New Roman"/>
          <w:sz w:val="24"/>
        </w:rPr>
        <w:t xml:space="preserve"> (1998)</w:t>
      </w:r>
      <w:r w:rsidR="005D5E50">
        <w:rPr>
          <w:rFonts w:ascii="Times New Roman" w:hAnsi="Times New Roman" w:cs="Times New Roman"/>
          <w:sz w:val="24"/>
        </w:rPr>
        <w:t xml:space="preserve"> believes that th</w:t>
      </w:r>
      <w:r w:rsidR="003A7BC8">
        <w:rPr>
          <w:rFonts w:ascii="Times New Roman" w:hAnsi="Times New Roman" w:cs="Times New Roman"/>
          <w:sz w:val="24"/>
        </w:rPr>
        <w:t>is</w:t>
      </w:r>
      <w:r w:rsidR="005D5E50">
        <w:rPr>
          <w:rFonts w:ascii="Times New Roman" w:hAnsi="Times New Roman" w:cs="Times New Roman"/>
          <w:sz w:val="24"/>
        </w:rPr>
        <w:t xml:space="preserve"> </w:t>
      </w:r>
      <w:r w:rsidR="003A7BC8">
        <w:rPr>
          <w:rFonts w:ascii="Times New Roman" w:hAnsi="Times New Roman" w:cs="Times New Roman"/>
          <w:sz w:val="24"/>
        </w:rPr>
        <w:t xml:space="preserve">unique </w:t>
      </w:r>
      <w:r w:rsidR="005D5E50">
        <w:rPr>
          <w:rFonts w:ascii="Times New Roman" w:hAnsi="Times New Roman" w:cs="Times New Roman"/>
          <w:sz w:val="24"/>
        </w:rPr>
        <w:t xml:space="preserve">personality disorder </w:t>
      </w:r>
      <w:r w:rsidR="00F60EAB">
        <w:rPr>
          <w:rFonts w:ascii="Times New Roman" w:hAnsi="Times New Roman" w:cs="Times New Roman"/>
          <w:sz w:val="24"/>
        </w:rPr>
        <w:t>is</w:t>
      </w:r>
      <w:r w:rsidR="005D5E50">
        <w:rPr>
          <w:rFonts w:ascii="Times New Roman" w:hAnsi="Times New Roman" w:cs="Times New Roman"/>
          <w:sz w:val="24"/>
        </w:rPr>
        <w:t xml:space="preserve"> best described</w:t>
      </w:r>
      <w:r w:rsidR="00661C4F">
        <w:rPr>
          <w:rFonts w:ascii="Times New Roman" w:hAnsi="Times New Roman" w:cs="Times New Roman"/>
          <w:sz w:val="24"/>
        </w:rPr>
        <w:t xml:space="preserve"> in</w:t>
      </w:r>
      <w:r w:rsidR="005D5E50">
        <w:rPr>
          <w:rFonts w:ascii="Times New Roman" w:hAnsi="Times New Roman" w:cs="Times New Roman"/>
          <w:sz w:val="24"/>
        </w:rPr>
        <w:t xml:space="preserve"> </w:t>
      </w:r>
      <w:r w:rsidR="00F60EAB">
        <w:rPr>
          <w:rFonts w:ascii="Times New Roman" w:hAnsi="Times New Roman" w:cs="Times New Roman"/>
          <w:sz w:val="24"/>
        </w:rPr>
        <w:t>relation to</w:t>
      </w:r>
      <w:r w:rsidR="005D5E50">
        <w:rPr>
          <w:rFonts w:ascii="Times New Roman" w:hAnsi="Times New Roman" w:cs="Times New Roman"/>
          <w:sz w:val="24"/>
        </w:rPr>
        <w:t xml:space="preserve"> the interpersonal circle.</w:t>
      </w:r>
      <w:r w:rsidRPr="00EB1504">
        <w:rPr>
          <w:rFonts w:ascii="Times New Roman" w:hAnsi="Times New Roman" w:cs="Times New Roman"/>
          <w:sz w:val="24"/>
        </w:rPr>
        <w:t xml:space="preserve"> </w:t>
      </w:r>
      <w:r w:rsidR="005B02FF">
        <w:rPr>
          <w:rFonts w:ascii="Times New Roman" w:hAnsi="Times New Roman" w:cs="Times New Roman"/>
          <w:sz w:val="24"/>
        </w:rPr>
        <w:t>Existing research indicates that</w:t>
      </w:r>
      <w:r w:rsidR="003A7BC8">
        <w:rPr>
          <w:rFonts w:ascii="Times New Roman" w:hAnsi="Times New Roman" w:cs="Times New Roman"/>
          <w:sz w:val="24"/>
        </w:rPr>
        <w:t xml:space="preserve"> the part of the circle </w:t>
      </w:r>
      <w:r w:rsidR="00B14183">
        <w:rPr>
          <w:rFonts w:ascii="Times New Roman" w:hAnsi="Times New Roman" w:cs="Times New Roman"/>
          <w:sz w:val="24"/>
        </w:rPr>
        <w:t>that</w:t>
      </w:r>
      <w:r w:rsidR="003A7BC8">
        <w:rPr>
          <w:rFonts w:ascii="Times New Roman" w:hAnsi="Times New Roman" w:cs="Times New Roman"/>
          <w:sz w:val="24"/>
        </w:rPr>
        <w:t xml:space="preserve"> describes the interpersonal style of psychopathic individuals is the hostile-dominant quadrant, as </w:t>
      </w:r>
      <w:r w:rsidR="007763D9">
        <w:rPr>
          <w:rFonts w:ascii="Times New Roman" w:hAnsi="Times New Roman" w:cs="Times New Roman"/>
          <w:sz w:val="24"/>
        </w:rPr>
        <w:t>psychopathy</w:t>
      </w:r>
      <w:r w:rsidR="005B02FF">
        <w:rPr>
          <w:rFonts w:ascii="Times New Roman" w:hAnsi="Times New Roman" w:cs="Times New Roman"/>
          <w:sz w:val="24"/>
        </w:rPr>
        <w:t xml:space="preserve"> </w:t>
      </w:r>
      <w:r w:rsidRPr="00EB1504">
        <w:rPr>
          <w:rFonts w:ascii="Times New Roman" w:hAnsi="Times New Roman" w:cs="Times New Roman"/>
          <w:sz w:val="24"/>
        </w:rPr>
        <w:t>manifest</w:t>
      </w:r>
      <w:r w:rsidR="007763D9">
        <w:rPr>
          <w:rFonts w:ascii="Times New Roman" w:hAnsi="Times New Roman" w:cs="Times New Roman"/>
          <w:sz w:val="24"/>
        </w:rPr>
        <w:t>s</w:t>
      </w:r>
      <w:r w:rsidRPr="00EB1504">
        <w:rPr>
          <w:rFonts w:ascii="Times New Roman" w:hAnsi="Times New Roman" w:cs="Times New Roman"/>
          <w:sz w:val="24"/>
        </w:rPr>
        <w:t xml:space="preserve"> as </w:t>
      </w:r>
      <w:r w:rsidR="007763D9">
        <w:rPr>
          <w:rFonts w:ascii="Times New Roman" w:hAnsi="Times New Roman" w:cs="Times New Roman"/>
          <w:sz w:val="24"/>
        </w:rPr>
        <w:t xml:space="preserve">a </w:t>
      </w:r>
      <w:r w:rsidRPr="00EB1504">
        <w:rPr>
          <w:rFonts w:ascii="Times New Roman" w:hAnsi="Times New Roman" w:cs="Times New Roman"/>
          <w:sz w:val="24"/>
        </w:rPr>
        <w:t>combination of hostility and dominance in</w:t>
      </w:r>
      <w:r w:rsidR="003A7BC8">
        <w:rPr>
          <w:rFonts w:ascii="Times New Roman" w:hAnsi="Times New Roman" w:cs="Times New Roman"/>
          <w:sz w:val="24"/>
        </w:rPr>
        <w:t xml:space="preserve"> interpersonal interactions</w:t>
      </w:r>
      <w:r w:rsidRPr="00EB1504">
        <w:rPr>
          <w:rFonts w:ascii="Times New Roman" w:hAnsi="Times New Roman" w:cs="Times New Roman"/>
          <w:sz w:val="24"/>
        </w:rPr>
        <w:t xml:space="preserve"> (Blackburn, 1998</w:t>
      </w:r>
      <w:r w:rsidR="008B1C91">
        <w:rPr>
          <w:rFonts w:ascii="Times New Roman" w:hAnsi="Times New Roman" w:cs="Times New Roman"/>
          <w:sz w:val="24"/>
        </w:rPr>
        <w:t xml:space="preserve">; </w:t>
      </w:r>
      <w:bookmarkStart w:id="3" w:name="_Hlk511502860"/>
      <w:r w:rsidR="008B1C91" w:rsidRPr="00EF2278">
        <w:rPr>
          <w:rFonts w:ascii="Times New Roman" w:hAnsi="Times New Roman" w:cs="Times New Roman"/>
          <w:sz w:val="24"/>
        </w:rPr>
        <w:t xml:space="preserve">Harpur, Hart, &amp; Hare, </w:t>
      </w:r>
      <w:r w:rsidR="007763D9" w:rsidRPr="00EF2278">
        <w:rPr>
          <w:rFonts w:ascii="Times New Roman" w:hAnsi="Times New Roman" w:cs="Times New Roman"/>
          <w:sz w:val="24"/>
        </w:rPr>
        <w:t>2002; Rauthmann &amp; Kolar, 2013</w:t>
      </w:r>
      <w:bookmarkEnd w:id="3"/>
      <w:r w:rsidRPr="00EF2278">
        <w:rPr>
          <w:rFonts w:ascii="Times New Roman" w:hAnsi="Times New Roman" w:cs="Times New Roman"/>
          <w:sz w:val="24"/>
        </w:rPr>
        <w:t>).</w:t>
      </w:r>
    </w:p>
    <w:p w14:paraId="5B2438D1" w14:textId="69896A70" w:rsidR="004D4760" w:rsidRDefault="001A15A5" w:rsidP="00786D87">
      <w:pPr>
        <w:spacing w:after="0" w:line="480" w:lineRule="auto"/>
        <w:ind w:firstLine="720"/>
        <w:rPr>
          <w:rFonts w:ascii="Times New Roman" w:hAnsi="Times New Roman" w:cs="Times New Roman"/>
          <w:sz w:val="24"/>
        </w:rPr>
      </w:pPr>
      <w:r>
        <w:rPr>
          <w:rFonts w:ascii="Times New Roman" w:hAnsi="Times New Roman" w:cs="Times New Roman"/>
          <w:sz w:val="24"/>
        </w:rPr>
        <w:t xml:space="preserve">Blackburn (1998) asserts that, according to interpersonal theory, </w:t>
      </w:r>
      <w:r w:rsidR="00346A4E" w:rsidRPr="00EF2278">
        <w:rPr>
          <w:rFonts w:ascii="Times New Roman" w:hAnsi="Times New Roman" w:cs="Times New Roman"/>
          <w:sz w:val="24"/>
        </w:rPr>
        <w:t>psychopathic individuals</w:t>
      </w:r>
      <w:r>
        <w:rPr>
          <w:rFonts w:ascii="Times New Roman" w:hAnsi="Times New Roman" w:cs="Times New Roman"/>
          <w:sz w:val="24"/>
        </w:rPr>
        <w:t xml:space="preserve">’ inability to form secure attachment bonds with others leads to the development of internal working models that cause the individual to perceive </w:t>
      </w:r>
      <w:r w:rsidR="00346A4E" w:rsidRPr="00EF2278">
        <w:rPr>
          <w:rFonts w:ascii="Times New Roman" w:hAnsi="Times New Roman" w:cs="Times New Roman"/>
          <w:sz w:val="24"/>
        </w:rPr>
        <w:t>or expect hostility from others</w:t>
      </w:r>
      <w:r>
        <w:rPr>
          <w:rFonts w:ascii="Times New Roman" w:hAnsi="Times New Roman" w:cs="Times New Roman"/>
          <w:sz w:val="24"/>
        </w:rPr>
        <w:t>. This causes</w:t>
      </w:r>
      <w:r w:rsidR="00F60EAB">
        <w:rPr>
          <w:rFonts w:ascii="Times New Roman" w:hAnsi="Times New Roman" w:cs="Times New Roman"/>
          <w:sz w:val="24"/>
        </w:rPr>
        <w:t xml:space="preserve"> them to approach interpersonal interactions </w:t>
      </w:r>
      <w:r w:rsidR="00346A4E" w:rsidRPr="00EF2278">
        <w:rPr>
          <w:rFonts w:ascii="Times New Roman" w:hAnsi="Times New Roman" w:cs="Times New Roman"/>
          <w:sz w:val="24"/>
        </w:rPr>
        <w:t xml:space="preserve">in a </w:t>
      </w:r>
      <w:r w:rsidR="007763D9" w:rsidRPr="00EF2278">
        <w:rPr>
          <w:rFonts w:ascii="Times New Roman" w:hAnsi="Times New Roman" w:cs="Times New Roman"/>
          <w:sz w:val="24"/>
        </w:rPr>
        <w:t>hostile and dominant manner</w:t>
      </w:r>
      <w:r>
        <w:rPr>
          <w:rFonts w:ascii="Times New Roman" w:hAnsi="Times New Roman" w:cs="Times New Roman"/>
          <w:sz w:val="24"/>
        </w:rPr>
        <w:t>, which then</w:t>
      </w:r>
      <w:r w:rsidR="00346A4E" w:rsidRPr="00EF2278">
        <w:rPr>
          <w:rFonts w:ascii="Times New Roman" w:hAnsi="Times New Roman" w:cs="Times New Roman"/>
          <w:sz w:val="24"/>
        </w:rPr>
        <w:t xml:space="preserve"> elicit</w:t>
      </w:r>
      <w:r>
        <w:rPr>
          <w:rFonts w:ascii="Times New Roman" w:hAnsi="Times New Roman" w:cs="Times New Roman"/>
          <w:sz w:val="24"/>
        </w:rPr>
        <w:t>s</w:t>
      </w:r>
      <w:r w:rsidR="00346A4E" w:rsidRPr="00EF2278">
        <w:rPr>
          <w:rFonts w:ascii="Times New Roman" w:hAnsi="Times New Roman" w:cs="Times New Roman"/>
          <w:sz w:val="24"/>
        </w:rPr>
        <w:t xml:space="preserve"> hostil</w:t>
      </w:r>
      <w:r w:rsidR="007763D9" w:rsidRPr="00EF2278">
        <w:rPr>
          <w:rFonts w:ascii="Times New Roman" w:hAnsi="Times New Roman" w:cs="Times New Roman"/>
          <w:sz w:val="24"/>
        </w:rPr>
        <w:t>e responses from others</w:t>
      </w:r>
      <w:r>
        <w:rPr>
          <w:rFonts w:ascii="Times New Roman" w:hAnsi="Times New Roman" w:cs="Times New Roman"/>
          <w:sz w:val="24"/>
        </w:rPr>
        <w:t>. These hostile responses</w:t>
      </w:r>
      <w:r w:rsidR="007763D9" w:rsidRPr="00EF2278">
        <w:rPr>
          <w:rFonts w:ascii="Times New Roman" w:hAnsi="Times New Roman" w:cs="Times New Roman"/>
          <w:sz w:val="24"/>
        </w:rPr>
        <w:t xml:space="preserve"> </w:t>
      </w:r>
      <w:r w:rsidR="00346A4E" w:rsidRPr="00EF2278">
        <w:rPr>
          <w:rFonts w:ascii="Times New Roman" w:hAnsi="Times New Roman" w:cs="Times New Roman"/>
          <w:sz w:val="24"/>
        </w:rPr>
        <w:t>confirm the</w:t>
      </w:r>
      <w:r>
        <w:rPr>
          <w:rFonts w:ascii="Times New Roman" w:hAnsi="Times New Roman" w:cs="Times New Roman"/>
          <w:sz w:val="24"/>
        </w:rPr>
        <w:t xml:space="preserve"> psychopathic individual’s</w:t>
      </w:r>
      <w:r w:rsidR="00346A4E" w:rsidRPr="00EF2278">
        <w:rPr>
          <w:rFonts w:ascii="Times New Roman" w:hAnsi="Times New Roman" w:cs="Times New Roman"/>
          <w:sz w:val="24"/>
        </w:rPr>
        <w:t xml:space="preserve"> expectation</w:t>
      </w:r>
      <w:r w:rsidR="007763D9" w:rsidRPr="00EF2278">
        <w:rPr>
          <w:rFonts w:ascii="Times New Roman" w:hAnsi="Times New Roman" w:cs="Times New Roman"/>
          <w:sz w:val="24"/>
        </w:rPr>
        <w:t>s</w:t>
      </w:r>
      <w:r w:rsidR="00346A4E" w:rsidRPr="00EF2278">
        <w:rPr>
          <w:rFonts w:ascii="Times New Roman" w:hAnsi="Times New Roman" w:cs="Times New Roman"/>
          <w:sz w:val="24"/>
        </w:rPr>
        <w:t xml:space="preserve"> </w:t>
      </w:r>
      <w:r w:rsidR="008A67FD" w:rsidRPr="00EF2278">
        <w:rPr>
          <w:rFonts w:ascii="Times New Roman" w:hAnsi="Times New Roman" w:cs="Times New Roman"/>
          <w:sz w:val="24"/>
        </w:rPr>
        <w:t>and function to prevent cognitive dissonance from occurring</w:t>
      </w:r>
      <w:r>
        <w:rPr>
          <w:rFonts w:ascii="Times New Roman" w:hAnsi="Times New Roman" w:cs="Times New Roman"/>
          <w:sz w:val="24"/>
        </w:rPr>
        <w:t>.</w:t>
      </w:r>
      <w:r w:rsidR="00E91A92">
        <w:rPr>
          <w:rFonts w:ascii="Times New Roman" w:hAnsi="Times New Roman" w:cs="Times New Roman"/>
          <w:sz w:val="24"/>
        </w:rPr>
        <w:t xml:space="preserve"> However, this proposed pattern remains understudied and robust empirical support has not yet been established in the literature.</w:t>
      </w:r>
    </w:p>
    <w:p w14:paraId="2C86F483" w14:textId="4F4A3E5F" w:rsidR="00FF193A" w:rsidRDefault="008D1810" w:rsidP="00786D87">
      <w:pPr>
        <w:spacing w:after="0" w:line="480" w:lineRule="auto"/>
        <w:ind w:firstLine="720"/>
        <w:rPr>
          <w:rFonts w:ascii="Times New Roman" w:hAnsi="Times New Roman" w:cs="Times New Roman"/>
          <w:sz w:val="24"/>
        </w:rPr>
      </w:pPr>
      <w:r>
        <w:rPr>
          <w:rFonts w:ascii="Times New Roman" w:hAnsi="Times New Roman" w:cs="Times New Roman"/>
          <w:sz w:val="24"/>
        </w:rPr>
        <w:t>In comparison to the vast number of published articles on the topic of psychopathy, relatively f</w:t>
      </w:r>
      <w:r w:rsidR="00346A4E" w:rsidRPr="00EF2278">
        <w:rPr>
          <w:rFonts w:ascii="Times New Roman" w:hAnsi="Times New Roman" w:cs="Times New Roman"/>
          <w:sz w:val="24"/>
        </w:rPr>
        <w:t>ew studies have examined the nature of relationships in individuals who score high on</w:t>
      </w:r>
      <w:r w:rsidR="00C3204E" w:rsidRPr="00EF2278">
        <w:rPr>
          <w:rFonts w:ascii="Times New Roman" w:hAnsi="Times New Roman" w:cs="Times New Roman"/>
          <w:sz w:val="24"/>
        </w:rPr>
        <w:t xml:space="preserve"> </w:t>
      </w:r>
      <w:r w:rsidR="00346A4E" w:rsidRPr="00EF2278">
        <w:rPr>
          <w:rFonts w:ascii="Times New Roman" w:hAnsi="Times New Roman" w:cs="Times New Roman"/>
          <w:sz w:val="24"/>
        </w:rPr>
        <w:t xml:space="preserve">psychopathy. </w:t>
      </w:r>
      <w:bookmarkStart w:id="4" w:name="_Hlk511502879"/>
      <w:r w:rsidR="00346A4E" w:rsidRPr="00EF2278">
        <w:rPr>
          <w:rFonts w:ascii="Times New Roman" w:hAnsi="Times New Roman" w:cs="Times New Roman"/>
          <w:sz w:val="24"/>
        </w:rPr>
        <w:t>Saltaris (2002</w:t>
      </w:r>
      <w:bookmarkEnd w:id="4"/>
      <w:r w:rsidR="00346A4E" w:rsidRPr="00EF2278">
        <w:rPr>
          <w:rFonts w:ascii="Times New Roman" w:hAnsi="Times New Roman" w:cs="Times New Roman"/>
          <w:sz w:val="24"/>
        </w:rPr>
        <w:t xml:space="preserve">) proposed a pathway whereby conduct problems, temperament, and insecure attachments in psychopathic individuals lead to “aversive interpersonal tendencies” (p. 744) </w:t>
      </w:r>
      <w:r w:rsidR="00F60EAB">
        <w:rPr>
          <w:rFonts w:ascii="Times New Roman" w:hAnsi="Times New Roman" w:cs="Times New Roman"/>
          <w:sz w:val="24"/>
        </w:rPr>
        <w:t>which</w:t>
      </w:r>
      <w:r w:rsidR="00346A4E" w:rsidRPr="00EF2278">
        <w:rPr>
          <w:rFonts w:ascii="Times New Roman" w:hAnsi="Times New Roman" w:cs="Times New Roman"/>
          <w:sz w:val="24"/>
        </w:rPr>
        <w:t xml:space="preserve"> contribute to negative interpersonal interactions </w:t>
      </w:r>
      <w:r w:rsidR="00F60EAB">
        <w:rPr>
          <w:rFonts w:ascii="Times New Roman" w:hAnsi="Times New Roman" w:cs="Times New Roman"/>
          <w:sz w:val="24"/>
        </w:rPr>
        <w:t>that</w:t>
      </w:r>
      <w:r w:rsidR="00346A4E" w:rsidRPr="00EF2278">
        <w:rPr>
          <w:rFonts w:ascii="Times New Roman" w:hAnsi="Times New Roman" w:cs="Times New Roman"/>
          <w:sz w:val="24"/>
        </w:rPr>
        <w:t xml:space="preserve"> begin in childhood and persist into adulthood. </w:t>
      </w:r>
      <w:r w:rsidR="00C3204E" w:rsidRPr="00EF2278">
        <w:rPr>
          <w:rFonts w:ascii="Times New Roman" w:hAnsi="Times New Roman" w:cs="Times New Roman"/>
          <w:sz w:val="24"/>
        </w:rPr>
        <w:t>Other studies have found a negative association between psychopathy and relationship quality</w:t>
      </w:r>
      <w:r w:rsidR="00E91A92">
        <w:rPr>
          <w:rFonts w:ascii="Times New Roman" w:hAnsi="Times New Roman" w:cs="Times New Roman"/>
          <w:sz w:val="24"/>
        </w:rPr>
        <w:t xml:space="preserve">. </w:t>
      </w:r>
      <w:r w:rsidR="00FE11F9">
        <w:rPr>
          <w:rFonts w:ascii="Times New Roman" w:hAnsi="Times New Roman" w:cs="Times New Roman"/>
          <w:sz w:val="24"/>
        </w:rPr>
        <w:t xml:space="preserve">In a community sample of British men, Ullrich, Farrington, and Coid (2008) found a significant relationship between the interpersonal domain of psychopathy and a history of unsuccessful intimate relationships. Similarly, </w:t>
      </w:r>
      <w:r w:rsidR="00E91A92">
        <w:rPr>
          <w:rFonts w:ascii="Times New Roman" w:hAnsi="Times New Roman" w:cs="Times New Roman"/>
          <w:sz w:val="24"/>
        </w:rPr>
        <w:t>Love and Holder (2016) f</w:t>
      </w:r>
      <w:r w:rsidR="00FE11F9">
        <w:rPr>
          <w:rFonts w:ascii="Times New Roman" w:hAnsi="Times New Roman" w:cs="Times New Roman"/>
          <w:sz w:val="24"/>
        </w:rPr>
        <w:t>ound that</w:t>
      </w:r>
      <w:r w:rsidR="00E91A92">
        <w:rPr>
          <w:rFonts w:ascii="Times New Roman" w:hAnsi="Times New Roman" w:cs="Times New Roman"/>
          <w:sz w:val="24"/>
        </w:rPr>
        <w:t xml:space="preserve"> high levels of trait psychopathy </w:t>
      </w:r>
      <w:r w:rsidR="00FE11F9">
        <w:rPr>
          <w:rFonts w:ascii="Times New Roman" w:hAnsi="Times New Roman" w:cs="Times New Roman"/>
          <w:sz w:val="24"/>
        </w:rPr>
        <w:t>were negatively associated with overall relationship quality</w:t>
      </w:r>
      <w:bookmarkStart w:id="5" w:name="_Hlk511502888"/>
      <w:r w:rsidR="00886084">
        <w:rPr>
          <w:rFonts w:ascii="Times New Roman" w:hAnsi="Times New Roman" w:cs="Times New Roman"/>
          <w:sz w:val="24"/>
        </w:rPr>
        <w:t xml:space="preserve"> in an undergraduate sample</w:t>
      </w:r>
      <w:r w:rsidR="00FE11F9">
        <w:rPr>
          <w:rFonts w:ascii="Times New Roman" w:hAnsi="Times New Roman" w:cs="Times New Roman"/>
          <w:sz w:val="24"/>
        </w:rPr>
        <w:t>.</w:t>
      </w:r>
      <w:r w:rsidR="008172F5" w:rsidRPr="00EF2278">
        <w:rPr>
          <w:rFonts w:ascii="Times New Roman" w:hAnsi="Times New Roman" w:cs="Times New Roman"/>
          <w:sz w:val="24"/>
        </w:rPr>
        <w:t xml:space="preserve"> </w:t>
      </w:r>
    </w:p>
    <w:p w14:paraId="17305E41" w14:textId="3FD4BEF9" w:rsidR="00B14183" w:rsidRDefault="00F42121" w:rsidP="00B14183">
      <w:pPr>
        <w:spacing w:after="0" w:line="480" w:lineRule="auto"/>
        <w:ind w:firstLine="720"/>
        <w:rPr>
          <w:sz w:val="24"/>
          <w:szCs w:val="24"/>
        </w:rPr>
      </w:pPr>
      <w:r>
        <w:rPr>
          <w:rFonts w:ascii="Times New Roman" w:hAnsi="Times New Roman" w:cs="Times New Roman"/>
          <w:sz w:val="24"/>
        </w:rPr>
        <w:t>F</w:t>
      </w:r>
      <w:r w:rsidR="008D1810">
        <w:rPr>
          <w:rFonts w:ascii="Times New Roman" w:hAnsi="Times New Roman" w:cs="Times New Roman"/>
          <w:sz w:val="24"/>
        </w:rPr>
        <w:t xml:space="preserve">ew studies have examined psychopathic individuals’ </w:t>
      </w:r>
      <w:r w:rsidR="00B53C31">
        <w:rPr>
          <w:rFonts w:ascii="Times New Roman" w:hAnsi="Times New Roman" w:cs="Times New Roman"/>
          <w:sz w:val="24"/>
        </w:rPr>
        <w:t>subjective</w:t>
      </w:r>
      <w:r w:rsidR="008D1810">
        <w:rPr>
          <w:rFonts w:ascii="Times New Roman" w:hAnsi="Times New Roman" w:cs="Times New Roman"/>
          <w:sz w:val="24"/>
        </w:rPr>
        <w:t xml:space="preserve"> perceptions of their interpersonal relationships. </w:t>
      </w:r>
      <w:bookmarkEnd w:id="5"/>
      <w:r w:rsidR="00346A4E" w:rsidRPr="00EB1504">
        <w:rPr>
          <w:rFonts w:ascii="Times New Roman" w:hAnsi="Times New Roman" w:cs="Times New Roman"/>
          <w:sz w:val="24"/>
        </w:rPr>
        <w:t xml:space="preserve">The current </w:t>
      </w:r>
      <w:r w:rsidR="00CE4BFC">
        <w:rPr>
          <w:rFonts w:ascii="Times New Roman" w:hAnsi="Times New Roman" w:cs="Times New Roman"/>
          <w:sz w:val="24"/>
        </w:rPr>
        <w:t>research</w:t>
      </w:r>
      <w:r w:rsidR="00346A4E" w:rsidRPr="00EB1504">
        <w:rPr>
          <w:rFonts w:ascii="Times New Roman" w:hAnsi="Times New Roman" w:cs="Times New Roman"/>
          <w:sz w:val="24"/>
        </w:rPr>
        <w:t xml:space="preserve"> address</w:t>
      </w:r>
      <w:r w:rsidR="008A67FD">
        <w:rPr>
          <w:rFonts w:ascii="Times New Roman" w:hAnsi="Times New Roman" w:cs="Times New Roman"/>
          <w:sz w:val="24"/>
        </w:rPr>
        <w:t>es</w:t>
      </w:r>
      <w:r w:rsidR="00346A4E" w:rsidRPr="00EB1504">
        <w:rPr>
          <w:rFonts w:ascii="Times New Roman" w:hAnsi="Times New Roman" w:cs="Times New Roman"/>
          <w:sz w:val="24"/>
        </w:rPr>
        <w:t xml:space="preserve"> this</w:t>
      </w:r>
      <w:r w:rsidR="008A67FD">
        <w:rPr>
          <w:rFonts w:ascii="Times New Roman" w:hAnsi="Times New Roman" w:cs="Times New Roman"/>
          <w:sz w:val="24"/>
        </w:rPr>
        <w:t xml:space="preserve"> knowledge</w:t>
      </w:r>
      <w:r w:rsidR="00346A4E" w:rsidRPr="00EB1504">
        <w:rPr>
          <w:rFonts w:ascii="Times New Roman" w:hAnsi="Times New Roman" w:cs="Times New Roman"/>
          <w:sz w:val="24"/>
        </w:rPr>
        <w:t xml:space="preserve"> gap by </w:t>
      </w:r>
      <w:r w:rsidR="008A67FD">
        <w:rPr>
          <w:rFonts w:ascii="Times New Roman" w:hAnsi="Times New Roman" w:cs="Times New Roman"/>
          <w:sz w:val="24"/>
        </w:rPr>
        <w:t>ex</w:t>
      </w:r>
      <w:r w:rsidR="00B53C31">
        <w:rPr>
          <w:rFonts w:ascii="Times New Roman" w:hAnsi="Times New Roman" w:cs="Times New Roman"/>
          <w:sz w:val="24"/>
        </w:rPr>
        <w:t>ploring</w:t>
      </w:r>
      <w:r w:rsidR="008A67FD">
        <w:rPr>
          <w:rFonts w:ascii="Times New Roman" w:hAnsi="Times New Roman" w:cs="Times New Roman"/>
          <w:sz w:val="24"/>
        </w:rPr>
        <w:t xml:space="preserve"> </w:t>
      </w:r>
      <w:r w:rsidR="008A67FD" w:rsidRPr="008A67FD">
        <w:rPr>
          <w:rFonts w:ascii="Times New Roman" w:hAnsi="Times New Roman" w:cs="Times New Roman"/>
          <w:sz w:val="24"/>
        </w:rPr>
        <w:t>how psychopathic individuals perceive the extent, nature, and quality of their interpersonal relationships</w:t>
      </w:r>
      <w:r w:rsidR="00376119">
        <w:rPr>
          <w:rFonts w:ascii="Times New Roman" w:hAnsi="Times New Roman" w:cs="Times New Roman"/>
          <w:sz w:val="24"/>
        </w:rPr>
        <w:t>, and how this varies according to Factor 1, Factor 2, and total psychopathy scores</w:t>
      </w:r>
      <w:r w:rsidR="00346A4E" w:rsidRPr="00EB1504">
        <w:rPr>
          <w:rFonts w:ascii="Times New Roman" w:hAnsi="Times New Roman" w:cs="Times New Roman"/>
          <w:sz w:val="24"/>
        </w:rPr>
        <w:t>.</w:t>
      </w:r>
      <w:r w:rsidR="00B14183">
        <w:rPr>
          <w:rFonts w:ascii="Times New Roman" w:hAnsi="Times New Roman" w:cs="Times New Roman"/>
          <w:sz w:val="24"/>
        </w:rPr>
        <w:t xml:space="preserve"> It examines this across two studies; </w:t>
      </w:r>
      <w:r w:rsidR="00CE4BFC">
        <w:rPr>
          <w:rFonts w:ascii="Times New Roman" w:hAnsi="Times New Roman" w:cs="Times New Roman"/>
          <w:sz w:val="24"/>
        </w:rPr>
        <w:t xml:space="preserve">Study 1 </w:t>
      </w:r>
      <w:r w:rsidR="004D4760">
        <w:rPr>
          <w:rFonts w:ascii="Times New Roman" w:hAnsi="Times New Roman" w:cs="Times New Roman"/>
          <w:sz w:val="24"/>
        </w:rPr>
        <w:t>comprise</w:t>
      </w:r>
      <w:r w:rsidR="00666741">
        <w:rPr>
          <w:rFonts w:ascii="Times New Roman" w:hAnsi="Times New Roman" w:cs="Times New Roman"/>
          <w:sz w:val="24"/>
        </w:rPr>
        <w:t>d</w:t>
      </w:r>
      <w:r w:rsidR="00CE4BFC">
        <w:rPr>
          <w:rFonts w:ascii="Times New Roman" w:hAnsi="Times New Roman" w:cs="Times New Roman"/>
          <w:sz w:val="24"/>
        </w:rPr>
        <w:t xml:space="preserve"> a Rapid Evidence Assessment (REA)</w:t>
      </w:r>
      <w:r w:rsidR="00B14183">
        <w:rPr>
          <w:rFonts w:ascii="Times New Roman" w:hAnsi="Times New Roman" w:cs="Times New Roman"/>
          <w:sz w:val="24"/>
        </w:rPr>
        <w:t xml:space="preserve"> of the literature</w:t>
      </w:r>
      <w:r w:rsidR="004D5FD8">
        <w:rPr>
          <w:rFonts w:ascii="Times New Roman" w:hAnsi="Times New Roman" w:cs="Times New Roman"/>
          <w:sz w:val="24"/>
        </w:rPr>
        <w:t xml:space="preserve"> (</w:t>
      </w:r>
      <w:r w:rsidR="00B14183">
        <w:rPr>
          <w:rFonts w:ascii="Times New Roman" w:hAnsi="Times New Roman" w:cs="Times New Roman"/>
          <w:sz w:val="24"/>
        </w:rPr>
        <w:t>Barends, Rousseau, &amp; Briner, 2017</w:t>
      </w:r>
      <w:r w:rsidR="00B14183">
        <w:rPr>
          <w:rFonts w:ascii="Times New Roman" w:hAnsi="Times New Roman" w:cs="Times New Roman"/>
          <w:sz w:val="24"/>
        </w:rPr>
        <w:t xml:space="preserve">; </w:t>
      </w:r>
      <w:r w:rsidR="004D5FD8">
        <w:rPr>
          <w:rFonts w:ascii="Times New Roman" w:hAnsi="Times New Roman" w:cs="Times New Roman"/>
          <w:sz w:val="24"/>
        </w:rPr>
        <w:t>Thomas, Newman, and Oliver, 2013)</w:t>
      </w:r>
      <w:r w:rsidR="00B14183">
        <w:rPr>
          <w:rFonts w:ascii="Times New Roman" w:hAnsi="Times New Roman" w:cs="Times New Roman"/>
          <w:sz w:val="24"/>
        </w:rPr>
        <w:t xml:space="preserve"> to explore </w:t>
      </w:r>
      <w:r w:rsidR="00190B16" w:rsidRPr="00190B16">
        <w:rPr>
          <w:rFonts w:ascii="Times New Roman" w:hAnsi="Times New Roman" w:cs="Times New Roman"/>
          <w:sz w:val="24"/>
        </w:rPr>
        <w:t>what is known empirically about the nature and quality of relationships for individuals with psychopathy</w:t>
      </w:r>
      <w:r w:rsidR="00B14183">
        <w:rPr>
          <w:rFonts w:ascii="Times New Roman" w:hAnsi="Times New Roman" w:cs="Times New Roman"/>
          <w:sz w:val="24"/>
        </w:rPr>
        <w:t>. This was followed by S</w:t>
      </w:r>
      <w:r w:rsidR="003268DD">
        <w:rPr>
          <w:rFonts w:ascii="Times New Roman" w:hAnsi="Times New Roman" w:cs="Times New Roman"/>
          <w:sz w:val="24"/>
        </w:rPr>
        <w:t>tudy 2</w:t>
      </w:r>
      <w:r w:rsidR="00B14183">
        <w:rPr>
          <w:rFonts w:ascii="Times New Roman" w:hAnsi="Times New Roman" w:cs="Times New Roman"/>
          <w:sz w:val="24"/>
        </w:rPr>
        <w:t>, which</w:t>
      </w:r>
      <w:r w:rsidR="00286EFA">
        <w:rPr>
          <w:rFonts w:ascii="Times New Roman" w:hAnsi="Times New Roman" w:cs="Times New Roman"/>
          <w:sz w:val="24"/>
        </w:rPr>
        <w:t xml:space="preserve"> use</w:t>
      </w:r>
      <w:r w:rsidR="00666741">
        <w:rPr>
          <w:rFonts w:ascii="Times New Roman" w:hAnsi="Times New Roman" w:cs="Times New Roman"/>
          <w:sz w:val="24"/>
        </w:rPr>
        <w:t>d</w:t>
      </w:r>
      <w:r w:rsidR="00286EFA">
        <w:rPr>
          <w:rFonts w:ascii="Times New Roman" w:hAnsi="Times New Roman" w:cs="Times New Roman"/>
          <w:sz w:val="24"/>
        </w:rPr>
        <w:t xml:space="preserve"> qualitative and quantitative methods to compare the extent, nature, and quality of interpersonal relationships in</w:t>
      </w:r>
      <w:r w:rsidR="00666741">
        <w:rPr>
          <w:rFonts w:ascii="Times New Roman" w:hAnsi="Times New Roman" w:cs="Times New Roman"/>
          <w:sz w:val="24"/>
        </w:rPr>
        <w:t xml:space="preserve"> male</w:t>
      </w:r>
      <w:r w:rsidR="00286EFA">
        <w:rPr>
          <w:rFonts w:ascii="Times New Roman" w:hAnsi="Times New Roman" w:cs="Times New Roman"/>
          <w:sz w:val="24"/>
        </w:rPr>
        <w:t xml:space="preserve"> sample</w:t>
      </w:r>
      <w:r w:rsidR="00B53C31">
        <w:rPr>
          <w:rFonts w:ascii="Times New Roman" w:hAnsi="Times New Roman" w:cs="Times New Roman"/>
          <w:sz w:val="24"/>
        </w:rPr>
        <w:t>s</w:t>
      </w:r>
      <w:r w:rsidR="00286EFA">
        <w:rPr>
          <w:rFonts w:ascii="Times New Roman" w:hAnsi="Times New Roman" w:cs="Times New Roman"/>
          <w:sz w:val="24"/>
        </w:rPr>
        <w:t xml:space="preserve"> of </w:t>
      </w:r>
      <w:r w:rsidR="00666741">
        <w:rPr>
          <w:rFonts w:ascii="Times New Roman" w:hAnsi="Times New Roman" w:cs="Times New Roman"/>
          <w:sz w:val="24"/>
        </w:rPr>
        <w:t xml:space="preserve">university students and </w:t>
      </w:r>
      <w:r w:rsidR="00286EFA">
        <w:rPr>
          <w:rFonts w:ascii="Times New Roman" w:hAnsi="Times New Roman" w:cs="Times New Roman"/>
          <w:sz w:val="24"/>
        </w:rPr>
        <w:t>adult forensic psychiatric patients.</w:t>
      </w:r>
      <w:r w:rsidR="00851795">
        <w:rPr>
          <w:rFonts w:ascii="Times New Roman" w:hAnsi="Times New Roman" w:cs="Times New Roman"/>
          <w:sz w:val="24"/>
        </w:rPr>
        <w:t xml:space="preserve"> </w:t>
      </w:r>
      <w:r w:rsidR="004D4760">
        <w:rPr>
          <w:sz w:val="24"/>
          <w:szCs w:val="24"/>
        </w:rPr>
        <w:t>Study 2 had several hypotheses</w:t>
      </w:r>
      <w:r w:rsidR="00B14183">
        <w:rPr>
          <w:sz w:val="24"/>
          <w:szCs w:val="24"/>
        </w:rPr>
        <w:t>:</w:t>
      </w:r>
    </w:p>
    <w:p w14:paraId="1D9EAFC3" w14:textId="2DD00C86" w:rsidR="00B14183" w:rsidRPr="00B14183" w:rsidRDefault="00B14183" w:rsidP="00B14183">
      <w:pPr>
        <w:pStyle w:val="ListParagraph"/>
        <w:numPr>
          <w:ilvl w:val="0"/>
          <w:numId w:val="8"/>
        </w:numPr>
        <w:spacing w:after="0" w:line="480" w:lineRule="auto"/>
        <w:rPr>
          <w:sz w:val="24"/>
          <w:szCs w:val="24"/>
        </w:rPr>
      </w:pPr>
      <w:r w:rsidRPr="00B14183">
        <w:rPr>
          <w:sz w:val="24"/>
          <w:szCs w:val="24"/>
        </w:rPr>
        <w:t>P</w:t>
      </w:r>
      <w:r w:rsidR="00666741" w:rsidRPr="00B14183">
        <w:rPr>
          <w:sz w:val="24"/>
          <w:szCs w:val="24"/>
        </w:rPr>
        <w:t>sychopathy scores (total score, Factor 1, and Factor 2) would be higher for</w:t>
      </w:r>
      <w:r w:rsidR="004D4760" w:rsidRPr="00B14183">
        <w:rPr>
          <w:sz w:val="24"/>
          <w:szCs w:val="24"/>
        </w:rPr>
        <w:t xml:space="preserve"> forensic psychiatric patients than students</w:t>
      </w:r>
      <w:r w:rsidR="003B1036" w:rsidRPr="00B14183">
        <w:rPr>
          <w:sz w:val="24"/>
          <w:szCs w:val="24"/>
        </w:rPr>
        <w:t xml:space="preserve"> (</w:t>
      </w:r>
      <w:r w:rsidR="004D4760" w:rsidRPr="00B14183">
        <w:rPr>
          <w:sz w:val="24"/>
          <w:szCs w:val="24"/>
        </w:rPr>
        <w:t xml:space="preserve">Coid, Yang, Ullrich, Roberts, Moran, et al., 2009; Hare, 2003; Neumann &amp; Hare, 2008). </w:t>
      </w:r>
    </w:p>
    <w:p w14:paraId="6FCD000A" w14:textId="77777777" w:rsidR="00B14183" w:rsidRDefault="00B14183" w:rsidP="00431686">
      <w:pPr>
        <w:pStyle w:val="ListParagraph"/>
        <w:numPr>
          <w:ilvl w:val="0"/>
          <w:numId w:val="8"/>
        </w:numPr>
        <w:spacing w:after="0" w:line="480" w:lineRule="auto"/>
        <w:rPr>
          <w:sz w:val="24"/>
          <w:szCs w:val="24"/>
        </w:rPr>
      </w:pPr>
      <w:r w:rsidRPr="00B14183">
        <w:rPr>
          <w:sz w:val="24"/>
          <w:szCs w:val="24"/>
        </w:rPr>
        <w:t>F</w:t>
      </w:r>
      <w:r w:rsidR="002774D0" w:rsidRPr="00B14183">
        <w:rPr>
          <w:sz w:val="24"/>
          <w:szCs w:val="24"/>
        </w:rPr>
        <w:t>or both patients and students, increased total psychopathy scores would predict</w:t>
      </w:r>
      <w:r w:rsidR="00666741" w:rsidRPr="00B14183">
        <w:rPr>
          <w:sz w:val="24"/>
          <w:szCs w:val="24"/>
        </w:rPr>
        <w:t xml:space="preserve"> fewer</w:t>
      </w:r>
      <w:r w:rsidR="002774D0" w:rsidRPr="00B14183">
        <w:rPr>
          <w:sz w:val="24"/>
          <w:szCs w:val="24"/>
        </w:rPr>
        <w:t xml:space="preserve"> interpersonal relationships (Blackburn et al., 2005; Christian et al., 2018; </w:t>
      </w:r>
      <w:r w:rsidR="00176302" w:rsidRPr="00B14183">
        <w:rPr>
          <w:sz w:val="24"/>
          <w:szCs w:val="24"/>
        </w:rPr>
        <w:t>Frodi et al., 2001</w:t>
      </w:r>
      <w:r w:rsidR="002774D0" w:rsidRPr="00B14183">
        <w:rPr>
          <w:sz w:val="24"/>
          <w:szCs w:val="24"/>
        </w:rPr>
        <w:t xml:space="preserve">), and that this would hold regardless of whether a relationship was described by the participant as positive or negative. </w:t>
      </w:r>
    </w:p>
    <w:p w14:paraId="35DFA771" w14:textId="77777777" w:rsidR="00B14183" w:rsidRDefault="002774D0" w:rsidP="00B14183">
      <w:pPr>
        <w:pStyle w:val="ListParagraph"/>
        <w:numPr>
          <w:ilvl w:val="0"/>
          <w:numId w:val="8"/>
        </w:numPr>
        <w:spacing w:after="0" w:line="480" w:lineRule="auto"/>
        <w:rPr>
          <w:sz w:val="24"/>
          <w:szCs w:val="24"/>
        </w:rPr>
      </w:pPr>
      <w:r w:rsidRPr="00B14183">
        <w:rPr>
          <w:sz w:val="24"/>
          <w:szCs w:val="24"/>
        </w:rPr>
        <w:t>It was anticipated that for both patients and students, increased Factor 1</w:t>
      </w:r>
      <w:r w:rsidR="00B14183">
        <w:rPr>
          <w:sz w:val="24"/>
          <w:szCs w:val="24"/>
        </w:rPr>
        <w:t xml:space="preserve"> and 2</w:t>
      </w:r>
      <w:r w:rsidRPr="00B14183">
        <w:rPr>
          <w:sz w:val="24"/>
          <w:szCs w:val="24"/>
        </w:rPr>
        <w:t xml:space="preserve"> scores would predict </w:t>
      </w:r>
      <w:r w:rsidR="00176302" w:rsidRPr="00B14183">
        <w:rPr>
          <w:sz w:val="24"/>
          <w:szCs w:val="24"/>
        </w:rPr>
        <w:t>fewer</w:t>
      </w:r>
      <w:r w:rsidRPr="00B14183">
        <w:rPr>
          <w:sz w:val="24"/>
          <w:szCs w:val="24"/>
        </w:rPr>
        <w:t xml:space="preserve"> interpersonal relationships</w:t>
      </w:r>
      <w:r w:rsidR="00176302" w:rsidRPr="00B14183">
        <w:rPr>
          <w:sz w:val="24"/>
          <w:szCs w:val="24"/>
        </w:rPr>
        <w:t xml:space="preserve"> overall</w:t>
      </w:r>
      <w:r w:rsidR="00B14183">
        <w:rPr>
          <w:sz w:val="24"/>
          <w:szCs w:val="24"/>
        </w:rPr>
        <w:t>, including across positive and negative relationships</w:t>
      </w:r>
      <w:r w:rsidRPr="00B14183">
        <w:rPr>
          <w:sz w:val="24"/>
          <w:szCs w:val="24"/>
        </w:rPr>
        <w:t xml:space="preserve">. </w:t>
      </w:r>
    </w:p>
    <w:p w14:paraId="65506596" w14:textId="460210DB" w:rsidR="001873D7" w:rsidRPr="00B14183" w:rsidRDefault="00B14183" w:rsidP="00B14183">
      <w:pPr>
        <w:pStyle w:val="ListParagraph"/>
        <w:numPr>
          <w:ilvl w:val="0"/>
          <w:numId w:val="8"/>
        </w:numPr>
        <w:spacing w:after="0" w:line="480" w:lineRule="auto"/>
        <w:rPr>
          <w:sz w:val="24"/>
          <w:szCs w:val="24"/>
        </w:rPr>
      </w:pPr>
      <w:r>
        <w:rPr>
          <w:sz w:val="24"/>
          <w:szCs w:val="24"/>
        </w:rPr>
        <w:t>P</w:t>
      </w:r>
      <w:r w:rsidR="001873D7" w:rsidRPr="00B14183">
        <w:rPr>
          <w:sz w:val="24"/>
          <w:szCs w:val="24"/>
        </w:rPr>
        <w:t xml:space="preserve">articipants in both samples who score above the threshold for psychopathy would </w:t>
      </w:r>
      <w:r w:rsidR="00D872E7" w:rsidRPr="00B14183">
        <w:rPr>
          <w:sz w:val="24"/>
          <w:szCs w:val="24"/>
        </w:rPr>
        <w:t xml:space="preserve">(a) </w:t>
      </w:r>
      <w:r w:rsidR="001873D7" w:rsidRPr="00B14183">
        <w:rPr>
          <w:sz w:val="24"/>
          <w:szCs w:val="24"/>
        </w:rPr>
        <w:t xml:space="preserve">describe their relationships less positively </w:t>
      </w:r>
      <w:r w:rsidR="00D872E7" w:rsidRPr="00B14183">
        <w:rPr>
          <w:sz w:val="24"/>
          <w:szCs w:val="24"/>
        </w:rPr>
        <w:t xml:space="preserve">and (b) use </w:t>
      </w:r>
      <w:r w:rsidR="006120E3">
        <w:rPr>
          <w:sz w:val="24"/>
          <w:szCs w:val="24"/>
        </w:rPr>
        <w:t>positive</w:t>
      </w:r>
      <w:r w:rsidR="00D872E7" w:rsidRPr="00B14183">
        <w:rPr>
          <w:sz w:val="24"/>
          <w:szCs w:val="24"/>
        </w:rPr>
        <w:t xml:space="preserve"> relationship descriptors less frequently than participants who score below this threshold (Love &amp; Holder, 2016; Ullrich et al., 2008)</w:t>
      </w:r>
      <w:r w:rsidR="009D52C0" w:rsidRPr="00B14183">
        <w:rPr>
          <w:sz w:val="24"/>
          <w:szCs w:val="24"/>
        </w:rPr>
        <w:t>.</w:t>
      </w:r>
    </w:p>
    <w:p w14:paraId="07975256" w14:textId="6B2231E6" w:rsidR="00E62AD9" w:rsidRPr="00F31C2D" w:rsidRDefault="00C535D1" w:rsidP="002774D0">
      <w:pPr>
        <w:spacing w:after="0" w:line="480" w:lineRule="auto"/>
        <w:jc w:val="center"/>
        <w:rPr>
          <w:b/>
          <w:sz w:val="24"/>
          <w:szCs w:val="24"/>
        </w:rPr>
      </w:pPr>
      <w:r w:rsidRPr="00F31C2D">
        <w:rPr>
          <w:b/>
          <w:sz w:val="24"/>
          <w:szCs w:val="24"/>
        </w:rPr>
        <w:t>Study 1</w:t>
      </w:r>
    </w:p>
    <w:p w14:paraId="16F76E35" w14:textId="2425ABA6" w:rsidR="00914464" w:rsidRDefault="00914464" w:rsidP="00786D87">
      <w:pPr>
        <w:spacing w:after="0" w:line="480" w:lineRule="auto"/>
        <w:rPr>
          <w:b/>
          <w:sz w:val="24"/>
          <w:szCs w:val="24"/>
        </w:rPr>
      </w:pPr>
      <w:r>
        <w:rPr>
          <w:b/>
          <w:sz w:val="24"/>
          <w:szCs w:val="24"/>
        </w:rPr>
        <w:t>Meth</w:t>
      </w:r>
      <w:r w:rsidR="00263EAF">
        <w:rPr>
          <w:b/>
          <w:sz w:val="24"/>
          <w:szCs w:val="24"/>
        </w:rPr>
        <w:t>od</w:t>
      </w:r>
    </w:p>
    <w:p w14:paraId="70E0474A" w14:textId="6B14B2D7" w:rsidR="00FC3A35" w:rsidRDefault="00914464" w:rsidP="00FC3A35">
      <w:pPr>
        <w:spacing w:after="0" w:line="480" w:lineRule="auto"/>
        <w:rPr>
          <w:sz w:val="24"/>
          <w:szCs w:val="24"/>
        </w:rPr>
      </w:pPr>
      <w:r>
        <w:rPr>
          <w:sz w:val="24"/>
          <w:szCs w:val="24"/>
        </w:rPr>
        <w:tab/>
        <w:t>Th</w:t>
      </w:r>
      <w:r w:rsidR="00B14183">
        <w:rPr>
          <w:sz w:val="24"/>
          <w:szCs w:val="24"/>
        </w:rPr>
        <w:t>e</w:t>
      </w:r>
      <w:r>
        <w:rPr>
          <w:sz w:val="24"/>
          <w:szCs w:val="24"/>
        </w:rPr>
        <w:t xml:space="preserve"> </w:t>
      </w:r>
      <w:r w:rsidR="000174C7">
        <w:rPr>
          <w:sz w:val="24"/>
          <w:szCs w:val="24"/>
        </w:rPr>
        <w:t>REA</w:t>
      </w:r>
      <w:r>
        <w:rPr>
          <w:sz w:val="24"/>
          <w:szCs w:val="24"/>
        </w:rPr>
        <w:t xml:space="preserve"> examined abstracts of published journal articles from </w:t>
      </w:r>
      <w:r w:rsidRPr="00914464">
        <w:rPr>
          <w:sz w:val="24"/>
          <w:szCs w:val="24"/>
        </w:rPr>
        <w:t>MedLine, Science Direct, PsycINFO, PsycARTICLES, and Google Scholar</w:t>
      </w:r>
      <w:r w:rsidR="00886084">
        <w:rPr>
          <w:sz w:val="24"/>
          <w:szCs w:val="24"/>
        </w:rPr>
        <w:t xml:space="preserve"> databases</w:t>
      </w:r>
      <w:r w:rsidR="00757B8E">
        <w:rPr>
          <w:sz w:val="24"/>
          <w:szCs w:val="24"/>
        </w:rPr>
        <w:t xml:space="preserve"> using the </w:t>
      </w:r>
      <w:r>
        <w:rPr>
          <w:sz w:val="24"/>
          <w:szCs w:val="24"/>
        </w:rPr>
        <w:t xml:space="preserve">search terms </w:t>
      </w:r>
      <w:r w:rsidRPr="00914464">
        <w:rPr>
          <w:i/>
          <w:sz w:val="24"/>
          <w:szCs w:val="24"/>
        </w:rPr>
        <w:t>psychopathy</w:t>
      </w:r>
      <w:r w:rsidRPr="00914464">
        <w:rPr>
          <w:sz w:val="24"/>
          <w:szCs w:val="24"/>
        </w:rPr>
        <w:t xml:space="preserve"> AND </w:t>
      </w:r>
      <w:r w:rsidRPr="00914464">
        <w:rPr>
          <w:i/>
          <w:sz w:val="24"/>
          <w:szCs w:val="24"/>
        </w:rPr>
        <w:t>interpersonal</w:t>
      </w:r>
      <w:r w:rsidRPr="00914464">
        <w:rPr>
          <w:sz w:val="24"/>
          <w:szCs w:val="24"/>
        </w:rPr>
        <w:t xml:space="preserve"> AND </w:t>
      </w:r>
      <w:r w:rsidRPr="00914464">
        <w:rPr>
          <w:i/>
          <w:sz w:val="24"/>
          <w:szCs w:val="24"/>
        </w:rPr>
        <w:t>relationships</w:t>
      </w:r>
      <w:r>
        <w:rPr>
          <w:sz w:val="24"/>
          <w:szCs w:val="24"/>
        </w:rPr>
        <w:t xml:space="preserve">. To be considered for inclusion, articles </w:t>
      </w:r>
      <w:r w:rsidR="004271C7">
        <w:rPr>
          <w:sz w:val="24"/>
          <w:szCs w:val="24"/>
        </w:rPr>
        <w:t>needed to be</w:t>
      </w:r>
      <w:r>
        <w:rPr>
          <w:sz w:val="24"/>
          <w:szCs w:val="24"/>
        </w:rPr>
        <w:t xml:space="preserve"> available to the researcher in full-text. No restrictions were placed on year or country of origin</w:t>
      </w:r>
      <w:r w:rsidR="004271C7">
        <w:rPr>
          <w:sz w:val="24"/>
          <w:szCs w:val="24"/>
        </w:rPr>
        <w:t xml:space="preserve">, but only </w:t>
      </w:r>
      <w:r w:rsidR="000174C7">
        <w:rPr>
          <w:sz w:val="24"/>
          <w:szCs w:val="24"/>
        </w:rPr>
        <w:t xml:space="preserve">easily accessible, </w:t>
      </w:r>
      <w:r w:rsidR="004271C7">
        <w:rPr>
          <w:sz w:val="24"/>
          <w:szCs w:val="24"/>
        </w:rPr>
        <w:t>English-language studies were considered for inclusion</w:t>
      </w:r>
      <w:r>
        <w:rPr>
          <w:sz w:val="24"/>
          <w:szCs w:val="24"/>
        </w:rPr>
        <w:t xml:space="preserve">. </w:t>
      </w:r>
      <w:r w:rsidR="004271C7">
        <w:rPr>
          <w:sz w:val="24"/>
          <w:szCs w:val="24"/>
        </w:rPr>
        <w:t>Exclusion criteria were (a) duplicate articles and (b) articles focusing on child or adolescent populations.</w:t>
      </w:r>
      <w:r w:rsidR="000174C7">
        <w:rPr>
          <w:sz w:val="24"/>
          <w:szCs w:val="24"/>
        </w:rPr>
        <w:t xml:space="preserve"> </w:t>
      </w:r>
      <w:r w:rsidR="00B14183">
        <w:rPr>
          <w:sz w:val="24"/>
          <w:szCs w:val="24"/>
        </w:rPr>
        <w:t>N</w:t>
      </w:r>
      <w:r w:rsidR="000174C7">
        <w:rPr>
          <w:sz w:val="24"/>
          <w:szCs w:val="24"/>
        </w:rPr>
        <w:t>o hand-searches were conducted</w:t>
      </w:r>
      <w:r w:rsidR="00B14183">
        <w:rPr>
          <w:sz w:val="24"/>
          <w:szCs w:val="24"/>
        </w:rPr>
        <w:t xml:space="preserve"> since this was a RAE</w:t>
      </w:r>
      <w:r w:rsidR="000174C7">
        <w:rPr>
          <w:sz w:val="24"/>
          <w:szCs w:val="24"/>
        </w:rPr>
        <w:t>.</w:t>
      </w:r>
      <w:r w:rsidR="00B14183">
        <w:rPr>
          <w:sz w:val="24"/>
          <w:szCs w:val="24"/>
        </w:rPr>
        <w:t xml:space="preserve"> </w:t>
      </w:r>
      <w:r w:rsidR="004271C7">
        <w:rPr>
          <w:sz w:val="24"/>
          <w:szCs w:val="24"/>
        </w:rPr>
        <w:t xml:space="preserve">The initial search yielded 170 results. Of these, 157 were available to the researcher in full-text, and 134 were published in English. After screening these 134 abstracts for relevance, </w:t>
      </w:r>
      <w:r w:rsidR="002E0A95">
        <w:rPr>
          <w:sz w:val="24"/>
          <w:szCs w:val="24"/>
        </w:rPr>
        <w:t>16 elig</w:t>
      </w:r>
      <w:r w:rsidR="00F42121">
        <w:rPr>
          <w:sz w:val="24"/>
          <w:szCs w:val="24"/>
        </w:rPr>
        <w:t>i</w:t>
      </w:r>
      <w:r w:rsidR="002E0A95">
        <w:rPr>
          <w:sz w:val="24"/>
          <w:szCs w:val="24"/>
        </w:rPr>
        <w:t>ble</w:t>
      </w:r>
      <w:r w:rsidR="004271C7">
        <w:rPr>
          <w:sz w:val="24"/>
          <w:szCs w:val="24"/>
        </w:rPr>
        <w:t xml:space="preserve"> articles were selected for inclusion.</w:t>
      </w:r>
    </w:p>
    <w:p w14:paraId="2D4592C0" w14:textId="7CE4D728" w:rsidR="00FC3A35" w:rsidRDefault="00FC3A35" w:rsidP="00FC3A35">
      <w:pPr>
        <w:spacing w:after="0" w:line="480" w:lineRule="auto"/>
        <w:rPr>
          <w:b/>
          <w:sz w:val="24"/>
          <w:szCs w:val="24"/>
        </w:rPr>
      </w:pPr>
      <w:r>
        <w:rPr>
          <w:b/>
          <w:sz w:val="24"/>
          <w:szCs w:val="24"/>
        </w:rPr>
        <w:t>Results</w:t>
      </w:r>
    </w:p>
    <w:p w14:paraId="716260AC" w14:textId="3B763F92" w:rsidR="000174C7" w:rsidRDefault="00FC3A35" w:rsidP="000174C7">
      <w:pPr>
        <w:spacing w:after="0" w:line="480" w:lineRule="auto"/>
        <w:rPr>
          <w:sz w:val="24"/>
          <w:szCs w:val="24"/>
        </w:rPr>
      </w:pPr>
      <w:r>
        <w:rPr>
          <w:sz w:val="24"/>
          <w:szCs w:val="24"/>
        </w:rPr>
        <w:tab/>
      </w:r>
      <w:r w:rsidR="00176302">
        <w:rPr>
          <w:sz w:val="24"/>
          <w:szCs w:val="24"/>
        </w:rPr>
        <w:t>A</w:t>
      </w:r>
      <w:r w:rsidRPr="00C507AE">
        <w:rPr>
          <w:sz w:val="24"/>
          <w:szCs w:val="24"/>
        </w:rPr>
        <w:t xml:space="preserve"> full </w:t>
      </w:r>
      <w:r w:rsidR="00176302">
        <w:rPr>
          <w:sz w:val="24"/>
          <w:szCs w:val="24"/>
        </w:rPr>
        <w:t>summary of the articles included in this review</w:t>
      </w:r>
      <w:r w:rsidR="000174C7">
        <w:rPr>
          <w:sz w:val="24"/>
          <w:szCs w:val="24"/>
        </w:rPr>
        <w:t xml:space="preserve"> </w:t>
      </w:r>
      <w:r w:rsidRPr="00C507AE">
        <w:rPr>
          <w:sz w:val="24"/>
          <w:szCs w:val="24"/>
        </w:rPr>
        <w:t xml:space="preserve">can be </w:t>
      </w:r>
      <w:r w:rsidR="00B14183">
        <w:rPr>
          <w:sz w:val="24"/>
          <w:szCs w:val="24"/>
        </w:rPr>
        <w:t>obtained from the corresponding author upon request.</w:t>
      </w:r>
      <w:r w:rsidR="0050654C">
        <w:rPr>
          <w:sz w:val="24"/>
          <w:szCs w:val="24"/>
        </w:rPr>
        <w:t xml:space="preserve"> </w:t>
      </w:r>
      <w:r w:rsidR="001636FE">
        <w:rPr>
          <w:sz w:val="24"/>
          <w:szCs w:val="24"/>
        </w:rPr>
        <w:t>Twelve</w:t>
      </w:r>
      <w:r w:rsidR="000F0BE0">
        <w:rPr>
          <w:sz w:val="24"/>
          <w:szCs w:val="24"/>
        </w:rPr>
        <w:t xml:space="preserve"> (5</w:t>
      </w:r>
      <w:r w:rsidR="001636FE">
        <w:rPr>
          <w:sz w:val="24"/>
          <w:szCs w:val="24"/>
        </w:rPr>
        <w:t>4.5</w:t>
      </w:r>
      <w:r w:rsidR="000F0BE0">
        <w:rPr>
          <w:sz w:val="24"/>
          <w:szCs w:val="24"/>
        </w:rPr>
        <w:t>%) of the included studies utilised community samples. Meanwhile, five (</w:t>
      </w:r>
      <w:r w:rsidR="001636FE">
        <w:rPr>
          <w:sz w:val="24"/>
          <w:szCs w:val="24"/>
        </w:rPr>
        <w:t>22.7</w:t>
      </w:r>
      <w:r w:rsidR="000F0BE0">
        <w:rPr>
          <w:sz w:val="24"/>
          <w:szCs w:val="24"/>
        </w:rPr>
        <w:t xml:space="preserve">%) used student samples, </w:t>
      </w:r>
      <w:r w:rsidR="001636FE">
        <w:rPr>
          <w:sz w:val="24"/>
          <w:szCs w:val="24"/>
        </w:rPr>
        <w:t>three</w:t>
      </w:r>
      <w:r w:rsidR="000F0BE0">
        <w:rPr>
          <w:sz w:val="24"/>
          <w:szCs w:val="24"/>
        </w:rPr>
        <w:t xml:space="preserve"> (1</w:t>
      </w:r>
      <w:r w:rsidR="001636FE">
        <w:rPr>
          <w:sz w:val="24"/>
          <w:szCs w:val="24"/>
        </w:rPr>
        <w:t>3.6</w:t>
      </w:r>
      <w:r w:rsidR="000F0BE0">
        <w:rPr>
          <w:sz w:val="24"/>
          <w:szCs w:val="24"/>
        </w:rPr>
        <w:t>%) focused on forensic psychiatric patients, and two (</w:t>
      </w:r>
      <w:r w:rsidR="001636FE">
        <w:rPr>
          <w:sz w:val="24"/>
          <w:szCs w:val="24"/>
        </w:rPr>
        <w:t>9.1</w:t>
      </w:r>
      <w:r w:rsidR="000F0BE0">
        <w:rPr>
          <w:sz w:val="24"/>
          <w:szCs w:val="24"/>
        </w:rPr>
        <w:t>%) examined prison samples.</w:t>
      </w:r>
      <w:r w:rsidR="000F0BE0">
        <w:rPr>
          <w:b/>
          <w:i/>
          <w:sz w:val="24"/>
          <w:szCs w:val="24"/>
        </w:rPr>
        <w:t xml:space="preserve"> </w:t>
      </w:r>
      <w:r w:rsidR="001636FE">
        <w:rPr>
          <w:sz w:val="24"/>
          <w:szCs w:val="24"/>
        </w:rPr>
        <w:t>N</w:t>
      </w:r>
      <w:r w:rsidR="000F0BE0">
        <w:rPr>
          <w:sz w:val="24"/>
          <w:szCs w:val="24"/>
        </w:rPr>
        <w:t xml:space="preserve">ine </w:t>
      </w:r>
      <w:r w:rsidR="001636FE">
        <w:rPr>
          <w:sz w:val="24"/>
          <w:szCs w:val="24"/>
        </w:rPr>
        <w:t>(40.9</w:t>
      </w:r>
      <w:r w:rsidR="000F0BE0">
        <w:rPr>
          <w:sz w:val="24"/>
          <w:szCs w:val="24"/>
        </w:rPr>
        <w:t>%) of the studies included in this REA were</w:t>
      </w:r>
      <w:r w:rsidR="0050654C">
        <w:rPr>
          <w:sz w:val="24"/>
          <w:szCs w:val="24"/>
        </w:rPr>
        <w:t xml:space="preserve"> based</w:t>
      </w:r>
      <w:r w:rsidR="000F0BE0">
        <w:rPr>
          <w:sz w:val="24"/>
          <w:szCs w:val="24"/>
        </w:rPr>
        <w:t xml:space="preserve"> in the United States. </w:t>
      </w:r>
      <w:r w:rsidR="001636FE">
        <w:rPr>
          <w:sz w:val="24"/>
          <w:szCs w:val="24"/>
        </w:rPr>
        <w:t>Six</w:t>
      </w:r>
      <w:r w:rsidR="000F0BE0">
        <w:rPr>
          <w:sz w:val="24"/>
          <w:szCs w:val="24"/>
        </w:rPr>
        <w:t xml:space="preserve"> (</w:t>
      </w:r>
      <w:r w:rsidR="001636FE">
        <w:rPr>
          <w:sz w:val="24"/>
          <w:szCs w:val="24"/>
        </w:rPr>
        <w:t>27.2</w:t>
      </w:r>
      <w:r w:rsidR="000F0BE0">
        <w:rPr>
          <w:sz w:val="24"/>
          <w:szCs w:val="24"/>
        </w:rPr>
        <w:t xml:space="preserve">%) </w:t>
      </w:r>
      <w:r w:rsidR="001636FE">
        <w:rPr>
          <w:sz w:val="24"/>
          <w:szCs w:val="24"/>
        </w:rPr>
        <w:t xml:space="preserve">utilised samples from the </w:t>
      </w:r>
      <w:r w:rsidR="000F0BE0">
        <w:rPr>
          <w:sz w:val="24"/>
          <w:szCs w:val="24"/>
        </w:rPr>
        <w:t>United Kingdom</w:t>
      </w:r>
      <w:r w:rsidR="001636FE">
        <w:rPr>
          <w:sz w:val="24"/>
          <w:szCs w:val="24"/>
        </w:rPr>
        <w:t>.</w:t>
      </w:r>
      <w:r w:rsidR="000F0BE0">
        <w:rPr>
          <w:sz w:val="24"/>
          <w:szCs w:val="24"/>
        </w:rPr>
        <w:t xml:space="preserve"> </w:t>
      </w:r>
      <w:r w:rsidR="001636FE">
        <w:rPr>
          <w:sz w:val="24"/>
          <w:szCs w:val="24"/>
        </w:rPr>
        <w:t>Three used Croatian samples, t</w:t>
      </w:r>
      <w:r w:rsidR="000F0BE0">
        <w:rPr>
          <w:sz w:val="24"/>
          <w:szCs w:val="24"/>
        </w:rPr>
        <w:t>wo (</w:t>
      </w:r>
      <w:r w:rsidR="001636FE">
        <w:rPr>
          <w:sz w:val="24"/>
          <w:szCs w:val="24"/>
        </w:rPr>
        <w:t>9.1</w:t>
      </w:r>
      <w:r w:rsidR="000F0BE0">
        <w:rPr>
          <w:sz w:val="24"/>
          <w:szCs w:val="24"/>
        </w:rPr>
        <w:t>%)</w:t>
      </w:r>
      <w:r w:rsidR="001636FE">
        <w:rPr>
          <w:sz w:val="24"/>
          <w:szCs w:val="24"/>
        </w:rPr>
        <w:t xml:space="preserve"> used samples from</w:t>
      </w:r>
      <w:r w:rsidR="000F0BE0">
        <w:rPr>
          <w:sz w:val="24"/>
          <w:szCs w:val="24"/>
        </w:rPr>
        <w:t xml:space="preserve"> the Netherlands, and one each (</w:t>
      </w:r>
      <w:r w:rsidR="001636FE">
        <w:rPr>
          <w:sz w:val="24"/>
          <w:szCs w:val="24"/>
        </w:rPr>
        <w:t>4.5</w:t>
      </w:r>
      <w:r w:rsidR="000F0BE0">
        <w:rPr>
          <w:sz w:val="24"/>
          <w:szCs w:val="24"/>
        </w:rPr>
        <w:t xml:space="preserve">%) </w:t>
      </w:r>
      <w:r w:rsidR="001636FE">
        <w:rPr>
          <w:sz w:val="24"/>
          <w:szCs w:val="24"/>
        </w:rPr>
        <w:t>used samples from</w:t>
      </w:r>
      <w:r w:rsidR="000F0BE0">
        <w:rPr>
          <w:sz w:val="24"/>
          <w:szCs w:val="24"/>
        </w:rPr>
        <w:t xml:space="preserve"> Australia, </w:t>
      </w:r>
      <w:r w:rsidR="00211A08">
        <w:rPr>
          <w:sz w:val="24"/>
          <w:szCs w:val="24"/>
        </w:rPr>
        <w:t xml:space="preserve">Austria, </w:t>
      </w:r>
      <w:r w:rsidR="000F0BE0">
        <w:rPr>
          <w:sz w:val="24"/>
          <w:szCs w:val="24"/>
        </w:rPr>
        <w:t>Belgium, and Germany.</w:t>
      </w:r>
      <w:r w:rsidR="0050654C">
        <w:rPr>
          <w:sz w:val="24"/>
          <w:szCs w:val="24"/>
        </w:rPr>
        <w:t xml:space="preserve"> </w:t>
      </w:r>
      <w:r w:rsidR="0050654C">
        <w:rPr>
          <w:b/>
          <w:sz w:val="24"/>
          <w:szCs w:val="24"/>
        </w:rPr>
        <w:t>S</w:t>
      </w:r>
      <w:r w:rsidR="00727A3F">
        <w:rPr>
          <w:sz w:val="24"/>
          <w:szCs w:val="24"/>
        </w:rPr>
        <w:t>ixteen</w:t>
      </w:r>
      <w:r w:rsidR="00211A08">
        <w:rPr>
          <w:sz w:val="24"/>
          <w:szCs w:val="24"/>
        </w:rPr>
        <w:t xml:space="preserve"> included studies measured trait/subclinical psychopathy through the use of self-report instruments, </w:t>
      </w:r>
      <w:r w:rsidR="00727A3F">
        <w:rPr>
          <w:sz w:val="24"/>
          <w:szCs w:val="24"/>
        </w:rPr>
        <w:t>six</w:t>
      </w:r>
      <w:r w:rsidR="00211A08">
        <w:rPr>
          <w:sz w:val="24"/>
          <w:szCs w:val="24"/>
        </w:rPr>
        <w:t xml:space="preserve"> (</w:t>
      </w:r>
      <w:r w:rsidR="00727A3F">
        <w:rPr>
          <w:sz w:val="24"/>
          <w:szCs w:val="24"/>
        </w:rPr>
        <w:t>27</w:t>
      </w:r>
      <w:r w:rsidR="00211A08">
        <w:rPr>
          <w:sz w:val="24"/>
          <w:szCs w:val="24"/>
        </w:rPr>
        <w:t xml:space="preserve">%) focused instead on clinical psychopathy as measured by </w:t>
      </w:r>
      <w:r w:rsidR="00C918C6">
        <w:rPr>
          <w:sz w:val="24"/>
          <w:szCs w:val="24"/>
        </w:rPr>
        <w:t xml:space="preserve">the </w:t>
      </w:r>
      <w:r w:rsidR="00211A08">
        <w:rPr>
          <w:sz w:val="24"/>
          <w:szCs w:val="24"/>
        </w:rPr>
        <w:t>PCL-R (Hare, 1991, 2003)</w:t>
      </w:r>
      <w:r w:rsidR="00C918C6">
        <w:rPr>
          <w:sz w:val="24"/>
          <w:szCs w:val="24"/>
        </w:rPr>
        <w:t>,</w:t>
      </w:r>
      <w:r w:rsidR="00211A08">
        <w:rPr>
          <w:sz w:val="24"/>
          <w:szCs w:val="24"/>
        </w:rPr>
        <w:t xml:space="preserve"> P</w:t>
      </w:r>
      <w:r w:rsidR="00281C75">
        <w:rPr>
          <w:sz w:val="24"/>
          <w:szCs w:val="24"/>
        </w:rPr>
        <w:t xml:space="preserve">sychopathy </w:t>
      </w:r>
      <w:r w:rsidR="00211A08">
        <w:rPr>
          <w:sz w:val="24"/>
          <w:szCs w:val="24"/>
        </w:rPr>
        <w:t>C</w:t>
      </w:r>
      <w:r w:rsidR="00281C75">
        <w:rPr>
          <w:sz w:val="24"/>
          <w:szCs w:val="24"/>
        </w:rPr>
        <w:t>hecklist</w:t>
      </w:r>
      <w:r w:rsidR="00211A08">
        <w:rPr>
          <w:sz w:val="24"/>
          <w:szCs w:val="24"/>
        </w:rPr>
        <w:t>:</w:t>
      </w:r>
      <w:r w:rsidR="00281C75">
        <w:rPr>
          <w:sz w:val="24"/>
          <w:szCs w:val="24"/>
        </w:rPr>
        <w:t xml:space="preserve"> </w:t>
      </w:r>
      <w:r w:rsidR="00211A08">
        <w:rPr>
          <w:sz w:val="24"/>
          <w:szCs w:val="24"/>
        </w:rPr>
        <w:t>S</w:t>
      </w:r>
      <w:r w:rsidR="00281C75">
        <w:rPr>
          <w:sz w:val="24"/>
          <w:szCs w:val="24"/>
        </w:rPr>
        <w:t xml:space="preserve">creening </w:t>
      </w:r>
      <w:r w:rsidR="00211A08">
        <w:rPr>
          <w:sz w:val="24"/>
          <w:szCs w:val="24"/>
        </w:rPr>
        <w:t>V</w:t>
      </w:r>
      <w:r w:rsidR="00281C75">
        <w:rPr>
          <w:sz w:val="24"/>
          <w:szCs w:val="24"/>
        </w:rPr>
        <w:t>ersion</w:t>
      </w:r>
      <w:r w:rsidR="00211A08">
        <w:rPr>
          <w:sz w:val="24"/>
          <w:szCs w:val="24"/>
        </w:rPr>
        <w:t xml:space="preserve"> (</w:t>
      </w:r>
      <w:r w:rsidR="00281C75">
        <w:rPr>
          <w:sz w:val="24"/>
          <w:szCs w:val="24"/>
        </w:rPr>
        <w:t xml:space="preserve">PCL:SV; </w:t>
      </w:r>
      <w:r w:rsidR="00211A08" w:rsidRPr="00211A08">
        <w:rPr>
          <w:sz w:val="24"/>
          <w:szCs w:val="24"/>
        </w:rPr>
        <w:t>Hart, Cox, &amp; Hare, 1995</w:t>
      </w:r>
      <w:r w:rsidR="00211A08">
        <w:rPr>
          <w:sz w:val="24"/>
          <w:szCs w:val="24"/>
        </w:rPr>
        <w:t>)</w:t>
      </w:r>
      <w:r w:rsidR="00C918C6">
        <w:rPr>
          <w:sz w:val="24"/>
          <w:szCs w:val="24"/>
        </w:rPr>
        <w:t>, or a comparable clinical instrument.</w:t>
      </w:r>
      <w:r w:rsidR="00054C21">
        <w:rPr>
          <w:sz w:val="24"/>
          <w:szCs w:val="24"/>
        </w:rPr>
        <w:t xml:space="preserve"> </w:t>
      </w:r>
    </w:p>
    <w:p w14:paraId="1273BF3A" w14:textId="27E1B692" w:rsidR="00054C21" w:rsidRPr="006D396F" w:rsidRDefault="00054C21" w:rsidP="006D396F">
      <w:pPr>
        <w:spacing w:after="0" w:line="480" w:lineRule="auto"/>
        <w:ind w:firstLine="720"/>
        <w:rPr>
          <w:sz w:val="24"/>
          <w:szCs w:val="24"/>
        </w:rPr>
      </w:pPr>
      <w:r w:rsidRPr="006D396F">
        <w:rPr>
          <w:b/>
          <w:sz w:val="24"/>
          <w:szCs w:val="24"/>
        </w:rPr>
        <w:t xml:space="preserve">Themes. </w:t>
      </w:r>
      <w:r w:rsidRPr="006D396F">
        <w:rPr>
          <w:sz w:val="24"/>
          <w:szCs w:val="24"/>
        </w:rPr>
        <w:t>Five themes were extracted from the sixteen eligible articles that discussed psychopathy and interpersonal relationships. Five articles (31%</w:t>
      </w:r>
      <w:r w:rsidR="002E0A95" w:rsidRPr="006D396F">
        <w:rPr>
          <w:sz w:val="24"/>
          <w:szCs w:val="24"/>
        </w:rPr>
        <w:t xml:space="preserve">; </w:t>
      </w:r>
      <w:r w:rsidR="002E0A95" w:rsidRPr="006D396F">
        <w:rPr>
          <w:sz w:val="24"/>
          <w:szCs w:val="24"/>
        </w:rPr>
        <w:t>Blackburn, Logan, Renwick, &amp; Donnelly</w:t>
      </w:r>
      <w:r w:rsidR="002E0A95" w:rsidRPr="006D396F">
        <w:rPr>
          <w:sz w:val="24"/>
          <w:szCs w:val="24"/>
        </w:rPr>
        <w:t xml:space="preserve">, </w:t>
      </w:r>
      <w:r w:rsidR="002E0A95" w:rsidRPr="006D396F">
        <w:rPr>
          <w:sz w:val="24"/>
          <w:szCs w:val="24"/>
        </w:rPr>
        <w:t>2005</w:t>
      </w:r>
      <w:r w:rsidR="002E0A95" w:rsidRPr="006D396F">
        <w:rPr>
          <w:sz w:val="24"/>
          <w:szCs w:val="24"/>
        </w:rPr>
        <w:t xml:space="preserve">; </w:t>
      </w:r>
      <w:r w:rsidR="002E0A95" w:rsidRPr="006D396F">
        <w:rPr>
          <w:rFonts w:asciiTheme="majorHAnsi" w:hAnsiTheme="majorHAnsi" w:cstheme="majorHAnsi"/>
          <w:sz w:val="24"/>
          <w:szCs w:val="24"/>
        </w:rPr>
        <w:t>Fix &amp; Fix</w:t>
      </w:r>
      <w:r w:rsidR="002E0A95" w:rsidRPr="006D396F">
        <w:rPr>
          <w:rFonts w:asciiTheme="majorHAnsi" w:hAnsiTheme="majorHAnsi" w:cstheme="majorHAnsi"/>
          <w:sz w:val="24"/>
          <w:szCs w:val="24"/>
        </w:rPr>
        <w:t xml:space="preserve">, </w:t>
      </w:r>
      <w:r w:rsidR="002E0A95" w:rsidRPr="006D396F">
        <w:rPr>
          <w:rFonts w:asciiTheme="majorHAnsi" w:hAnsiTheme="majorHAnsi" w:cstheme="majorHAnsi"/>
          <w:sz w:val="24"/>
          <w:szCs w:val="24"/>
        </w:rPr>
        <w:t>2015</w:t>
      </w:r>
      <w:r w:rsidR="002E0A95" w:rsidRPr="006D396F">
        <w:rPr>
          <w:rFonts w:asciiTheme="majorHAnsi" w:hAnsiTheme="majorHAnsi" w:cstheme="majorHAnsi"/>
          <w:sz w:val="24"/>
          <w:szCs w:val="24"/>
        </w:rPr>
        <w:t xml:space="preserve">; Jonason, Duineveld, &amp; Middleton, 2015; Rauthmann, 2011; </w:t>
      </w:r>
      <w:r w:rsidR="002E0A95" w:rsidRPr="006D396F">
        <w:rPr>
          <w:sz w:val="24"/>
          <w:szCs w:val="24"/>
        </w:rPr>
        <w:t>Sherman &amp; Lynam, 2017</w:t>
      </w:r>
      <w:r w:rsidR="002E0A95" w:rsidRPr="006D396F">
        <w:rPr>
          <w:sz w:val="24"/>
          <w:szCs w:val="24"/>
        </w:rPr>
        <w:t>;</w:t>
      </w:r>
      <w:r w:rsidRPr="006D396F">
        <w:rPr>
          <w:sz w:val="24"/>
          <w:szCs w:val="24"/>
        </w:rPr>
        <w:t>)</w:t>
      </w:r>
      <w:r w:rsidRPr="006D396F">
        <w:rPr>
          <w:sz w:val="24"/>
          <w:szCs w:val="24"/>
        </w:rPr>
        <w:t xml:space="preserve"> discussed the </w:t>
      </w:r>
      <w:r w:rsidRPr="006D396F">
        <w:rPr>
          <w:i/>
          <w:sz w:val="24"/>
          <w:szCs w:val="24"/>
        </w:rPr>
        <w:t>interpersonal traits</w:t>
      </w:r>
      <w:r w:rsidRPr="006D396F">
        <w:rPr>
          <w:sz w:val="24"/>
          <w:szCs w:val="24"/>
        </w:rPr>
        <w:t xml:space="preserve"> of psychopathic individuals; four (25%</w:t>
      </w:r>
      <w:r w:rsidR="002E0A95" w:rsidRPr="006D396F">
        <w:rPr>
          <w:sz w:val="24"/>
          <w:szCs w:val="24"/>
        </w:rPr>
        <w:t xml:space="preserve">; </w:t>
      </w:r>
      <w:r w:rsidR="002E0A95" w:rsidRPr="006D396F">
        <w:rPr>
          <w:sz w:val="24"/>
          <w:szCs w:val="24"/>
        </w:rPr>
        <w:t>Brewer, Bennett, Davidson, Ireen, Phipps, Stewart-Wilkes, &amp; Wilson</w:t>
      </w:r>
      <w:r w:rsidR="002E0A95" w:rsidRPr="006D396F">
        <w:rPr>
          <w:sz w:val="24"/>
          <w:szCs w:val="24"/>
        </w:rPr>
        <w:t xml:space="preserve">, </w:t>
      </w:r>
      <w:r w:rsidR="002E0A95" w:rsidRPr="006D396F">
        <w:rPr>
          <w:sz w:val="24"/>
          <w:szCs w:val="24"/>
        </w:rPr>
        <w:t>2018</w:t>
      </w:r>
      <w:r w:rsidR="002E0A95" w:rsidRPr="006D396F">
        <w:rPr>
          <w:sz w:val="24"/>
          <w:szCs w:val="24"/>
        </w:rPr>
        <w:t xml:space="preserve">; </w:t>
      </w:r>
      <w:r w:rsidR="002E0A95" w:rsidRPr="006D396F">
        <w:rPr>
          <w:sz w:val="24"/>
          <w:szCs w:val="24"/>
        </w:rPr>
        <w:t>Christian, Sellbom, &amp; Wilkinson</w:t>
      </w:r>
      <w:r w:rsidR="002E0A95" w:rsidRPr="006D396F">
        <w:rPr>
          <w:sz w:val="24"/>
          <w:szCs w:val="24"/>
        </w:rPr>
        <w:t xml:space="preserve">, </w:t>
      </w:r>
      <w:r w:rsidR="002E0A95" w:rsidRPr="006D396F">
        <w:rPr>
          <w:sz w:val="24"/>
          <w:szCs w:val="24"/>
        </w:rPr>
        <w:t>2017</w:t>
      </w:r>
      <w:r w:rsidR="002E0A95" w:rsidRPr="006D396F">
        <w:rPr>
          <w:sz w:val="24"/>
          <w:szCs w:val="24"/>
        </w:rPr>
        <w:t xml:space="preserve">; </w:t>
      </w:r>
      <w:r w:rsidR="002E0A95" w:rsidRPr="006D396F">
        <w:rPr>
          <w:sz w:val="24"/>
          <w:szCs w:val="24"/>
        </w:rPr>
        <w:t>Kardum, Hudek-Knezevic, Gračanin, &amp; Mehic</w:t>
      </w:r>
      <w:r w:rsidR="002E0A95" w:rsidRPr="006D396F">
        <w:rPr>
          <w:sz w:val="24"/>
          <w:szCs w:val="24"/>
        </w:rPr>
        <w:t xml:space="preserve">, </w:t>
      </w:r>
      <w:r w:rsidR="002E0A95" w:rsidRPr="006D396F">
        <w:rPr>
          <w:sz w:val="24"/>
          <w:szCs w:val="24"/>
        </w:rPr>
        <w:t>2017</w:t>
      </w:r>
      <w:r w:rsidR="002E0A95" w:rsidRPr="006D396F">
        <w:rPr>
          <w:sz w:val="24"/>
          <w:szCs w:val="24"/>
        </w:rPr>
        <w:t xml:space="preserve">; </w:t>
      </w:r>
      <w:r w:rsidR="002E0A95" w:rsidRPr="006D396F">
        <w:rPr>
          <w:sz w:val="24"/>
          <w:szCs w:val="24"/>
        </w:rPr>
        <w:t>Massar, Winters, Lenz, &amp; Jonason</w:t>
      </w:r>
      <w:r w:rsidR="002E0A95" w:rsidRPr="006D396F">
        <w:rPr>
          <w:sz w:val="24"/>
          <w:szCs w:val="24"/>
        </w:rPr>
        <w:t xml:space="preserve">, </w:t>
      </w:r>
      <w:r w:rsidR="002E0A95" w:rsidRPr="006D396F">
        <w:rPr>
          <w:sz w:val="24"/>
          <w:szCs w:val="24"/>
        </w:rPr>
        <w:t>2017)</w:t>
      </w:r>
      <w:r w:rsidR="006D396F" w:rsidRPr="006D396F">
        <w:rPr>
          <w:sz w:val="24"/>
          <w:szCs w:val="24"/>
        </w:rPr>
        <w:t xml:space="preserve"> </w:t>
      </w:r>
      <w:r w:rsidRPr="006D396F">
        <w:rPr>
          <w:sz w:val="24"/>
          <w:szCs w:val="24"/>
        </w:rPr>
        <w:t xml:space="preserve">focused on the </w:t>
      </w:r>
      <w:r w:rsidRPr="006D396F">
        <w:rPr>
          <w:i/>
          <w:sz w:val="24"/>
          <w:szCs w:val="24"/>
        </w:rPr>
        <w:t xml:space="preserve">interpersonal relationships </w:t>
      </w:r>
      <w:r w:rsidRPr="006D396F">
        <w:rPr>
          <w:sz w:val="24"/>
          <w:szCs w:val="24"/>
        </w:rPr>
        <w:t>of psychopathic individuals</w:t>
      </w:r>
      <w:r w:rsidR="006D396F" w:rsidRPr="006D396F">
        <w:rPr>
          <w:sz w:val="24"/>
          <w:szCs w:val="24"/>
        </w:rPr>
        <w:t>;</w:t>
      </w:r>
      <w:r w:rsidRPr="006D396F">
        <w:rPr>
          <w:sz w:val="24"/>
          <w:szCs w:val="24"/>
        </w:rPr>
        <w:t xml:space="preserve"> three (19%</w:t>
      </w:r>
      <w:r w:rsidR="006D396F" w:rsidRPr="006D396F">
        <w:rPr>
          <w:sz w:val="24"/>
          <w:szCs w:val="24"/>
        </w:rPr>
        <w:t xml:space="preserve">: </w:t>
      </w:r>
      <w:r w:rsidR="006D396F" w:rsidRPr="006D396F">
        <w:rPr>
          <w:sz w:val="24"/>
          <w:szCs w:val="24"/>
        </w:rPr>
        <w:t>Blackburn &amp; Maybury</w:t>
      </w:r>
      <w:r w:rsidR="006D396F" w:rsidRPr="006D396F">
        <w:rPr>
          <w:sz w:val="24"/>
          <w:szCs w:val="24"/>
        </w:rPr>
        <w:t xml:space="preserve">, </w:t>
      </w:r>
      <w:r w:rsidR="006D396F" w:rsidRPr="006D396F">
        <w:rPr>
          <w:sz w:val="24"/>
          <w:szCs w:val="24"/>
        </w:rPr>
        <w:t>1985</w:t>
      </w:r>
      <w:r w:rsidR="006D396F" w:rsidRPr="006D396F">
        <w:rPr>
          <w:sz w:val="24"/>
          <w:szCs w:val="24"/>
        </w:rPr>
        <w:t xml:space="preserve">; </w:t>
      </w:r>
      <w:r w:rsidR="006D396F" w:rsidRPr="006D396F">
        <w:rPr>
          <w:sz w:val="24"/>
          <w:szCs w:val="24"/>
        </w:rPr>
        <w:t>Lobbestael, Arntz, Voncken, &amp; Potegal</w:t>
      </w:r>
      <w:r w:rsidR="006D396F" w:rsidRPr="006D396F">
        <w:rPr>
          <w:sz w:val="24"/>
          <w:szCs w:val="24"/>
        </w:rPr>
        <w:t xml:space="preserve">, </w:t>
      </w:r>
      <w:r w:rsidR="006D396F" w:rsidRPr="006D396F">
        <w:rPr>
          <w:sz w:val="24"/>
          <w:szCs w:val="24"/>
        </w:rPr>
        <w:t>2017</w:t>
      </w:r>
      <w:r w:rsidR="006D396F" w:rsidRPr="006D396F">
        <w:rPr>
          <w:sz w:val="24"/>
          <w:szCs w:val="24"/>
        </w:rPr>
        <w:t xml:space="preserve">; </w:t>
      </w:r>
      <w:r w:rsidR="006D396F" w:rsidRPr="006D396F">
        <w:rPr>
          <w:sz w:val="24"/>
          <w:szCs w:val="24"/>
        </w:rPr>
        <w:t>Reidy, Wilson, Sloan, Cohn, Smart, &amp; Zeichner</w:t>
      </w:r>
      <w:r w:rsidR="006D396F" w:rsidRPr="006D396F">
        <w:rPr>
          <w:sz w:val="24"/>
          <w:szCs w:val="24"/>
        </w:rPr>
        <w:t xml:space="preserve">, </w:t>
      </w:r>
      <w:r w:rsidR="006D396F" w:rsidRPr="006D396F">
        <w:rPr>
          <w:sz w:val="24"/>
          <w:szCs w:val="24"/>
        </w:rPr>
        <w:t>2013</w:t>
      </w:r>
      <w:r w:rsidRPr="006D396F">
        <w:rPr>
          <w:sz w:val="24"/>
          <w:szCs w:val="24"/>
        </w:rPr>
        <w:t xml:space="preserve">) examined psychopathy and interpersonal </w:t>
      </w:r>
      <w:r w:rsidRPr="006D396F">
        <w:rPr>
          <w:i/>
          <w:sz w:val="24"/>
          <w:szCs w:val="24"/>
        </w:rPr>
        <w:t>behaviour</w:t>
      </w:r>
      <w:r w:rsidRPr="006D396F">
        <w:rPr>
          <w:sz w:val="24"/>
          <w:szCs w:val="24"/>
        </w:rPr>
        <w:t>; two (12.5%</w:t>
      </w:r>
      <w:r w:rsidR="006D396F" w:rsidRPr="006D396F">
        <w:rPr>
          <w:sz w:val="24"/>
          <w:szCs w:val="24"/>
        </w:rPr>
        <w:t xml:space="preserve">: </w:t>
      </w:r>
      <w:r w:rsidR="006D396F" w:rsidRPr="006D396F">
        <w:rPr>
          <w:sz w:val="24"/>
          <w:szCs w:val="24"/>
        </w:rPr>
        <w:t>Declercq, Willemsen, Audenaert, &amp; Verhaeghe</w:t>
      </w:r>
      <w:r w:rsidR="006D396F" w:rsidRPr="006D396F">
        <w:rPr>
          <w:sz w:val="24"/>
          <w:szCs w:val="24"/>
        </w:rPr>
        <w:t xml:space="preserve">, </w:t>
      </w:r>
      <w:r w:rsidR="006D396F" w:rsidRPr="006D396F">
        <w:rPr>
          <w:sz w:val="24"/>
          <w:szCs w:val="24"/>
        </w:rPr>
        <w:t>2012</w:t>
      </w:r>
      <w:r w:rsidR="006D396F" w:rsidRPr="006D396F">
        <w:rPr>
          <w:sz w:val="24"/>
          <w:szCs w:val="24"/>
        </w:rPr>
        <w:t xml:space="preserve">; </w:t>
      </w:r>
      <w:r w:rsidR="006D396F" w:rsidRPr="006D396F">
        <w:rPr>
          <w:sz w:val="24"/>
          <w:szCs w:val="24"/>
        </w:rPr>
        <w:t>Walsh, Swogger, &amp; Kosson</w:t>
      </w:r>
      <w:r w:rsidR="006D396F" w:rsidRPr="006D396F">
        <w:rPr>
          <w:sz w:val="24"/>
          <w:szCs w:val="24"/>
        </w:rPr>
        <w:t xml:space="preserve">, </w:t>
      </w:r>
      <w:r w:rsidR="006D396F" w:rsidRPr="006D396F">
        <w:rPr>
          <w:sz w:val="24"/>
          <w:szCs w:val="24"/>
        </w:rPr>
        <w:t>2009</w:t>
      </w:r>
      <w:r w:rsidRPr="006D396F">
        <w:rPr>
          <w:sz w:val="24"/>
          <w:szCs w:val="24"/>
        </w:rPr>
        <w:t xml:space="preserve">) explored psychopathy and </w:t>
      </w:r>
      <w:r w:rsidRPr="006D396F">
        <w:rPr>
          <w:i/>
          <w:sz w:val="24"/>
          <w:szCs w:val="24"/>
        </w:rPr>
        <w:t>interpersonal aggression</w:t>
      </w:r>
      <w:r w:rsidRPr="006D396F">
        <w:rPr>
          <w:sz w:val="24"/>
          <w:szCs w:val="24"/>
        </w:rPr>
        <w:t>; and two (12.5%</w:t>
      </w:r>
      <w:r w:rsidR="006D396F" w:rsidRPr="006D396F">
        <w:rPr>
          <w:sz w:val="24"/>
          <w:szCs w:val="24"/>
        </w:rPr>
        <w:t xml:space="preserve">; </w:t>
      </w:r>
      <w:r w:rsidR="006D396F" w:rsidRPr="006D396F">
        <w:rPr>
          <w:sz w:val="24"/>
          <w:szCs w:val="24"/>
        </w:rPr>
        <w:t>Iyican &amp; Babcock</w:t>
      </w:r>
      <w:r w:rsidR="006D396F" w:rsidRPr="006D396F">
        <w:rPr>
          <w:sz w:val="24"/>
          <w:szCs w:val="24"/>
        </w:rPr>
        <w:t xml:space="preserve">, </w:t>
      </w:r>
      <w:r w:rsidR="006D396F" w:rsidRPr="006D396F">
        <w:rPr>
          <w:sz w:val="24"/>
          <w:szCs w:val="24"/>
        </w:rPr>
        <w:t>2018</w:t>
      </w:r>
      <w:r w:rsidR="006D396F" w:rsidRPr="006D396F">
        <w:rPr>
          <w:sz w:val="24"/>
          <w:szCs w:val="24"/>
        </w:rPr>
        <w:t xml:space="preserve">; </w:t>
      </w:r>
      <w:r w:rsidR="006D396F" w:rsidRPr="006D396F">
        <w:rPr>
          <w:sz w:val="24"/>
          <w:szCs w:val="24"/>
        </w:rPr>
        <w:t>Mager, Bresin, &amp; Verona</w:t>
      </w:r>
      <w:r w:rsidR="006D396F" w:rsidRPr="006D396F">
        <w:rPr>
          <w:sz w:val="24"/>
          <w:szCs w:val="24"/>
        </w:rPr>
        <w:t xml:space="preserve">, </w:t>
      </w:r>
      <w:r w:rsidR="006D396F" w:rsidRPr="006D396F">
        <w:rPr>
          <w:sz w:val="24"/>
          <w:szCs w:val="24"/>
        </w:rPr>
        <w:t>2014</w:t>
      </w:r>
      <w:r w:rsidRPr="006D396F">
        <w:rPr>
          <w:sz w:val="24"/>
          <w:szCs w:val="24"/>
        </w:rPr>
        <w:t xml:space="preserve">) discussed psychopathy and </w:t>
      </w:r>
      <w:r w:rsidRPr="006D396F">
        <w:rPr>
          <w:i/>
          <w:sz w:val="24"/>
          <w:szCs w:val="24"/>
        </w:rPr>
        <w:t>intimate partner violence</w:t>
      </w:r>
      <w:r w:rsidRPr="006D396F">
        <w:rPr>
          <w:sz w:val="24"/>
          <w:szCs w:val="24"/>
        </w:rPr>
        <w:t xml:space="preserve">. </w:t>
      </w:r>
    </w:p>
    <w:p w14:paraId="5B655A58" w14:textId="1B5A7A89" w:rsidR="00054C21" w:rsidRPr="00813430" w:rsidRDefault="006D396F" w:rsidP="00AA6ECE">
      <w:pPr>
        <w:spacing w:after="0" w:line="480" w:lineRule="auto"/>
        <w:ind w:firstLine="720"/>
        <w:rPr>
          <w:sz w:val="24"/>
          <w:szCs w:val="24"/>
        </w:rPr>
      </w:pPr>
      <w:r>
        <w:rPr>
          <w:b/>
          <w:i/>
          <w:sz w:val="24"/>
          <w:szCs w:val="24"/>
        </w:rPr>
        <w:t xml:space="preserve">Theme 1: </w:t>
      </w:r>
      <w:r w:rsidR="00054C21">
        <w:rPr>
          <w:b/>
          <w:i/>
          <w:sz w:val="24"/>
          <w:szCs w:val="24"/>
        </w:rPr>
        <w:t xml:space="preserve">Interpersonal </w:t>
      </w:r>
      <w:r w:rsidR="001C6360">
        <w:rPr>
          <w:b/>
          <w:i/>
          <w:sz w:val="24"/>
          <w:szCs w:val="24"/>
        </w:rPr>
        <w:t>t</w:t>
      </w:r>
      <w:r w:rsidR="00054C21">
        <w:rPr>
          <w:b/>
          <w:i/>
          <w:sz w:val="24"/>
          <w:szCs w:val="24"/>
        </w:rPr>
        <w:t xml:space="preserve">raits. </w:t>
      </w:r>
      <w:r w:rsidR="00054C21" w:rsidRPr="00813430">
        <w:rPr>
          <w:sz w:val="24"/>
          <w:szCs w:val="24"/>
        </w:rPr>
        <w:t>In an analysis of higher-order personality dimensions, Blackburn, Logan, Renwick, &amp; Donnelly (2005) provide</w:t>
      </w:r>
      <w:r w:rsidR="00054C21">
        <w:rPr>
          <w:sz w:val="24"/>
          <w:szCs w:val="24"/>
        </w:rPr>
        <w:t>d</w:t>
      </w:r>
      <w:r w:rsidR="00054C21" w:rsidRPr="00813430">
        <w:rPr>
          <w:sz w:val="24"/>
          <w:szCs w:val="24"/>
        </w:rPr>
        <w:t xml:space="preserve"> support for the notion that, as described by interpersonal theory, psychopathic individuals have a hostile and dominant interpersonal style that is characteri</w:t>
      </w:r>
      <w:r w:rsidR="00CB360C">
        <w:rPr>
          <w:sz w:val="24"/>
          <w:szCs w:val="24"/>
        </w:rPr>
        <w:t>s</w:t>
      </w:r>
      <w:r w:rsidR="00054C21" w:rsidRPr="00813430">
        <w:rPr>
          <w:sz w:val="24"/>
          <w:szCs w:val="24"/>
        </w:rPr>
        <w:t>ed by high agency and low communal motivation.</w:t>
      </w:r>
    </w:p>
    <w:p w14:paraId="608C08F7" w14:textId="6190B03B" w:rsidR="006D4DE1" w:rsidRPr="00813430" w:rsidRDefault="00054C21" w:rsidP="002E0A95">
      <w:pPr>
        <w:spacing w:after="0" w:line="480" w:lineRule="auto"/>
        <w:ind w:firstLine="720"/>
        <w:rPr>
          <w:sz w:val="24"/>
          <w:szCs w:val="24"/>
        </w:rPr>
      </w:pPr>
      <w:r w:rsidRPr="00813430">
        <w:rPr>
          <w:sz w:val="24"/>
          <w:szCs w:val="24"/>
        </w:rPr>
        <w:t>Several studies examined the interpersonal traits of students and members of the community in relation to their scores on trait psychopathy</w:t>
      </w:r>
      <w:r>
        <w:rPr>
          <w:sz w:val="24"/>
          <w:szCs w:val="24"/>
        </w:rPr>
        <w:t>. Their results indicate that</w:t>
      </w:r>
      <w:r w:rsidRPr="00813430">
        <w:rPr>
          <w:sz w:val="24"/>
          <w:szCs w:val="24"/>
        </w:rPr>
        <w:t xml:space="preserve"> trait psychopathy </w:t>
      </w:r>
      <w:r>
        <w:rPr>
          <w:sz w:val="24"/>
          <w:szCs w:val="24"/>
        </w:rPr>
        <w:t>is</w:t>
      </w:r>
      <w:r w:rsidRPr="00813430">
        <w:rPr>
          <w:sz w:val="24"/>
          <w:szCs w:val="24"/>
        </w:rPr>
        <w:t xml:space="preserve"> </w:t>
      </w:r>
      <w:r>
        <w:rPr>
          <w:sz w:val="24"/>
          <w:szCs w:val="24"/>
        </w:rPr>
        <w:t xml:space="preserve">positively </w:t>
      </w:r>
      <w:r w:rsidRPr="00813430">
        <w:rPr>
          <w:sz w:val="24"/>
          <w:szCs w:val="24"/>
        </w:rPr>
        <w:t xml:space="preserve">associated with low levels of social communion and a higher </w:t>
      </w:r>
      <w:bookmarkStart w:id="6" w:name="_Hlk516078060"/>
      <w:r w:rsidR="003C325A" w:rsidRPr="003C325A">
        <w:rPr>
          <w:sz w:val="24"/>
          <w:szCs w:val="24"/>
        </w:rPr>
        <w:t xml:space="preserve">likelihood of discounting the value of interpersonal closeness (Sherman &amp; Lynam, 2017), as well as being positively associated with an exchange orientation (defined as the prioritisation of one’s own interests over those of the group) and negatively associated with a communal orientation (Jonason, Duineveld, &amp; Middleton, 2015). </w:t>
      </w:r>
      <w:r w:rsidRPr="00054C21">
        <w:rPr>
          <w:sz w:val="24"/>
          <w:szCs w:val="24"/>
        </w:rPr>
        <w:t>Jonason and colleagues (2015) speculate that low levels of communalism may be evolutionarily advantageous in terms of securing one’s own survival and reproductive fitness, and psychopathy may therefore be adaptive in nature. Overall, these findings indicate that individuals who score high on trait psychopathy tend to be unmotivated at forming and maintaining close relationships with others.</w:t>
      </w:r>
    </w:p>
    <w:p w14:paraId="7740E51C" w14:textId="2F5923C2" w:rsidR="006D4DE1" w:rsidRDefault="006D4DE1" w:rsidP="006D4DE1">
      <w:pPr>
        <w:spacing w:after="0" w:line="480" w:lineRule="auto"/>
        <w:ind w:firstLine="720"/>
        <w:rPr>
          <w:sz w:val="24"/>
          <w:szCs w:val="24"/>
        </w:rPr>
      </w:pPr>
      <w:r>
        <w:rPr>
          <w:sz w:val="24"/>
          <w:szCs w:val="24"/>
        </w:rPr>
        <w:t>Rauthmann</w:t>
      </w:r>
      <w:r w:rsidR="003F253E">
        <w:rPr>
          <w:sz w:val="24"/>
          <w:szCs w:val="24"/>
        </w:rPr>
        <w:t xml:space="preserve"> (</w:t>
      </w:r>
      <w:r>
        <w:rPr>
          <w:sz w:val="24"/>
          <w:szCs w:val="24"/>
        </w:rPr>
        <w:t>2011) found that</w:t>
      </w:r>
      <w:r w:rsidRPr="00813430">
        <w:rPr>
          <w:sz w:val="24"/>
          <w:szCs w:val="24"/>
        </w:rPr>
        <w:t xml:space="preserve"> trait psychopathy is associated with both ‘acquisitive’ self-monitoring (characteri</w:t>
      </w:r>
      <w:r w:rsidR="006278E5">
        <w:rPr>
          <w:sz w:val="24"/>
          <w:szCs w:val="24"/>
        </w:rPr>
        <w:t>s</w:t>
      </w:r>
      <w:r w:rsidRPr="00813430">
        <w:rPr>
          <w:sz w:val="24"/>
          <w:szCs w:val="24"/>
        </w:rPr>
        <w:t>ed by an extraverted interpersonal style and desire for social acceptance) and ‘protective’ self-monitoring (an interpersonal style characteri</w:t>
      </w:r>
      <w:r w:rsidR="006278E5">
        <w:rPr>
          <w:sz w:val="24"/>
          <w:szCs w:val="24"/>
        </w:rPr>
        <w:t>s</w:t>
      </w:r>
      <w:r w:rsidRPr="00813430">
        <w:rPr>
          <w:sz w:val="24"/>
          <w:szCs w:val="24"/>
        </w:rPr>
        <w:t xml:space="preserve">ed by fear of social rejection). The author speculates that Factor 1 may be linked to acquisitive self-monitoring, while protective self-monitoring may correspond to Factor 2. In this study, trait psychopathy was also associated with interpersonal perceptiveness. </w:t>
      </w:r>
      <w:r>
        <w:rPr>
          <w:sz w:val="24"/>
          <w:szCs w:val="24"/>
        </w:rPr>
        <w:t>Thus,</w:t>
      </w:r>
      <w:r w:rsidRPr="00813430">
        <w:rPr>
          <w:sz w:val="24"/>
          <w:szCs w:val="24"/>
        </w:rPr>
        <w:t xml:space="preserve"> individuals who score high on trait psychopathy may be adept at perceiving others’ reactions and adjusting their own interpersonal behaviour in order to maximi</w:t>
      </w:r>
      <w:r w:rsidR="006278E5">
        <w:rPr>
          <w:sz w:val="24"/>
          <w:szCs w:val="24"/>
        </w:rPr>
        <w:t>s</w:t>
      </w:r>
      <w:r w:rsidRPr="00813430">
        <w:rPr>
          <w:sz w:val="24"/>
          <w:szCs w:val="24"/>
        </w:rPr>
        <w:t>e success at interpersonal manipulation</w:t>
      </w:r>
      <w:r>
        <w:rPr>
          <w:sz w:val="24"/>
          <w:szCs w:val="24"/>
        </w:rPr>
        <w:t xml:space="preserve"> (Rauthmann, 2011)</w:t>
      </w:r>
      <w:r w:rsidRPr="00813430">
        <w:rPr>
          <w:sz w:val="24"/>
          <w:szCs w:val="24"/>
        </w:rPr>
        <w:t xml:space="preserve">. This assertion was supported by the results of Fix and Fix (2015). In their </w:t>
      </w:r>
      <w:r>
        <w:rPr>
          <w:sz w:val="24"/>
          <w:szCs w:val="24"/>
        </w:rPr>
        <w:t>study, undergraduate students</w:t>
      </w:r>
      <w:r w:rsidRPr="00813430">
        <w:rPr>
          <w:sz w:val="24"/>
          <w:szCs w:val="24"/>
        </w:rPr>
        <w:t xml:space="preserve"> who scored higher on trait psychopathy reported lower levels of care for others and emotional understanding, but higher levels of interpersonal functioning. The authors conclude that interpersonal style may differentiate between so-called ‘successful’ and ‘unsuccessful’ psychopaths, whereby ‘successful psychopaths’ possess a heightened understanding of interpersonal relations.</w:t>
      </w:r>
    </w:p>
    <w:p w14:paraId="65469A8C" w14:textId="5F2FCA8A" w:rsidR="006D4DE1" w:rsidRDefault="006D396F" w:rsidP="006D4DE1">
      <w:pPr>
        <w:spacing w:after="0" w:line="480" w:lineRule="auto"/>
        <w:ind w:firstLine="720"/>
        <w:rPr>
          <w:sz w:val="24"/>
          <w:szCs w:val="24"/>
        </w:rPr>
      </w:pPr>
      <w:r>
        <w:rPr>
          <w:b/>
          <w:i/>
          <w:sz w:val="24"/>
          <w:szCs w:val="24"/>
        </w:rPr>
        <w:t xml:space="preserve">Theme 2: </w:t>
      </w:r>
      <w:r w:rsidR="006D4DE1">
        <w:rPr>
          <w:b/>
          <w:i/>
          <w:sz w:val="24"/>
          <w:szCs w:val="24"/>
        </w:rPr>
        <w:t xml:space="preserve">Interpersonal </w:t>
      </w:r>
      <w:r w:rsidR="001C6360">
        <w:rPr>
          <w:b/>
          <w:i/>
          <w:sz w:val="24"/>
          <w:szCs w:val="24"/>
        </w:rPr>
        <w:t>r</w:t>
      </w:r>
      <w:r w:rsidR="006D4DE1">
        <w:rPr>
          <w:b/>
          <w:i/>
          <w:sz w:val="24"/>
          <w:szCs w:val="24"/>
        </w:rPr>
        <w:t xml:space="preserve">elationships. </w:t>
      </w:r>
      <w:r>
        <w:rPr>
          <w:sz w:val="24"/>
          <w:szCs w:val="24"/>
        </w:rPr>
        <w:t>These</w:t>
      </w:r>
      <w:r w:rsidR="006D4DE1">
        <w:rPr>
          <w:sz w:val="24"/>
          <w:szCs w:val="24"/>
        </w:rPr>
        <w:t xml:space="preserve"> studies examined the nature and quality of psychopathic individual’s interpersonal relationships in regards to attachment styles. Christian, Sellbom, and Wilkinson (2017) found that Factor 2 was associated with anxious attachment, while Factor 1 was associated with avoidant attachment. They concluded that the interpersonal relationships of individuals who score high on Factor 2 are likely to be characteri</w:t>
      </w:r>
      <w:r w:rsidR="006278E5">
        <w:rPr>
          <w:sz w:val="24"/>
          <w:szCs w:val="24"/>
        </w:rPr>
        <w:t>s</w:t>
      </w:r>
      <w:r w:rsidR="006D4DE1">
        <w:rPr>
          <w:sz w:val="24"/>
          <w:szCs w:val="24"/>
        </w:rPr>
        <w:t xml:space="preserve">ed by fear of rejection, boundary problems, and demanding behaviour. In contrast, the relationships of individuals who score high on Factor 1 are more likely to be characterised by dismissiveness, cynicism, and intimacy avoidance. </w:t>
      </w:r>
      <w:r w:rsidR="003C325A">
        <w:rPr>
          <w:sz w:val="24"/>
          <w:szCs w:val="24"/>
        </w:rPr>
        <w:t>Similarly,</w:t>
      </w:r>
      <w:r w:rsidR="006D4DE1">
        <w:rPr>
          <w:sz w:val="24"/>
          <w:szCs w:val="24"/>
        </w:rPr>
        <w:t xml:space="preserve"> Brewer and colleagues (2018) discovered that those who scored high on Factor 1 were less likely to desire close personal relationships, less likely to find them personally rewarding, and more likely to prefer non-exclusive relationships. Like Christian et al. (2017), these authors found that high Factor 2 scores predicted attachment anxiety in romantic relationships. However, in this study, both Factors of trait psychopathy predicted attachment avoidance.</w:t>
      </w:r>
    </w:p>
    <w:p w14:paraId="4DFA963C" w14:textId="67046F9F" w:rsidR="004A0657" w:rsidRDefault="006D4DE1" w:rsidP="003C325A">
      <w:pPr>
        <w:spacing w:after="0" w:line="480" w:lineRule="auto"/>
        <w:ind w:firstLine="720"/>
        <w:rPr>
          <w:sz w:val="24"/>
          <w:szCs w:val="24"/>
        </w:rPr>
      </w:pPr>
      <w:r>
        <w:rPr>
          <w:sz w:val="24"/>
          <w:szCs w:val="24"/>
        </w:rPr>
        <w:t>A series of three studies (Kardum, Hudek-</w:t>
      </w:r>
      <w:r w:rsidRPr="006079CE">
        <w:rPr>
          <w:sz w:val="24"/>
          <w:szCs w:val="24"/>
        </w:rPr>
        <w:t>Knezevic, Gračanin, &amp; Mehic</w:t>
      </w:r>
      <w:r>
        <w:rPr>
          <w:sz w:val="24"/>
          <w:szCs w:val="24"/>
        </w:rPr>
        <w:t xml:space="preserve">, 2017) found that couples who scored high on the interpersonal facet of psychopathy tended to seek out partners similar to themselves in regards to interpersonal manipulation. </w:t>
      </w:r>
      <w:r w:rsidR="003C325A" w:rsidRPr="003C325A">
        <w:rPr>
          <w:sz w:val="24"/>
          <w:szCs w:val="24"/>
        </w:rPr>
        <w:t>High psychopathy scores in male participants predicted negative relationship quality for both the men and women in these relationships. Meanwhile, for females, similarity in terms of interpersonal manipulation scores predicted higher relationship quality. The authors concluded that when women are higher on interpersonal manipulation than their partner, they are likely to exhibit high levels of proactivity and control. As a result, their male partners may perceive them as resourceful and committed to the relationship; thus, divergence in this socially problematic trait may actually contribute to relationship maintenance.</w:t>
      </w:r>
      <w:r w:rsidR="003C325A">
        <w:rPr>
          <w:sz w:val="24"/>
          <w:szCs w:val="24"/>
        </w:rPr>
        <w:t xml:space="preserve"> </w:t>
      </w:r>
    </w:p>
    <w:p w14:paraId="550B5604" w14:textId="1AA1BA6E" w:rsidR="003C325A" w:rsidRPr="006079CE" w:rsidRDefault="004A0657" w:rsidP="00F42121">
      <w:pPr>
        <w:spacing w:after="0" w:line="480" w:lineRule="auto"/>
        <w:ind w:firstLine="720"/>
        <w:rPr>
          <w:sz w:val="24"/>
          <w:szCs w:val="24"/>
        </w:rPr>
      </w:pPr>
      <w:r w:rsidRPr="004A0657">
        <w:rPr>
          <w:sz w:val="24"/>
          <w:szCs w:val="24"/>
        </w:rPr>
        <w:t>Finally, one study (Massar, Winters, Lenz, &amp; Jonason, 2017) found that both Factors of trait psychopathy were associated with jealousy induction, while Factor 2 was uniquely</w:t>
      </w:r>
      <w:r w:rsidR="00F42121">
        <w:rPr>
          <w:sz w:val="24"/>
          <w:szCs w:val="24"/>
        </w:rPr>
        <w:t xml:space="preserve"> </w:t>
      </w:r>
      <w:r w:rsidR="003C325A">
        <w:rPr>
          <w:sz w:val="24"/>
          <w:szCs w:val="24"/>
        </w:rPr>
        <w:t>associated with the experience of jealousy. They concluded that individuals who score high on trait psychopathy respond to relationship threat with maladaptive maintenance strategies: those who score high on Factor 1 induce jealousy in a calculated way in order to get revenge or gain power over their partner, while those who score high on Factor 2 do so in order to repair their self-esteem or ‘test’ their partner, likely as a result of insecurity about themselves or the relationship.</w:t>
      </w:r>
    </w:p>
    <w:p w14:paraId="036613EB" w14:textId="1FF709D8" w:rsidR="006D4DE1" w:rsidRDefault="006D396F" w:rsidP="006D4DE1">
      <w:pPr>
        <w:spacing w:after="0" w:line="480" w:lineRule="auto"/>
        <w:ind w:firstLine="720"/>
        <w:rPr>
          <w:sz w:val="24"/>
          <w:szCs w:val="24"/>
        </w:rPr>
      </w:pPr>
      <w:r>
        <w:rPr>
          <w:b/>
          <w:i/>
          <w:sz w:val="24"/>
          <w:szCs w:val="24"/>
        </w:rPr>
        <w:t xml:space="preserve">Theme 3: </w:t>
      </w:r>
      <w:r w:rsidR="006D4DE1">
        <w:rPr>
          <w:b/>
          <w:i/>
          <w:sz w:val="24"/>
          <w:szCs w:val="24"/>
        </w:rPr>
        <w:t xml:space="preserve">Interpersonal </w:t>
      </w:r>
      <w:r w:rsidR="00CE0B02">
        <w:rPr>
          <w:b/>
          <w:i/>
          <w:sz w:val="24"/>
          <w:szCs w:val="24"/>
        </w:rPr>
        <w:t>b</w:t>
      </w:r>
      <w:r w:rsidR="006D4DE1">
        <w:rPr>
          <w:b/>
          <w:i/>
          <w:sz w:val="24"/>
          <w:szCs w:val="24"/>
        </w:rPr>
        <w:t xml:space="preserve">ehaviour. </w:t>
      </w:r>
      <w:r w:rsidR="006D4DE1">
        <w:rPr>
          <w:sz w:val="24"/>
          <w:szCs w:val="24"/>
        </w:rPr>
        <w:t>In their study of male forensic psychiatric patients, Blackburn and Maybury (1985) found that two psychopathic personality profiles emerged. However, with the exception of extraversion, these two categories fail to correspond with the ‘primary’ vs. ‘secondary’ classification of psychopathy.</w:t>
      </w:r>
    </w:p>
    <w:p w14:paraId="301C92E7" w14:textId="77777777" w:rsidR="00F42121" w:rsidRDefault="006D4DE1" w:rsidP="006D396F">
      <w:pPr>
        <w:spacing w:after="0" w:line="480" w:lineRule="auto"/>
        <w:ind w:firstLine="720"/>
        <w:rPr>
          <w:sz w:val="24"/>
          <w:szCs w:val="24"/>
        </w:rPr>
      </w:pPr>
      <w:r>
        <w:rPr>
          <w:sz w:val="24"/>
          <w:szCs w:val="24"/>
        </w:rPr>
        <w:t xml:space="preserve">A Dutch study (Lobbestael, Arntz, Voncken, &amp; Potegal, 2017) examined psychopathic dominance through two experimental lab tasks. </w:t>
      </w:r>
      <w:r w:rsidR="003C325A">
        <w:rPr>
          <w:sz w:val="24"/>
          <w:szCs w:val="24"/>
        </w:rPr>
        <w:t xml:space="preserve"> </w:t>
      </w:r>
      <w:r w:rsidR="003C325A" w:rsidRPr="003C325A">
        <w:rPr>
          <w:sz w:val="24"/>
          <w:szCs w:val="24"/>
        </w:rPr>
        <w:t xml:space="preserve">They discovered that during an interview-based confrontation, participants who scored high on Factor 1 tended to increase their own dominance display when confronted by a highly dominant interviewer. The authors interpreted this finding through the lens of interpersonal theory, speculating that some participants were mimicking the dominant behaviour of the interviewer. Meanwhile, in a spatial task, participants who scored low on Factor 2 preferred to keep dominant interviewers at a greater distance from themselves than submissive interviewers. Interestingly, participants who scored high on Factor 2 allowed the dominant interviewer to approach more closely, demonstrating a low level of spatial defensiveness. </w:t>
      </w:r>
      <w:r w:rsidR="004A0657" w:rsidRPr="004A0657">
        <w:rPr>
          <w:sz w:val="24"/>
          <w:szCs w:val="24"/>
        </w:rPr>
        <w:t>In line with Jonason et al. (2015), Lobbestael and colleagues propose that this discrepancy regarding Factor 2 scores and spatial behaviour may indicate the adaptive strategy of submissive</w:t>
      </w:r>
      <w:r w:rsidR="004A0657">
        <w:rPr>
          <w:sz w:val="24"/>
          <w:szCs w:val="24"/>
        </w:rPr>
        <w:t xml:space="preserve"> </w:t>
      </w:r>
      <w:r w:rsidR="004A0657" w:rsidRPr="004A0657">
        <w:rPr>
          <w:sz w:val="24"/>
          <w:szCs w:val="24"/>
        </w:rPr>
        <w:t>individuals who minimise threat to oneself by keeping dominant individuals at a distance.</w:t>
      </w:r>
    </w:p>
    <w:p w14:paraId="4E5A6E09" w14:textId="45C19FCF" w:rsidR="006D4DE1" w:rsidRPr="00DA2221" w:rsidRDefault="006D4DE1" w:rsidP="006D396F">
      <w:pPr>
        <w:spacing w:after="0" w:line="480" w:lineRule="auto"/>
        <w:ind w:firstLine="720"/>
        <w:rPr>
          <w:sz w:val="24"/>
          <w:szCs w:val="24"/>
        </w:rPr>
      </w:pPr>
      <w:r>
        <w:rPr>
          <w:sz w:val="24"/>
          <w:szCs w:val="24"/>
        </w:rPr>
        <w:t xml:space="preserve">Reidy and colleagues (2013) discovered that the activation of anger during a hypothetical interpersonal conflict was positively associated with Factor 2 and negatively associated with Factor 1. This finding indicates that the interpersonal aspects of psychopathy decrease one’s risk </w:t>
      </w:r>
      <w:r w:rsidR="003F253E">
        <w:rPr>
          <w:sz w:val="24"/>
          <w:szCs w:val="24"/>
        </w:rPr>
        <w:t>o</w:t>
      </w:r>
      <w:r>
        <w:rPr>
          <w:sz w:val="24"/>
          <w:szCs w:val="24"/>
        </w:rPr>
        <w:t>f becoming angry and reactive during interpersonal conflicts. This conclusion adds nuance to Rauthmann’s (2011) and Fix and Fix’s (2015) assertions about the interpersonal skills of psychopathic individuals, highlighting that these interpersonal skills may be the result of high Factor 1 scores rather than high levels of trait psychopathy overall.</w:t>
      </w:r>
    </w:p>
    <w:p w14:paraId="3CABB176" w14:textId="58595693" w:rsidR="00A80CB8" w:rsidRDefault="006D396F" w:rsidP="009468E6">
      <w:pPr>
        <w:spacing w:after="0" w:line="480" w:lineRule="auto"/>
        <w:ind w:firstLine="720"/>
        <w:rPr>
          <w:sz w:val="24"/>
          <w:szCs w:val="24"/>
        </w:rPr>
      </w:pPr>
      <w:r>
        <w:rPr>
          <w:b/>
          <w:i/>
          <w:sz w:val="24"/>
          <w:szCs w:val="24"/>
        </w:rPr>
        <w:t xml:space="preserve">Theme 4: </w:t>
      </w:r>
      <w:r w:rsidR="00A80CB8">
        <w:rPr>
          <w:b/>
          <w:i/>
          <w:sz w:val="24"/>
          <w:szCs w:val="24"/>
        </w:rPr>
        <w:t xml:space="preserve">Interpersonal aggression. </w:t>
      </w:r>
      <w:r w:rsidR="00A80CB8">
        <w:rPr>
          <w:sz w:val="24"/>
          <w:szCs w:val="24"/>
        </w:rPr>
        <w:t xml:space="preserve">Walsh and colleagues (2009) found that psychopathy was associated with the use of instrumental violence, and this link was strongest for Factor 1. Similarly, Declercq, Willemsen, Audenaert, and Verhaeghe (2012) found that Factor 1 was associated with goal-directed predatory aggression and negatively associated with emotional arousal during the commission of a violent offence. Thus, instrumental violence may be one of the interpersonal manipulation tactics exhibited by psychopathic individuals, and predatory violence may be a function of one’s interpersonal style, which is often characterised by power, control, and egotism in high Factor 1 scorers. </w:t>
      </w:r>
    </w:p>
    <w:p w14:paraId="7858D2A9" w14:textId="6FFAEF32" w:rsidR="00A80CB8" w:rsidRPr="00A80CB8" w:rsidRDefault="009468E6" w:rsidP="009468E6">
      <w:pPr>
        <w:spacing w:after="0" w:line="480" w:lineRule="auto"/>
        <w:ind w:firstLine="720"/>
        <w:rPr>
          <w:sz w:val="24"/>
          <w:szCs w:val="24"/>
        </w:rPr>
      </w:pPr>
      <w:r>
        <w:rPr>
          <w:b/>
          <w:i/>
          <w:sz w:val="24"/>
          <w:szCs w:val="24"/>
        </w:rPr>
        <w:t xml:space="preserve">Theme 5: </w:t>
      </w:r>
      <w:r w:rsidR="00A80CB8">
        <w:rPr>
          <w:b/>
          <w:i/>
          <w:sz w:val="24"/>
          <w:szCs w:val="24"/>
        </w:rPr>
        <w:t xml:space="preserve">Intimate partner violence (IPV). </w:t>
      </w:r>
      <w:r w:rsidR="00A80CB8">
        <w:rPr>
          <w:sz w:val="24"/>
          <w:szCs w:val="24"/>
        </w:rPr>
        <w:t>Mager and colleagues (2014) found that both Factors were linked to higher likelihood of IPV perpetration in their sample, but the association between Factor 1 and IPV was stronger in men. Meanwhile, Iyican and Babcock (2018) found that male Factor 1 score was associated with perpetration of IPV, but these authors found no association between IPV perpetration and male Factor 2 score. Thus, i</w:t>
      </w:r>
      <w:r w:rsidR="00A80CB8" w:rsidRPr="00841362">
        <w:rPr>
          <w:sz w:val="24"/>
          <w:szCs w:val="24"/>
        </w:rPr>
        <w:t>t appears that the relationship between psychopathy and IPV is stronger in men than women</w:t>
      </w:r>
      <w:r w:rsidR="00A80CB8">
        <w:rPr>
          <w:sz w:val="24"/>
          <w:szCs w:val="24"/>
        </w:rPr>
        <w:t>, and Factor 1 plays a unique role. Iyican and Babcock (2018) propose that Factor 1 is more strongly implicated in IPV perpetration than Factor 2 because of the element of interpersonal dominance that is inherent to Factor 1.</w:t>
      </w:r>
    </w:p>
    <w:p w14:paraId="0DC8C07D" w14:textId="77777777" w:rsidR="002F2D5D" w:rsidRDefault="00A80CB8" w:rsidP="00D872E7">
      <w:pPr>
        <w:spacing w:after="0" w:line="480" w:lineRule="auto"/>
        <w:ind w:firstLine="720"/>
        <w:rPr>
          <w:sz w:val="24"/>
          <w:szCs w:val="24"/>
        </w:rPr>
      </w:pPr>
      <w:r>
        <w:rPr>
          <w:rFonts w:ascii="Times New Roman" w:hAnsi="Times New Roman" w:cs="Times New Roman"/>
          <w:sz w:val="24"/>
        </w:rPr>
        <w:t>Overall, t</w:t>
      </w:r>
      <w:r w:rsidR="003B1036" w:rsidRPr="008D1810">
        <w:rPr>
          <w:rFonts w:ascii="Times New Roman" w:hAnsi="Times New Roman" w:cs="Times New Roman"/>
          <w:sz w:val="24"/>
        </w:rPr>
        <w:t>h</w:t>
      </w:r>
      <w:r>
        <w:rPr>
          <w:rFonts w:ascii="Times New Roman" w:hAnsi="Times New Roman" w:cs="Times New Roman"/>
          <w:sz w:val="24"/>
        </w:rPr>
        <w:t>e results of this REA</w:t>
      </w:r>
      <w:r w:rsidR="003B1036" w:rsidRPr="008D1810">
        <w:rPr>
          <w:rFonts w:ascii="Times New Roman" w:hAnsi="Times New Roman" w:cs="Times New Roman"/>
          <w:sz w:val="24"/>
        </w:rPr>
        <w:t xml:space="preserve"> provide support for the conceptuali</w:t>
      </w:r>
      <w:r w:rsidR="003B1036">
        <w:rPr>
          <w:rFonts w:ascii="Times New Roman" w:hAnsi="Times New Roman" w:cs="Times New Roman"/>
          <w:sz w:val="24"/>
        </w:rPr>
        <w:t>s</w:t>
      </w:r>
      <w:r w:rsidR="003B1036" w:rsidRPr="008D1810">
        <w:rPr>
          <w:rFonts w:ascii="Times New Roman" w:hAnsi="Times New Roman" w:cs="Times New Roman"/>
          <w:sz w:val="24"/>
        </w:rPr>
        <w:t>ation of psychopathy within an interpersonal framework and the importance of regarding psychopathy a</w:t>
      </w:r>
      <w:r w:rsidR="003B1036">
        <w:rPr>
          <w:rFonts w:ascii="Times New Roman" w:hAnsi="Times New Roman" w:cs="Times New Roman"/>
          <w:sz w:val="24"/>
        </w:rPr>
        <w:t>s</w:t>
      </w:r>
      <w:r w:rsidR="003B1036" w:rsidRPr="008D1810">
        <w:rPr>
          <w:rFonts w:ascii="Times New Roman" w:hAnsi="Times New Roman" w:cs="Times New Roman"/>
          <w:sz w:val="24"/>
        </w:rPr>
        <w:t xml:space="preserve"> a multi-dimensional construct characteri</w:t>
      </w:r>
      <w:r w:rsidR="006278E5">
        <w:rPr>
          <w:rFonts w:ascii="Times New Roman" w:hAnsi="Times New Roman" w:cs="Times New Roman"/>
          <w:sz w:val="24"/>
        </w:rPr>
        <w:t>s</w:t>
      </w:r>
      <w:r w:rsidR="003B1036" w:rsidRPr="008D1810">
        <w:rPr>
          <w:rFonts w:ascii="Times New Roman" w:hAnsi="Times New Roman" w:cs="Times New Roman"/>
          <w:sz w:val="24"/>
        </w:rPr>
        <w:t>ed by two distinct Factors that manifest in different phenotypic traits and behaviours.</w:t>
      </w:r>
      <w:r>
        <w:rPr>
          <w:rFonts w:ascii="Times New Roman" w:hAnsi="Times New Roman" w:cs="Times New Roman"/>
          <w:sz w:val="24"/>
        </w:rPr>
        <w:t xml:space="preserve"> However, t</w:t>
      </w:r>
      <w:r w:rsidR="008670EE">
        <w:rPr>
          <w:sz w:val="24"/>
          <w:szCs w:val="24"/>
        </w:rPr>
        <w:t>he</w:t>
      </w:r>
      <w:r>
        <w:rPr>
          <w:sz w:val="24"/>
          <w:szCs w:val="24"/>
        </w:rPr>
        <w:t xml:space="preserve"> observed</w:t>
      </w:r>
      <w:r w:rsidR="008670EE">
        <w:rPr>
          <w:sz w:val="24"/>
          <w:szCs w:val="24"/>
        </w:rPr>
        <w:t xml:space="preserve"> patterns in the published literature indicate that there is a need for studies which (a) explore a broader range of interpersonal relationships in psychopathic individuals; (b) focus more on the clinical conceptualisation of the disorder; (c) make use of institutionalised (forensic) samples; and (d) employ implicit, qualitative measures that lack the constraints and potential pitfalls of quantitative self-report scales. Study 2 attempts to address many of these gaps, as it uses genograms to capture a range of interpersonal relationships </w:t>
      </w:r>
      <w:r w:rsidR="00652F02">
        <w:rPr>
          <w:sz w:val="24"/>
          <w:szCs w:val="24"/>
        </w:rPr>
        <w:t>in both institutionalised and noninstitutionalised samples, linking these findings to scores on a measure of clinical psychopathy.</w:t>
      </w:r>
      <w:r w:rsidR="002F2D5D">
        <w:rPr>
          <w:sz w:val="24"/>
          <w:szCs w:val="24"/>
        </w:rPr>
        <w:t xml:space="preserve"> </w:t>
      </w:r>
    </w:p>
    <w:p w14:paraId="47E0D237" w14:textId="28F173BE" w:rsidR="00D50A09" w:rsidRDefault="00D50A09" w:rsidP="00D872E7">
      <w:pPr>
        <w:spacing w:after="0" w:line="480" w:lineRule="auto"/>
        <w:ind w:firstLine="720"/>
        <w:rPr>
          <w:sz w:val="24"/>
          <w:szCs w:val="24"/>
        </w:rPr>
      </w:pPr>
      <w:r>
        <w:rPr>
          <w:sz w:val="24"/>
          <w:szCs w:val="24"/>
        </w:rPr>
        <w:t xml:space="preserve">On the basis of insight gleaned from this REA, additional predictions were formulated for Study 2. </w:t>
      </w:r>
      <w:r w:rsidR="00D14954">
        <w:rPr>
          <w:sz w:val="24"/>
          <w:szCs w:val="24"/>
        </w:rPr>
        <w:t>I</w:t>
      </w:r>
      <w:r>
        <w:rPr>
          <w:sz w:val="24"/>
          <w:szCs w:val="24"/>
        </w:rPr>
        <w:t xml:space="preserve">t </w:t>
      </w:r>
      <w:r w:rsidR="00D14954">
        <w:rPr>
          <w:sz w:val="24"/>
          <w:szCs w:val="24"/>
        </w:rPr>
        <w:t>was</w:t>
      </w:r>
      <w:r>
        <w:rPr>
          <w:sz w:val="24"/>
          <w:szCs w:val="24"/>
        </w:rPr>
        <w:t xml:space="preserve"> </w:t>
      </w:r>
      <w:r w:rsidRPr="00D14954">
        <w:rPr>
          <w:sz w:val="24"/>
          <w:szCs w:val="24"/>
        </w:rPr>
        <w:t>anticipated that</w:t>
      </w:r>
      <w:r w:rsidR="00D872E7" w:rsidRPr="00D14954">
        <w:rPr>
          <w:sz w:val="24"/>
          <w:szCs w:val="24"/>
        </w:rPr>
        <w:t xml:space="preserve">, for both patients and students, increased Factor 1 scores would predict </w:t>
      </w:r>
      <w:r w:rsidRPr="00D14954">
        <w:rPr>
          <w:sz w:val="24"/>
          <w:szCs w:val="24"/>
        </w:rPr>
        <w:t>fewer</w:t>
      </w:r>
      <w:r w:rsidR="00D872E7" w:rsidRPr="00D14954">
        <w:rPr>
          <w:sz w:val="24"/>
          <w:szCs w:val="24"/>
        </w:rPr>
        <w:t xml:space="preserve"> intimate relationships</w:t>
      </w:r>
      <w:r w:rsidRPr="00D14954">
        <w:rPr>
          <w:sz w:val="24"/>
          <w:szCs w:val="24"/>
        </w:rPr>
        <w:t xml:space="preserve"> (Christian et al., 2017) and </w:t>
      </w:r>
      <w:r w:rsidR="00D14954">
        <w:rPr>
          <w:sz w:val="24"/>
          <w:szCs w:val="24"/>
        </w:rPr>
        <w:t xml:space="preserve">fewer </w:t>
      </w:r>
      <w:r w:rsidRPr="00D14954">
        <w:rPr>
          <w:sz w:val="24"/>
          <w:szCs w:val="24"/>
        </w:rPr>
        <w:t>close relationships (Brewer et al., 2018)</w:t>
      </w:r>
      <w:r w:rsidR="00D872E7" w:rsidRPr="00D14954">
        <w:rPr>
          <w:sz w:val="24"/>
          <w:szCs w:val="24"/>
        </w:rPr>
        <w:t xml:space="preserve">. </w:t>
      </w:r>
      <w:r w:rsidR="00D14954">
        <w:rPr>
          <w:sz w:val="24"/>
          <w:szCs w:val="24"/>
        </w:rPr>
        <w:t>I</w:t>
      </w:r>
      <w:r w:rsidRPr="00D14954">
        <w:rPr>
          <w:sz w:val="24"/>
          <w:szCs w:val="24"/>
        </w:rPr>
        <w:t xml:space="preserve">t </w:t>
      </w:r>
      <w:r w:rsidR="00D14954">
        <w:rPr>
          <w:sz w:val="24"/>
          <w:szCs w:val="24"/>
        </w:rPr>
        <w:t>was further hypothesised that</w:t>
      </w:r>
      <w:r w:rsidRPr="00D14954">
        <w:rPr>
          <w:sz w:val="24"/>
          <w:szCs w:val="24"/>
        </w:rPr>
        <w:t xml:space="preserve"> increased Factor 1 score</w:t>
      </w:r>
      <w:r w:rsidR="00D14954">
        <w:rPr>
          <w:sz w:val="24"/>
          <w:szCs w:val="24"/>
        </w:rPr>
        <w:t>s</w:t>
      </w:r>
      <w:r w:rsidRPr="00D14954">
        <w:rPr>
          <w:sz w:val="24"/>
          <w:szCs w:val="24"/>
        </w:rPr>
        <w:t xml:space="preserve"> w</w:t>
      </w:r>
      <w:r w:rsidR="00D14954">
        <w:rPr>
          <w:sz w:val="24"/>
          <w:szCs w:val="24"/>
        </w:rPr>
        <w:t>ould</w:t>
      </w:r>
      <w:r w:rsidRPr="00D14954">
        <w:rPr>
          <w:sz w:val="24"/>
          <w:szCs w:val="24"/>
        </w:rPr>
        <w:t xml:space="preserve"> predict a greater number of intimate relationships characterised by aggression on behalf of the participant</w:t>
      </w:r>
      <w:r w:rsidR="00D14954" w:rsidRPr="00D14954">
        <w:rPr>
          <w:sz w:val="24"/>
          <w:szCs w:val="24"/>
        </w:rPr>
        <w:t xml:space="preserve"> (</w:t>
      </w:r>
      <w:r w:rsidR="00D14954">
        <w:rPr>
          <w:sz w:val="24"/>
          <w:szCs w:val="24"/>
        </w:rPr>
        <w:t>I</w:t>
      </w:r>
      <w:r w:rsidR="00D14954" w:rsidRPr="00D14954">
        <w:rPr>
          <w:sz w:val="24"/>
          <w:szCs w:val="24"/>
        </w:rPr>
        <w:t>yican &amp; Babcock, 2018; Mager et al., 2014)</w:t>
      </w:r>
      <w:r w:rsidRPr="00D14954">
        <w:rPr>
          <w:sz w:val="24"/>
          <w:szCs w:val="24"/>
        </w:rPr>
        <w:t>, and that this pattern would be found in both patient and student samples.</w:t>
      </w:r>
    </w:p>
    <w:bookmarkEnd w:id="6"/>
    <w:p w14:paraId="1DA386E7" w14:textId="31677406" w:rsidR="00E62AD9" w:rsidRDefault="00C535D1" w:rsidP="00515129">
      <w:pPr>
        <w:spacing w:after="0" w:line="480" w:lineRule="auto"/>
        <w:jc w:val="center"/>
        <w:rPr>
          <w:b/>
          <w:sz w:val="24"/>
          <w:szCs w:val="24"/>
        </w:rPr>
      </w:pPr>
      <w:r>
        <w:rPr>
          <w:b/>
          <w:sz w:val="24"/>
          <w:szCs w:val="24"/>
        </w:rPr>
        <w:t>Study 2</w:t>
      </w:r>
    </w:p>
    <w:p w14:paraId="708B1CC6" w14:textId="186F93C9" w:rsidR="00DC48D5" w:rsidRDefault="00E62AD9" w:rsidP="00263EAF">
      <w:pPr>
        <w:spacing w:after="0" w:line="480" w:lineRule="auto"/>
        <w:rPr>
          <w:b/>
          <w:sz w:val="24"/>
          <w:szCs w:val="24"/>
        </w:rPr>
      </w:pPr>
      <w:r>
        <w:rPr>
          <w:b/>
          <w:sz w:val="24"/>
          <w:szCs w:val="24"/>
        </w:rPr>
        <w:t>Method</w:t>
      </w:r>
    </w:p>
    <w:p w14:paraId="256B5BCD" w14:textId="1BD19CBB" w:rsidR="00DC48D5" w:rsidRPr="006E3187" w:rsidRDefault="00331D25" w:rsidP="00263EAF">
      <w:pPr>
        <w:spacing w:after="0" w:line="480" w:lineRule="auto"/>
        <w:ind w:firstLine="720"/>
        <w:rPr>
          <w:sz w:val="24"/>
          <w:szCs w:val="24"/>
        </w:rPr>
      </w:pPr>
      <w:r>
        <w:rPr>
          <w:b/>
          <w:sz w:val="24"/>
          <w:szCs w:val="24"/>
        </w:rPr>
        <w:t>Participants</w:t>
      </w:r>
      <w:r w:rsidR="00263EAF">
        <w:rPr>
          <w:b/>
          <w:sz w:val="24"/>
          <w:szCs w:val="24"/>
        </w:rPr>
        <w:t xml:space="preserve">. </w:t>
      </w:r>
      <w:r w:rsidR="00BB089D">
        <w:rPr>
          <w:sz w:val="24"/>
          <w:szCs w:val="24"/>
        </w:rPr>
        <w:t xml:space="preserve">Fifty students and 40 </w:t>
      </w:r>
      <w:r w:rsidR="00D82F61">
        <w:rPr>
          <w:sz w:val="24"/>
          <w:szCs w:val="24"/>
        </w:rPr>
        <w:t xml:space="preserve">adult </w:t>
      </w:r>
      <w:r w:rsidR="00BB089D">
        <w:rPr>
          <w:sz w:val="24"/>
          <w:szCs w:val="24"/>
        </w:rPr>
        <w:t>forensic psychiatric patients participated</w:t>
      </w:r>
      <w:r w:rsidR="00630C33">
        <w:rPr>
          <w:sz w:val="24"/>
          <w:szCs w:val="24"/>
        </w:rPr>
        <w:t>, all male</w:t>
      </w:r>
      <w:r w:rsidR="00BB089D">
        <w:rPr>
          <w:sz w:val="24"/>
          <w:szCs w:val="24"/>
        </w:rPr>
        <w:t>. Students were recruited at a university in Northwest England and ranged in age from 18 to 36 years (</w:t>
      </w:r>
      <w:r w:rsidR="00BB089D">
        <w:rPr>
          <w:i/>
          <w:sz w:val="24"/>
          <w:szCs w:val="24"/>
        </w:rPr>
        <w:t>M</w:t>
      </w:r>
      <w:r w:rsidR="00BB089D">
        <w:rPr>
          <w:sz w:val="24"/>
          <w:szCs w:val="24"/>
        </w:rPr>
        <w:t xml:space="preserve"> = 22.64, </w:t>
      </w:r>
      <w:r w:rsidR="00BB089D">
        <w:rPr>
          <w:i/>
          <w:sz w:val="24"/>
          <w:szCs w:val="24"/>
        </w:rPr>
        <w:t>SD</w:t>
      </w:r>
      <w:r w:rsidR="00BB089D">
        <w:rPr>
          <w:sz w:val="24"/>
          <w:szCs w:val="24"/>
        </w:rPr>
        <w:t xml:space="preserve"> = 4.47). </w:t>
      </w:r>
      <w:r w:rsidR="00661C4F">
        <w:rPr>
          <w:sz w:val="24"/>
          <w:szCs w:val="24"/>
        </w:rPr>
        <w:t>The patient sample was</w:t>
      </w:r>
      <w:r w:rsidR="00BB089D">
        <w:rPr>
          <w:sz w:val="24"/>
          <w:szCs w:val="24"/>
        </w:rPr>
        <w:t xml:space="preserve"> recruited </w:t>
      </w:r>
      <w:r w:rsidR="006E3187">
        <w:rPr>
          <w:sz w:val="24"/>
          <w:szCs w:val="24"/>
        </w:rPr>
        <w:t>at</w:t>
      </w:r>
      <w:r w:rsidR="00BB089D">
        <w:rPr>
          <w:sz w:val="24"/>
          <w:szCs w:val="24"/>
        </w:rPr>
        <w:t xml:space="preserve"> a high secure forensic psychiatric hospital in Northwest England. Patients were not approached for recruitment if they resided on a high dependency ward, were in seclusion, or presented with a neurocognitive impairment.</w:t>
      </w:r>
      <w:r w:rsidR="006E3187">
        <w:rPr>
          <w:sz w:val="24"/>
          <w:szCs w:val="24"/>
        </w:rPr>
        <w:t xml:space="preserve"> Sampled patients ranged in age from 22 to 60 years (</w:t>
      </w:r>
      <w:r w:rsidR="006E3187">
        <w:rPr>
          <w:i/>
          <w:sz w:val="24"/>
          <w:szCs w:val="24"/>
        </w:rPr>
        <w:t>M</w:t>
      </w:r>
      <w:r w:rsidR="006E3187">
        <w:rPr>
          <w:sz w:val="24"/>
          <w:szCs w:val="24"/>
        </w:rPr>
        <w:t xml:space="preserve"> = 40.15, </w:t>
      </w:r>
      <w:r w:rsidR="006E3187">
        <w:rPr>
          <w:i/>
          <w:sz w:val="24"/>
          <w:szCs w:val="24"/>
        </w:rPr>
        <w:t>SD</w:t>
      </w:r>
      <w:r w:rsidR="006E3187">
        <w:rPr>
          <w:sz w:val="24"/>
          <w:szCs w:val="24"/>
        </w:rPr>
        <w:t xml:space="preserve"> = 9.96).</w:t>
      </w:r>
    </w:p>
    <w:p w14:paraId="744EBE40" w14:textId="5E487139" w:rsidR="004B58BD" w:rsidRDefault="00331D25" w:rsidP="00B34EF7">
      <w:pPr>
        <w:spacing w:after="0" w:line="480" w:lineRule="auto"/>
        <w:ind w:firstLine="720"/>
        <w:rPr>
          <w:sz w:val="24"/>
          <w:szCs w:val="24"/>
        </w:rPr>
      </w:pPr>
      <w:r>
        <w:rPr>
          <w:b/>
          <w:sz w:val="24"/>
          <w:szCs w:val="24"/>
        </w:rPr>
        <w:t>M</w:t>
      </w:r>
      <w:r w:rsidR="00DC48D5">
        <w:rPr>
          <w:b/>
          <w:sz w:val="24"/>
          <w:szCs w:val="24"/>
        </w:rPr>
        <w:t>aterials</w:t>
      </w:r>
      <w:r w:rsidR="00263EAF">
        <w:rPr>
          <w:b/>
          <w:sz w:val="24"/>
          <w:szCs w:val="24"/>
        </w:rPr>
        <w:t xml:space="preserve">. </w:t>
      </w:r>
      <w:r w:rsidR="00C76C9A" w:rsidRPr="00263EAF">
        <w:rPr>
          <w:b/>
          <w:i/>
          <w:sz w:val="24"/>
          <w:szCs w:val="24"/>
        </w:rPr>
        <w:t xml:space="preserve">Psychopathy Checklist: Screening Version </w:t>
      </w:r>
      <w:r w:rsidR="00C76C9A" w:rsidRPr="00921626">
        <w:rPr>
          <w:sz w:val="24"/>
          <w:szCs w:val="24"/>
        </w:rPr>
        <w:t>(PCL:SV</w:t>
      </w:r>
      <w:r w:rsidR="00921626">
        <w:rPr>
          <w:sz w:val="24"/>
          <w:szCs w:val="24"/>
        </w:rPr>
        <w:t>; Hart</w:t>
      </w:r>
      <w:r w:rsidR="00281C75">
        <w:rPr>
          <w:sz w:val="24"/>
          <w:szCs w:val="24"/>
        </w:rPr>
        <w:t xml:space="preserve"> et al.</w:t>
      </w:r>
      <w:r w:rsidR="00921626">
        <w:rPr>
          <w:sz w:val="24"/>
          <w:szCs w:val="24"/>
        </w:rPr>
        <w:t>, 1995</w:t>
      </w:r>
      <w:r w:rsidR="00C76C9A" w:rsidRPr="00921626">
        <w:rPr>
          <w:sz w:val="24"/>
          <w:szCs w:val="24"/>
        </w:rPr>
        <w:t>).</w:t>
      </w:r>
      <w:r w:rsidR="00C76C9A" w:rsidRPr="00263EAF">
        <w:rPr>
          <w:b/>
          <w:i/>
          <w:sz w:val="24"/>
          <w:szCs w:val="24"/>
        </w:rPr>
        <w:t xml:space="preserve"> </w:t>
      </w:r>
      <w:r w:rsidR="00B90FBD" w:rsidRPr="00B90FBD">
        <w:rPr>
          <w:sz w:val="24"/>
          <w:szCs w:val="24"/>
        </w:rPr>
        <w:t>The PCL:SV is an abbreviated screening version of the Psychopathy Checklist: Revised (PCL-R; Hare, 2003)</w:t>
      </w:r>
      <w:r w:rsidR="00B90FBD">
        <w:rPr>
          <w:sz w:val="24"/>
          <w:szCs w:val="24"/>
        </w:rPr>
        <w:t>.</w:t>
      </w:r>
      <w:r w:rsidR="00B90FBD" w:rsidRPr="00B90FBD">
        <w:rPr>
          <w:sz w:val="24"/>
          <w:szCs w:val="24"/>
        </w:rPr>
        <w:t xml:space="preserve"> </w:t>
      </w:r>
      <w:r w:rsidR="00DC73E4">
        <w:rPr>
          <w:sz w:val="24"/>
          <w:szCs w:val="24"/>
        </w:rPr>
        <w:t>Designed for use in both civi</w:t>
      </w:r>
      <w:r w:rsidR="00661C4F">
        <w:rPr>
          <w:sz w:val="24"/>
          <w:szCs w:val="24"/>
        </w:rPr>
        <w:t>l</w:t>
      </w:r>
      <w:r w:rsidR="00DC73E4">
        <w:rPr>
          <w:sz w:val="24"/>
          <w:szCs w:val="24"/>
        </w:rPr>
        <w:t xml:space="preserve"> and forensic settings, the PCL:SV</w:t>
      </w:r>
      <w:r w:rsidR="00B812E5">
        <w:rPr>
          <w:sz w:val="24"/>
          <w:szCs w:val="24"/>
        </w:rPr>
        <w:t xml:space="preserve"> comprises 12 items</w:t>
      </w:r>
      <w:r w:rsidR="00DC73E4">
        <w:rPr>
          <w:sz w:val="24"/>
          <w:szCs w:val="24"/>
        </w:rPr>
        <w:t xml:space="preserve"> that derive from the PCL-R and capture psychopathy </w:t>
      </w:r>
      <w:r w:rsidR="004B58BD">
        <w:rPr>
          <w:sz w:val="24"/>
          <w:szCs w:val="24"/>
        </w:rPr>
        <w:t xml:space="preserve">in terms of the overall construct as well as </w:t>
      </w:r>
      <w:r w:rsidR="00DC73E4">
        <w:rPr>
          <w:sz w:val="24"/>
          <w:szCs w:val="24"/>
        </w:rPr>
        <w:t xml:space="preserve">Factors 1 and 2 </w:t>
      </w:r>
      <w:r w:rsidR="004B58BD">
        <w:rPr>
          <w:sz w:val="24"/>
          <w:szCs w:val="24"/>
        </w:rPr>
        <w:t>separately</w:t>
      </w:r>
      <w:r w:rsidR="00DC73E4">
        <w:rPr>
          <w:sz w:val="24"/>
          <w:szCs w:val="24"/>
        </w:rPr>
        <w:t>.</w:t>
      </w:r>
      <w:r w:rsidR="00B812E5">
        <w:rPr>
          <w:sz w:val="24"/>
          <w:szCs w:val="24"/>
        </w:rPr>
        <w:t xml:space="preserve"> </w:t>
      </w:r>
      <w:r w:rsidR="00A52E9F">
        <w:rPr>
          <w:sz w:val="24"/>
          <w:szCs w:val="24"/>
        </w:rPr>
        <w:t>Each item is scored on a three-point scale ranging from 0 (does not apply) to 2 (definitely applies). Total s</w:t>
      </w:r>
      <w:r w:rsidR="00B812E5">
        <w:rPr>
          <w:sz w:val="24"/>
          <w:szCs w:val="24"/>
        </w:rPr>
        <w:t xml:space="preserve">cores of 13 and above are said to indicate the possible presence of psychopathy (Hart et al., 1995). </w:t>
      </w:r>
      <w:r w:rsidR="004B58BD">
        <w:rPr>
          <w:sz w:val="24"/>
          <w:szCs w:val="24"/>
        </w:rPr>
        <w:t xml:space="preserve">Initial validations of the PCL:SV across 11 samples yielded acceptable internal consistency for the total scale (mean </w:t>
      </w:r>
      <w:r w:rsidR="004B58BD">
        <w:rPr>
          <w:rFonts w:cstheme="minorHAnsi"/>
          <w:sz w:val="24"/>
          <w:szCs w:val="24"/>
        </w:rPr>
        <w:t>α</w:t>
      </w:r>
      <w:r w:rsidR="004B58BD">
        <w:rPr>
          <w:sz w:val="24"/>
          <w:szCs w:val="24"/>
        </w:rPr>
        <w:t xml:space="preserve"> = .84), Factor 1 subscale (mean </w:t>
      </w:r>
      <w:r w:rsidR="004B58BD" w:rsidRPr="004B58BD">
        <w:rPr>
          <w:sz w:val="24"/>
          <w:szCs w:val="24"/>
        </w:rPr>
        <w:t>α =</w:t>
      </w:r>
      <w:r w:rsidR="004B58BD">
        <w:rPr>
          <w:sz w:val="24"/>
          <w:szCs w:val="24"/>
        </w:rPr>
        <w:t xml:space="preserve"> .81), and Factor 2 subscale (mean </w:t>
      </w:r>
      <w:r w:rsidR="004B58BD" w:rsidRPr="004B58BD">
        <w:rPr>
          <w:sz w:val="24"/>
          <w:szCs w:val="24"/>
        </w:rPr>
        <w:t>α =</w:t>
      </w:r>
      <w:r w:rsidR="004B58BD">
        <w:rPr>
          <w:sz w:val="24"/>
          <w:szCs w:val="24"/>
        </w:rPr>
        <w:t xml:space="preserve"> .75) (Hart et al., 1995). </w:t>
      </w:r>
    </w:p>
    <w:p w14:paraId="5D0121F8" w14:textId="6B778E06" w:rsidR="00902A3B" w:rsidRDefault="006E3187" w:rsidP="00902A3B">
      <w:pPr>
        <w:spacing w:after="0" w:line="480" w:lineRule="auto"/>
        <w:ind w:firstLine="720"/>
        <w:rPr>
          <w:sz w:val="24"/>
          <w:szCs w:val="24"/>
        </w:rPr>
      </w:pPr>
      <w:r w:rsidRPr="00263EAF">
        <w:rPr>
          <w:b/>
          <w:i/>
          <w:sz w:val="24"/>
          <w:szCs w:val="24"/>
        </w:rPr>
        <w:t xml:space="preserve">Affect, Cognitive and Lifestyle Assessment </w:t>
      </w:r>
      <w:r w:rsidRPr="00921626">
        <w:rPr>
          <w:sz w:val="24"/>
          <w:szCs w:val="24"/>
        </w:rPr>
        <w:t>(ACL</w:t>
      </w:r>
      <w:r w:rsidR="00921626">
        <w:rPr>
          <w:sz w:val="24"/>
          <w:szCs w:val="24"/>
        </w:rPr>
        <w:t>; Ireland &amp; Ireland, 201</w:t>
      </w:r>
      <w:r w:rsidR="00661C4F">
        <w:rPr>
          <w:sz w:val="24"/>
          <w:szCs w:val="24"/>
        </w:rPr>
        <w:t>4</w:t>
      </w:r>
      <w:r w:rsidRPr="00921626">
        <w:rPr>
          <w:sz w:val="24"/>
          <w:szCs w:val="24"/>
        </w:rPr>
        <w:t>).</w:t>
      </w:r>
      <w:r>
        <w:rPr>
          <w:b/>
          <w:sz w:val="24"/>
          <w:szCs w:val="24"/>
        </w:rPr>
        <w:t xml:space="preserve"> </w:t>
      </w:r>
      <w:r w:rsidR="00C76C9A">
        <w:rPr>
          <w:sz w:val="24"/>
          <w:szCs w:val="24"/>
        </w:rPr>
        <w:t>The ACL is a</w:t>
      </w:r>
      <w:r w:rsidR="00D50261">
        <w:rPr>
          <w:sz w:val="24"/>
          <w:szCs w:val="24"/>
        </w:rPr>
        <w:t>n integrated measure</w:t>
      </w:r>
      <w:r w:rsidR="00C76C9A">
        <w:rPr>
          <w:sz w:val="24"/>
          <w:szCs w:val="24"/>
        </w:rPr>
        <w:t xml:space="preserve"> that </w:t>
      </w:r>
      <w:r w:rsidR="00D50261">
        <w:rPr>
          <w:sz w:val="24"/>
          <w:szCs w:val="24"/>
        </w:rPr>
        <w:t>was designed to explore in-depth the specific affective, cognitive, and lifestyle functioning challenges that characteri</w:t>
      </w:r>
      <w:r w:rsidR="006278E5">
        <w:rPr>
          <w:sz w:val="24"/>
          <w:szCs w:val="24"/>
        </w:rPr>
        <w:t>s</w:t>
      </w:r>
      <w:r w:rsidR="00D50261">
        <w:rPr>
          <w:sz w:val="24"/>
          <w:szCs w:val="24"/>
        </w:rPr>
        <w:t xml:space="preserve">e psychopathy (Ireland, Ireland, Lewis, Jones, &amp; Keeley, 2016). </w:t>
      </w:r>
      <w:r w:rsidR="00B34EF7">
        <w:rPr>
          <w:sz w:val="24"/>
          <w:szCs w:val="24"/>
        </w:rPr>
        <w:t xml:space="preserve">Included within the </w:t>
      </w:r>
      <w:r w:rsidR="00D50261">
        <w:rPr>
          <w:sz w:val="24"/>
          <w:szCs w:val="24"/>
        </w:rPr>
        <w:t xml:space="preserve">ACL </w:t>
      </w:r>
      <w:r w:rsidR="00B34EF7">
        <w:rPr>
          <w:sz w:val="24"/>
          <w:szCs w:val="24"/>
        </w:rPr>
        <w:t xml:space="preserve">is a detailed exploration of relationships </w:t>
      </w:r>
      <w:r w:rsidR="00D50261">
        <w:rPr>
          <w:sz w:val="24"/>
          <w:szCs w:val="24"/>
        </w:rPr>
        <w:t>through the use of genograms</w:t>
      </w:r>
      <w:r w:rsidR="00B34EF7">
        <w:rPr>
          <w:sz w:val="24"/>
          <w:szCs w:val="24"/>
        </w:rPr>
        <w:t>, which was the element considered for the current study</w:t>
      </w:r>
      <w:r w:rsidR="002175CD">
        <w:rPr>
          <w:sz w:val="24"/>
          <w:szCs w:val="24"/>
        </w:rPr>
        <w:t xml:space="preserve">. </w:t>
      </w:r>
      <w:r w:rsidR="00D50A09" w:rsidRPr="00D50A09">
        <w:rPr>
          <w:sz w:val="24"/>
          <w:szCs w:val="24"/>
        </w:rPr>
        <w:t xml:space="preserve">Traditionally used for gaining and processing information pertaining to family genealogy, genograms are clinical tools that can be used by counsellors and therapists (Papadopoulos, Bor, &amp; Stanion, 1997). Genograms can provide detail about the dynamics of a relationship that is richer in meaning than responses on more restrictive quantitative methods. </w:t>
      </w:r>
      <w:r w:rsidR="004A0657">
        <w:rPr>
          <w:sz w:val="24"/>
          <w:szCs w:val="24"/>
        </w:rPr>
        <w:t xml:space="preserve"> </w:t>
      </w:r>
      <w:r w:rsidR="00B34EF7">
        <w:rPr>
          <w:sz w:val="24"/>
          <w:szCs w:val="24"/>
        </w:rPr>
        <w:t>T</w:t>
      </w:r>
      <w:r w:rsidR="004A0657" w:rsidRPr="004A0657">
        <w:rPr>
          <w:sz w:val="24"/>
          <w:szCs w:val="24"/>
        </w:rPr>
        <w:t>h</w:t>
      </w:r>
      <w:r w:rsidR="00B34EF7">
        <w:rPr>
          <w:sz w:val="24"/>
          <w:szCs w:val="24"/>
        </w:rPr>
        <w:t>e</w:t>
      </w:r>
      <w:r w:rsidR="004A0657" w:rsidRPr="004A0657">
        <w:rPr>
          <w:sz w:val="24"/>
          <w:szCs w:val="24"/>
        </w:rPr>
        <w:t xml:space="preserve"> </w:t>
      </w:r>
      <w:r w:rsidR="00B34EF7">
        <w:rPr>
          <w:sz w:val="24"/>
          <w:szCs w:val="24"/>
        </w:rPr>
        <w:t xml:space="preserve">current </w:t>
      </w:r>
      <w:r w:rsidR="004A0657" w:rsidRPr="004A0657">
        <w:rPr>
          <w:sz w:val="24"/>
          <w:szCs w:val="24"/>
        </w:rPr>
        <w:t xml:space="preserve">study is the first to capitalise on this implicit approach </w:t>
      </w:r>
      <w:r w:rsidR="00B34EF7">
        <w:rPr>
          <w:sz w:val="24"/>
          <w:szCs w:val="24"/>
        </w:rPr>
        <w:t>to</w:t>
      </w:r>
      <w:r w:rsidR="004A0657" w:rsidRPr="004A0657">
        <w:rPr>
          <w:sz w:val="24"/>
          <w:szCs w:val="24"/>
        </w:rPr>
        <w:t xml:space="preserve"> provide insight into how psychopathic individuals perceive their own relationships.</w:t>
      </w:r>
    </w:p>
    <w:p w14:paraId="55E3409D" w14:textId="238ABB7C" w:rsidR="00331D25" w:rsidRDefault="00DC48D5" w:rsidP="00331D25">
      <w:pPr>
        <w:spacing w:after="0" w:line="480" w:lineRule="auto"/>
        <w:rPr>
          <w:b/>
          <w:sz w:val="24"/>
          <w:szCs w:val="24"/>
        </w:rPr>
      </w:pPr>
      <w:r>
        <w:rPr>
          <w:b/>
          <w:sz w:val="24"/>
          <w:szCs w:val="24"/>
        </w:rPr>
        <w:t>Procedure</w:t>
      </w:r>
    </w:p>
    <w:p w14:paraId="393B68AD" w14:textId="6B217927" w:rsidR="00EF4FC5" w:rsidRDefault="00434FEB" w:rsidP="007D7338">
      <w:pPr>
        <w:spacing w:after="0" w:line="480" w:lineRule="auto"/>
        <w:rPr>
          <w:sz w:val="24"/>
          <w:szCs w:val="24"/>
        </w:rPr>
      </w:pPr>
      <w:r>
        <w:rPr>
          <w:b/>
          <w:sz w:val="24"/>
          <w:szCs w:val="24"/>
        </w:rPr>
        <w:tab/>
      </w:r>
      <w:r w:rsidRPr="00434FEB">
        <w:rPr>
          <w:sz w:val="24"/>
          <w:szCs w:val="24"/>
        </w:rPr>
        <w:t>Ethical approval was obtained from the University of Central Lancashire, NHS Mersey Care Trust, and Maastricht University</w:t>
      </w:r>
      <w:r>
        <w:rPr>
          <w:sz w:val="24"/>
          <w:szCs w:val="24"/>
        </w:rPr>
        <w:t xml:space="preserve">. </w:t>
      </w:r>
      <w:r w:rsidR="00646120">
        <w:rPr>
          <w:sz w:val="24"/>
          <w:szCs w:val="24"/>
        </w:rPr>
        <w:t xml:space="preserve">For the </w:t>
      </w:r>
      <w:r w:rsidR="00C76C9A">
        <w:rPr>
          <w:sz w:val="24"/>
          <w:szCs w:val="24"/>
        </w:rPr>
        <w:t xml:space="preserve">clinical sample, Responsible Clinicians provided written consent </w:t>
      </w:r>
      <w:r w:rsidR="009E4F60">
        <w:rPr>
          <w:sz w:val="24"/>
          <w:szCs w:val="24"/>
        </w:rPr>
        <w:t>before any patients were</w:t>
      </w:r>
      <w:r w:rsidR="00C76C9A">
        <w:rPr>
          <w:sz w:val="24"/>
          <w:szCs w:val="24"/>
        </w:rPr>
        <w:t xml:space="preserve"> approached for participation in the study. All participants signed written consent form</w:t>
      </w:r>
      <w:r w:rsidR="009E4F60">
        <w:rPr>
          <w:sz w:val="24"/>
          <w:szCs w:val="24"/>
        </w:rPr>
        <w:t>s before participating</w:t>
      </w:r>
      <w:r>
        <w:rPr>
          <w:sz w:val="24"/>
          <w:szCs w:val="24"/>
        </w:rPr>
        <w:t>. Participants completed the ACL assessment and were assessed for</w:t>
      </w:r>
      <w:r w:rsidR="00A52E9F">
        <w:rPr>
          <w:sz w:val="24"/>
          <w:szCs w:val="24"/>
        </w:rPr>
        <w:t xml:space="preserve"> </w:t>
      </w:r>
      <w:r>
        <w:rPr>
          <w:sz w:val="24"/>
          <w:szCs w:val="24"/>
        </w:rPr>
        <w:t>psychopathy using the PCL:SV</w:t>
      </w:r>
      <w:r w:rsidR="00A52E9F">
        <w:rPr>
          <w:sz w:val="24"/>
          <w:szCs w:val="24"/>
        </w:rPr>
        <w:t xml:space="preserve"> semi-structured interview and, in the case of forensic patients, </w:t>
      </w:r>
      <w:r w:rsidR="008E756E">
        <w:rPr>
          <w:sz w:val="24"/>
          <w:szCs w:val="24"/>
        </w:rPr>
        <w:t xml:space="preserve">a </w:t>
      </w:r>
      <w:r w:rsidR="00A52E9F">
        <w:rPr>
          <w:sz w:val="24"/>
          <w:szCs w:val="24"/>
        </w:rPr>
        <w:t>file review</w:t>
      </w:r>
      <w:r>
        <w:rPr>
          <w:sz w:val="24"/>
          <w:szCs w:val="24"/>
        </w:rPr>
        <w:t>.</w:t>
      </w:r>
      <w:r w:rsidR="00A43679">
        <w:rPr>
          <w:sz w:val="24"/>
          <w:szCs w:val="24"/>
        </w:rPr>
        <w:t xml:space="preserve"> </w:t>
      </w:r>
      <w:r w:rsidR="00A52E9F">
        <w:rPr>
          <w:sz w:val="24"/>
          <w:szCs w:val="24"/>
        </w:rPr>
        <w:t>Following a debriefing</w:t>
      </w:r>
      <w:r w:rsidR="00A43679">
        <w:rPr>
          <w:sz w:val="24"/>
          <w:szCs w:val="24"/>
        </w:rPr>
        <w:t xml:space="preserve">, all participants were paid </w:t>
      </w:r>
      <w:r w:rsidR="00A43679">
        <w:rPr>
          <w:rFonts w:cstheme="minorHAnsi"/>
          <w:sz w:val="24"/>
          <w:szCs w:val="24"/>
        </w:rPr>
        <w:t>£</w:t>
      </w:r>
      <w:r w:rsidR="00A43679">
        <w:rPr>
          <w:sz w:val="24"/>
          <w:szCs w:val="24"/>
        </w:rPr>
        <w:t>10 for their time.</w:t>
      </w:r>
      <w:r>
        <w:rPr>
          <w:sz w:val="24"/>
          <w:szCs w:val="24"/>
        </w:rPr>
        <w:t xml:space="preserve"> </w:t>
      </w:r>
      <w:r w:rsidR="00F17EF1">
        <w:rPr>
          <w:sz w:val="24"/>
          <w:szCs w:val="24"/>
        </w:rPr>
        <w:t xml:space="preserve">The current study used a previously unanalysed component </w:t>
      </w:r>
      <w:r w:rsidR="008E756E">
        <w:rPr>
          <w:sz w:val="24"/>
          <w:szCs w:val="24"/>
        </w:rPr>
        <w:t xml:space="preserve">of the ACL assessments </w:t>
      </w:r>
      <w:r w:rsidR="00F17EF1">
        <w:rPr>
          <w:sz w:val="24"/>
          <w:szCs w:val="24"/>
        </w:rPr>
        <w:t>(</w:t>
      </w:r>
      <w:r w:rsidR="00847958">
        <w:rPr>
          <w:sz w:val="24"/>
          <w:szCs w:val="24"/>
        </w:rPr>
        <w:t xml:space="preserve">pertaining to </w:t>
      </w:r>
      <w:r w:rsidR="00F17EF1">
        <w:rPr>
          <w:sz w:val="24"/>
          <w:szCs w:val="24"/>
        </w:rPr>
        <w:t>relationship</w:t>
      </w:r>
      <w:r w:rsidR="00847958">
        <w:rPr>
          <w:sz w:val="24"/>
          <w:szCs w:val="24"/>
        </w:rPr>
        <w:t>s</w:t>
      </w:r>
      <w:r w:rsidR="001833B2">
        <w:rPr>
          <w:sz w:val="24"/>
          <w:szCs w:val="24"/>
        </w:rPr>
        <w:t xml:space="preserve"> and the genograms</w:t>
      </w:r>
      <w:r w:rsidR="00847958">
        <w:rPr>
          <w:sz w:val="24"/>
          <w:szCs w:val="24"/>
        </w:rPr>
        <w:t>)</w:t>
      </w:r>
      <w:r w:rsidR="00F17EF1">
        <w:rPr>
          <w:sz w:val="24"/>
          <w:szCs w:val="24"/>
        </w:rPr>
        <w:t xml:space="preserve">. Other aspects of the dataset (e.g. </w:t>
      </w:r>
      <w:r w:rsidR="00EF4FC5">
        <w:rPr>
          <w:sz w:val="24"/>
          <w:szCs w:val="24"/>
        </w:rPr>
        <w:t>validation of the ACL</w:t>
      </w:r>
      <w:r w:rsidR="00F17EF1">
        <w:rPr>
          <w:sz w:val="24"/>
          <w:szCs w:val="24"/>
        </w:rPr>
        <w:t>) are published elsewhere</w:t>
      </w:r>
      <w:r w:rsidR="00847958">
        <w:rPr>
          <w:rStyle w:val="FootnoteReference"/>
          <w:sz w:val="24"/>
          <w:szCs w:val="24"/>
        </w:rPr>
        <w:footnoteReference w:id="2"/>
      </w:r>
      <w:r w:rsidR="00F17EF1">
        <w:rPr>
          <w:sz w:val="24"/>
          <w:szCs w:val="24"/>
        </w:rPr>
        <w:t>.</w:t>
      </w:r>
      <w:r w:rsidR="004701AC">
        <w:rPr>
          <w:sz w:val="24"/>
          <w:szCs w:val="24"/>
        </w:rPr>
        <w:t xml:space="preserve"> </w:t>
      </w:r>
      <w:r w:rsidR="00EF4FC5">
        <w:rPr>
          <w:sz w:val="24"/>
          <w:szCs w:val="24"/>
        </w:rPr>
        <w:t xml:space="preserve">In addition to the completed genograms, eight groups of </w:t>
      </w:r>
      <w:r w:rsidR="007D7338">
        <w:rPr>
          <w:sz w:val="24"/>
          <w:szCs w:val="24"/>
        </w:rPr>
        <w:t xml:space="preserve">previously unanalysed ACL interview questions were chosen for </w:t>
      </w:r>
      <w:r w:rsidR="004A0657">
        <w:rPr>
          <w:sz w:val="24"/>
          <w:szCs w:val="24"/>
        </w:rPr>
        <w:t>inclusion</w:t>
      </w:r>
      <w:r w:rsidR="007D7338">
        <w:rPr>
          <w:sz w:val="24"/>
          <w:szCs w:val="24"/>
        </w:rPr>
        <w:t xml:space="preserve"> in this study</w:t>
      </w:r>
      <w:r w:rsidR="007D7338" w:rsidRPr="007D7338">
        <w:rPr>
          <w:sz w:val="24"/>
          <w:szCs w:val="24"/>
        </w:rPr>
        <w:t xml:space="preserve"> on the basis of their link to the </w:t>
      </w:r>
      <w:r w:rsidR="00314A40">
        <w:rPr>
          <w:sz w:val="24"/>
          <w:szCs w:val="24"/>
        </w:rPr>
        <w:t>research findings of the literature analysed in Study 1</w:t>
      </w:r>
      <w:r w:rsidR="001833B2">
        <w:rPr>
          <w:sz w:val="24"/>
          <w:szCs w:val="24"/>
        </w:rPr>
        <w:t xml:space="preserve">. These </w:t>
      </w:r>
      <w:r w:rsidR="00EF4FC5">
        <w:rPr>
          <w:sz w:val="24"/>
          <w:szCs w:val="24"/>
        </w:rPr>
        <w:t xml:space="preserve">items were: 1.) </w:t>
      </w:r>
      <w:r w:rsidR="00EF4FC5" w:rsidRPr="00EF4FC5">
        <w:rPr>
          <w:sz w:val="24"/>
          <w:szCs w:val="24"/>
        </w:rPr>
        <w:t>How would you describe emotions? What do emotions mean to you?</w:t>
      </w:r>
      <w:r w:rsidR="00EF4FC5">
        <w:rPr>
          <w:sz w:val="24"/>
          <w:szCs w:val="24"/>
        </w:rPr>
        <w:t xml:space="preserve"> 2.) </w:t>
      </w:r>
      <w:r w:rsidR="00EF4FC5" w:rsidRPr="00EF4FC5">
        <w:rPr>
          <w:sz w:val="24"/>
          <w:szCs w:val="24"/>
        </w:rPr>
        <w:t xml:space="preserve">What is a positive emotion? List </w:t>
      </w:r>
      <w:r w:rsidR="00EF4FC5">
        <w:rPr>
          <w:sz w:val="24"/>
          <w:szCs w:val="24"/>
        </w:rPr>
        <w:t xml:space="preserve">some </w:t>
      </w:r>
      <w:r w:rsidR="00EF4FC5" w:rsidRPr="00EF4FC5">
        <w:rPr>
          <w:sz w:val="24"/>
          <w:szCs w:val="24"/>
        </w:rPr>
        <w:t>examples</w:t>
      </w:r>
      <w:r w:rsidR="00EF4FC5">
        <w:rPr>
          <w:sz w:val="24"/>
          <w:szCs w:val="24"/>
        </w:rPr>
        <w:t xml:space="preserve">; 3.) </w:t>
      </w:r>
      <w:r w:rsidR="00EF4FC5" w:rsidRPr="00EF4FC5">
        <w:rPr>
          <w:sz w:val="24"/>
          <w:szCs w:val="24"/>
        </w:rPr>
        <w:t>What is a negative emotion? List some examples</w:t>
      </w:r>
      <w:r w:rsidR="00EF4FC5">
        <w:rPr>
          <w:sz w:val="24"/>
          <w:szCs w:val="24"/>
        </w:rPr>
        <w:t xml:space="preserve">; 4.) </w:t>
      </w:r>
      <w:r w:rsidR="00EF4FC5" w:rsidRPr="00EF4FC5">
        <w:rPr>
          <w:sz w:val="24"/>
          <w:szCs w:val="24"/>
        </w:rPr>
        <w:t>How easy do you find it to take advantage of or to get ‘one over’ on someone? Give an example of when you have done this. If you have never taken advantage of someone, what stopped you?</w:t>
      </w:r>
      <w:r w:rsidR="00EF4FC5">
        <w:rPr>
          <w:sz w:val="24"/>
          <w:szCs w:val="24"/>
        </w:rPr>
        <w:t xml:space="preserve"> 5.) </w:t>
      </w:r>
      <w:r w:rsidR="00EF4FC5" w:rsidRPr="00EF4FC5">
        <w:rPr>
          <w:sz w:val="24"/>
          <w:szCs w:val="24"/>
        </w:rPr>
        <w:t xml:space="preserve">When you lose your temper, how do you tend to react? How often do you lose your temper? </w:t>
      </w:r>
      <w:r w:rsidR="00EF4FC5">
        <w:rPr>
          <w:sz w:val="24"/>
          <w:szCs w:val="24"/>
        </w:rPr>
        <w:t>w</w:t>
      </w:r>
      <w:r w:rsidR="00EF4FC5" w:rsidRPr="00EF4FC5">
        <w:rPr>
          <w:sz w:val="24"/>
          <w:szCs w:val="24"/>
        </w:rPr>
        <w:t>hat would others say?</w:t>
      </w:r>
      <w:r w:rsidR="00EF4FC5">
        <w:rPr>
          <w:sz w:val="24"/>
          <w:szCs w:val="24"/>
        </w:rPr>
        <w:t xml:space="preserve"> 6.) </w:t>
      </w:r>
      <w:r w:rsidR="00EF4FC5" w:rsidRPr="00EF4FC5">
        <w:rPr>
          <w:sz w:val="24"/>
          <w:szCs w:val="24"/>
        </w:rPr>
        <w:t>The term ‘survival of the fittest’ describes the importance of securing your survival against all odds, no matter what the cost to others. To what extent do you agree with this? What situations may it apply to?</w:t>
      </w:r>
      <w:r w:rsidR="00EF4FC5">
        <w:rPr>
          <w:sz w:val="24"/>
          <w:szCs w:val="24"/>
        </w:rPr>
        <w:t xml:space="preserve"> 7.) </w:t>
      </w:r>
      <w:r w:rsidR="00EF4FC5" w:rsidRPr="00EF4FC5">
        <w:rPr>
          <w:sz w:val="24"/>
          <w:szCs w:val="24"/>
        </w:rPr>
        <w:t>How would you describe your relationships with others? (e.g. friends, family, work colleagues)</w:t>
      </w:r>
      <w:r w:rsidR="00EF4FC5">
        <w:rPr>
          <w:sz w:val="24"/>
          <w:szCs w:val="24"/>
        </w:rPr>
        <w:t xml:space="preserve">; 8.) </w:t>
      </w:r>
      <w:r w:rsidR="00EF4FC5" w:rsidRPr="00EF4FC5">
        <w:rPr>
          <w:sz w:val="24"/>
          <w:szCs w:val="24"/>
        </w:rPr>
        <w:t>Who are the most important people in your life at the moment and why?</w:t>
      </w:r>
      <w:r w:rsidR="00EF4FC5">
        <w:rPr>
          <w:sz w:val="24"/>
          <w:szCs w:val="24"/>
        </w:rPr>
        <w:t xml:space="preserve"> </w:t>
      </w:r>
    </w:p>
    <w:p w14:paraId="3DAB06FB" w14:textId="368C2385" w:rsidR="00F17EF1" w:rsidRDefault="001833B2" w:rsidP="00EF4FC5">
      <w:pPr>
        <w:spacing w:after="0" w:line="480" w:lineRule="auto"/>
        <w:ind w:firstLine="720"/>
        <w:rPr>
          <w:sz w:val="24"/>
          <w:szCs w:val="24"/>
        </w:rPr>
      </w:pPr>
      <w:r>
        <w:rPr>
          <w:sz w:val="24"/>
          <w:szCs w:val="24"/>
        </w:rPr>
        <w:t>R</w:t>
      </w:r>
      <w:r w:rsidR="007D7338" w:rsidRPr="007D7338">
        <w:rPr>
          <w:sz w:val="24"/>
          <w:szCs w:val="24"/>
        </w:rPr>
        <w:t xml:space="preserve">esponses were </w:t>
      </w:r>
      <w:r w:rsidR="00314A40">
        <w:rPr>
          <w:sz w:val="24"/>
          <w:szCs w:val="24"/>
        </w:rPr>
        <w:t xml:space="preserve">recorded </w:t>
      </w:r>
      <w:r w:rsidR="007D7338" w:rsidRPr="007D7338">
        <w:rPr>
          <w:sz w:val="24"/>
          <w:szCs w:val="24"/>
        </w:rPr>
        <w:t>in abbreviated</w:t>
      </w:r>
      <w:r w:rsidR="00314A40">
        <w:rPr>
          <w:sz w:val="24"/>
          <w:szCs w:val="24"/>
        </w:rPr>
        <w:t xml:space="preserve"> written</w:t>
      </w:r>
      <w:r>
        <w:rPr>
          <w:sz w:val="24"/>
          <w:szCs w:val="24"/>
        </w:rPr>
        <w:t xml:space="preserve"> form by ML and the first author, RM, </w:t>
      </w:r>
      <w:r w:rsidR="007D7338" w:rsidRPr="007D7338">
        <w:rPr>
          <w:sz w:val="24"/>
          <w:szCs w:val="24"/>
        </w:rPr>
        <w:t xml:space="preserve">transcribed these written responses electronically prior to analysis. </w:t>
      </w:r>
    </w:p>
    <w:p w14:paraId="26D5DCEE" w14:textId="340DB280" w:rsidR="004A0657" w:rsidRDefault="004A0657" w:rsidP="004A0657">
      <w:pPr>
        <w:spacing w:after="0" w:line="480" w:lineRule="auto"/>
        <w:rPr>
          <w:b/>
          <w:sz w:val="24"/>
          <w:szCs w:val="24"/>
        </w:rPr>
      </w:pPr>
      <w:r>
        <w:rPr>
          <w:b/>
          <w:sz w:val="24"/>
          <w:szCs w:val="24"/>
        </w:rPr>
        <w:t>Results</w:t>
      </w:r>
    </w:p>
    <w:p w14:paraId="78B335F7" w14:textId="2CE2574A" w:rsidR="004A0657" w:rsidRDefault="004A0657" w:rsidP="004A0657">
      <w:pPr>
        <w:spacing w:after="0" w:line="480" w:lineRule="auto"/>
        <w:ind w:firstLine="720"/>
        <w:rPr>
          <w:sz w:val="24"/>
          <w:szCs w:val="24"/>
        </w:rPr>
      </w:pPr>
      <w:r w:rsidRPr="00A307D3">
        <w:rPr>
          <w:sz w:val="24"/>
          <w:szCs w:val="24"/>
        </w:rPr>
        <w:t>Psychopathy scores</w:t>
      </w:r>
      <w:r>
        <w:rPr>
          <w:sz w:val="24"/>
          <w:szCs w:val="24"/>
        </w:rPr>
        <w:t xml:space="preserve"> (means and standard deviations)</w:t>
      </w:r>
      <w:r w:rsidRPr="00A307D3">
        <w:rPr>
          <w:sz w:val="24"/>
          <w:szCs w:val="24"/>
        </w:rPr>
        <w:t xml:space="preserve"> for patients and students are provided in </w:t>
      </w:r>
      <w:r w:rsidRPr="0008517C">
        <w:rPr>
          <w:sz w:val="24"/>
          <w:szCs w:val="24"/>
        </w:rPr>
        <w:t xml:space="preserve">Table </w:t>
      </w:r>
      <w:r w:rsidR="00EF4FC5">
        <w:rPr>
          <w:sz w:val="24"/>
          <w:szCs w:val="24"/>
        </w:rPr>
        <w:t>1</w:t>
      </w:r>
      <w:r w:rsidRPr="0008517C">
        <w:rPr>
          <w:sz w:val="24"/>
          <w:szCs w:val="24"/>
        </w:rPr>
        <w:t>.</w:t>
      </w:r>
    </w:p>
    <w:p w14:paraId="7BAA9F36" w14:textId="3C838F46" w:rsidR="00EF4FC5" w:rsidRDefault="00EF4FC5" w:rsidP="007D7338">
      <w:pPr>
        <w:spacing w:after="0" w:line="480" w:lineRule="auto"/>
        <w:rPr>
          <w:sz w:val="24"/>
          <w:szCs w:val="24"/>
        </w:rPr>
      </w:pPr>
      <w:r>
        <w:rPr>
          <w:sz w:val="24"/>
          <w:szCs w:val="24"/>
        </w:rPr>
        <w:t>&lt;INSERT TABLE 1 HERE&gt;</w:t>
      </w:r>
    </w:p>
    <w:p w14:paraId="0EB6B6AF" w14:textId="218F5987" w:rsidR="00B82D24" w:rsidRPr="00B82D24" w:rsidRDefault="004A0657" w:rsidP="00EF4FC5">
      <w:pPr>
        <w:spacing w:after="0" w:line="480" w:lineRule="auto"/>
        <w:ind w:firstLine="720"/>
        <w:rPr>
          <w:sz w:val="24"/>
          <w:szCs w:val="24"/>
        </w:rPr>
      </w:pPr>
      <w:r>
        <w:rPr>
          <w:b/>
          <w:sz w:val="24"/>
          <w:szCs w:val="24"/>
        </w:rPr>
        <w:t xml:space="preserve">PCL:SV scores. </w:t>
      </w:r>
      <w:r w:rsidRPr="00B82D24">
        <w:rPr>
          <w:sz w:val="24"/>
          <w:szCs w:val="24"/>
        </w:rPr>
        <w:t>A one-way Welch ANOVA was conducted to assess whether forensic</w:t>
      </w:r>
      <w:r>
        <w:rPr>
          <w:sz w:val="24"/>
          <w:szCs w:val="24"/>
        </w:rPr>
        <w:t xml:space="preserve"> </w:t>
      </w:r>
      <w:r w:rsidRPr="00A8310B">
        <w:rPr>
          <w:sz w:val="24"/>
          <w:szCs w:val="24"/>
        </w:rPr>
        <w:t xml:space="preserve">psychiatric patients demonstrated significantly higher PCL:SV total scores than students. The </w:t>
      </w:r>
      <w:r w:rsidR="00A8310B" w:rsidRPr="00A8310B">
        <w:rPr>
          <w:sz w:val="24"/>
          <w:szCs w:val="24"/>
        </w:rPr>
        <w:t xml:space="preserve">results of this analysis indicate that patients did score higher on the PCL:SV (M = 14.7, SD = 4.31) than students (M = 2.34, SD = 2.69), and this difference was statistically significant, Welch’s </w:t>
      </w:r>
      <w:r w:rsidR="00A8310B" w:rsidRPr="006120E3">
        <w:rPr>
          <w:i/>
          <w:sz w:val="24"/>
          <w:szCs w:val="24"/>
        </w:rPr>
        <w:t>F</w:t>
      </w:r>
      <w:r w:rsidR="00A8310B" w:rsidRPr="00A8310B">
        <w:rPr>
          <w:sz w:val="24"/>
          <w:szCs w:val="24"/>
        </w:rPr>
        <w:t>(1, 62.321) = 250.71, p &lt; .001. Twenty-eight (70%) of the patients scored above the threshold for possible psychopathy (score of 13 or higher on the PCL:SV); none (0%) of the students met this threshold.</w:t>
      </w:r>
      <w:r w:rsidR="00EF4FC5">
        <w:rPr>
          <w:sz w:val="24"/>
          <w:szCs w:val="24"/>
        </w:rPr>
        <w:t xml:space="preserve"> </w:t>
      </w:r>
      <w:r w:rsidR="00B82D24" w:rsidRPr="00B82D24">
        <w:rPr>
          <w:sz w:val="24"/>
          <w:szCs w:val="24"/>
        </w:rPr>
        <w:t xml:space="preserve">In order to </w:t>
      </w:r>
      <w:r w:rsidR="003A28A9">
        <w:rPr>
          <w:sz w:val="24"/>
          <w:szCs w:val="24"/>
        </w:rPr>
        <w:t>examine</w:t>
      </w:r>
      <w:r w:rsidR="00B82D24" w:rsidRPr="00B82D24">
        <w:rPr>
          <w:sz w:val="24"/>
          <w:szCs w:val="24"/>
        </w:rPr>
        <w:t xml:space="preserve"> differences</w:t>
      </w:r>
      <w:r w:rsidR="00B82D24">
        <w:rPr>
          <w:sz w:val="24"/>
          <w:szCs w:val="24"/>
        </w:rPr>
        <w:t xml:space="preserve"> between the two samples</w:t>
      </w:r>
      <w:r w:rsidR="00B82D24" w:rsidRPr="00B82D24">
        <w:rPr>
          <w:sz w:val="24"/>
          <w:szCs w:val="24"/>
        </w:rPr>
        <w:t xml:space="preserve"> on the PCL:SV subscales (Factor 1 and Factor 2), a one-way multivariate analysis of variance (MANOVA) was conducted. Results of the MANOVA indicate</w:t>
      </w:r>
      <w:r w:rsidR="009C7502">
        <w:rPr>
          <w:sz w:val="24"/>
          <w:szCs w:val="24"/>
        </w:rPr>
        <w:t>d</w:t>
      </w:r>
      <w:r w:rsidR="00B82D24" w:rsidRPr="00B82D24">
        <w:rPr>
          <w:sz w:val="24"/>
          <w:szCs w:val="24"/>
        </w:rPr>
        <w:t xml:space="preserve"> that </w:t>
      </w:r>
      <w:r w:rsidR="00B82D24">
        <w:rPr>
          <w:sz w:val="24"/>
          <w:szCs w:val="24"/>
        </w:rPr>
        <w:t>f</w:t>
      </w:r>
      <w:r w:rsidR="00B82D24" w:rsidRPr="00B82D24">
        <w:rPr>
          <w:sz w:val="24"/>
          <w:szCs w:val="24"/>
        </w:rPr>
        <w:t>orensic psychiatric patients scored significantly higher than students on Factor 1 (</w:t>
      </w:r>
      <w:r w:rsidR="00B82D24" w:rsidRPr="00B82D24">
        <w:rPr>
          <w:i/>
          <w:sz w:val="24"/>
          <w:szCs w:val="24"/>
        </w:rPr>
        <w:t>M</w:t>
      </w:r>
      <w:r w:rsidR="00B82D24" w:rsidRPr="00B82D24">
        <w:rPr>
          <w:sz w:val="24"/>
          <w:szCs w:val="24"/>
        </w:rPr>
        <w:t xml:space="preserve"> = 6.37, </w:t>
      </w:r>
      <w:r w:rsidR="00B82D24" w:rsidRPr="00B82D24">
        <w:rPr>
          <w:i/>
          <w:sz w:val="24"/>
          <w:szCs w:val="24"/>
        </w:rPr>
        <w:t>SD</w:t>
      </w:r>
      <w:r w:rsidR="00B82D24" w:rsidRPr="00B82D24">
        <w:rPr>
          <w:sz w:val="24"/>
          <w:szCs w:val="24"/>
        </w:rPr>
        <w:t xml:space="preserve"> = 2.69 and </w:t>
      </w:r>
      <w:r w:rsidR="00B82D24" w:rsidRPr="00B82D24">
        <w:rPr>
          <w:i/>
          <w:sz w:val="24"/>
          <w:szCs w:val="24"/>
        </w:rPr>
        <w:t>M</w:t>
      </w:r>
      <w:r w:rsidR="00B82D24" w:rsidRPr="00B82D24">
        <w:rPr>
          <w:sz w:val="24"/>
          <w:szCs w:val="24"/>
        </w:rPr>
        <w:t xml:space="preserve"> = 1.12, </w:t>
      </w:r>
      <w:r w:rsidR="00B82D24" w:rsidRPr="00B82D24">
        <w:rPr>
          <w:i/>
          <w:sz w:val="24"/>
          <w:szCs w:val="24"/>
        </w:rPr>
        <w:t xml:space="preserve">SD </w:t>
      </w:r>
      <w:r w:rsidR="00B82D24" w:rsidRPr="00B82D24">
        <w:rPr>
          <w:sz w:val="24"/>
          <w:szCs w:val="24"/>
        </w:rPr>
        <w:t xml:space="preserve">= 1.96, respectively), Pillai’s trace = .78; </w:t>
      </w:r>
      <w:r w:rsidR="00B82D24" w:rsidRPr="00B82D24">
        <w:rPr>
          <w:i/>
          <w:sz w:val="24"/>
          <w:szCs w:val="24"/>
        </w:rPr>
        <w:t>F</w:t>
      </w:r>
      <w:r w:rsidR="00B82D24" w:rsidRPr="00B82D24">
        <w:rPr>
          <w:sz w:val="24"/>
          <w:szCs w:val="24"/>
        </w:rPr>
        <w:t xml:space="preserve">(1, 89) = 115.23, </w:t>
      </w:r>
      <w:r w:rsidR="00B82D24" w:rsidRPr="00B82D24">
        <w:rPr>
          <w:i/>
          <w:sz w:val="24"/>
          <w:szCs w:val="24"/>
        </w:rPr>
        <w:t>p</w:t>
      </w:r>
      <w:r w:rsidR="00B82D24" w:rsidRPr="00B82D24">
        <w:rPr>
          <w:sz w:val="24"/>
          <w:szCs w:val="24"/>
        </w:rPr>
        <w:t xml:space="preserve"> &lt; .001; partial η</w:t>
      </w:r>
      <w:r w:rsidR="00B82D24" w:rsidRPr="003A28A9">
        <w:rPr>
          <w:sz w:val="24"/>
          <w:szCs w:val="24"/>
          <w:vertAlign w:val="superscript"/>
        </w:rPr>
        <w:t>2</w:t>
      </w:r>
      <w:r w:rsidR="00B82D24" w:rsidRPr="00B82D24">
        <w:rPr>
          <w:sz w:val="24"/>
          <w:szCs w:val="24"/>
        </w:rPr>
        <w:t xml:space="preserve"> = .57. Patients also scored significantly higher than students on PCL:SV Factor 2 (</w:t>
      </w:r>
      <w:r w:rsidR="00B82D24" w:rsidRPr="00B82D24">
        <w:rPr>
          <w:i/>
          <w:sz w:val="24"/>
          <w:szCs w:val="24"/>
        </w:rPr>
        <w:t>M</w:t>
      </w:r>
      <w:r w:rsidR="00B82D24" w:rsidRPr="00B82D24">
        <w:rPr>
          <w:sz w:val="24"/>
          <w:szCs w:val="24"/>
        </w:rPr>
        <w:t xml:space="preserve"> = 8.33, </w:t>
      </w:r>
      <w:r w:rsidR="00B82D24" w:rsidRPr="00B82D24">
        <w:rPr>
          <w:i/>
          <w:sz w:val="24"/>
          <w:szCs w:val="24"/>
        </w:rPr>
        <w:t>SD</w:t>
      </w:r>
      <w:r w:rsidR="00B82D24" w:rsidRPr="00B82D24">
        <w:rPr>
          <w:sz w:val="24"/>
          <w:szCs w:val="24"/>
        </w:rPr>
        <w:t xml:space="preserve"> = 2.71 and </w:t>
      </w:r>
      <w:r w:rsidR="00B82D24" w:rsidRPr="00B82D24">
        <w:rPr>
          <w:i/>
          <w:sz w:val="24"/>
          <w:szCs w:val="24"/>
        </w:rPr>
        <w:t>M</w:t>
      </w:r>
      <w:r w:rsidR="00B82D24" w:rsidRPr="00B82D24">
        <w:rPr>
          <w:sz w:val="24"/>
          <w:szCs w:val="24"/>
        </w:rPr>
        <w:t xml:space="preserve"> = 1.24, </w:t>
      </w:r>
      <w:r w:rsidR="00B82D24" w:rsidRPr="00B82D24">
        <w:rPr>
          <w:i/>
          <w:sz w:val="24"/>
          <w:szCs w:val="24"/>
        </w:rPr>
        <w:t>SD</w:t>
      </w:r>
      <w:r w:rsidR="00B82D24" w:rsidRPr="00B82D24">
        <w:rPr>
          <w:sz w:val="24"/>
          <w:szCs w:val="24"/>
        </w:rPr>
        <w:t xml:space="preserve"> = 1.33, respectively), Pillai’s trace = .78; </w:t>
      </w:r>
      <w:r w:rsidR="00B82D24" w:rsidRPr="00B82D24">
        <w:rPr>
          <w:i/>
          <w:sz w:val="24"/>
          <w:szCs w:val="24"/>
        </w:rPr>
        <w:t>F</w:t>
      </w:r>
      <w:r w:rsidR="00B82D24" w:rsidRPr="00B82D24">
        <w:rPr>
          <w:sz w:val="24"/>
          <w:szCs w:val="24"/>
        </w:rPr>
        <w:t xml:space="preserve">(1, 89) = 262.54, </w:t>
      </w:r>
      <w:r w:rsidR="00B82D24" w:rsidRPr="00B82D24">
        <w:rPr>
          <w:i/>
          <w:sz w:val="24"/>
          <w:szCs w:val="24"/>
        </w:rPr>
        <w:t>p</w:t>
      </w:r>
      <w:r w:rsidR="00B82D24" w:rsidRPr="00B82D24">
        <w:rPr>
          <w:sz w:val="24"/>
          <w:szCs w:val="24"/>
        </w:rPr>
        <w:t xml:space="preserve"> &lt; .001; partial η</w:t>
      </w:r>
      <w:r w:rsidR="00B82D24" w:rsidRPr="003A28A9">
        <w:rPr>
          <w:sz w:val="24"/>
          <w:szCs w:val="24"/>
          <w:vertAlign w:val="superscript"/>
        </w:rPr>
        <w:t>2</w:t>
      </w:r>
      <w:r w:rsidR="00B82D24" w:rsidRPr="00B82D24">
        <w:rPr>
          <w:sz w:val="24"/>
          <w:szCs w:val="24"/>
        </w:rPr>
        <w:t xml:space="preserve"> = .75.</w:t>
      </w:r>
    </w:p>
    <w:p w14:paraId="0C659E0A" w14:textId="5A0C017B" w:rsidR="00B82D24" w:rsidRDefault="00B82D24" w:rsidP="00EF4FC5">
      <w:pPr>
        <w:spacing w:after="0" w:line="480" w:lineRule="auto"/>
        <w:ind w:firstLine="720"/>
        <w:rPr>
          <w:sz w:val="24"/>
          <w:szCs w:val="24"/>
        </w:rPr>
      </w:pPr>
      <w:r w:rsidRPr="00B82D24">
        <w:rPr>
          <w:b/>
          <w:sz w:val="24"/>
          <w:szCs w:val="24"/>
        </w:rPr>
        <w:t>Genograms.</w:t>
      </w:r>
      <w:r w:rsidR="003A28A9">
        <w:rPr>
          <w:b/>
          <w:sz w:val="24"/>
          <w:szCs w:val="24"/>
        </w:rPr>
        <w:t xml:space="preserve"> </w:t>
      </w:r>
      <w:r w:rsidRPr="00B82D24">
        <w:rPr>
          <w:sz w:val="24"/>
          <w:szCs w:val="24"/>
        </w:rPr>
        <w:t xml:space="preserve">Genograms from the ACL </w:t>
      </w:r>
      <w:r w:rsidR="003A28A9">
        <w:rPr>
          <w:sz w:val="24"/>
          <w:szCs w:val="24"/>
        </w:rPr>
        <w:t>assessment</w:t>
      </w:r>
      <w:r w:rsidR="00D577F2" w:rsidRPr="0008517C">
        <w:rPr>
          <w:sz w:val="24"/>
          <w:szCs w:val="24"/>
        </w:rPr>
        <w:t xml:space="preserve"> </w:t>
      </w:r>
      <w:r w:rsidRPr="0008517C">
        <w:rPr>
          <w:sz w:val="24"/>
          <w:szCs w:val="24"/>
        </w:rPr>
        <w:t>were</w:t>
      </w:r>
      <w:r w:rsidRPr="00B82D24">
        <w:rPr>
          <w:sz w:val="24"/>
          <w:szCs w:val="24"/>
        </w:rPr>
        <w:t xml:space="preserve"> converted into quantitative data representing the extent and quality of participants’ interpersonal relationships. </w:t>
      </w:r>
      <w:r w:rsidR="00D577F2">
        <w:rPr>
          <w:sz w:val="24"/>
          <w:szCs w:val="24"/>
        </w:rPr>
        <w:t>G</w:t>
      </w:r>
      <w:r w:rsidRPr="00B82D24">
        <w:rPr>
          <w:sz w:val="24"/>
          <w:szCs w:val="24"/>
        </w:rPr>
        <w:t>enogram data were coded according to total number of relationships depicted, the type of relationship (</w:t>
      </w:r>
      <w:r w:rsidR="003A28A9">
        <w:rPr>
          <w:sz w:val="24"/>
          <w:szCs w:val="24"/>
        </w:rPr>
        <w:t>i.e.</w:t>
      </w:r>
      <w:r w:rsidRPr="00B82D24">
        <w:rPr>
          <w:sz w:val="24"/>
          <w:szCs w:val="24"/>
        </w:rPr>
        <w:t xml:space="preserve"> </w:t>
      </w:r>
      <w:r w:rsidR="003A28A9">
        <w:rPr>
          <w:sz w:val="24"/>
          <w:szCs w:val="24"/>
        </w:rPr>
        <w:t>family, intimate partner, friend, or colleague</w:t>
      </w:r>
      <w:r w:rsidRPr="00B82D24">
        <w:rPr>
          <w:sz w:val="24"/>
          <w:szCs w:val="24"/>
        </w:rPr>
        <w:t>), and whether the relationships were labelled as positive (‘close’) or negative (‘distant’, ‘cut-off’, ‘conflictual’, or ‘enmeshed’). Genogram labels also indicated whether relationships involved aggression from the participant, aggression from the other person in the relationship, or both. These data were then analy</w:t>
      </w:r>
      <w:r w:rsidR="00D577F2">
        <w:rPr>
          <w:sz w:val="24"/>
          <w:szCs w:val="24"/>
        </w:rPr>
        <w:t>s</w:t>
      </w:r>
      <w:r w:rsidRPr="00B82D24">
        <w:rPr>
          <w:sz w:val="24"/>
          <w:szCs w:val="24"/>
        </w:rPr>
        <w:t>ed in conjunction with PCL:SV scores. Because one patient</w:t>
      </w:r>
      <w:r w:rsidR="00D577F2">
        <w:rPr>
          <w:sz w:val="24"/>
          <w:szCs w:val="24"/>
        </w:rPr>
        <w:t>’s genogram responses</w:t>
      </w:r>
      <w:r w:rsidRPr="00B82D24">
        <w:rPr>
          <w:sz w:val="24"/>
          <w:szCs w:val="24"/>
        </w:rPr>
        <w:t xml:space="preserve"> represented an extreme univariate outlier</w:t>
      </w:r>
      <w:r w:rsidR="00D577F2">
        <w:rPr>
          <w:sz w:val="24"/>
          <w:szCs w:val="24"/>
        </w:rPr>
        <w:t xml:space="preserve"> by reporting 120 friends</w:t>
      </w:r>
      <w:r w:rsidRPr="00B82D24">
        <w:rPr>
          <w:sz w:val="24"/>
          <w:szCs w:val="24"/>
        </w:rPr>
        <w:t xml:space="preserve">, his data were adjusted to ensure he still represented an extreme response while guarding against a skewed dataset. </w:t>
      </w:r>
      <w:r w:rsidR="00EF769D">
        <w:rPr>
          <w:sz w:val="24"/>
          <w:szCs w:val="24"/>
        </w:rPr>
        <w:t>Mean</w:t>
      </w:r>
      <w:r w:rsidR="00FB2962">
        <w:rPr>
          <w:sz w:val="24"/>
          <w:szCs w:val="24"/>
        </w:rPr>
        <w:t>s and standard deviations for the number of each type of relationship drawn by participants are</w:t>
      </w:r>
      <w:r w:rsidR="00EF769D">
        <w:rPr>
          <w:sz w:val="24"/>
          <w:szCs w:val="24"/>
        </w:rPr>
        <w:t xml:space="preserve"> depicted in </w:t>
      </w:r>
      <w:r w:rsidR="00EF769D" w:rsidRPr="00EE2929">
        <w:rPr>
          <w:sz w:val="24"/>
          <w:szCs w:val="24"/>
        </w:rPr>
        <w:t>Table</w:t>
      </w:r>
      <w:r w:rsidR="00EF4FC5">
        <w:rPr>
          <w:sz w:val="24"/>
          <w:szCs w:val="24"/>
        </w:rPr>
        <w:t xml:space="preserve"> 2.</w:t>
      </w:r>
    </w:p>
    <w:p w14:paraId="03C5402E" w14:textId="77777777" w:rsidR="00EF4FC5" w:rsidRDefault="00EF4FC5" w:rsidP="00EF4FC5">
      <w:pPr>
        <w:spacing w:after="0" w:line="480" w:lineRule="auto"/>
        <w:rPr>
          <w:sz w:val="24"/>
          <w:szCs w:val="24"/>
        </w:rPr>
      </w:pPr>
    </w:p>
    <w:p w14:paraId="19A1A1EE" w14:textId="2B9A82FF" w:rsidR="00EF4FC5" w:rsidRDefault="00EF4FC5" w:rsidP="00EF4FC5">
      <w:pPr>
        <w:spacing w:after="0" w:line="480" w:lineRule="auto"/>
        <w:rPr>
          <w:sz w:val="24"/>
          <w:szCs w:val="24"/>
        </w:rPr>
      </w:pPr>
      <w:r>
        <w:rPr>
          <w:sz w:val="24"/>
          <w:szCs w:val="24"/>
        </w:rPr>
        <w:t>&lt;INSERT TABLE 2 HERE&gt;</w:t>
      </w:r>
    </w:p>
    <w:p w14:paraId="61A041B5" w14:textId="77777777" w:rsidR="00EF4FC5" w:rsidRDefault="00EF4FC5" w:rsidP="00EF4FC5">
      <w:pPr>
        <w:spacing w:after="0" w:line="480" w:lineRule="auto"/>
        <w:rPr>
          <w:sz w:val="24"/>
          <w:szCs w:val="24"/>
        </w:rPr>
      </w:pPr>
    </w:p>
    <w:p w14:paraId="314116E8" w14:textId="77777777" w:rsidR="009C7502" w:rsidRDefault="009C7502" w:rsidP="00EF4FC5">
      <w:pPr>
        <w:spacing w:after="0" w:line="480" w:lineRule="auto"/>
        <w:ind w:firstLine="720"/>
        <w:rPr>
          <w:sz w:val="24"/>
          <w:szCs w:val="24"/>
        </w:rPr>
      </w:pPr>
      <w:r w:rsidRPr="00705EBE">
        <w:rPr>
          <w:sz w:val="24"/>
          <w:szCs w:val="24"/>
        </w:rPr>
        <w:t>A series of linear regressions were conducted to assess whether higher total scores on the PCL:SV predicted a smaller overall number of interpersonal relationships, a smaller number of positive relationships, and a smaller number of negative relationships. Students and patients were examined separately.</w:t>
      </w:r>
      <w:r>
        <w:rPr>
          <w:sz w:val="24"/>
          <w:szCs w:val="24"/>
        </w:rPr>
        <w:t xml:space="preserve"> </w:t>
      </w:r>
    </w:p>
    <w:p w14:paraId="116ADF9B" w14:textId="5A048B58" w:rsidR="00B82D24" w:rsidRPr="00B82D24" w:rsidRDefault="00B82D24" w:rsidP="009C7502">
      <w:pPr>
        <w:spacing w:after="0" w:line="480" w:lineRule="auto"/>
        <w:ind w:firstLine="720"/>
        <w:rPr>
          <w:sz w:val="24"/>
          <w:szCs w:val="24"/>
        </w:rPr>
      </w:pPr>
      <w:r w:rsidRPr="00B82D24">
        <w:rPr>
          <w:sz w:val="24"/>
          <w:szCs w:val="24"/>
        </w:rPr>
        <w:t xml:space="preserve">For the student sample, </w:t>
      </w:r>
      <w:r w:rsidR="006F3D2C">
        <w:rPr>
          <w:sz w:val="24"/>
          <w:szCs w:val="24"/>
        </w:rPr>
        <w:t xml:space="preserve">increased </w:t>
      </w:r>
      <w:r w:rsidRPr="00B82D24">
        <w:rPr>
          <w:sz w:val="24"/>
          <w:szCs w:val="24"/>
        </w:rPr>
        <w:t xml:space="preserve">PCL:SV total score predicted a smaller number of positive relationships, </w:t>
      </w:r>
      <w:r w:rsidRPr="006F3D2C">
        <w:rPr>
          <w:i/>
          <w:sz w:val="24"/>
          <w:szCs w:val="24"/>
        </w:rPr>
        <w:t>F</w:t>
      </w:r>
      <w:r w:rsidRPr="00B82D24">
        <w:rPr>
          <w:sz w:val="24"/>
          <w:szCs w:val="24"/>
        </w:rPr>
        <w:t xml:space="preserve">(1, 48) = 4.92, </w:t>
      </w:r>
      <w:r w:rsidRPr="006F3D2C">
        <w:rPr>
          <w:i/>
          <w:sz w:val="24"/>
          <w:szCs w:val="24"/>
        </w:rPr>
        <w:t>p</w:t>
      </w:r>
      <w:r w:rsidRPr="00B82D24">
        <w:rPr>
          <w:sz w:val="24"/>
          <w:szCs w:val="24"/>
        </w:rPr>
        <w:t xml:space="preserve"> &lt; 0.05; Predictor, </w:t>
      </w:r>
      <w:r w:rsidRPr="006F3D2C">
        <w:rPr>
          <w:i/>
          <w:sz w:val="24"/>
          <w:szCs w:val="24"/>
        </w:rPr>
        <w:t>t</w:t>
      </w:r>
      <w:r w:rsidRPr="00B82D24">
        <w:rPr>
          <w:sz w:val="24"/>
          <w:szCs w:val="24"/>
        </w:rPr>
        <w:t xml:space="preserve"> = -2.22, </w:t>
      </w:r>
      <w:r w:rsidRPr="006F3D2C">
        <w:rPr>
          <w:i/>
          <w:sz w:val="24"/>
          <w:szCs w:val="24"/>
        </w:rPr>
        <w:t>p</w:t>
      </w:r>
      <w:r w:rsidRPr="00B82D24">
        <w:rPr>
          <w:sz w:val="24"/>
          <w:szCs w:val="24"/>
        </w:rPr>
        <w:t xml:space="preserve"> &lt; 0.05, </w:t>
      </w:r>
      <w:r w:rsidRPr="006F3D2C">
        <w:rPr>
          <w:i/>
          <w:sz w:val="24"/>
          <w:szCs w:val="24"/>
        </w:rPr>
        <w:t>B</w:t>
      </w:r>
      <w:r w:rsidRPr="00B82D24">
        <w:rPr>
          <w:sz w:val="24"/>
          <w:szCs w:val="24"/>
        </w:rPr>
        <w:t xml:space="preserve"> = -.37, </w:t>
      </w:r>
      <w:r w:rsidRPr="006F3D2C">
        <w:rPr>
          <w:i/>
          <w:sz w:val="24"/>
          <w:szCs w:val="24"/>
        </w:rPr>
        <w:t>SE</w:t>
      </w:r>
      <w:r w:rsidRPr="00B82D24">
        <w:rPr>
          <w:sz w:val="24"/>
          <w:szCs w:val="24"/>
        </w:rPr>
        <w:t xml:space="preserve"> = .17, β = -.31; predicting 9% of the variance (R</w:t>
      </w:r>
      <w:r w:rsidRPr="006F3D2C">
        <w:rPr>
          <w:sz w:val="24"/>
          <w:szCs w:val="24"/>
          <w:vertAlign w:val="superscript"/>
        </w:rPr>
        <w:t>2</w:t>
      </w:r>
      <w:r w:rsidRPr="00B82D24">
        <w:rPr>
          <w:sz w:val="24"/>
          <w:szCs w:val="24"/>
        </w:rPr>
        <w:t xml:space="preserve"> = .09, Adjusted R</w:t>
      </w:r>
      <w:r w:rsidRPr="006F3D2C">
        <w:rPr>
          <w:sz w:val="24"/>
          <w:szCs w:val="24"/>
          <w:vertAlign w:val="superscript"/>
        </w:rPr>
        <w:t>2</w:t>
      </w:r>
      <w:r w:rsidRPr="00B82D24">
        <w:rPr>
          <w:sz w:val="24"/>
          <w:szCs w:val="24"/>
        </w:rPr>
        <w:t xml:space="preserve"> = .07) and a greater number of negative relationships, </w:t>
      </w:r>
      <w:r w:rsidRPr="006F3D2C">
        <w:rPr>
          <w:i/>
          <w:sz w:val="24"/>
          <w:szCs w:val="24"/>
        </w:rPr>
        <w:t>F</w:t>
      </w:r>
      <w:r w:rsidRPr="00B82D24">
        <w:rPr>
          <w:sz w:val="24"/>
          <w:szCs w:val="24"/>
        </w:rPr>
        <w:t xml:space="preserve">(1, 48) = 9.78, </w:t>
      </w:r>
      <w:r w:rsidRPr="006F3D2C">
        <w:rPr>
          <w:i/>
          <w:sz w:val="24"/>
          <w:szCs w:val="24"/>
        </w:rPr>
        <w:t>p</w:t>
      </w:r>
      <w:r w:rsidRPr="00B82D24">
        <w:rPr>
          <w:sz w:val="24"/>
          <w:szCs w:val="24"/>
        </w:rPr>
        <w:t xml:space="preserve"> &lt; 0.01; Predictor, </w:t>
      </w:r>
      <w:r w:rsidRPr="006F3D2C">
        <w:rPr>
          <w:i/>
          <w:sz w:val="24"/>
          <w:szCs w:val="24"/>
        </w:rPr>
        <w:t>t</w:t>
      </w:r>
      <w:r w:rsidRPr="00B82D24">
        <w:rPr>
          <w:sz w:val="24"/>
          <w:szCs w:val="24"/>
        </w:rPr>
        <w:t xml:space="preserve"> = 3.13, </w:t>
      </w:r>
      <w:r w:rsidRPr="006F3D2C">
        <w:rPr>
          <w:i/>
          <w:sz w:val="24"/>
          <w:szCs w:val="24"/>
        </w:rPr>
        <w:t>p</w:t>
      </w:r>
      <w:r w:rsidRPr="00B82D24">
        <w:rPr>
          <w:sz w:val="24"/>
          <w:szCs w:val="24"/>
        </w:rPr>
        <w:t xml:space="preserve"> &lt; 0.01, </w:t>
      </w:r>
      <w:r w:rsidRPr="006F3D2C">
        <w:rPr>
          <w:i/>
          <w:sz w:val="24"/>
          <w:szCs w:val="24"/>
        </w:rPr>
        <w:t>B</w:t>
      </w:r>
      <w:r w:rsidRPr="00B82D24">
        <w:rPr>
          <w:sz w:val="24"/>
          <w:szCs w:val="24"/>
        </w:rPr>
        <w:t xml:space="preserve"> = .53, </w:t>
      </w:r>
      <w:r w:rsidRPr="006F3D2C">
        <w:rPr>
          <w:i/>
          <w:sz w:val="24"/>
          <w:szCs w:val="24"/>
        </w:rPr>
        <w:t>SE</w:t>
      </w:r>
      <w:r w:rsidRPr="00B82D24">
        <w:rPr>
          <w:sz w:val="24"/>
          <w:szCs w:val="24"/>
        </w:rPr>
        <w:t xml:space="preserve"> = .17, β = .41; predicting 17% of the variance (R</w:t>
      </w:r>
      <w:r w:rsidRPr="006F3D2C">
        <w:rPr>
          <w:sz w:val="24"/>
          <w:szCs w:val="24"/>
          <w:vertAlign w:val="superscript"/>
        </w:rPr>
        <w:t>2</w:t>
      </w:r>
      <w:r w:rsidRPr="00B82D24">
        <w:rPr>
          <w:sz w:val="24"/>
          <w:szCs w:val="24"/>
        </w:rPr>
        <w:t xml:space="preserve"> = .17, Adjusted R</w:t>
      </w:r>
      <w:r w:rsidRPr="006F3D2C">
        <w:rPr>
          <w:sz w:val="24"/>
          <w:szCs w:val="24"/>
          <w:vertAlign w:val="superscript"/>
        </w:rPr>
        <w:t>2</w:t>
      </w:r>
      <w:r w:rsidRPr="00B82D24">
        <w:rPr>
          <w:sz w:val="24"/>
          <w:szCs w:val="24"/>
        </w:rPr>
        <w:t xml:space="preserve"> = .15). However, total psychopathy score failed to predict total number of interpersonal relationships in the student sample, </w:t>
      </w:r>
      <w:r w:rsidRPr="006F3D2C">
        <w:rPr>
          <w:i/>
          <w:sz w:val="24"/>
          <w:szCs w:val="24"/>
        </w:rPr>
        <w:t>F</w:t>
      </w:r>
      <w:r w:rsidRPr="00B82D24">
        <w:rPr>
          <w:sz w:val="24"/>
          <w:szCs w:val="24"/>
        </w:rPr>
        <w:t xml:space="preserve">(1, 48) = 1.08, </w:t>
      </w:r>
      <w:r w:rsidRPr="006F3D2C">
        <w:rPr>
          <w:i/>
          <w:sz w:val="24"/>
          <w:szCs w:val="24"/>
        </w:rPr>
        <w:t>ns</w:t>
      </w:r>
      <w:r w:rsidRPr="00B82D24">
        <w:rPr>
          <w:sz w:val="24"/>
          <w:szCs w:val="24"/>
        </w:rPr>
        <w:t xml:space="preserve">. For the patient sample, </w:t>
      </w:r>
      <w:r w:rsidR="006F3D2C">
        <w:rPr>
          <w:sz w:val="24"/>
          <w:szCs w:val="24"/>
        </w:rPr>
        <w:t xml:space="preserve">increased </w:t>
      </w:r>
      <w:r w:rsidRPr="00B82D24">
        <w:rPr>
          <w:sz w:val="24"/>
          <w:szCs w:val="24"/>
        </w:rPr>
        <w:t xml:space="preserve">PCL:SV total score predicted a smaller number of positive relationships, </w:t>
      </w:r>
      <w:r w:rsidRPr="006F3D2C">
        <w:rPr>
          <w:i/>
          <w:sz w:val="24"/>
          <w:szCs w:val="24"/>
        </w:rPr>
        <w:t>F</w:t>
      </w:r>
      <w:r w:rsidRPr="00B82D24">
        <w:rPr>
          <w:sz w:val="24"/>
          <w:szCs w:val="24"/>
        </w:rPr>
        <w:t xml:space="preserve">(1, 38) = 11.97, </w:t>
      </w:r>
      <w:r w:rsidRPr="006F3D2C">
        <w:rPr>
          <w:i/>
          <w:sz w:val="24"/>
          <w:szCs w:val="24"/>
        </w:rPr>
        <w:t>p</w:t>
      </w:r>
      <w:r w:rsidRPr="00B82D24">
        <w:rPr>
          <w:sz w:val="24"/>
          <w:szCs w:val="24"/>
        </w:rPr>
        <w:t xml:space="preserve"> &lt; 0.001; Predictor, </w:t>
      </w:r>
      <w:r w:rsidRPr="006F3D2C">
        <w:rPr>
          <w:i/>
          <w:sz w:val="24"/>
          <w:szCs w:val="24"/>
        </w:rPr>
        <w:t>t</w:t>
      </w:r>
      <w:r w:rsidRPr="00B82D24">
        <w:rPr>
          <w:sz w:val="24"/>
          <w:szCs w:val="24"/>
        </w:rPr>
        <w:t xml:space="preserve"> = -3.46, </w:t>
      </w:r>
      <w:r w:rsidRPr="006F3D2C">
        <w:rPr>
          <w:i/>
          <w:sz w:val="24"/>
          <w:szCs w:val="24"/>
        </w:rPr>
        <w:t>p</w:t>
      </w:r>
      <w:r w:rsidRPr="00B82D24">
        <w:rPr>
          <w:sz w:val="24"/>
          <w:szCs w:val="24"/>
        </w:rPr>
        <w:t xml:space="preserve"> &lt; 0.001, </w:t>
      </w:r>
      <w:r w:rsidRPr="006F3D2C">
        <w:rPr>
          <w:i/>
          <w:sz w:val="24"/>
          <w:szCs w:val="24"/>
        </w:rPr>
        <w:t>B</w:t>
      </w:r>
      <w:r w:rsidRPr="00B82D24">
        <w:rPr>
          <w:sz w:val="24"/>
          <w:szCs w:val="24"/>
        </w:rPr>
        <w:t xml:space="preserve"> = -.46, </w:t>
      </w:r>
      <w:r w:rsidRPr="006F3D2C">
        <w:rPr>
          <w:i/>
          <w:sz w:val="24"/>
          <w:szCs w:val="24"/>
        </w:rPr>
        <w:t>SE</w:t>
      </w:r>
      <w:r w:rsidRPr="00B82D24">
        <w:rPr>
          <w:sz w:val="24"/>
          <w:szCs w:val="24"/>
        </w:rPr>
        <w:t xml:space="preserve"> = .13, β = -.49; predicting 24% of the variance (R</w:t>
      </w:r>
      <w:r w:rsidRPr="006F3D2C">
        <w:rPr>
          <w:sz w:val="24"/>
          <w:szCs w:val="24"/>
          <w:vertAlign w:val="superscript"/>
        </w:rPr>
        <w:t>2</w:t>
      </w:r>
      <w:r w:rsidRPr="00B82D24">
        <w:rPr>
          <w:sz w:val="24"/>
          <w:szCs w:val="24"/>
        </w:rPr>
        <w:t xml:space="preserve"> = .24, Adjusted R</w:t>
      </w:r>
      <w:r w:rsidRPr="006F3D2C">
        <w:rPr>
          <w:sz w:val="24"/>
          <w:szCs w:val="24"/>
          <w:vertAlign w:val="superscript"/>
        </w:rPr>
        <w:t>2</w:t>
      </w:r>
      <w:r w:rsidRPr="00B82D24">
        <w:rPr>
          <w:sz w:val="24"/>
          <w:szCs w:val="24"/>
        </w:rPr>
        <w:t xml:space="preserve"> = .22). However, PCL:SV total score did not predict total number of interpersonal relationships (</w:t>
      </w:r>
      <w:r w:rsidRPr="006F3D2C">
        <w:rPr>
          <w:i/>
          <w:sz w:val="24"/>
          <w:szCs w:val="24"/>
        </w:rPr>
        <w:t>F</w:t>
      </w:r>
      <w:r w:rsidRPr="00B82D24">
        <w:rPr>
          <w:sz w:val="24"/>
          <w:szCs w:val="24"/>
        </w:rPr>
        <w:t xml:space="preserve">(1, 38) = 3.79, </w:t>
      </w:r>
      <w:r w:rsidRPr="006F3D2C">
        <w:rPr>
          <w:i/>
          <w:sz w:val="24"/>
          <w:szCs w:val="24"/>
        </w:rPr>
        <w:t>ns</w:t>
      </w:r>
      <w:r w:rsidRPr="00B82D24">
        <w:rPr>
          <w:sz w:val="24"/>
          <w:szCs w:val="24"/>
        </w:rPr>
        <w:t>) or number of negative relationships (</w:t>
      </w:r>
      <w:r w:rsidRPr="006F3D2C">
        <w:rPr>
          <w:i/>
          <w:sz w:val="24"/>
          <w:szCs w:val="24"/>
        </w:rPr>
        <w:t>F</w:t>
      </w:r>
      <w:r w:rsidRPr="00B82D24">
        <w:rPr>
          <w:sz w:val="24"/>
          <w:szCs w:val="24"/>
        </w:rPr>
        <w:t xml:space="preserve">(1, 38) = .16, </w:t>
      </w:r>
      <w:r w:rsidRPr="006F3D2C">
        <w:rPr>
          <w:i/>
          <w:sz w:val="24"/>
          <w:szCs w:val="24"/>
        </w:rPr>
        <w:t>ns</w:t>
      </w:r>
      <w:r w:rsidRPr="00B82D24">
        <w:rPr>
          <w:sz w:val="24"/>
          <w:szCs w:val="24"/>
        </w:rPr>
        <w:t>).</w:t>
      </w:r>
    </w:p>
    <w:p w14:paraId="4C10FBF3" w14:textId="09B6ECCA" w:rsidR="00B82D24" w:rsidRPr="00B82D24" w:rsidRDefault="00B82D24" w:rsidP="00B82D24">
      <w:pPr>
        <w:spacing w:after="0" w:line="480" w:lineRule="auto"/>
        <w:ind w:firstLine="720"/>
        <w:rPr>
          <w:sz w:val="24"/>
          <w:szCs w:val="24"/>
        </w:rPr>
      </w:pPr>
      <w:r w:rsidRPr="00B82D24">
        <w:rPr>
          <w:sz w:val="24"/>
          <w:szCs w:val="24"/>
        </w:rPr>
        <w:t xml:space="preserve">A series of multiple regression analyses assessed whether </w:t>
      </w:r>
      <w:r w:rsidR="006F3D2C">
        <w:rPr>
          <w:sz w:val="24"/>
          <w:szCs w:val="24"/>
        </w:rPr>
        <w:t xml:space="preserve">increased </w:t>
      </w:r>
      <w:r w:rsidRPr="00B82D24">
        <w:rPr>
          <w:sz w:val="24"/>
          <w:szCs w:val="24"/>
        </w:rPr>
        <w:t xml:space="preserve">PCL:SV Factor 1 and Factor 2 scores predicted </w:t>
      </w:r>
      <w:r w:rsidR="009C7502">
        <w:rPr>
          <w:sz w:val="24"/>
          <w:szCs w:val="24"/>
        </w:rPr>
        <w:t>a smaller number of</w:t>
      </w:r>
      <w:r w:rsidRPr="00B82D24">
        <w:rPr>
          <w:sz w:val="24"/>
          <w:szCs w:val="24"/>
        </w:rPr>
        <w:t xml:space="preserve"> interpersonal relationships </w:t>
      </w:r>
      <w:r w:rsidR="006F3D2C">
        <w:rPr>
          <w:sz w:val="24"/>
          <w:szCs w:val="24"/>
        </w:rPr>
        <w:t>overall</w:t>
      </w:r>
      <w:r w:rsidRPr="00B82D24">
        <w:rPr>
          <w:sz w:val="24"/>
          <w:szCs w:val="24"/>
        </w:rPr>
        <w:t xml:space="preserve">, positive relationships, and negative relationships. Again, patients and students were examined separately. For the student sample, only the model examining PCL:SV Factors 1 and 2 against number of negative relationships was significant, </w:t>
      </w:r>
      <w:r w:rsidRPr="006F3D2C">
        <w:rPr>
          <w:i/>
          <w:sz w:val="24"/>
          <w:szCs w:val="24"/>
        </w:rPr>
        <w:t>F</w:t>
      </w:r>
      <w:r w:rsidRPr="00B82D24">
        <w:rPr>
          <w:sz w:val="24"/>
          <w:szCs w:val="24"/>
        </w:rPr>
        <w:t xml:space="preserve">(2, 47) = 6.04, </w:t>
      </w:r>
      <w:r w:rsidRPr="006F3D2C">
        <w:rPr>
          <w:i/>
          <w:sz w:val="24"/>
          <w:szCs w:val="24"/>
        </w:rPr>
        <w:t>p</w:t>
      </w:r>
      <w:r w:rsidRPr="00B82D24">
        <w:rPr>
          <w:sz w:val="24"/>
          <w:szCs w:val="24"/>
        </w:rPr>
        <w:t xml:space="preserve"> &lt; 0.01; predicting 20% of the variance (R</w:t>
      </w:r>
      <w:r w:rsidRPr="006F3D2C">
        <w:rPr>
          <w:sz w:val="24"/>
          <w:szCs w:val="24"/>
          <w:vertAlign w:val="superscript"/>
        </w:rPr>
        <w:t>2</w:t>
      </w:r>
      <w:r w:rsidRPr="00B82D24">
        <w:rPr>
          <w:sz w:val="24"/>
          <w:szCs w:val="24"/>
        </w:rPr>
        <w:t xml:space="preserve"> = .2, Adjusted R</w:t>
      </w:r>
      <w:r w:rsidRPr="006F3D2C">
        <w:rPr>
          <w:sz w:val="24"/>
          <w:szCs w:val="24"/>
          <w:vertAlign w:val="superscript"/>
        </w:rPr>
        <w:t>2</w:t>
      </w:r>
      <w:r w:rsidRPr="00B82D24">
        <w:rPr>
          <w:sz w:val="24"/>
          <w:szCs w:val="24"/>
        </w:rPr>
        <w:t xml:space="preserve"> = .17), with </w:t>
      </w:r>
      <w:r w:rsidR="006F3D2C">
        <w:rPr>
          <w:sz w:val="24"/>
          <w:szCs w:val="24"/>
        </w:rPr>
        <w:t xml:space="preserve">higher </w:t>
      </w:r>
      <w:r w:rsidRPr="00B82D24">
        <w:rPr>
          <w:sz w:val="24"/>
          <w:szCs w:val="24"/>
        </w:rPr>
        <w:t>Factor 2</w:t>
      </w:r>
      <w:r w:rsidR="006F3D2C">
        <w:rPr>
          <w:sz w:val="24"/>
          <w:szCs w:val="24"/>
        </w:rPr>
        <w:t xml:space="preserve"> score</w:t>
      </w:r>
      <w:r w:rsidRPr="00B82D24">
        <w:rPr>
          <w:sz w:val="24"/>
          <w:szCs w:val="24"/>
        </w:rPr>
        <w:t xml:space="preserve"> predicting a greater number of negative interpersonal relationships, </w:t>
      </w:r>
      <w:r w:rsidRPr="006F3D2C">
        <w:rPr>
          <w:i/>
          <w:sz w:val="24"/>
          <w:szCs w:val="24"/>
        </w:rPr>
        <w:t>t</w:t>
      </w:r>
      <w:r w:rsidRPr="00B82D24">
        <w:rPr>
          <w:sz w:val="24"/>
          <w:szCs w:val="24"/>
        </w:rPr>
        <w:t xml:space="preserve"> = 2.77, </w:t>
      </w:r>
      <w:r w:rsidRPr="006F3D2C">
        <w:rPr>
          <w:i/>
          <w:sz w:val="24"/>
          <w:szCs w:val="24"/>
        </w:rPr>
        <w:t>p</w:t>
      </w:r>
      <w:r w:rsidRPr="00B82D24">
        <w:rPr>
          <w:sz w:val="24"/>
          <w:szCs w:val="24"/>
        </w:rPr>
        <w:t xml:space="preserve"> &lt; 0.01, </w:t>
      </w:r>
      <w:r w:rsidRPr="006F3D2C">
        <w:rPr>
          <w:i/>
          <w:sz w:val="24"/>
          <w:szCs w:val="24"/>
        </w:rPr>
        <w:t>B</w:t>
      </w:r>
      <w:r w:rsidRPr="00B82D24">
        <w:rPr>
          <w:sz w:val="24"/>
          <w:szCs w:val="24"/>
        </w:rPr>
        <w:t xml:space="preserve"> = .99, </w:t>
      </w:r>
      <w:r w:rsidRPr="006F3D2C">
        <w:rPr>
          <w:i/>
          <w:sz w:val="24"/>
          <w:szCs w:val="24"/>
        </w:rPr>
        <w:t>SE</w:t>
      </w:r>
      <w:r w:rsidRPr="00B82D24">
        <w:rPr>
          <w:sz w:val="24"/>
          <w:szCs w:val="24"/>
        </w:rPr>
        <w:t xml:space="preserve"> = .36, β = .38. </w:t>
      </w:r>
      <w:r w:rsidR="006F3D2C">
        <w:rPr>
          <w:sz w:val="24"/>
          <w:szCs w:val="24"/>
        </w:rPr>
        <w:t xml:space="preserve">The contribution of </w:t>
      </w:r>
      <w:r w:rsidRPr="00B82D24">
        <w:rPr>
          <w:sz w:val="24"/>
          <w:szCs w:val="24"/>
        </w:rPr>
        <w:t>Factor 1</w:t>
      </w:r>
      <w:r w:rsidR="006F3D2C">
        <w:rPr>
          <w:sz w:val="24"/>
          <w:szCs w:val="24"/>
        </w:rPr>
        <w:t xml:space="preserve"> to the model</w:t>
      </w:r>
      <w:r w:rsidRPr="00B82D24">
        <w:rPr>
          <w:sz w:val="24"/>
          <w:szCs w:val="24"/>
        </w:rPr>
        <w:t xml:space="preserve"> was not significant, </w:t>
      </w:r>
      <w:r w:rsidRPr="006F3D2C">
        <w:rPr>
          <w:i/>
          <w:sz w:val="24"/>
          <w:szCs w:val="24"/>
        </w:rPr>
        <w:t>t</w:t>
      </w:r>
      <w:r w:rsidRPr="00B82D24">
        <w:rPr>
          <w:sz w:val="24"/>
          <w:szCs w:val="24"/>
        </w:rPr>
        <w:t xml:space="preserve"> = 1.17, </w:t>
      </w:r>
      <w:r w:rsidRPr="006F3D2C">
        <w:rPr>
          <w:i/>
          <w:sz w:val="24"/>
          <w:szCs w:val="24"/>
        </w:rPr>
        <w:t>ns</w:t>
      </w:r>
      <w:r w:rsidRPr="00B82D24">
        <w:rPr>
          <w:sz w:val="24"/>
          <w:szCs w:val="24"/>
        </w:rPr>
        <w:t xml:space="preserve">. </w:t>
      </w:r>
      <w:r w:rsidR="006F3D2C">
        <w:rPr>
          <w:sz w:val="24"/>
          <w:szCs w:val="24"/>
        </w:rPr>
        <w:t xml:space="preserve">Neither </w:t>
      </w:r>
      <w:r w:rsidRPr="00B82D24">
        <w:rPr>
          <w:sz w:val="24"/>
          <w:szCs w:val="24"/>
        </w:rPr>
        <w:t xml:space="preserve">Factor 1 </w:t>
      </w:r>
      <w:r w:rsidR="006F3D2C">
        <w:rPr>
          <w:sz w:val="24"/>
          <w:szCs w:val="24"/>
        </w:rPr>
        <w:t>nor</w:t>
      </w:r>
      <w:r w:rsidRPr="00B82D24">
        <w:rPr>
          <w:sz w:val="24"/>
          <w:szCs w:val="24"/>
        </w:rPr>
        <w:t xml:space="preserve"> Factor 2 scores predict</w:t>
      </w:r>
      <w:r w:rsidR="006F3D2C">
        <w:rPr>
          <w:sz w:val="24"/>
          <w:szCs w:val="24"/>
        </w:rPr>
        <w:t>ed</w:t>
      </w:r>
      <w:r w:rsidRPr="00B82D24">
        <w:rPr>
          <w:sz w:val="24"/>
          <w:szCs w:val="24"/>
        </w:rPr>
        <w:t xml:space="preserve"> total number of interpersonal relationships (</w:t>
      </w:r>
      <w:r w:rsidRPr="006F3D2C">
        <w:rPr>
          <w:i/>
          <w:sz w:val="24"/>
          <w:szCs w:val="24"/>
        </w:rPr>
        <w:t>F</w:t>
      </w:r>
      <w:r w:rsidRPr="00B82D24">
        <w:rPr>
          <w:sz w:val="24"/>
          <w:szCs w:val="24"/>
        </w:rPr>
        <w:t xml:space="preserve">(2, 47) = 1.54, </w:t>
      </w:r>
      <w:r w:rsidRPr="006F3D2C">
        <w:rPr>
          <w:i/>
          <w:sz w:val="24"/>
          <w:szCs w:val="24"/>
        </w:rPr>
        <w:t>ns</w:t>
      </w:r>
      <w:r w:rsidRPr="00B82D24">
        <w:rPr>
          <w:sz w:val="24"/>
          <w:szCs w:val="24"/>
        </w:rPr>
        <w:t xml:space="preserve">; Factor 1, </w:t>
      </w:r>
      <w:r w:rsidRPr="006F3D2C">
        <w:rPr>
          <w:i/>
          <w:sz w:val="24"/>
          <w:szCs w:val="24"/>
        </w:rPr>
        <w:t>t</w:t>
      </w:r>
      <w:r w:rsidRPr="00B82D24">
        <w:rPr>
          <w:sz w:val="24"/>
          <w:szCs w:val="24"/>
        </w:rPr>
        <w:t xml:space="preserve"> = -.24, </w:t>
      </w:r>
      <w:r w:rsidRPr="006F3D2C">
        <w:rPr>
          <w:i/>
          <w:sz w:val="24"/>
          <w:szCs w:val="24"/>
        </w:rPr>
        <w:t>ns</w:t>
      </w:r>
      <w:r w:rsidRPr="00B82D24">
        <w:rPr>
          <w:sz w:val="24"/>
          <w:szCs w:val="24"/>
        </w:rPr>
        <w:t xml:space="preserve">; Factor 2, </w:t>
      </w:r>
      <w:r w:rsidRPr="006F3D2C">
        <w:rPr>
          <w:i/>
          <w:sz w:val="24"/>
          <w:szCs w:val="24"/>
        </w:rPr>
        <w:t>t</w:t>
      </w:r>
      <w:r w:rsidRPr="00B82D24">
        <w:rPr>
          <w:sz w:val="24"/>
          <w:szCs w:val="24"/>
        </w:rPr>
        <w:t xml:space="preserve"> = 1.73, </w:t>
      </w:r>
      <w:r w:rsidRPr="006F3D2C">
        <w:rPr>
          <w:i/>
          <w:sz w:val="24"/>
          <w:szCs w:val="24"/>
        </w:rPr>
        <w:t>ns</w:t>
      </w:r>
      <w:r w:rsidRPr="00B82D24">
        <w:rPr>
          <w:sz w:val="24"/>
          <w:szCs w:val="24"/>
        </w:rPr>
        <w:t>) or number of positive relationships (</w:t>
      </w:r>
      <w:r w:rsidRPr="006F3D2C">
        <w:rPr>
          <w:i/>
          <w:sz w:val="24"/>
          <w:szCs w:val="24"/>
        </w:rPr>
        <w:t>F</w:t>
      </w:r>
      <w:r w:rsidRPr="00B82D24">
        <w:rPr>
          <w:sz w:val="24"/>
          <w:szCs w:val="24"/>
        </w:rPr>
        <w:t xml:space="preserve">(2, 47) = 2.36, </w:t>
      </w:r>
      <w:r w:rsidRPr="006F3D2C">
        <w:rPr>
          <w:i/>
          <w:sz w:val="24"/>
          <w:szCs w:val="24"/>
        </w:rPr>
        <w:t>ns</w:t>
      </w:r>
      <w:r w:rsidRPr="00B82D24">
        <w:rPr>
          <w:sz w:val="24"/>
          <w:szCs w:val="24"/>
        </w:rPr>
        <w:t xml:space="preserve">; Factor 1, </w:t>
      </w:r>
      <w:r w:rsidRPr="006F3D2C">
        <w:rPr>
          <w:i/>
          <w:sz w:val="24"/>
          <w:szCs w:val="24"/>
        </w:rPr>
        <w:t>t</w:t>
      </w:r>
      <w:r w:rsidRPr="00B82D24">
        <w:rPr>
          <w:sz w:val="24"/>
          <w:szCs w:val="24"/>
        </w:rPr>
        <w:t xml:space="preserve"> = -1.39, </w:t>
      </w:r>
      <w:r w:rsidRPr="006F3D2C">
        <w:rPr>
          <w:i/>
          <w:sz w:val="24"/>
          <w:szCs w:val="24"/>
        </w:rPr>
        <w:t>ns</w:t>
      </w:r>
      <w:r w:rsidRPr="00B82D24">
        <w:rPr>
          <w:sz w:val="24"/>
          <w:szCs w:val="24"/>
        </w:rPr>
        <w:t xml:space="preserve">; Factor 2, </w:t>
      </w:r>
      <w:r w:rsidRPr="006F3D2C">
        <w:rPr>
          <w:i/>
          <w:sz w:val="24"/>
          <w:szCs w:val="24"/>
        </w:rPr>
        <w:t xml:space="preserve">t </w:t>
      </w:r>
      <w:r w:rsidRPr="00B82D24">
        <w:rPr>
          <w:sz w:val="24"/>
          <w:szCs w:val="24"/>
        </w:rPr>
        <w:t xml:space="preserve">= -1.17, </w:t>
      </w:r>
      <w:r w:rsidRPr="006F3D2C">
        <w:rPr>
          <w:i/>
          <w:sz w:val="24"/>
          <w:szCs w:val="24"/>
        </w:rPr>
        <w:t>ns</w:t>
      </w:r>
      <w:r w:rsidRPr="00B82D24">
        <w:rPr>
          <w:sz w:val="24"/>
          <w:szCs w:val="24"/>
        </w:rPr>
        <w:t xml:space="preserve">). For the patient sample, only the model examining </w:t>
      </w:r>
      <w:r w:rsidR="006F3D2C">
        <w:rPr>
          <w:sz w:val="24"/>
          <w:szCs w:val="24"/>
        </w:rPr>
        <w:t xml:space="preserve">increased </w:t>
      </w:r>
      <w:r w:rsidRPr="00B82D24">
        <w:rPr>
          <w:sz w:val="24"/>
          <w:szCs w:val="24"/>
        </w:rPr>
        <w:t>PCL:SV Factor 1 and 2</w:t>
      </w:r>
      <w:r w:rsidR="006F3D2C">
        <w:rPr>
          <w:sz w:val="24"/>
          <w:szCs w:val="24"/>
        </w:rPr>
        <w:t xml:space="preserve"> scores</w:t>
      </w:r>
      <w:r w:rsidRPr="00B82D24">
        <w:rPr>
          <w:sz w:val="24"/>
          <w:szCs w:val="24"/>
        </w:rPr>
        <w:t xml:space="preserve"> against number of positive relationships was significant, </w:t>
      </w:r>
      <w:r w:rsidRPr="006F3D2C">
        <w:rPr>
          <w:i/>
          <w:sz w:val="24"/>
          <w:szCs w:val="24"/>
        </w:rPr>
        <w:t>F</w:t>
      </w:r>
      <w:r w:rsidRPr="00B82D24">
        <w:rPr>
          <w:sz w:val="24"/>
          <w:szCs w:val="24"/>
        </w:rPr>
        <w:t xml:space="preserve">(2, 37) = 6.53, </w:t>
      </w:r>
      <w:r w:rsidRPr="006F3D2C">
        <w:rPr>
          <w:i/>
          <w:sz w:val="24"/>
          <w:szCs w:val="24"/>
        </w:rPr>
        <w:t>p</w:t>
      </w:r>
      <w:r w:rsidRPr="00B82D24">
        <w:rPr>
          <w:sz w:val="24"/>
          <w:szCs w:val="24"/>
        </w:rPr>
        <w:t xml:space="preserve"> &lt; 0.01; predicting 26% of the variance (R</w:t>
      </w:r>
      <w:r w:rsidRPr="006F3D2C">
        <w:rPr>
          <w:sz w:val="24"/>
          <w:szCs w:val="24"/>
          <w:vertAlign w:val="superscript"/>
        </w:rPr>
        <w:t>2</w:t>
      </w:r>
      <w:r w:rsidRPr="00B82D24">
        <w:rPr>
          <w:sz w:val="24"/>
          <w:szCs w:val="24"/>
        </w:rPr>
        <w:t xml:space="preserve"> = .26, Adjusted R</w:t>
      </w:r>
      <w:r w:rsidRPr="006F3D2C">
        <w:rPr>
          <w:sz w:val="24"/>
          <w:szCs w:val="24"/>
          <w:vertAlign w:val="superscript"/>
        </w:rPr>
        <w:t>2</w:t>
      </w:r>
      <w:r w:rsidRPr="00B82D24">
        <w:rPr>
          <w:sz w:val="24"/>
          <w:szCs w:val="24"/>
        </w:rPr>
        <w:t xml:space="preserve"> = .22), with higher psychopathy Factor 2 score predicting a smaller number of positive interpersonal relationships, </w:t>
      </w:r>
      <w:r w:rsidRPr="006F3D2C">
        <w:rPr>
          <w:i/>
          <w:sz w:val="24"/>
          <w:szCs w:val="24"/>
        </w:rPr>
        <w:t>t</w:t>
      </w:r>
      <w:r w:rsidRPr="00B82D24">
        <w:rPr>
          <w:sz w:val="24"/>
          <w:szCs w:val="24"/>
        </w:rPr>
        <w:t xml:space="preserve"> = -2.92, </w:t>
      </w:r>
      <w:r w:rsidRPr="006F3D2C">
        <w:rPr>
          <w:i/>
          <w:sz w:val="24"/>
          <w:szCs w:val="24"/>
        </w:rPr>
        <w:t>p</w:t>
      </w:r>
      <w:r w:rsidRPr="00B82D24">
        <w:rPr>
          <w:sz w:val="24"/>
          <w:szCs w:val="24"/>
        </w:rPr>
        <w:t xml:space="preserve"> &lt; 0.01, </w:t>
      </w:r>
      <w:r w:rsidRPr="006F3D2C">
        <w:rPr>
          <w:i/>
          <w:sz w:val="24"/>
          <w:szCs w:val="24"/>
        </w:rPr>
        <w:t>B</w:t>
      </w:r>
      <w:r w:rsidRPr="00B82D24">
        <w:rPr>
          <w:sz w:val="24"/>
          <w:szCs w:val="24"/>
        </w:rPr>
        <w:t xml:space="preserve"> = -.65, </w:t>
      </w:r>
      <w:r w:rsidRPr="006F3D2C">
        <w:rPr>
          <w:i/>
          <w:sz w:val="24"/>
          <w:szCs w:val="24"/>
        </w:rPr>
        <w:t>SE</w:t>
      </w:r>
      <w:r w:rsidRPr="00B82D24">
        <w:rPr>
          <w:sz w:val="24"/>
          <w:szCs w:val="24"/>
        </w:rPr>
        <w:t xml:space="preserve"> = .22, β = -.43. Factor 1 </w:t>
      </w:r>
      <w:r w:rsidR="006F3D2C">
        <w:rPr>
          <w:sz w:val="24"/>
          <w:szCs w:val="24"/>
        </w:rPr>
        <w:t>did not contribute significantly to the model</w:t>
      </w:r>
      <w:r w:rsidRPr="00B82D24">
        <w:rPr>
          <w:sz w:val="24"/>
          <w:szCs w:val="24"/>
        </w:rPr>
        <w:t xml:space="preserve">, </w:t>
      </w:r>
      <w:r w:rsidRPr="006F3D2C">
        <w:rPr>
          <w:i/>
          <w:sz w:val="24"/>
          <w:szCs w:val="24"/>
        </w:rPr>
        <w:t>t</w:t>
      </w:r>
      <w:r w:rsidRPr="00B82D24">
        <w:rPr>
          <w:sz w:val="24"/>
          <w:szCs w:val="24"/>
        </w:rPr>
        <w:t xml:space="preserve"> = -1.25, </w:t>
      </w:r>
      <w:r w:rsidRPr="006F3D2C">
        <w:rPr>
          <w:i/>
          <w:sz w:val="24"/>
          <w:szCs w:val="24"/>
        </w:rPr>
        <w:t>ns</w:t>
      </w:r>
      <w:r w:rsidRPr="00B82D24">
        <w:rPr>
          <w:sz w:val="24"/>
          <w:szCs w:val="24"/>
        </w:rPr>
        <w:t>. Factor 1 and Factor 2 scores failed to predict total number of interpersonal relationships (</w:t>
      </w:r>
      <w:r w:rsidRPr="00157305">
        <w:rPr>
          <w:i/>
          <w:sz w:val="24"/>
          <w:szCs w:val="24"/>
        </w:rPr>
        <w:t>F</w:t>
      </w:r>
      <w:r w:rsidRPr="00B82D24">
        <w:rPr>
          <w:sz w:val="24"/>
          <w:szCs w:val="24"/>
        </w:rPr>
        <w:t xml:space="preserve">(2, 37) = 1.88, </w:t>
      </w:r>
      <w:r w:rsidRPr="00157305">
        <w:rPr>
          <w:i/>
          <w:sz w:val="24"/>
          <w:szCs w:val="24"/>
        </w:rPr>
        <w:t>ns</w:t>
      </w:r>
      <w:r w:rsidRPr="00B82D24">
        <w:rPr>
          <w:sz w:val="24"/>
          <w:szCs w:val="24"/>
        </w:rPr>
        <w:t xml:space="preserve">; Factor 1, </w:t>
      </w:r>
      <w:r w:rsidRPr="00157305">
        <w:rPr>
          <w:i/>
          <w:sz w:val="24"/>
          <w:szCs w:val="24"/>
        </w:rPr>
        <w:t xml:space="preserve">t </w:t>
      </w:r>
      <w:r w:rsidRPr="00B82D24">
        <w:rPr>
          <w:sz w:val="24"/>
          <w:szCs w:val="24"/>
        </w:rPr>
        <w:t xml:space="preserve">= -.95, </w:t>
      </w:r>
      <w:r w:rsidRPr="00157305">
        <w:rPr>
          <w:i/>
          <w:sz w:val="24"/>
          <w:szCs w:val="24"/>
        </w:rPr>
        <w:t>ns</w:t>
      </w:r>
      <w:r w:rsidRPr="00B82D24">
        <w:rPr>
          <w:sz w:val="24"/>
          <w:szCs w:val="24"/>
        </w:rPr>
        <w:t xml:space="preserve">; Factor 2, </w:t>
      </w:r>
      <w:r w:rsidRPr="00157305">
        <w:rPr>
          <w:i/>
          <w:sz w:val="24"/>
          <w:szCs w:val="24"/>
        </w:rPr>
        <w:t>t</w:t>
      </w:r>
      <w:r w:rsidRPr="00B82D24">
        <w:rPr>
          <w:sz w:val="24"/>
          <w:szCs w:val="24"/>
        </w:rPr>
        <w:t xml:space="preserve"> = -1.37, </w:t>
      </w:r>
      <w:r w:rsidRPr="00157305">
        <w:rPr>
          <w:i/>
          <w:sz w:val="24"/>
          <w:szCs w:val="24"/>
        </w:rPr>
        <w:t>ns</w:t>
      </w:r>
      <w:r w:rsidRPr="00B82D24">
        <w:rPr>
          <w:sz w:val="24"/>
          <w:szCs w:val="24"/>
        </w:rPr>
        <w:t>) or number of negative relationships (</w:t>
      </w:r>
      <w:r w:rsidRPr="00157305">
        <w:rPr>
          <w:i/>
          <w:sz w:val="24"/>
          <w:szCs w:val="24"/>
        </w:rPr>
        <w:t>F</w:t>
      </w:r>
      <w:r w:rsidRPr="00B82D24">
        <w:rPr>
          <w:sz w:val="24"/>
          <w:szCs w:val="24"/>
        </w:rPr>
        <w:t xml:space="preserve">(2, 37) = .3, </w:t>
      </w:r>
      <w:r w:rsidRPr="00157305">
        <w:rPr>
          <w:i/>
          <w:sz w:val="24"/>
          <w:szCs w:val="24"/>
        </w:rPr>
        <w:t>ns</w:t>
      </w:r>
      <w:r w:rsidRPr="00B82D24">
        <w:rPr>
          <w:sz w:val="24"/>
          <w:szCs w:val="24"/>
        </w:rPr>
        <w:t xml:space="preserve">; Factor 1, </w:t>
      </w:r>
      <w:r w:rsidRPr="00157305">
        <w:rPr>
          <w:i/>
          <w:sz w:val="24"/>
          <w:szCs w:val="24"/>
        </w:rPr>
        <w:t xml:space="preserve">t </w:t>
      </w:r>
      <w:r w:rsidRPr="00B82D24">
        <w:rPr>
          <w:sz w:val="24"/>
          <w:szCs w:val="24"/>
        </w:rPr>
        <w:t xml:space="preserve">= -.29, </w:t>
      </w:r>
      <w:r w:rsidRPr="00157305">
        <w:rPr>
          <w:i/>
          <w:sz w:val="24"/>
          <w:szCs w:val="24"/>
        </w:rPr>
        <w:t>ns</w:t>
      </w:r>
      <w:r w:rsidRPr="00B82D24">
        <w:rPr>
          <w:sz w:val="24"/>
          <w:szCs w:val="24"/>
        </w:rPr>
        <w:t xml:space="preserve">; Factor 2, </w:t>
      </w:r>
      <w:r w:rsidRPr="00157305">
        <w:rPr>
          <w:i/>
          <w:sz w:val="24"/>
          <w:szCs w:val="24"/>
        </w:rPr>
        <w:t>t</w:t>
      </w:r>
      <w:r w:rsidRPr="00B82D24">
        <w:rPr>
          <w:sz w:val="24"/>
          <w:szCs w:val="24"/>
        </w:rPr>
        <w:t xml:space="preserve"> = .78, </w:t>
      </w:r>
      <w:r w:rsidRPr="00157305">
        <w:rPr>
          <w:i/>
          <w:sz w:val="24"/>
          <w:szCs w:val="24"/>
        </w:rPr>
        <w:t>ns</w:t>
      </w:r>
      <w:r w:rsidRPr="00B82D24">
        <w:rPr>
          <w:sz w:val="24"/>
          <w:szCs w:val="24"/>
        </w:rPr>
        <w:t>).</w:t>
      </w:r>
    </w:p>
    <w:p w14:paraId="434A2657" w14:textId="414C6601" w:rsidR="00664217" w:rsidRPr="005072F2" w:rsidRDefault="00B82D24" w:rsidP="00B82D24">
      <w:pPr>
        <w:spacing w:after="0" w:line="480" w:lineRule="auto"/>
        <w:ind w:firstLine="720"/>
        <w:rPr>
          <w:sz w:val="24"/>
          <w:szCs w:val="24"/>
        </w:rPr>
      </w:pPr>
      <w:r w:rsidRPr="00B82D24">
        <w:rPr>
          <w:sz w:val="24"/>
          <w:szCs w:val="24"/>
        </w:rPr>
        <w:t xml:space="preserve">Linear regressions were also conducted to explore </w:t>
      </w:r>
      <w:r w:rsidR="00A22005">
        <w:rPr>
          <w:sz w:val="24"/>
          <w:szCs w:val="24"/>
        </w:rPr>
        <w:t>the associations between Factor 1 score and avoidance of intimacy, lack of desire for close relationships, and</w:t>
      </w:r>
      <w:r w:rsidR="005072F2">
        <w:rPr>
          <w:sz w:val="24"/>
          <w:szCs w:val="24"/>
        </w:rPr>
        <w:t xml:space="preserve"> perpetration of</w:t>
      </w:r>
      <w:r w:rsidR="00A22005">
        <w:rPr>
          <w:sz w:val="24"/>
          <w:szCs w:val="24"/>
        </w:rPr>
        <w:t xml:space="preserve"> intimate partner violence.</w:t>
      </w:r>
      <w:r w:rsidRPr="00B82D24">
        <w:rPr>
          <w:sz w:val="24"/>
          <w:szCs w:val="24"/>
        </w:rPr>
        <w:t xml:space="preserve"> </w:t>
      </w:r>
      <w:r w:rsidR="003804B1">
        <w:rPr>
          <w:sz w:val="24"/>
          <w:szCs w:val="24"/>
        </w:rPr>
        <w:t>For the patient sample,</w:t>
      </w:r>
      <w:r w:rsidRPr="00B82D24">
        <w:rPr>
          <w:sz w:val="24"/>
          <w:szCs w:val="24"/>
        </w:rPr>
        <w:t xml:space="preserve"> </w:t>
      </w:r>
      <w:r w:rsidR="003804B1">
        <w:rPr>
          <w:sz w:val="24"/>
          <w:szCs w:val="24"/>
        </w:rPr>
        <w:t>increased</w:t>
      </w:r>
      <w:r w:rsidRPr="00B82D24">
        <w:rPr>
          <w:sz w:val="24"/>
          <w:szCs w:val="24"/>
        </w:rPr>
        <w:t xml:space="preserve"> PCL:SV Factor 1 score significantly predicted a smaller number of intimate relationships, </w:t>
      </w:r>
      <w:r w:rsidRPr="00664217">
        <w:rPr>
          <w:i/>
          <w:sz w:val="24"/>
          <w:szCs w:val="24"/>
        </w:rPr>
        <w:t>F</w:t>
      </w:r>
      <w:r w:rsidRPr="00B82D24">
        <w:rPr>
          <w:sz w:val="24"/>
          <w:szCs w:val="24"/>
        </w:rPr>
        <w:t xml:space="preserve">(1, </w:t>
      </w:r>
      <w:r w:rsidR="00664217">
        <w:rPr>
          <w:sz w:val="24"/>
          <w:szCs w:val="24"/>
        </w:rPr>
        <w:t>38</w:t>
      </w:r>
      <w:r w:rsidRPr="00B82D24">
        <w:rPr>
          <w:sz w:val="24"/>
          <w:szCs w:val="24"/>
        </w:rPr>
        <w:t xml:space="preserve">) = </w:t>
      </w:r>
      <w:r w:rsidR="00664217">
        <w:rPr>
          <w:sz w:val="24"/>
          <w:szCs w:val="24"/>
        </w:rPr>
        <w:t>5.38</w:t>
      </w:r>
      <w:r w:rsidRPr="00B82D24">
        <w:rPr>
          <w:sz w:val="24"/>
          <w:szCs w:val="24"/>
        </w:rPr>
        <w:t xml:space="preserve">, </w:t>
      </w:r>
      <w:r w:rsidRPr="00664217">
        <w:rPr>
          <w:i/>
          <w:sz w:val="24"/>
          <w:szCs w:val="24"/>
        </w:rPr>
        <w:t>p</w:t>
      </w:r>
      <w:r w:rsidRPr="00B82D24">
        <w:rPr>
          <w:sz w:val="24"/>
          <w:szCs w:val="24"/>
        </w:rPr>
        <w:t xml:space="preserve"> &lt; 0.0</w:t>
      </w:r>
      <w:r w:rsidR="00664217">
        <w:rPr>
          <w:sz w:val="24"/>
          <w:szCs w:val="24"/>
        </w:rPr>
        <w:t>5</w:t>
      </w:r>
      <w:r w:rsidRPr="00B82D24">
        <w:rPr>
          <w:sz w:val="24"/>
          <w:szCs w:val="24"/>
        </w:rPr>
        <w:t xml:space="preserve">; Predictor, </w:t>
      </w:r>
      <w:r w:rsidRPr="00664217">
        <w:rPr>
          <w:i/>
          <w:sz w:val="24"/>
          <w:szCs w:val="24"/>
        </w:rPr>
        <w:t>t</w:t>
      </w:r>
      <w:r w:rsidRPr="00B82D24">
        <w:rPr>
          <w:sz w:val="24"/>
          <w:szCs w:val="24"/>
        </w:rPr>
        <w:t xml:space="preserve"> = -</w:t>
      </w:r>
      <w:r w:rsidR="00664217">
        <w:rPr>
          <w:sz w:val="24"/>
          <w:szCs w:val="24"/>
        </w:rPr>
        <w:t>2.32</w:t>
      </w:r>
      <w:r w:rsidRPr="00B82D24">
        <w:rPr>
          <w:sz w:val="24"/>
          <w:szCs w:val="24"/>
        </w:rPr>
        <w:t xml:space="preserve">, </w:t>
      </w:r>
      <w:r w:rsidRPr="00664217">
        <w:rPr>
          <w:i/>
          <w:sz w:val="24"/>
          <w:szCs w:val="24"/>
        </w:rPr>
        <w:t>p</w:t>
      </w:r>
      <w:r w:rsidRPr="00B82D24">
        <w:rPr>
          <w:sz w:val="24"/>
          <w:szCs w:val="24"/>
        </w:rPr>
        <w:t xml:space="preserve"> &lt; 0.0</w:t>
      </w:r>
      <w:r w:rsidR="00664217">
        <w:rPr>
          <w:sz w:val="24"/>
          <w:szCs w:val="24"/>
        </w:rPr>
        <w:t>5</w:t>
      </w:r>
      <w:r w:rsidRPr="00B82D24">
        <w:rPr>
          <w:sz w:val="24"/>
          <w:szCs w:val="24"/>
        </w:rPr>
        <w:t xml:space="preserve">, </w:t>
      </w:r>
      <w:r w:rsidRPr="00664217">
        <w:rPr>
          <w:i/>
          <w:sz w:val="24"/>
          <w:szCs w:val="24"/>
        </w:rPr>
        <w:t>B</w:t>
      </w:r>
      <w:r w:rsidRPr="00B82D24">
        <w:rPr>
          <w:sz w:val="24"/>
          <w:szCs w:val="24"/>
        </w:rPr>
        <w:t xml:space="preserve"> = -.</w:t>
      </w:r>
      <w:r w:rsidR="00664217">
        <w:rPr>
          <w:sz w:val="24"/>
          <w:szCs w:val="24"/>
        </w:rPr>
        <w:t>24</w:t>
      </w:r>
      <w:r w:rsidRPr="00B82D24">
        <w:rPr>
          <w:sz w:val="24"/>
          <w:szCs w:val="24"/>
        </w:rPr>
        <w:t xml:space="preserve">, </w:t>
      </w:r>
      <w:r w:rsidRPr="00664217">
        <w:rPr>
          <w:i/>
          <w:sz w:val="24"/>
          <w:szCs w:val="24"/>
        </w:rPr>
        <w:t>SE</w:t>
      </w:r>
      <w:r w:rsidRPr="00B82D24">
        <w:rPr>
          <w:sz w:val="24"/>
          <w:szCs w:val="24"/>
        </w:rPr>
        <w:t xml:space="preserve"> = .</w:t>
      </w:r>
      <w:r w:rsidR="00664217">
        <w:rPr>
          <w:sz w:val="24"/>
          <w:szCs w:val="24"/>
        </w:rPr>
        <w:t>1</w:t>
      </w:r>
      <w:r w:rsidRPr="00B82D24">
        <w:rPr>
          <w:sz w:val="24"/>
          <w:szCs w:val="24"/>
        </w:rPr>
        <w:t>, β = -.3</w:t>
      </w:r>
      <w:r w:rsidR="00664217">
        <w:rPr>
          <w:sz w:val="24"/>
          <w:szCs w:val="24"/>
        </w:rPr>
        <w:t>5</w:t>
      </w:r>
      <w:r w:rsidRPr="00B82D24">
        <w:rPr>
          <w:sz w:val="24"/>
          <w:szCs w:val="24"/>
        </w:rPr>
        <w:t>; predicting 1</w:t>
      </w:r>
      <w:r w:rsidR="00664217">
        <w:rPr>
          <w:sz w:val="24"/>
          <w:szCs w:val="24"/>
        </w:rPr>
        <w:t>2</w:t>
      </w:r>
      <w:r w:rsidRPr="00B82D24">
        <w:rPr>
          <w:sz w:val="24"/>
          <w:szCs w:val="24"/>
        </w:rPr>
        <w:t>% of the variance (R</w:t>
      </w:r>
      <w:r w:rsidRPr="00664217">
        <w:rPr>
          <w:sz w:val="24"/>
          <w:szCs w:val="24"/>
          <w:vertAlign w:val="superscript"/>
        </w:rPr>
        <w:t>2</w:t>
      </w:r>
      <w:r w:rsidRPr="00B82D24">
        <w:rPr>
          <w:sz w:val="24"/>
          <w:szCs w:val="24"/>
        </w:rPr>
        <w:t xml:space="preserve"> = .1</w:t>
      </w:r>
      <w:r w:rsidR="00664217">
        <w:rPr>
          <w:sz w:val="24"/>
          <w:szCs w:val="24"/>
        </w:rPr>
        <w:t>2</w:t>
      </w:r>
      <w:r w:rsidRPr="00B82D24">
        <w:rPr>
          <w:sz w:val="24"/>
          <w:szCs w:val="24"/>
        </w:rPr>
        <w:t>, Adjusted R</w:t>
      </w:r>
      <w:r w:rsidRPr="00664217">
        <w:rPr>
          <w:sz w:val="24"/>
          <w:szCs w:val="24"/>
          <w:vertAlign w:val="superscript"/>
        </w:rPr>
        <w:t>2</w:t>
      </w:r>
      <w:r w:rsidRPr="00B82D24">
        <w:rPr>
          <w:sz w:val="24"/>
          <w:szCs w:val="24"/>
        </w:rPr>
        <w:t xml:space="preserve"> = .1). </w:t>
      </w:r>
      <w:r w:rsidR="005072F2">
        <w:rPr>
          <w:sz w:val="24"/>
          <w:szCs w:val="24"/>
        </w:rPr>
        <w:t>However, Factor 1 score failed to predict number of close relationships (</w:t>
      </w:r>
      <w:r w:rsidR="005072F2">
        <w:rPr>
          <w:i/>
          <w:sz w:val="24"/>
          <w:szCs w:val="24"/>
        </w:rPr>
        <w:t>F</w:t>
      </w:r>
      <w:r w:rsidR="005072F2">
        <w:rPr>
          <w:sz w:val="24"/>
          <w:szCs w:val="24"/>
        </w:rPr>
        <w:t xml:space="preserve">(1, 38) = 1.6, </w:t>
      </w:r>
      <w:r w:rsidR="005072F2">
        <w:rPr>
          <w:i/>
          <w:sz w:val="24"/>
          <w:szCs w:val="24"/>
        </w:rPr>
        <w:t>ns</w:t>
      </w:r>
      <w:r w:rsidR="005072F2">
        <w:rPr>
          <w:sz w:val="24"/>
          <w:szCs w:val="24"/>
        </w:rPr>
        <w:t>) or number of intimate relationships characterised by aggression on behalf of the participant (</w:t>
      </w:r>
      <w:r w:rsidR="005072F2">
        <w:rPr>
          <w:i/>
          <w:sz w:val="24"/>
          <w:szCs w:val="24"/>
        </w:rPr>
        <w:t>F</w:t>
      </w:r>
      <w:r w:rsidR="005072F2">
        <w:rPr>
          <w:sz w:val="24"/>
          <w:szCs w:val="24"/>
        </w:rPr>
        <w:t xml:space="preserve">(1, 38) = .6, </w:t>
      </w:r>
      <w:r w:rsidR="005072F2">
        <w:rPr>
          <w:i/>
          <w:sz w:val="24"/>
          <w:szCs w:val="24"/>
        </w:rPr>
        <w:t>ns</w:t>
      </w:r>
      <w:r w:rsidR="005072F2">
        <w:rPr>
          <w:sz w:val="24"/>
          <w:szCs w:val="24"/>
        </w:rPr>
        <w:t>). For the student sample, Factor 1 score failed to predict number of intimate relationships (</w:t>
      </w:r>
      <w:r w:rsidR="005072F2">
        <w:rPr>
          <w:i/>
          <w:sz w:val="24"/>
          <w:szCs w:val="24"/>
        </w:rPr>
        <w:t>F</w:t>
      </w:r>
      <w:r w:rsidR="005072F2">
        <w:rPr>
          <w:sz w:val="24"/>
          <w:szCs w:val="24"/>
        </w:rPr>
        <w:t xml:space="preserve">(1, 48) = .59, </w:t>
      </w:r>
      <w:r w:rsidR="005072F2">
        <w:rPr>
          <w:i/>
          <w:sz w:val="24"/>
          <w:szCs w:val="24"/>
        </w:rPr>
        <w:t>ns</w:t>
      </w:r>
      <w:r w:rsidR="005072F2">
        <w:rPr>
          <w:sz w:val="24"/>
          <w:szCs w:val="24"/>
        </w:rPr>
        <w:t>), number of close relationships (</w:t>
      </w:r>
      <w:r w:rsidR="005072F2">
        <w:rPr>
          <w:i/>
          <w:sz w:val="24"/>
          <w:szCs w:val="24"/>
        </w:rPr>
        <w:t>F</w:t>
      </w:r>
      <w:r w:rsidR="005072F2">
        <w:rPr>
          <w:sz w:val="24"/>
          <w:szCs w:val="24"/>
        </w:rPr>
        <w:t xml:space="preserve">(1, 48) = 2.18, </w:t>
      </w:r>
      <w:r w:rsidR="005072F2">
        <w:rPr>
          <w:i/>
          <w:sz w:val="24"/>
          <w:szCs w:val="24"/>
        </w:rPr>
        <w:t>ns</w:t>
      </w:r>
      <w:r w:rsidR="005072F2">
        <w:rPr>
          <w:sz w:val="24"/>
          <w:szCs w:val="24"/>
        </w:rPr>
        <w:t xml:space="preserve">), or number of intimate relationships characterised by aggression </w:t>
      </w:r>
      <w:r w:rsidR="00FA3320">
        <w:rPr>
          <w:sz w:val="24"/>
          <w:szCs w:val="24"/>
        </w:rPr>
        <w:t>from</w:t>
      </w:r>
      <w:r w:rsidR="005072F2">
        <w:rPr>
          <w:sz w:val="24"/>
          <w:szCs w:val="24"/>
        </w:rPr>
        <w:t xml:space="preserve"> the participant (</w:t>
      </w:r>
      <w:r w:rsidR="005072F2">
        <w:rPr>
          <w:i/>
          <w:sz w:val="24"/>
          <w:szCs w:val="24"/>
        </w:rPr>
        <w:t>F</w:t>
      </w:r>
      <w:r w:rsidR="005072F2">
        <w:rPr>
          <w:sz w:val="24"/>
          <w:szCs w:val="24"/>
        </w:rPr>
        <w:t xml:space="preserve">(1, 48) = .79, </w:t>
      </w:r>
      <w:r w:rsidR="005072F2">
        <w:rPr>
          <w:i/>
          <w:sz w:val="24"/>
          <w:szCs w:val="24"/>
        </w:rPr>
        <w:t>ns</w:t>
      </w:r>
      <w:r w:rsidR="005072F2">
        <w:rPr>
          <w:sz w:val="24"/>
          <w:szCs w:val="24"/>
        </w:rPr>
        <w:t>).</w:t>
      </w:r>
    </w:p>
    <w:p w14:paraId="1639C84E" w14:textId="3DD59725" w:rsidR="003E74FF" w:rsidRDefault="005072F2" w:rsidP="008031AE">
      <w:pPr>
        <w:spacing w:after="0" w:line="480" w:lineRule="auto"/>
        <w:ind w:firstLine="720"/>
        <w:rPr>
          <w:noProof/>
        </w:rPr>
      </w:pPr>
      <w:r w:rsidRPr="005072F2">
        <w:rPr>
          <w:b/>
          <w:sz w:val="24"/>
          <w:szCs w:val="24"/>
        </w:rPr>
        <w:t>ACL interview responses</w:t>
      </w:r>
      <w:r w:rsidR="00263EAF" w:rsidRPr="0004108A">
        <w:rPr>
          <w:b/>
          <w:sz w:val="24"/>
          <w:szCs w:val="24"/>
        </w:rPr>
        <w:t>.</w:t>
      </w:r>
      <w:r w:rsidR="00D567D6" w:rsidRPr="00C068E1">
        <w:rPr>
          <w:b/>
          <w:sz w:val="24"/>
          <w:szCs w:val="24"/>
        </w:rPr>
        <w:t xml:space="preserve"> </w:t>
      </w:r>
      <w:r w:rsidR="00D56779">
        <w:rPr>
          <w:sz w:val="24"/>
          <w:szCs w:val="24"/>
        </w:rPr>
        <w:t>For analyses utili</w:t>
      </w:r>
      <w:r w:rsidR="00632D3F">
        <w:rPr>
          <w:sz w:val="24"/>
          <w:szCs w:val="24"/>
        </w:rPr>
        <w:t>s</w:t>
      </w:r>
      <w:r w:rsidR="00D56779">
        <w:rPr>
          <w:sz w:val="24"/>
          <w:szCs w:val="24"/>
        </w:rPr>
        <w:t>ing total psychopathy score, t</w:t>
      </w:r>
      <w:r w:rsidR="00932A11">
        <w:rPr>
          <w:sz w:val="24"/>
          <w:szCs w:val="24"/>
        </w:rPr>
        <w:t>he total sample was split into two groups: those who reached the threshold for ‘possible psychopathy’ according to the PCL:SV (i.e. score of 13 or above</w:t>
      </w:r>
      <w:r w:rsidR="0088487E">
        <w:rPr>
          <w:sz w:val="24"/>
          <w:szCs w:val="24"/>
        </w:rPr>
        <w:t>)</w:t>
      </w:r>
      <w:r w:rsidR="00932A11">
        <w:rPr>
          <w:sz w:val="24"/>
          <w:szCs w:val="24"/>
        </w:rPr>
        <w:t>, and those who did not.</w:t>
      </w:r>
      <w:r>
        <w:rPr>
          <w:sz w:val="24"/>
          <w:szCs w:val="24"/>
        </w:rPr>
        <w:t xml:space="preserve"> </w:t>
      </w:r>
      <w:r w:rsidR="00D56779">
        <w:rPr>
          <w:sz w:val="24"/>
          <w:szCs w:val="24"/>
        </w:rPr>
        <w:t xml:space="preserve">For analyses focusing on </w:t>
      </w:r>
      <w:r w:rsidR="0088487E">
        <w:rPr>
          <w:sz w:val="24"/>
          <w:szCs w:val="24"/>
        </w:rPr>
        <w:t xml:space="preserve">the </w:t>
      </w:r>
      <w:r w:rsidR="00D56779">
        <w:rPr>
          <w:sz w:val="24"/>
          <w:szCs w:val="24"/>
        </w:rPr>
        <w:t xml:space="preserve">Factor 1 or Factor 2 score specifically, median splits were conducted on the student and patient samples separately. </w:t>
      </w:r>
      <w:r w:rsidR="004F3958">
        <w:rPr>
          <w:sz w:val="24"/>
          <w:szCs w:val="24"/>
        </w:rPr>
        <w:t>C</w:t>
      </w:r>
      <w:r w:rsidR="00932A11">
        <w:rPr>
          <w:sz w:val="24"/>
          <w:szCs w:val="24"/>
        </w:rPr>
        <w:t xml:space="preserve">hi-square tests for association </w:t>
      </w:r>
      <w:r w:rsidR="004F3958">
        <w:rPr>
          <w:sz w:val="24"/>
          <w:szCs w:val="24"/>
        </w:rPr>
        <w:t xml:space="preserve">and independent samples </w:t>
      </w:r>
      <w:r w:rsidR="004F3958">
        <w:rPr>
          <w:i/>
          <w:sz w:val="24"/>
          <w:szCs w:val="24"/>
        </w:rPr>
        <w:t>t-</w:t>
      </w:r>
      <w:r w:rsidR="004F3958">
        <w:rPr>
          <w:sz w:val="24"/>
          <w:szCs w:val="24"/>
        </w:rPr>
        <w:t xml:space="preserve">tests </w:t>
      </w:r>
      <w:r w:rsidR="00932A11">
        <w:rPr>
          <w:sz w:val="24"/>
          <w:szCs w:val="24"/>
        </w:rPr>
        <w:t xml:space="preserve">were </w:t>
      </w:r>
      <w:r w:rsidR="00D56779">
        <w:rPr>
          <w:sz w:val="24"/>
          <w:szCs w:val="24"/>
        </w:rPr>
        <w:t xml:space="preserve">then </w:t>
      </w:r>
      <w:r w:rsidR="00932A11">
        <w:rPr>
          <w:sz w:val="24"/>
          <w:szCs w:val="24"/>
        </w:rPr>
        <w:t xml:space="preserve">conducted between </w:t>
      </w:r>
      <w:r w:rsidR="0088487E">
        <w:rPr>
          <w:sz w:val="24"/>
          <w:szCs w:val="24"/>
        </w:rPr>
        <w:t xml:space="preserve">the </w:t>
      </w:r>
      <w:r w:rsidR="00932A11">
        <w:rPr>
          <w:sz w:val="24"/>
          <w:szCs w:val="24"/>
        </w:rPr>
        <w:t>psychopathy group</w:t>
      </w:r>
      <w:r w:rsidR="00FA3320">
        <w:rPr>
          <w:sz w:val="24"/>
          <w:szCs w:val="24"/>
        </w:rPr>
        <w:t xml:space="preserve"> (</w:t>
      </w:r>
      <w:r w:rsidR="00CB1526">
        <w:rPr>
          <w:sz w:val="24"/>
          <w:szCs w:val="24"/>
        </w:rPr>
        <w:t>“</w:t>
      </w:r>
      <w:r w:rsidR="00FA3320">
        <w:rPr>
          <w:sz w:val="24"/>
          <w:szCs w:val="24"/>
        </w:rPr>
        <w:t>possibly psychopathic</w:t>
      </w:r>
      <w:r w:rsidR="00CB1526">
        <w:rPr>
          <w:sz w:val="24"/>
          <w:szCs w:val="24"/>
        </w:rPr>
        <w:t>”</w:t>
      </w:r>
      <w:r w:rsidR="00FA3320">
        <w:rPr>
          <w:sz w:val="24"/>
          <w:szCs w:val="24"/>
        </w:rPr>
        <w:t xml:space="preserve"> and </w:t>
      </w:r>
      <w:r w:rsidR="00CB1526">
        <w:rPr>
          <w:sz w:val="24"/>
          <w:szCs w:val="24"/>
        </w:rPr>
        <w:t>“</w:t>
      </w:r>
      <w:r w:rsidR="00FA3320">
        <w:rPr>
          <w:sz w:val="24"/>
          <w:szCs w:val="24"/>
        </w:rPr>
        <w:t>not psychopathic</w:t>
      </w:r>
      <w:r w:rsidR="00CB1526">
        <w:rPr>
          <w:sz w:val="24"/>
          <w:szCs w:val="24"/>
        </w:rPr>
        <w:t>”</w:t>
      </w:r>
      <w:r w:rsidR="00FA3320">
        <w:rPr>
          <w:sz w:val="24"/>
          <w:szCs w:val="24"/>
        </w:rPr>
        <w:t>)</w:t>
      </w:r>
      <w:r w:rsidR="00932A11">
        <w:rPr>
          <w:sz w:val="24"/>
          <w:szCs w:val="24"/>
        </w:rPr>
        <w:t xml:space="preserve"> and ACL response categories</w:t>
      </w:r>
      <w:r w:rsidR="00D06074">
        <w:rPr>
          <w:sz w:val="24"/>
          <w:szCs w:val="24"/>
        </w:rPr>
        <w:t xml:space="preserve"> that</w:t>
      </w:r>
      <w:r w:rsidR="002623D1">
        <w:rPr>
          <w:sz w:val="24"/>
          <w:szCs w:val="24"/>
        </w:rPr>
        <w:t xml:space="preserve"> </w:t>
      </w:r>
      <w:r w:rsidR="003E74FF">
        <w:rPr>
          <w:sz w:val="24"/>
          <w:szCs w:val="24"/>
        </w:rPr>
        <w:t>corresponded to some of the findings of studies included in the REA</w:t>
      </w:r>
      <w:r w:rsidR="00CB1526">
        <w:rPr>
          <w:sz w:val="24"/>
          <w:szCs w:val="24"/>
        </w:rPr>
        <w:t xml:space="preserve"> (Study 1)</w:t>
      </w:r>
      <w:r w:rsidR="003E74FF">
        <w:rPr>
          <w:sz w:val="24"/>
          <w:szCs w:val="24"/>
        </w:rPr>
        <w:t>.</w:t>
      </w:r>
      <w:r w:rsidR="008031AE">
        <w:rPr>
          <w:sz w:val="24"/>
          <w:szCs w:val="24"/>
        </w:rPr>
        <w:t xml:space="preserve"> </w:t>
      </w:r>
      <w:r w:rsidR="008031AE">
        <w:rPr>
          <w:rFonts w:ascii="Times New Roman" w:eastAsiaTheme="minorHAnsi" w:hAnsi="Times New Roman" w:cs="Times New Roman"/>
          <w:sz w:val="24"/>
          <w:szCs w:val="24"/>
        </w:rPr>
        <w:t>Two</w:t>
      </w:r>
      <w:r w:rsidR="003E74FF">
        <w:rPr>
          <w:rFonts w:ascii="Times New Roman" w:eastAsiaTheme="minorHAnsi" w:hAnsi="Times New Roman" w:cs="Times New Roman"/>
          <w:sz w:val="24"/>
          <w:szCs w:val="24"/>
        </w:rPr>
        <w:t xml:space="preserve"> of the ACL interview questions asked participants to </w:t>
      </w:r>
      <w:r w:rsidR="00117930">
        <w:rPr>
          <w:rFonts w:ascii="Times New Roman" w:eastAsiaTheme="minorHAnsi" w:hAnsi="Times New Roman" w:cs="Times New Roman"/>
          <w:sz w:val="24"/>
          <w:szCs w:val="24"/>
        </w:rPr>
        <w:t xml:space="preserve">(1) </w:t>
      </w:r>
      <w:r w:rsidR="003E74FF">
        <w:rPr>
          <w:rFonts w:ascii="Times New Roman" w:eastAsiaTheme="minorHAnsi" w:hAnsi="Times New Roman" w:cs="Times New Roman"/>
          <w:sz w:val="24"/>
          <w:szCs w:val="24"/>
        </w:rPr>
        <w:t xml:space="preserve">describe their interpersonal relationships with others and </w:t>
      </w:r>
      <w:r w:rsidR="00117930">
        <w:rPr>
          <w:rFonts w:ascii="Times New Roman" w:eastAsiaTheme="minorHAnsi" w:hAnsi="Times New Roman" w:cs="Times New Roman"/>
          <w:sz w:val="24"/>
          <w:szCs w:val="24"/>
        </w:rPr>
        <w:t>(2)</w:t>
      </w:r>
      <w:r w:rsidR="003E74FF">
        <w:rPr>
          <w:rFonts w:ascii="Times New Roman" w:eastAsiaTheme="minorHAnsi" w:hAnsi="Times New Roman" w:cs="Times New Roman"/>
          <w:sz w:val="24"/>
          <w:szCs w:val="24"/>
        </w:rPr>
        <w:t xml:space="preserve"> </w:t>
      </w:r>
      <w:r w:rsidR="004D7812">
        <w:rPr>
          <w:rFonts w:ascii="Times New Roman" w:eastAsiaTheme="minorHAnsi" w:hAnsi="Times New Roman" w:cs="Times New Roman"/>
          <w:sz w:val="24"/>
          <w:szCs w:val="24"/>
        </w:rPr>
        <w:t xml:space="preserve">indicate </w:t>
      </w:r>
      <w:r w:rsidR="003E74FF">
        <w:rPr>
          <w:rFonts w:ascii="Times New Roman" w:eastAsiaTheme="minorHAnsi" w:hAnsi="Times New Roman" w:cs="Times New Roman"/>
          <w:sz w:val="24"/>
          <w:szCs w:val="24"/>
        </w:rPr>
        <w:t>the most important people in their life and why.</w:t>
      </w:r>
      <w:r w:rsidR="008031AE">
        <w:rPr>
          <w:rFonts w:ascii="Times New Roman" w:eastAsiaTheme="minorHAnsi" w:hAnsi="Times New Roman" w:cs="Times New Roman"/>
          <w:sz w:val="24"/>
          <w:szCs w:val="24"/>
        </w:rPr>
        <w:t xml:space="preserve"> The responses to these </w:t>
      </w:r>
      <w:r w:rsidR="003E74FF" w:rsidRPr="0008517C">
        <w:rPr>
          <w:rFonts w:ascii="Times New Roman" w:eastAsiaTheme="minorHAnsi" w:hAnsi="Times New Roman" w:cs="Times New Roman"/>
          <w:sz w:val="24"/>
          <w:szCs w:val="24"/>
        </w:rPr>
        <w:t xml:space="preserve">two ACL questions are depicted in </w:t>
      </w:r>
      <w:r w:rsidR="00935C99">
        <w:rPr>
          <w:rFonts w:ascii="Times New Roman" w:eastAsiaTheme="minorHAnsi" w:hAnsi="Times New Roman" w:cs="Times New Roman"/>
          <w:sz w:val="24"/>
          <w:szCs w:val="24"/>
        </w:rPr>
        <w:t xml:space="preserve">Table </w:t>
      </w:r>
      <w:r w:rsidR="008031AE">
        <w:rPr>
          <w:rFonts w:ascii="Times New Roman" w:eastAsiaTheme="minorHAnsi" w:hAnsi="Times New Roman" w:cs="Times New Roman"/>
          <w:sz w:val="24"/>
          <w:szCs w:val="24"/>
        </w:rPr>
        <w:t>3</w:t>
      </w:r>
      <w:r w:rsidR="003E74FF" w:rsidRPr="0008517C">
        <w:rPr>
          <w:rFonts w:ascii="Times New Roman" w:eastAsiaTheme="minorHAnsi" w:hAnsi="Times New Roman" w:cs="Times New Roman"/>
          <w:sz w:val="24"/>
          <w:szCs w:val="24"/>
        </w:rPr>
        <w:t>.</w:t>
      </w:r>
      <w:r w:rsidR="003E74FF" w:rsidRPr="00AE3514">
        <w:rPr>
          <w:noProof/>
        </w:rPr>
        <w:t xml:space="preserve"> </w:t>
      </w:r>
    </w:p>
    <w:p w14:paraId="019A1974" w14:textId="21A5C1A2" w:rsidR="009C7502" w:rsidRDefault="0088487E" w:rsidP="009C7502">
      <w:pPr>
        <w:autoSpaceDE w:val="0"/>
        <w:autoSpaceDN w:val="0"/>
        <w:adjustRightInd w:val="0"/>
        <w:spacing w:after="0" w:line="480" w:lineRule="auto"/>
        <w:ind w:firstLine="720"/>
        <w:rPr>
          <w:rFonts w:cstheme="minorHAnsi"/>
          <w:noProof/>
          <w:sz w:val="24"/>
          <w:szCs w:val="24"/>
        </w:rPr>
      </w:pPr>
      <w:r>
        <w:rPr>
          <w:rFonts w:cstheme="minorHAnsi"/>
          <w:noProof/>
          <w:sz w:val="24"/>
          <w:szCs w:val="24"/>
        </w:rPr>
        <w:t>Regarding</w:t>
      </w:r>
      <w:r w:rsidR="002F5FA6">
        <w:rPr>
          <w:rFonts w:cstheme="minorHAnsi"/>
          <w:noProof/>
          <w:sz w:val="24"/>
          <w:szCs w:val="24"/>
        </w:rPr>
        <w:t xml:space="preserve"> relationship quality, </w:t>
      </w:r>
      <w:r w:rsidR="002F5FA6" w:rsidRPr="00EF769D">
        <w:rPr>
          <w:rFonts w:cstheme="minorHAnsi"/>
          <w:i/>
          <w:noProof/>
          <w:sz w:val="24"/>
          <w:szCs w:val="24"/>
        </w:rPr>
        <w:t>t</w:t>
      </w:r>
      <w:r w:rsidR="002F5FA6">
        <w:rPr>
          <w:rFonts w:cstheme="minorHAnsi"/>
          <w:noProof/>
          <w:sz w:val="24"/>
          <w:szCs w:val="24"/>
        </w:rPr>
        <w:t xml:space="preserve">-tests indicated that significantly more participants in the not psychopathic group described their relationships with others as ‘good’, </w:t>
      </w:r>
      <w:r w:rsidR="002F5FA6">
        <w:rPr>
          <w:rFonts w:cstheme="minorHAnsi"/>
          <w:i/>
          <w:noProof/>
          <w:sz w:val="24"/>
          <w:szCs w:val="24"/>
        </w:rPr>
        <w:t>t</w:t>
      </w:r>
      <w:r w:rsidR="002F5FA6">
        <w:rPr>
          <w:rFonts w:cstheme="minorHAnsi"/>
          <w:noProof/>
          <w:sz w:val="24"/>
          <w:szCs w:val="24"/>
        </w:rPr>
        <w:t xml:space="preserve">(1, </w:t>
      </w:r>
      <w:r w:rsidR="002F5FA6" w:rsidRPr="002A53F2">
        <w:rPr>
          <w:rFonts w:cstheme="minorHAnsi"/>
          <w:noProof/>
          <w:sz w:val="24"/>
          <w:szCs w:val="24"/>
        </w:rPr>
        <w:t>66.26</w:t>
      </w:r>
      <w:r w:rsidR="002F5FA6">
        <w:rPr>
          <w:rFonts w:cstheme="minorHAnsi"/>
          <w:noProof/>
          <w:sz w:val="24"/>
          <w:szCs w:val="24"/>
        </w:rPr>
        <w:t xml:space="preserve">) = 2.97, </w:t>
      </w:r>
      <w:r w:rsidR="002F5FA6">
        <w:rPr>
          <w:rFonts w:cstheme="minorHAnsi"/>
          <w:i/>
          <w:noProof/>
          <w:sz w:val="24"/>
          <w:szCs w:val="24"/>
        </w:rPr>
        <w:t>p</w:t>
      </w:r>
      <w:r w:rsidR="002F5FA6">
        <w:rPr>
          <w:rFonts w:cstheme="minorHAnsi"/>
          <w:noProof/>
          <w:sz w:val="24"/>
          <w:szCs w:val="24"/>
        </w:rPr>
        <w:t xml:space="preserve"> &lt; .01 and ‘</w:t>
      </w:r>
      <w:r w:rsidR="002F5FA6" w:rsidRPr="007F7FC1">
        <w:rPr>
          <w:rFonts w:cstheme="minorHAnsi"/>
          <w:noProof/>
          <w:sz w:val="24"/>
          <w:szCs w:val="24"/>
        </w:rPr>
        <w:t xml:space="preserve">close’, </w:t>
      </w:r>
      <w:r w:rsidR="002F5FA6" w:rsidRPr="007F7FC1">
        <w:rPr>
          <w:rFonts w:cstheme="minorHAnsi"/>
          <w:i/>
          <w:noProof/>
          <w:sz w:val="24"/>
          <w:szCs w:val="24"/>
        </w:rPr>
        <w:t>t</w:t>
      </w:r>
      <w:r w:rsidR="002F5FA6" w:rsidRPr="007F7FC1">
        <w:rPr>
          <w:rFonts w:cstheme="minorHAnsi"/>
          <w:noProof/>
          <w:sz w:val="24"/>
          <w:szCs w:val="24"/>
        </w:rPr>
        <w:t xml:space="preserve">(1, 80.3) = 2.31, </w:t>
      </w:r>
      <w:r w:rsidR="002F5FA6" w:rsidRPr="007F7FC1">
        <w:rPr>
          <w:rFonts w:cstheme="minorHAnsi"/>
          <w:i/>
          <w:noProof/>
          <w:sz w:val="24"/>
          <w:szCs w:val="24"/>
        </w:rPr>
        <w:t>p</w:t>
      </w:r>
      <w:r w:rsidR="002F5FA6" w:rsidRPr="007F7FC1">
        <w:rPr>
          <w:rFonts w:cstheme="minorHAnsi"/>
          <w:noProof/>
          <w:sz w:val="24"/>
          <w:szCs w:val="24"/>
        </w:rPr>
        <w:t xml:space="preserve"> &lt; .05, than the participants in the </w:t>
      </w:r>
      <w:r w:rsidR="00CB1526">
        <w:rPr>
          <w:rFonts w:cstheme="minorHAnsi"/>
          <w:noProof/>
          <w:sz w:val="24"/>
          <w:szCs w:val="24"/>
        </w:rPr>
        <w:t>possibly</w:t>
      </w:r>
      <w:r w:rsidR="002F5FA6" w:rsidRPr="007F7FC1">
        <w:rPr>
          <w:rFonts w:cstheme="minorHAnsi"/>
          <w:noProof/>
          <w:sz w:val="24"/>
          <w:szCs w:val="24"/>
        </w:rPr>
        <w:t xml:space="preserve"> psychopathic group.</w:t>
      </w:r>
      <w:r w:rsidR="002F5FA6">
        <w:rPr>
          <w:rFonts w:cstheme="minorHAnsi"/>
          <w:noProof/>
          <w:sz w:val="24"/>
          <w:szCs w:val="24"/>
        </w:rPr>
        <w:t xml:space="preserve"> </w:t>
      </w:r>
      <w:r w:rsidR="009C7502" w:rsidRPr="002A53F2">
        <w:rPr>
          <w:rFonts w:cstheme="minorHAnsi"/>
          <w:noProof/>
          <w:sz w:val="24"/>
          <w:szCs w:val="24"/>
        </w:rPr>
        <w:t>Participants in the no</w:t>
      </w:r>
      <w:r w:rsidR="009C7502">
        <w:rPr>
          <w:rFonts w:cstheme="minorHAnsi"/>
          <w:noProof/>
          <w:sz w:val="24"/>
          <w:szCs w:val="24"/>
        </w:rPr>
        <w:t>n-</w:t>
      </w:r>
      <w:r w:rsidR="009C7502" w:rsidRPr="002A53F2">
        <w:rPr>
          <w:rFonts w:cstheme="minorHAnsi"/>
          <w:noProof/>
          <w:sz w:val="24"/>
          <w:szCs w:val="24"/>
        </w:rPr>
        <w:t>psychopathic group mentioned friends (</w:t>
      </w:r>
      <w:r w:rsidR="009C7502" w:rsidRPr="00935C99">
        <w:rPr>
          <w:rFonts w:cstheme="minorHAnsi"/>
          <w:i/>
          <w:noProof/>
          <w:sz w:val="24"/>
          <w:szCs w:val="24"/>
        </w:rPr>
        <w:t>t</w:t>
      </w:r>
      <w:r w:rsidR="009C7502" w:rsidRPr="002A53F2">
        <w:rPr>
          <w:rFonts w:cstheme="minorHAnsi"/>
          <w:noProof/>
          <w:sz w:val="24"/>
          <w:szCs w:val="24"/>
        </w:rPr>
        <w:t xml:space="preserve">(1, 88) = 4.64, </w:t>
      </w:r>
      <w:r w:rsidR="009C7502" w:rsidRPr="00935C99">
        <w:rPr>
          <w:rFonts w:cstheme="minorHAnsi"/>
          <w:i/>
          <w:noProof/>
          <w:sz w:val="24"/>
          <w:szCs w:val="24"/>
        </w:rPr>
        <w:t>p</w:t>
      </w:r>
      <w:r w:rsidR="009C7502" w:rsidRPr="002A53F2">
        <w:rPr>
          <w:rFonts w:cstheme="minorHAnsi"/>
          <w:noProof/>
          <w:sz w:val="24"/>
          <w:szCs w:val="24"/>
        </w:rPr>
        <w:t xml:space="preserve"> &lt; .001) and intimate partners (</w:t>
      </w:r>
      <w:r w:rsidR="009C7502" w:rsidRPr="00935C99">
        <w:rPr>
          <w:rFonts w:cstheme="minorHAnsi"/>
          <w:i/>
          <w:noProof/>
          <w:sz w:val="24"/>
          <w:szCs w:val="24"/>
        </w:rPr>
        <w:t>t</w:t>
      </w:r>
      <w:r w:rsidR="009C7502" w:rsidRPr="002A53F2">
        <w:rPr>
          <w:rFonts w:cstheme="minorHAnsi"/>
          <w:noProof/>
          <w:sz w:val="24"/>
          <w:szCs w:val="24"/>
        </w:rPr>
        <w:t xml:space="preserve">(1, 83.87) = 3.7, </w:t>
      </w:r>
      <w:r w:rsidR="009C7502" w:rsidRPr="00935C99">
        <w:rPr>
          <w:rFonts w:cstheme="minorHAnsi"/>
          <w:i/>
          <w:noProof/>
          <w:sz w:val="24"/>
          <w:szCs w:val="24"/>
        </w:rPr>
        <w:t>p</w:t>
      </w:r>
      <w:r w:rsidR="009C7502" w:rsidRPr="002A53F2">
        <w:rPr>
          <w:rFonts w:cstheme="minorHAnsi"/>
          <w:noProof/>
          <w:sz w:val="24"/>
          <w:szCs w:val="24"/>
        </w:rPr>
        <w:t xml:space="preserve"> &lt; .001) </w:t>
      </w:r>
      <w:r>
        <w:rPr>
          <w:rFonts w:cstheme="minorHAnsi"/>
          <w:noProof/>
          <w:sz w:val="24"/>
          <w:szCs w:val="24"/>
        </w:rPr>
        <w:t xml:space="preserve">significantly </w:t>
      </w:r>
      <w:r w:rsidR="009C7502" w:rsidRPr="002A53F2">
        <w:rPr>
          <w:rFonts w:cstheme="minorHAnsi"/>
          <w:noProof/>
          <w:sz w:val="24"/>
          <w:szCs w:val="24"/>
        </w:rPr>
        <w:t xml:space="preserve">more frequently than those in the possibly psychopathic group. </w:t>
      </w:r>
      <w:r w:rsidR="009C7502" w:rsidRPr="006305F2">
        <w:rPr>
          <w:rFonts w:cstheme="minorHAnsi"/>
          <w:noProof/>
          <w:sz w:val="24"/>
          <w:szCs w:val="24"/>
        </w:rPr>
        <w:t>The following relationship descriptors  arose significantly more frequently in the non-psychopathic group than the possibly psychopathic group: support (</w:t>
      </w:r>
      <w:r w:rsidR="009C7502" w:rsidRPr="00935C99">
        <w:rPr>
          <w:rFonts w:cstheme="minorHAnsi"/>
          <w:i/>
          <w:noProof/>
          <w:sz w:val="24"/>
          <w:szCs w:val="24"/>
        </w:rPr>
        <w:t>t</w:t>
      </w:r>
      <w:r w:rsidR="009C7502" w:rsidRPr="006305F2">
        <w:rPr>
          <w:rFonts w:cstheme="minorHAnsi"/>
          <w:noProof/>
          <w:sz w:val="24"/>
          <w:szCs w:val="24"/>
        </w:rPr>
        <w:t xml:space="preserve">(1, 62.41) = 2.78, </w:t>
      </w:r>
      <w:r w:rsidR="009C7502" w:rsidRPr="00935C99">
        <w:rPr>
          <w:rFonts w:cstheme="minorHAnsi"/>
          <w:i/>
          <w:noProof/>
          <w:sz w:val="24"/>
          <w:szCs w:val="24"/>
        </w:rPr>
        <w:t>p</w:t>
      </w:r>
      <w:r w:rsidR="009C7502" w:rsidRPr="006305F2">
        <w:rPr>
          <w:rFonts w:cstheme="minorHAnsi"/>
          <w:noProof/>
          <w:sz w:val="24"/>
          <w:szCs w:val="24"/>
        </w:rPr>
        <w:t xml:space="preserve"> &lt; .01), history (</w:t>
      </w:r>
      <w:r w:rsidR="009C7502" w:rsidRPr="00935C99">
        <w:rPr>
          <w:rFonts w:cstheme="minorHAnsi"/>
          <w:i/>
          <w:noProof/>
          <w:sz w:val="24"/>
          <w:szCs w:val="24"/>
        </w:rPr>
        <w:t>t</w:t>
      </w:r>
      <w:r w:rsidR="009C7502" w:rsidRPr="006305F2">
        <w:rPr>
          <w:rFonts w:cstheme="minorHAnsi"/>
          <w:noProof/>
          <w:sz w:val="24"/>
          <w:szCs w:val="24"/>
        </w:rPr>
        <w:t xml:space="preserve">(1, 61) = 3.01, </w:t>
      </w:r>
      <w:r w:rsidR="009C7502" w:rsidRPr="00935C99">
        <w:rPr>
          <w:rFonts w:cstheme="minorHAnsi"/>
          <w:i/>
          <w:noProof/>
          <w:sz w:val="24"/>
          <w:szCs w:val="24"/>
        </w:rPr>
        <w:t>p</w:t>
      </w:r>
      <w:r w:rsidR="009C7502" w:rsidRPr="006305F2">
        <w:rPr>
          <w:rFonts w:cstheme="minorHAnsi"/>
          <w:noProof/>
          <w:sz w:val="24"/>
          <w:szCs w:val="24"/>
        </w:rPr>
        <w:t xml:space="preserve"> &lt; .01), stability (</w:t>
      </w:r>
      <w:r w:rsidR="009C7502" w:rsidRPr="00935C99">
        <w:rPr>
          <w:rFonts w:cstheme="minorHAnsi"/>
          <w:i/>
          <w:noProof/>
          <w:sz w:val="24"/>
          <w:szCs w:val="24"/>
        </w:rPr>
        <w:t>t</w:t>
      </w:r>
      <w:r w:rsidR="009C7502" w:rsidRPr="006305F2">
        <w:rPr>
          <w:rFonts w:cstheme="minorHAnsi"/>
          <w:noProof/>
          <w:sz w:val="24"/>
          <w:szCs w:val="24"/>
        </w:rPr>
        <w:t xml:space="preserve">(1, 88) = 2.95, </w:t>
      </w:r>
      <w:r w:rsidR="009C7502" w:rsidRPr="00935C99">
        <w:rPr>
          <w:rFonts w:cstheme="minorHAnsi"/>
          <w:i/>
          <w:noProof/>
          <w:sz w:val="24"/>
          <w:szCs w:val="24"/>
        </w:rPr>
        <w:t>p</w:t>
      </w:r>
      <w:r w:rsidR="009C7502" w:rsidRPr="006305F2">
        <w:rPr>
          <w:rFonts w:cstheme="minorHAnsi"/>
          <w:noProof/>
          <w:sz w:val="24"/>
          <w:szCs w:val="24"/>
        </w:rPr>
        <w:t xml:space="preserve"> &lt; .01), trust (</w:t>
      </w:r>
      <w:r w:rsidR="009C7502" w:rsidRPr="00935C99">
        <w:rPr>
          <w:rFonts w:cstheme="minorHAnsi"/>
          <w:i/>
          <w:noProof/>
          <w:sz w:val="24"/>
          <w:szCs w:val="24"/>
        </w:rPr>
        <w:t>t</w:t>
      </w:r>
      <w:r w:rsidR="009C7502" w:rsidRPr="006305F2">
        <w:rPr>
          <w:rFonts w:cstheme="minorHAnsi"/>
          <w:noProof/>
          <w:sz w:val="24"/>
          <w:szCs w:val="24"/>
        </w:rPr>
        <w:t xml:space="preserve">(1, 61) = 2.56, </w:t>
      </w:r>
      <w:r w:rsidR="009C7502" w:rsidRPr="00935C99">
        <w:rPr>
          <w:rFonts w:cstheme="minorHAnsi"/>
          <w:i/>
          <w:noProof/>
          <w:sz w:val="24"/>
          <w:szCs w:val="24"/>
        </w:rPr>
        <w:t>p</w:t>
      </w:r>
      <w:r w:rsidR="009C7502" w:rsidRPr="006305F2">
        <w:rPr>
          <w:rFonts w:cstheme="minorHAnsi"/>
          <w:noProof/>
          <w:sz w:val="24"/>
          <w:szCs w:val="24"/>
        </w:rPr>
        <w:t xml:space="preserve"> &lt; .05), and connection (</w:t>
      </w:r>
      <w:r w:rsidR="009C7502" w:rsidRPr="00935C99">
        <w:rPr>
          <w:rFonts w:cstheme="minorHAnsi"/>
          <w:i/>
          <w:noProof/>
          <w:sz w:val="24"/>
          <w:szCs w:val="24"/>
        </w:rPr>
        <w:t>t</w:t>
      </w:r>
      <w:r w:rsidR="009C7502" w:rsidRPr="006305F2">
        <w:rPr>
          <w:rFonts w:cstheme="minorHAnsi"/>
          <w:noProof/>
          <w:sz w:val="24"/>
          <w:szCs w:val="24"/>
        </w:rPr>
        <w:t xml:space="preserve">(1, 61) = 2.05, </w:t>
      </w:r>
      <w:r w:rsidR="009C7502" w:rsidRPr="00935C99">
        <w:rPr>
          <w:rFonts w:cstheme="minorHAnsi"/>
          <w:i/>
          <w:noProof/>
          <w:sz w:val="24"/>
          <w:szCs w:val="24"/>
        </w:rPr>
        <w:t>p</w:t>
      </w:r>
      <w:r w:rsidR="009C7502" w:rsidRPr="006305F2">
        <w:rPr>
          <w:rFonts w:cstheme="minorHAnsi"/>
          <w:noProof/>
          <w:sz w:val="24"/>
          <w:szCs w:val="24"/>
        </w:rPr>
        <w:t xml:space="preserve"> &lt; .05).</w:t>
      </w:r>
    </w:p>
    <w:p w14:paraId="51D2C170" w14:textId="77777777" w:rsidR="00F42121" w:rsidRDefault="00F42121" w:rsidP="006305F2">
      <w:pPr>
        <w:spacing w:after="0" w:line="480" w:lineRule="auto"/>
        <w:jc w:val="center"/>
        <w:rPr>
          <w:b/>
          <w:sz w:val="24"/>
          <w:szCs w:val="24"/>
        </w:rPr>
      </w:pPr>
    </w:p>
    <w:p w14:paraId="53DADB63" w14:textId="77777777" w:rsidR="00F42121" w:rsidRDefault="00F42121" w:rsidP="006305F2">
      <w:pPr>
        <w:spacing w:after="0" w:line="480" w:lineRule="auto"/>
        <w:jc w:val="center"/>
        <w:rPr>
          <w:b/>
          <w:sz w:val="24"/>
          <w:szCs w:val="24"/>
        </w:rPr>
      </w:pPr>
    </w:p>
    <w:p w14:paraId="5DD77738" w14:textId="4B4FEA43" w:rsidR="00D50A09" w:rsidRPr="002529D8" w:rsidRDefault="00D50A09" w:rsidP="006305F2">
      <w:pPr>
        <w:spacing w:after="0" w:line="480" w:lineRule="auto"/>
        <w:jc w:val="center"/>
        <w:rPr>
          <w:b/>
          <w:sz w:val="24"/>
          <w:szCs w:val="24"/>
        </w:rPr>
      </w:pPr>
      <w:r w:rsidRPr="002529D8">
        <w:rPr>
          <w:b/>
          <w:sz w:val="24"/>
          <w:szCs w:val="24"/>
        </w:rPr>
        <w:t>Discussion</w:t>
      </w:r>
    </w:p>
    <w:p w14:paraId="619EE1D1" w14:textId="7119A516" w:rsidR="00150ACB" w:rsidRDefault="00D50A09" w:rsidP="00D50A09">
      <w:pPr>
        <w:spacing w:after="0" w:line="480" w:lineRule="auto"/>
        <w:rPr>
          <w:sz w:val="24"/>
          <w:szCs w:val="24"/>
        </w:rPr>
      </w:pPr>
      <w:r w:rsidRPr="002529D8">
        <w:rPr>
          <w:sz w:val="24"/>
          <w:szCs w:val="24"/>
        </w:rPr>
        <w:tab/>
      </w:r>
      <w:r w:rsidR="002529D8" w:rsidRPr="002529D8">
        <w:rPr>
          <w:sz w:val="24"/>
          <w:szCs w:val="24"/>
        </w:rPr>
        <w:t xml:space="preserve">Study 1 </w:t>
      </w:r>
      <w:r w:rsidR="002529D8">
        <w:rPr>
          <w:sz w:val="24"/>
          <w:szCs w:val="24"/>
        </w:rPr>
        <w:t>identified</w:t>
      </w:r>
      <w:r w:rsidR="002529D8" w:rsidRPr="002529D8">
        <w:rPr>
          <w:sz w:val="24"/>
          <w:szCs w:val="24"/>
        </w:rPr>
        <w:t xml:space="preserve"> five key themes </w:t>
      </w:r>
      <w:r w:rsidR="002529D8">
        <w:rPr>
          <w:sz w:val="24"/>
          <w:szCs w:val="24"/>
        </w:rPr>
        <w:t xml:space="preserve">in the literature </w:t>
      </w:r>
      <w:r w:rsidR="002529D8" w:rsidRPr="002529D8">
        <w:rPr>
          <w:sz w:val="24"/>
          <w:szCs w:val="24"/>
        </w:rPr>
        <w:t xml:space="preserve">regarding the interpersonal interactions and relationships of psychopathic individuals: </w:t>
      </w:r>
      <w:r w:rsidR="002529D8">
        <w:rPr>
          <w:sz w:val="24"/>
          <w:szCs w:val="24"/>
        </w:rPr>
        <w:t xml:space="preserve">(1) </w:t>
      </w:r>
      <w:r w:rsidR="002529D8" w:rsidRPr="002529D8">
        <w:rPr>
          <w:sz w:val="24"/>
          <w:szCs w:val="24"/>
        </w:rPr>
        <w:t xml:space="preserve">traits, </w:t>
      </w:r>
      <w:r w:rsidR="002529D8">
        <w:rPr>
          <w:sz w:val="24"/>
          <w:szCs w:val="24"/>
        </w:rPr>
        <w:t xml:space="preserve">(2) </w:t>
      </w:r>
      <w:r w:rsidR="002529D8" w:rsidRPr="002529D8">
        <w:rPr>
          <w:sz w:val="24"/>
          <w:szCs w:val="24"/>
        </w:rPr>
        <w:t xml:space="preserve">relationships, </w:t>
      </w:r>
      <w:r w:rsidR="002529D8">
        <w:rPr>
          <w:sz w:val="24"/>
          <w:szCs w:val="24"/>
        </w:rPr>
        <w:t xml:space="preserve">(3) </w:t>
      </w:r>
      <w:r w:rsidR="002529D8" w:rsidRPr="002529D8">
        <w:rPr>
          <w:sz w:val="24"/>
          <w:szCs w:val="24"/>
        </w:rPr>
        <w:t xml:space="preserve">behaviour, </w:t>
      </w:r>
      <w:r w:rsidR="002529D8">
        <w:rPr>
          <w:sz w:val="24"/>
          <w:szCs w:val="24"/>
        </w:rPr>
        <w:t xml:space="preserve">(4) </w:t>
      </w:r>
      <w:r w:rsidR="002529D8" w:rsidRPr="002529D8">
        <w:rPr>
          <w:sz w:val="24"/>
          <w:szCs w:val="24"/>
        </w:rPr>
        <w:t xml:space="preserve">interpersonal aggression, and </w:t>
      </w:r>
      <w:r w:rsidR="002529D8">
        <w:rPr>
          <w:sz w:val="24"/>
          <w:szCs w:val="24"/>
        </w:rPr>
        <w:t xml:space="preserve">(5) </w:t>
      </w:r>
      <w:r w:rsidR="002529D8" w:rsidRPr="002529D8">
        <w:rPr>
          <w:sz w:val="24"/>
          <w:szCs w:val="24"/>
        </w:rPr>
        <w:t>intimate partner violence. The results of this Rapid Evidence Assessment</w:t>
      </w:r>
      <w:r w:rsidR="00935C99">
        <w:rPr>
          <w:sz w:val="24"/>
          <w:szCs w:val="24"/>
        </w:rPr>
        <w:t xml:space="preserve"> (REA)</w:t>
      </w:r>
      <w:r w:rsidR="002529D8" w:rsidRPr="002529D8">
        <w:rPr>
          <w:sz w:val="24"/>
          <w:szCs w:val="24"/>
        </w:rPr>
        <w:t xml:space="preserve"> demonstrated that </w:t>
      </w:r>
      <w:r w:rsidR="002529D8">
        <w:rPr>
          <w:sz w:val="24"/>
          <w:szCs w:val="24"/>
        </w:rPr>
        <w:t>although there are a</w:t>
      </w:r>
      <w:r w:rsidR="002529D8" w:rsidRPr="002529D8">
        <w:rPr>
          <w:sz w:val="24"/>
          <w:szCs w:val="24"/>
        </w:rPr>
        <w:t xml:space="preserve"> vast number of published articles about psychopathy, very few of them focus on interpersonal relationships. If interpersonal elements represent the core of psychopathy (Blackburn, 1998; Drarycott, Askari, &amp; Kirkpatrick, 2011), </w:t>
      </w:r>
      <w:r w:rsidR="0088487E">
        <w:rPr>
          <w:sz w:val="24"/>
          <w:szCs w:val="24"/>
        </w:rPr>
        <w:t>you</w:t>
      </w:r>
      <w:r w:rsidR="002529D8" w:rsidRPr="002529D8">
        <w:rPr>
          <w:sz w:val="24"/>
          <w:szCs w:val="24"/>
        </w:rPr>
        <w:t xml:space="preserve"> would expect </w:t>
      </w:r>
      <w:r w:rsidR="00150ACB">
        <w:rPr>
          <w:sz w:val="24"/>
          <w:szCs w:val="24"/>
        </w:rPr>
        <w:t>them to</w:t>
      </w:r>
      <w:r w:rsidR="002529D8" w:rsidRPr="002529D8">
        <w:rPr>
          <w:sz w:val="24"/>
          <w:szCs w:val="24"/>
        </w:rPr>
        <w:t xml:space="preserve"> be the focus of a significant number of published articles on the topic of psychopathy. </w:t>
      </w:r>
      <w:r w:rsidR="002529D8">
        <w:rPr>
          <w:sz w:val="24"/>
          <w:szCs w:val="24"/>
        </w:rPr>
        <w:t>I</w:t>
      </w:r>
      <w:r w:rsidR="002529D8" w:rsidRPr="002529D8">
        <w:rPr>
          <w:sz w:val="24"/>
          <w:szCs w:val="24"/>
        </w:rPr>
        <w:t>nterpersonal theory and attachment theory</w:t>
      </w:r>
      <w:r w:rsidR="002529D8">
        <w:rPr>
          <w:sz w:val="24"/>
          <w:szCs w:val="24"/>
        </w:rPr>
        <w:t xml:space="preserve"> also strongly emphasise</w:t>
      </w:r>
      <w:r w:rsidR="002529D8" w:rsidRPr="002529D8">
        <w:rPr>
          <w:sz w:val="24"/>
          <w:szCs w:val="24"/>
        </w:rPr>
        <w:t xml:space="preserve"> the interpersonal domain </w:t>
      </w:r>
      <w:r w:rsidR="002529D8">
        <w:rPr>
          <w:sz w:val="24"/>
          <w:szCs w:val="24"/>
        </w:rPr>
        <w:t>of psychopathy</w:t>
      </w:r>
      <w:r w:rsidR="002529D8" w:rsidRPr="002529D8">
        <w:rPr>
          <w:sz w:val="24"/>
          <w:szCs w:val="24"/>
        </w:rPr>
        <w:t xml:space="preserve"> as crucial </w:t>
      </w:r>
      <w:r w:rsidR="002529D8">
        <w:rPr>
          <w:sz w:val="24"/>
          <w:szCs w:val="24"/>
        </w:rPr>
        <w:t>for</w:t>
      </w:r>
      <w:r w:rsidR="002529D8" w:rsidRPr="002529D8">
        <w:rPr>
          <w:sz w:val="24"/>
          <w:szCs w:val="24"/>
        </w:rPr>
        <w:t xml:space="preserve"> conceptualising this multi-dimensional construct. </w:t>
      </w:r>
      <w:r w:rsidR="00150ACB">
        <w:rPr>
          <w:sz w:val="24"/>
          <w:szCs w:val="24"/>
        </w:rPr>
        <w:t>Nonetheless,</w:t>
      </w:r>
      <w:r w:rsidR="002529D8" w:rsidRPr="002529D8">
        <w:rPr>
          <w:sz w:val="24"/>
          <w:szCs w:val="24"/>
        </w:rPr>
        <w:t xml:space="preserve"> the relationships of </w:t>
      </w:r>
      <w:r w:rsidR="002529D8">
        <w:rPr>
          <w:sz w:val="24"/>
          <w:szCs w:val="24"/>
        </w:rPr>
        <w:t>psychopathic individuals</w:t>
      </w:r>
      <w:r w:rsidR="00150ACB">
        <w:rPr>
          <w:sz w:val="24"/>
          <w:szCs w:val="24"/>
        </w:rPr>
        <w:t>,</w:t>
      </w:r>
      <w:r w:rsidR="002529D8" w:rsidRPr="002529D8">
        <w:rPr>
          <w:sz w:val="24"/>
          <w:szCs w:val="24"/>
        </w:rPr>
        <w:t xml:space="preserve"> </w:t>
      </w:r>
      <w:r w:rsidR="00150ACB">
        <w:rPr>
          <w:sz w:val="24"/>
          <w:szCs w:val="24"/>
        </w:rPr>
        <w:t xml:space="preserve">as well as </w:t>
      </w:r>
      <w:r w:rsidR="002529D8" w:rsidRPr="002529D8">
        <w:rPr>
          <w:sz w:val="24"/>
          <w:szCs w:val="24"/>
        </w:rPr>
        <w:t xml:space="preserve">how they </w:t>
      </w:r>
      <w:r w:rsidR="002529D8">
        <w:rPr>
          <w:sz w:val="24"/>
          <w:szCs w:val="24"/>
        </w:rPr>
        <w:t xml:space="preserve">experience and </w:t>
      </w:r>
      <w:r w:rsidR="002529D8" w:rsidRPr="002529D8">
        <w:rPr>
          <w:sz w:val="24"/>
          <w:szCs w:val="24"/>
        </w:rPr>
        <w:t>perceive the</w:t>
      </w:r>
      <w:r w:rsidR="002529D8">
        <w:rPr>
          <w:sz w:val="24"/>
          <w:szCs w:val="24"/>
        </w:rPr>
        <w:t>m</w:t>
      </w:r>
      <w:r w:rsidR="00150ACB">
        <w:rPr>
          <w:sz w:val="24"/>
          <w:szCs w:val="24"/>
        </w:rPr>
        <w:t>, remain poorly understoo</w:t>
      </w:r>
      <w:r w:rsidR="00BA2224">
        <w:rPr>
          <w:sz w:val="24"/>
          <w:szCs w:val="24"/>
        </w:rPr>
        <w:t>d</w:t>
      </w:r>
      <w:r w:rsidR="002529D8" w:rsidRPr="002529D8">
        <w:rPr>
          <w:sz w:val="24"/>
          <w:szCs w:val="24"/>
        </w:rPr>
        <w:t xml:space="preserve">. </w:t>
      </w:r>
    </w:p>
    <w:p w14:paraId="27E6599F" w14:textId="558BEED6" w:rsidR="00D50A09" w:rsidRPr="002529D8" w:rsidRDefault="00D50A09" w:rsidP="00D50A09">
      <w:pPr>
        <w:spacing w:after="0" w:line="480" w:lineRule="auto"/>
        <w:rPr>
          <w:sz w:val="24"/>
          <w:szCs w:val="24"/>
        </w:rPr>
      </w:pPr>
      <w:r w:rsidRPr="002529D8">
        <w:rPr>
          <w:sz w:val="24"/>
          <w:szCs w:val="24"/>
        </w:rPr>
        <w:tab/>
        <w:t xml:space="preserve">The majority </w:t>
      </w:r>
      <w:r w:rsidR="00150ACB">
        <w:rPr>
          <w:sz w:val="24"/>
          <w:szCs w:val="24"/>
        </w:rPr>
        <w:t xml:space="preserve">(81%) </w:t>
      </w:r>
      <w:r w:rsidRPr="002529D8">
        <w:rPr>
          <w:sz w:val="24"/>
          <w:szCs w:val="24"/>
        </w:rPr>
        <w:t xml:space="preserve">of the </w:t>
      </w:r>
      <w:r w:rsidR="00150ACB">
        <w:rPr>
          <w:sz w:val="24"/>
          <w:szCs w:val="24"/>
        </w:rPr>
        <w:t>studies</w:t>
      </w:r>
      <w:r w:rsidRPr="002529D8">
        <w:rPr>
          <w:sz w:val="24"/>
          <w:szCs w:val="24"/>
        </w:rPr>
        <w:t xml:space="preserve"> included in th</w:t>
      </w:r>
      <w:r w:rsidR="00150ACB">
        <w:rPr>
          <w:sz w:val="24"/>
          <w:szCs w:val="24"/>
        </w:rPr>
        <w:t>e REA</w:t>
      </w:r>
      <w:r w:rsidRPr="002529D8">
        <w:rPr>
          <w:sz w:val="24"/>
          <w:szCs w:val="24"/>
        </w:rPr>
        <w:t xml:space="preserve"> utilised noninstitutionalised samples. Relatedly, 69%</w:t>
      </w:r>
      <w:r w:rsidR="00150ACB">
        <w:rPr>
          <w:sz w:val="24"/>
          <w:szCs w:val="24"/>
        </w:rPr>
        <w:t xml:space="preserve"> of the included articles</w:t>
      </w:r>
      <w:r w:rsidRPr="002529D8">
        <w:rPr>
          <w:sz w:val="24"/>
          <w:szCs w:val="24"/>
        </w:rPr>
        <w:t xml:space="preserve"> focused on a subclinical conceptualisation of the construct. However, psychopathy is first and foremost a clinical construct; thus, the lack of available studies exploring the relationships of institutionalised samples and/or individuals who meet the threshold for a clinical diagnosis represents a significant shortcoming </w:t>
      </w:r>
      <w:r w:rsidR="00935C99">
        <w:rPr>
          <w:sz w:val="24"/>
          <w:szCs w:val="24"/>
        </w:rPr>
        <w:t>in</w:t>
      </w:r>
      <w:r w:rsidRPr="002529D8">
        <w:rPr>
          <w:sz w:val="24"/>
          <w:szCs w:val="24"/>
        </w:rPr>
        <w:t xml:space="preserve"> our current level of knowledge surrounding this topic. While clinical and trait psychopathy appear to be similar, forensic patients and prisoners differ significantly from students and individuals in the community</w:t>
      </w:r>
      <w:r w:rsidR="00935C99">
        <w:rPr>
          <w:sz w:val="24"/>
          <w:szCs w:val="24"/>
        </w:rPr>
        <w:t xml:space="preserve">, and </w:t>
      </w:r>
      <w:r w:rsidRPr="002529D8">
        <w:rPr>
          <w:sz w:val="24"/>
          <w:szCs w:val="24"/>
        </w:rPr>
        <w:t>the two kinds of samples</w:t>
      </w:r>
      <w:r w:rsidR="00150ACB">
        <w:rPr>
          <w:sz w:val="24"/>
          <w:szCs w:val="24"/>
        </w:rPr>
        <w:t xml:space="preserve"> should not</w:t>
      </w:r>
      <w:r w:rsidRPr="002529D8">
        <w:rPr>
          <w:sz w:val="24"/>
          <w:szCs w:val="24"/>
        </w:rPr>
        <w:t xml:space="preserve"> be conflated. For instance, the criminal histories of institutionalised samples </w:t>
      </w:r>
      <w:r w:rsidR="00150ACB">
        <w:rPr>
          <w:sz w:val="24"/>
          <w:szCs w:val="24"/>
        </w:rPr>
        <w:t>often</w:t>
      </w:r>
      <w:r w:rsidRPr="002529D8">
        <w:rPr>
          <w:sz w:val="24"/>
          <w:szCs w:val="24"/>
        </w:rPr>
        <w:t xml:space="preserve"> include interpersonal or intimate partner violence</w:t>
      </w:r>
      <w:r w:rsidR="00150ACB">
        <w:rPr>
          <w:sz w:val="24"/>
          <w:szCs w:val="24"/>
        </w:rPr>
        <w:t xml:space="preserve">. This </w:t>
      </w:r>
      <w:r w:rsidRPr="002529D8">
        <w:rPr>
          <w:sz w:val="24"/>
          <w:szCs w:val="24"/>
        </w:rPr>
        <w:t>may imply that maladaptive interpersonal styles are more problematic for this population than for noninstitutionalised individuals. More research is needed that explores the nature and quality of relationships for institutionalised samples and/or those who score above the diagnostic threshold for clinical psychopathy in comparison to noninstitutionalised samples and/or those who score below the clinical threshold. Th</w:t>
      </w:r>
      <w:r w:rsidR="00935C99">
        <w:rPr>
          <w:sz w:val="24"/>
          <w:szCs w:val="24"/>
        </w:rPr>
        <w:t>is research could</w:t>
      </w:r>
      <w:r w:rsidRPr="002529D8">
        <w:rPr>
          <w:sz w:val="24"/>
          <w:szCs w:val="24"/>
        </w:rPr>
        <w:t xml:space="preserve"> provide insight into how these populations differ and why some psychopathic individuals become </w:t>
      </w:r>
      <w:r w:rsidR="00BA2224">
        <w:rPr>
          <w:sz w:val="24"/>
          <w:szCs w:val="24"/>
        </w:rPr>
        <w:t xml:space="preserve">criminal </w:t>
      </w:r>
      <w:r w:rsidRPr="002529D8">
        <w:rPr>
          <w:sz w:val="24"/>
          <w:szCs w:val="24"/>
        </w:rPr>
        <w:t xml:space="preserve">offenders while others do not. Furthermore, because the </w:t>
      </w:r>
      <w:r w:rsidR="00935C99" w:rsidRPr="002529D8">
        <w:rPr>
          <w:sz w:val="24"/>
          <w:szCs w:val="24"/>
        </w:rPr>
        <w:t>leading</w:t>
      </w:r>
      <w:r w:rsidRPr="002529D8">
        <w:rPr>
          <w:sz w:val="24"/>
          <w:szCs w:val="24"/>
        </w:rPr>
        <w:t xml:space="preserve"> conceptualisation of psychopathy (Hare, 1991, 2003) is one that describes psychopath</w:t>
      </w:r>
      <w:r w:rsidR="00BA2224">
        <w:rPr>
          <w:sz w:val="24"/>
          <w:szCs w:val="24"/>
        </w:rPr>
        <w:t>ic individuals</w:t>
      </w:r>
      <w:r w:rsidRPr="002529D8">
        <w:rPr>
          <w:sz w:val="24"/>
          <w:szCs w:val="24"/>
        </w:rPr>
        <w:t xml:space="preserve"> as inherently prone to criminality, the validity of research that only examines non-offender samples or measures psychopathy using self-report instruments remains questionable, particularly if the findings are to be generalised to offender samples or individuals who meet a clinical diagnostic threshold.</w:t>
      </w:r>
    </w:p>
    <w:p w14:paraId="533EB7A6" w14:textId="77777777" w:rsidR="00BA2224" w:rsidRDefault="00D50A09" w:rsidP="00D50A09">
      <w:pPr>
        <w:spacing w:after="0" w:line="480" w:lineRule="auto"/>
        <w:rPr>
          <w:sz w:val="24"/>
          <w:szCs w:val="24"/>
        </w:rPr>
      </w:pPr>
      <w:r w:rsidRPr="002529D8">
        <w:rPr>
          <w:sz w:val="24"/>
          <w:szCs w:val="24"/>
        </w:rPr>
        <w:tab/>
        <w:t>Another knowledge gap that emerged from th</w:t>
      </w:r>
      <w:r w:rsidR="00BA2224">
        <w:rPr>
          <w:sz w:val="24"/>
          <w:szCs w:val="24"/>
        </w:rPr>
        <w:t>e REA</w:t>
      </w:r>
      <w:r w:rsidRPr="002529D8">
        <w:rPr>
          <w:sz w:val="24"/>
          <w:szCs w:val="24"/>
        </w:rPr>
        <w:t xml:space="preserve"> is underpinned by the fact that all of the included studies were conducted in Western countries. All but one of the articles originated in North America or Europe, and the remaining study was Australian. Psychopathy may manifest differently in non-Western cultures; accordingly, more research is needed that examines the relationships of psychopathic individuals that live outside these geographical areas.</w:t>
      </w:r>
      <w:r w:rsidR="00BA2224">
        <w:rPr>
          <w:sz w:val="24"/>
          <w:szCs w:val="24"/>
        </w:rPr>
        <w:t xml:space="preserve"> </w:t>
      </w:r>
    </w:p>
    <w:p w14:paraId="30124985" w14:textId="23E17641" w:rsidR="00D50A09" w:rsidRPr="002529D8" w:rsidRDefault="00D50A09" w:rsidP="00D50A09">
      <w:pPr>
        <w:spacing w:after="0" w:line="480" w:lineRule="auto"/>
        <w:rPr>
          <w:sz w:val="24"/>
          <w:szCs w:val="24"/>
        </w:rPr>
      </w:pPr>
      <w:r w:rsidRPr="002529D8">
        <w:rPr>
          <w:sz w:val="24"/>
          <w:szCs w:val="24"/>
        </w:rPr>
        <w:tab/>
        <w:t xml:space="preserve">Although the focus of </w:t>
      </w:r>
      <w:r w:rsidR="00BA2224">
        <w:rPr>
          <w:sz w:val="24"/>
          <w:szCs w:val="24"/>
        </w:rPr>
        <w:t>Study 1</w:t>
      </w:r>
      <w:r w:rsidRPr="002529D8">
        <w:rPr>
          <w:sz w:val="24"/>
          <w:szCs w:val="24"/>
        </w:rPr>
        <w:t xml:space="preserve"> was the relationships of psychopathic individuals, many of the articles yielded by the search terms examined the interpersonal behaviour of this population in short-term interactions. This interesting result may represent another significant manner in which our knowledge about these relationships is lacking. While relationships are considered to last days, weeks, or years and require a certain level of interpersonal effort to maintain, interactions are much more transient and endure only for minutes or perhaps hours. Thus, findings about psychopathic individuals’ interpersonal behaviour in short-term interactions may not provide us with sufficient information about the characteristics their relationships. While interpersonal theory asserts that interpersonal styles are enduring and consistent patterns of interacting with others (Blackburn, 1998), how these patterns impact on relationships over time remains unclear. </w:t>
      </w:r>
    </w:p>
    <w:p w14:paraId="07BB16EA" w14:textId="202412F9" w:rsidR="00D50A09" w:rsidRDefault="00D50A09" w:rsidP="00D50A09">
      <w:pPr>
        <w:spacing w:after="0" w:line="480" w:lineRule="auto"/>
        <w:rPr>
          <w:sz w:val="24"/>
          <w:szCs w:val="24"/>
        </w:rPr>
      </w:pPr>
      <w:r w:rsidRPr="002529D8">
        <w:rPr>
          <w:sz w:val="24"/>
          <w:szCs w:val="24"/>
        </w:rPr>
        <w:tab/>
        <w:t>Some studies in</w:t>
      </w:r>
      <w:r w:rsidR="00BA2224">
        <w:rPr>
          <w:sz w:val="24"/>
          <w:szCs w:val="24"/>
        </w:rPr>
        <w:t>cluded in</w:t>
      </w:r>
      <w:r w:rsidRPr="002529D8">
        <w:rPr>
          <w:sz w:val="24"/>
          <w:szCs w:val="24"/>
        </w:rPr>
        <w:t xml:space="preserve"> th</w:t>
      </w:r>
      <w:r w:rsidR="00BA2224">
        <w:rPr>
          <w:sz w:val="24"/>
          <w:szCs w:val="24"/>
        </w:rPr>
        <w:t>e</w:t>
      </w:r>
      <w:r w:rsidRPr="002529D8">
        <w:rPr>
          <w:sz w:val="24"/>
          <w:szCs w:val="24"/>
        </w:rPr>
        <w:t xml:space="preserve"> REA did examine lasting relationships for psychopathic individuals (e.g. Iyican &amp; Babcock, 2018; Kardum et al., 2017; Massar et al., 2017). However, the measures used in these studies were quantitative in nature (e.g. Experiences in Close Relationships</w:t>
      </w:r>
      <w:r w:rsidR="00BA2224">
        <w:rPr>
          <w:sz w:val="24"/>
          <w:szCs w:val="24"/>
        </w:rPr>
        <w:t xml:space="preserve"> </w:t>
      </w:r>
      <w:r w:rsidRPr="002529D8">
        <w:rPr>
          <w:sz w:val="24"/>
          <w:szCs w:val="24"/>
        </w:rPr>
        <w:t xml:space="preserve">Revised Questionnaire; Fraley, Waller, &amp; Brennan, 2000), focusing on a narrow range of relationships and defining aspects of these relationships through the use of pre-determined boundaries and characteristics. Furthermore, these quantitative instruments tend to take a transparent, self-report approach. Because psychopathy includes such behavioural traits as manipulation and deceit (Hare, 1991, 2003), self-report instruments that </w:t>
      </w:r>
      <w:r w:rsidR="00935C99">
        <w:rPr>
          <w:sz w:val="24"/>
          <w:szCs w:val="24"/>
        </w:rPr>
        <w:t>use</w:t>
      </w:r>
      <w:r w:rsidRPr="002529D8">
        <w:rPr>
          <w:sz w:val="24"/>
          <w:szCs w:val="24"/>
        </w:rPr>
        <w:t xml:space="preserve"> explicit questioning </w:t>
      </w:r>
      <w:r w:rsidR="00935C99">
        <w:rPr>
          <w:sz w:val="24"/>
          <w:szCs w:val="24"/>
        </w:rPr>
        <w:t xml:space="preserve">tactics </w:t>
      </w:r>
      <w:r w:rsidRPr="002529D8">
        <w:rPr>
          <w:sz w:val="24"/>
          <w:szCs w:val="24"/>
        </w:rPr>
        <w:t>are vulnerable to invalid responses from participants who score high on psychopathy. This highlights the need for more implicit, qualitative approaches to assessing the interpersonal relationships of psychopathic individuals. Genograms may represent one such approach.</w:t>
      </w:r>
      <w:r>
        <w:rPr>
          <w:sz w:val="24"/>
          <w:szCs w:val="24"/>
        </w:rPr>
        <w:t xml:space="preserve"> </w:t>
      </w:r>
    </w:p>
    <w:p w14:paraId="3A7ECE76" w14:textId="68475E3C" w:rsidR="00BB67FC" w:rsidRDefault="004D6938" w:rsidP="002529D8">
      <w:pPr>
        <w:spacing w:after="0" w:line="480" w:lineRule="auto"/>
        <w:ind w:firstLine="720"/>
        <w:rPr>
          <w:sz w:val="24"/>
          <w:szCs w:val="24"/>
        </w:rPr>
      </w:pPr>
      <w:r>
        <w:rPr>
          <w:sz w:val="24"/>
          <w:szCs w:val="24"/>
        </w:rPr>
        <w:t>Study 2 addressed the gaps</w:t>
      </w:r>
      <w:r w:rsidR="00BA2224">
        <w:rPr>
          <w:sz w:val="24"/>
          <w:szCs w:val="24"/>
        </w:rPr>
        <w:t xml:space="preserve"> and shortcomings</w:t>
      </w:r>
      <w:r>
        <w:rPr>
          <w:sz w:val="24"/>
          <w:szCs w:val="24"/>
        </w:rPr>
        <w:t xml:space="preserve"> identified in </w:t>
      </w:r>
      <w:r w:rsidR="00BA2224">
        <w:rPr>
          <w:sz w:val="24"/>
          <w:szCs w:val="24"/>
        </w:rPr>
        <w:t>the REA</w:t>
      </w:r>
      <w:r>
        <w:rPr>
          <w:sz w:val="24"/>
          <w:szCs w:val="24"/>
        </w:rPr>
        <w:t xml:space="preserve"> by quantitatively and qualitatively exploring th</w:t>
      </w:r>
      <w:r w:rsidRPr="004D6938">
        <w:rPr>
          <w:sz w:val="24"/>
          <w:szCs w:val="24"/>
        </w:rPr>
        <w:t>e extent, nature, and quality of interpersonal relationships in psychopathy.</w:t>
      </w:r>
      <w:r w:rsidR="00F0703A">
        <w:rPr>
          <w:sz w:val="24"/>
          <w:szCs w:val="24"/>
        </w:rPr>
        <w:t xml:space="preserve"> </w:t>
      </w:r>
      <w:r w:rsidR="00CA7A8A" w:rsidRPr="00BB71AE">
        <w:rPr>
          <w:sz w:val="24"/>
          <w:szCs w:val="24"/>
        </w:rPr>
        <w:t xml:space="preserve">Use of the ACL </w:t>
      </w:r>
      <w:r w:rsidR="00090197">
        <w:rPr>
          <w:sz w:val="24"/>
          <w:szCs w:val="24"/>
        </w:rPr>
        <w:t xml:space="preserve">genograms </w:t>
      </w:r>
      <w:r w:rsidR="00CA7A8A" w:rsidRPr="00BB71AE">
        <w:rPr>
          <w:sz w:val="24"/>
          <w:szCs w:val="24"/>
        </w:rPr>
        <w:t>allowed for unique insight into</w:t>
      </w:r>
      <w:r w:rsidR="00CA7A8A">
        <w:rPr>
          <w:sz w:val="24"/>
          <w:szCs w:val="24"/>
        </w:rPr>
        <w:t xml:space="preserve"> </w:t>
      </w:r>
      <w:r w:rsidR="00E73465">
        <w:rPr>
          <w:sz w:val="24"/>
          <w:szCs w:val="24"/>
        </w:rPr>
        <w:t>how possibly psychopathic individuals perceive their own relationships.</w:t>
      </w:r>
      <w:r w:rsidR="00FB11A0">
        <w:rPr>
          <w:sz w:val="24"/>
          <w:szCs w:val="24"/>
        </w:rPr>
        <w:t xml:space="preserve"> Genograms may be particularly effective with populations who are not typically forthcoming in verbal interviews</w:t>
      </w:r>
      <w:r w:rsidR="00935C99">
        <w:rPr>
          <w:sz w:val="24"/>
          <w:szCs w:val="24"/>
        </w:rPr>
        <w:t>: w</w:t>
      </w:r>
      <w:r w:rsidR="00FB11A0">
        <w:rPr>
          <w:sz w:val="24"/>
          <w:szCs w:val="24"/>
        </w:rPr>
        <w:t>hile some of the ACL interview responses utilised in Study 2 were quite abbreviated in nature, the genogram responses were consistently rich across all participants.</w:t>
      </w:r>
    </w:p>
    <w:p w14:paraId="59D74C49" w14:textId="77777777" w:rsidR="00692314" w:rsidRPr="00692314" w:rsidRDefault="00692314" w:rsidP="00692314">
      <w:pPr>
        <w:spacing w:after="0" w:line="480" w:lineRule="auto"/>
        <w:ind w:firstLine="720"/>
        <w:rPr>
          <w:sz w:val="24"/>
          <w:szCs w:val="24"/>
        </w:rPr>
      </w:pPr>
      <w:r w:rsidRPr="00692314">
        <w:rPr>
          <w:sz w:val="24"/>
          <w:szCs w:val="24"/>
        </w:rPr>
        <w:t>As anticipated, forensic psychiatric patients scored significantly higher than students on psychopathy as measured by the PCL:SV (total score, Factor 1, and Factor 2). The hypotheses that increased PCL:SV total score would predict a smaller number of overall, positive, and negative interpersonal relationships was partially supported. For both patients and students, increased total psychopathy score predicted fewer positive relationships. However, contrary to what was predicted, increased total psychopathy score also predicted a greater number of negative relationships in the student sample. Upon deeper analysis, this unexpected finding appeared to be due to the influence of Factor 2, as Factor 1 did not have an effect on number of negative relationships, while Factor 2 predicted a greater number of negative relationships. Meanwhile, as anticipated, increased Factor 2 score predicted a smaller number of positive relationships in the patient sample. Factor 1 had no effect on number of overall, positive, or negative relationships for this group, but increased Factor 1 score did predict a smaller number of intimate relationships for the patient group (no relationship was found between Factor 1 score and number of intimate relationships in the student sample).</w:t>
      </w:r>
    </w:p>
    <w:p w14:paraId="33967F3C" w14:textId="7FBCD2D4" w:rsidR="00692314" w:rsidRDefault="00692314" w:rsidP="00692314">
      <w:pPr>
        <w:spacing w:after="0" w:line="480" w:lineRule="auto"/>
        <w:rPr>
          <w:sz w:val="24"/>
          <w:szCs w:val="24"/>
        </w:rPr>
      </w:pPr>
      <w:r>
        <w:rPr>
          <w:sz w:val="24"/>
          <w:szCs w:val="24"/>
        </w:rPr>
        <w:tab/>
        <w:t>Contrary to what was hypothesised, the quantitative data did not support the hypothesis that increased Factor 1 score</w:t>
      </w:r>
      <w:r>
        <w:rPr>
          <w:sz w:val="24"/>
          <w:szCs w:val="24"/>
        </w:rPr>
        <w:t>s</w:t>
      </w:r>
      <w:r>
        <w:rPr>
          <w:sz w:val="24"/>
          <w:szCs w:val="24"/>
        </w:rPr>
        <w:t xml:space="preserve"> would predict a smaller number of close relationships. However, the qualitative data showed that participants who scored above the threshold for possible psychopathy (total score) were less likely to describe their relationships as ‘good’ or ‘close’ than those who scored below the PCL:SV threshold for possible psychopathy. This discrepancy may indicate that Factor 2 score has a stronger effect on the quality and extent of one’s interpersonal relationships; alternatively, the qualitative nature of the ACL interview may be more successful than genograms at capturing these aspects of interpersonal relationships.</w:t>
      </w:r>
    </w:p>
    <w:p w14:paraId="2F9BFE29" w14:textId="6B85373A" w:rsidR="00692314" w:rsidRDefault="00692314" w:rsidP="00692314">
      <w:pPr>
        <w:spacing w:after="0" w:line="480" w:lineRule="auto"/>
        <w:rPr>
          <w:sz w:val="24"/>
          <w:szCs w:val="24"/>
        </w:rPr>
      </w:pPr>
      <w:r>
        <w:rPr>
          <w:sz w:val="24"/>
          <w:szCs w:val="24"/>
        </w:rPr>
        <w:tab/>
      </w:r>
      <w:r>
        <w:rPr>
          <w:sz w:val="24"/>
          <w:szCs w:val="24"/>
        </w:rPr>
        <w:t>Regarding</w:t>
      </w:r>
      <w:r>
        <w:rPr>
          <w:sz w:val="24"/>
          <w:szCs w:val="24"/>
        </w:rPr>
        <w:t xml:space="preserve"> the nature of interpersonal relationships in psychopathic individuals</w:t>
      </w:r>
      <w:r>
        <w:rPr>
          <w:sz w:val="24"/>
          <w:szCs w:val="24"/>
        </w:rPr>
        <w:t xml:space="preserve">, </w:t>
      </w:r>
      <w:r>
        <w:rPr>
          <w:sz w:val="24"/>
          <w:szCs w:val="24"/>
        </w:rPr>
        <w:t>the qualitative analyses indicate</w:t>
      </w:r>
      <w:r>
        <w:rPr>
          <w:sz w:val="24"/>
          <w:szCs w:val="24"/>
        </w:rPr>
        <w:t>d</w:t>
      </w:r>
      <w:r>
        <w:rPr>
          <w:sz w:val="24"/>
          <w:szCs w:val="24"/>
        </w:rPr>
        <w:t xml:space="preserve"> that, as predicted, participants who scored above the threshold for possible psychopathy used positively </w:t>
      </w:r>
      <w:r w:rsidR="006120E3">
        <w:rPr>
          <w:sz w:val="24"/>
          <w:szCs w:val="24"/>
        </w:rPr>
        <w:t>influenced</w:t>
      </w:r>
      <w:r>
        <w:rPr>
          <w:sz w:val="24"/>
          <w:szCs w:val="24"/>
        </w:rPr>
        <w:t xml:space="preserve"> descriptors (support, stability, history, connection, and trust) significantly less frequently than participants who are not psychopathic. </w:t>
      </w:r>
      <w:r w:rsidRPr="00431415">
        <w:rPr>
          <w:sz w:val="24"/>
          <w:szCs w:val="24"/>
        </w:rPr>
        <w:t>The lower relative frequency of these descriptors in the possibly psychopathic group are consistent with the assertion of Love and Holder (2016) that psychopathy is associated with poor relationship quality. This finding is also supported by historical conceptualisations of psychopathy (e.g. Cleckley, 1941; Hare, 1991, 2003)</w:t>
      </w:r>
      <w:r>
        <w:rPr>
          <w:sz w:val="24"/>
          <w:szCs w:val="24"/>
        </w:rPr>
        <w:t>,</w:t>
      </w:r>
      <w:r w:rsidRPr="00431415">
        <w:rPr>
          <w:sz w:val="24"/>
          <w:szCs w:val="24"/>
        </w:rPr>
        <w:t xml:space="preserve"> which emphasise the parasitic, manipulative, impulsive, and irresponsible manner in which these individuals move through life</w:t>
      </w:r>
      <w:r>
        <w:rPr>
          <w:sz w:val="24"/>
          <w:szCs w:val="24"/>
        </w:rPr>
        <w:t xml:space="preserve"> while failing to form meaningful long-term relationships. </w:t>
      </w:r>
    </w:p>
    <w:p w14:paraId="230C4963" w14:textId="7D01C1DB" w:rsidR="00FB11A0" w:rsidRPr="00CA7A8A" w:rsidRDefault="00FB11A0" w:rsidP="00F0703A">
      <w:pPr>
        <w:spacing w:after="0" w:line="480" w:lineRule="auto"/>
        <w:ind w:firstLine="720"/>
        <w:rPr>
          <w:sz w:val="24"/>
          <w:szCs w:val="24"/>
        </w:rPr>
      </w:pPr>
      <w:r>
        <w:rPr>
          <w:sz w:val="24"/>
          <w:szCs w:val="24"/>
        </w:rPr>
        <w:t>According to attachment theory and associated empirical research, psychopathy is linked to insecure attachment and a lack of attachment bonds (</w:t>
      </w:r>
      <w:r w:rsidRPr="00FB11A0">
        <w:rPr>
          <w:sz w:val="24"/>
          <w:szCs w:val="24"/>
        </w:rPr>
        <w:t>Christian et al., 2018; Frodi et al., 2001</w:t>
      </w:r>
      <w:r>
        <w:rPr>
          <w:sz w:val="24"/>
          <w:szCs w:val="24"/>
        </w:rPr>
        <w:t xml:space="preserve">). </w:t>
      </w:r>
      <w:r w:rsidR="007D6375">
        <w:rPr>
          <w:sz w:val="24"/>
          <w:szCs w:val="24"/>
        </w:rPr>
        <w:t>Specifically, tentative support has emerged in the literature regarding the associations between Factor 1 and attachment avoidance (</w:t>
      </w:r>
      <w:r w:rsidR="007D6375" w:rsidRPr="007D6375">
        <w:rPr>
          <w:sz w:val="24"/>
          <w:szCs w:val="24"/>
        </w:rPr>
        <w:t xml:space="preserve">Blanchard &amp; Lyons, 2016; </w:t>
      </w:r>
      <w:r w:rsidR="007D6375">
        <w:rPr>
          <w:sz w:val="24"/>
          <w:szCs w:val="24"/>
        </w:rPr>
        <w:t xml:space="preserve">Brewer et al., 2018; Christian et al., 2017; </w:t>
      </w:r>
      <w:r w:rsidR="007D6375" w:rsidRPr="007D6375">
        <w:rPr>
          <w:sz w:val="24"/>
          <w:szCs w:val="24"/>
        </w:rPr>
        <w:t>Conradi et al., 2016</w:t>
      </w:r>
      <w:r w:rsidR="007D6375">
        <w:rPr>
          <w:sz w:val="24"/>
          <w:szCs w:val="24"/>
        </w:rPr>
        <w:t>) and Factor 2 and attachment anxiety (</w:t>
      </w:r>
      <w:r w:rsidR="007D6375" w:rsidRPr="007D6375">
        <w:rPr>
          <w:sz w:val="24"/>
          <w:szCs w:val="24"/>
        </w:rPr>
        <w:t xml:space="preserve">Blanchard &amp; Lyons, 2016; </w:t>
      </w:r>
      <w:r w:rsidR="007D6375">
        <w:rPr>
          <w:sz w:val="24"/>
          <w:szCs w:val="24"/>
        </w:rPr>
        <w:t xml:space="preserve">Brewer et al., 2018; Christian et al., 2017; </w:t>
      </w:r>
      <w:r w:rsidR="007D6375" w:rsidRPr="007D6375">
        <w:rPr>
          <w:sz w:val="24"/>
          <w:szCs w:val="24"/>
        </w:rPr>
        <w:t>Mack et al., 2011</w:t>
      </w:r>
      <w:r w:rsidR="007D6375">
        <w:rPr>
          <w:sz w:val="24"/>
          <w:szCs w:val="24"/>
        </w:rPr>
        <w:t>). In the current study</w:t>
      </w:r>
      <w:r w:rsidR="00604E67">
        <w:rPr>
          <w:sz w:val="24"/>
          <w:szCs w:val="24"/>
        </w:rPr>
        <w:t xml:space="preserve">, </w:t>
      </w:r>
      <w:r w:rsidR="0015211A">
        <w:rPr>
          <w:sz w:val="24"/>
          <w:szCs w:val="24"/>
        </w:rPr>
        <w:t xml:space="preserve">ACL genograms and interview data </w:t>
      </w:r>
      <w:r w:rsidR="00692314">
        <w:rPr>
          <w:sz w:val="24"/>
          <w:szCs w:val="24"/>
        </w:rPr>
        <w:t xml:space="preserve">did </w:t>
      </w:r>
      <w:r w:rsidR="0015211A">
        <w:rPr>
          <w:sz w:val="24"/>
          <w:szCs w:val="24"/>
        </w:rPr>
        <w:t xml:space="preserve">demonstrate a link between </w:t>
      </w:r>
      <w:r w:rsidR="00604E67">
        <w:rPr>
          <w:sz w:val="24"/>
          <w:szCs w:val="24"/>
        </w:rPr>
        <w:t xml:space="preserve">psychopathy </w:t>
      </w:r>
      <w:r w:rsidR="0015211A">
        <w:rPr>
          <w:sz w:val="24"/>
          <w:szCs w:val="24"/>
        </w:rPr>
        <w:t>and</w:t>
      </w:r>
      <w:r w:rsidR="00604E67">
        <w:rPr>
          <w:sz w:val="24"/>
          <w:szCs w:val="24"/>
        </w:rPr>
        <w:t xml:space="preserve"> lack of attachment bonds</w:t>
      </w:r>
      <w:r w:rsidR="0015211A">
        <w:rPr>
          <w:sz w:val="24"/>
          <w:szCs w:val="24"/>
        </w:rPr>
        <w:t>. Furthermore</w:t>
      </w:r>
      <w:r w:rsidR="00692314">
        <w:rPr>
          <w:sz w:val="24"/>
          <w:szCs w:val="24"/>
        </w:rPr>
        <w:t xml:space="preserve">, the finding that </w:t>
      </w:r>
      <w:r w:rsidR="007D6375">
        <w:rPr>
          <w:sz w:val="24"/>
          <w:szCs w:val="24"/>
        </w:rPr>
        <w:t xml:space="preserve">Factor 1 was associated with fewer intimate relationships and Factor 2 </w:t>
      </w:r>
      <w:r w:rsidR="00692314">
        <w:rPr>
          <w:sz w:val="24"/>
          <w:szCs w:val="24"/>
        </w:rPr>
        <w:t>to poorer quality relationships,</w:t>
      </w:r>
      <w:r w:rsidR="007D6375">
        <w:rPr>
          <w:sz w:val="24"/>
          <w:szCs w:val="24"/>
        </w:rPr>
        <w:t xml:space="preserve"> provide additional support for the </w:t>
      </w:r>
      <w:r w:rsidR="00BA2224">
        <w:rPr>
          <w:sz w:val="24"/>
          <w:szCs w:val="24"/>
        </w:rPr>
        <w:t>associations</w:t>
      </w:r>
      <w:r w:rsidR="007D6375">
        <w:rPr>
          <w:sz w:val="24"/>
          <w:szCs w:val="24"/>
        </w:rPr>
        <w:t xml:space="preserve"> that have been proposed in the literature, as they demonstrate that individuals who score high on </w:t>
      </w:r>
      <w:r w:rsidR="0015211A">
        <w:rPr>
          <w:sz w:val="24"/>
          <w:szCs w:val="24"/>
        </w:rPr>
        <w:t xml:space="preserve">psychopathy tend to have relationships that are more negative both in quantity and quality. If these findings are interpreted through the lens of attachment theory, it can be </w:t>
      </w:r>
      <w:r w:rsidR="009E75A5">
        <w:rPr>
          <w:sz w:val="24"/>
          <w:szCs w:val="24"/>
        </w:rPr>
        <w:t>speculated</w:t>
      </w:r>
      <w:r w:rsidR="0015211A">
        <w:rPr>
          <w:sz w:val="24"/>
          <w:szCs w:val="24"/>
        </w:rPr>
        <w:t xml:space="preserve"> that those who score high on </w:t>
      </w:r>
      <w:r w:rsidR="007D6375">
        <w:rPr>
          <w:sz w:val="24"/>
          <w:szCs w:val="24"/>
        </w:rPr>
        <w:t xml:space="preserve">Factor 1 </w:t>
      </w:r>
      <w:r w:rsidR="0015211A">
        <w:rPr>
          <w:sz w:val="24"/>
          <w:szCs w:val="24"/>
        </w:rPr>
        <w:t xml:space="preserve">may </w:t>
      </w:r>
      <w:r w:rsidR="007D6375">
        <w:rPr>
          <w:sz w:val="24"/>
          <w:szCs w:val="24"/>
        </w:rPr>
        <w:t>tend to avoid intimacy</w:t>
      </w:r>
      <w:r w:rsidR="00604E67">
        <w:rPr>
          <w:sz w:val="24"/>
          <w:szCs w:val="24"/>
        </w:rPr>
        <w:t xml:space="preserve"> (Christian et al., 2017)</w:t>
      </w:r>
      <w:r w:rsidR="007D6375">
        <w:rPr>
          <w:sz w:val="24"/>
          <w:szCs w:val="24"/>
        </w:rPr>
        <w:t xml:space="preserve">, while those who score high on Factor 2 </w:t>
      </w:r>
      <w:r w:rsidR="0015211A">
        <w:rPr>
          <w:sz w:val="24"/>
          <w:szCs w:val="24"/>
        </w:rPr>
        <w:t xml:space="preserve">may </w:t>
      </w:r>
      <w:r w:rsidR="007D6375">
        <w:rPr>
          <w:sz w:val="24"/>
          <w:szCs w:val="24"/>
        </w:rPr>
        <w:t>behave in such a way that the quality of their interpersonal relationships is negatively impacted (e.g. relationship jealousy and subsequent over-compensatory behaviours) (Massar et al., 2017).</w:t>
      </w:r>
    </w:p>
    <w:p w14:paraId="707FAB88" w14:textId="620280C2" w:rsidR="006C6574" w:rsidRDefault="005F3286" w:rsidP="00C507AE">
      <w:pPr>
        <w:spacing w:after="0" w:line="480" w:lineRule="auto"/>
        <w:rPr>
          <w:sz w:val="24"/>
          <w:szCs w:val="24"/>
        </w:rPr>
      </w:pPr>
      <w:r>
        <w:rPr>
          <w:sz w:val="24"/>
          <w:szCs w:val="24"/>
        </w:rPr>
        <w:tab/>
        <w:t xml:space="preserve">The results of Study 2 </w:t>
      </w:r>
      <w:r w:rsidR="00CF4A36">
        <w:rPr>
          <w:sz w:val="24"/>
          <w:szCs w:val="24"/>
        </w:rPr>
        <w:t xml:space="preserve">also </w:t>
      </w:r>
      <w:r w:rsidR="00AC0B43">
        <w:rPr>
          <w:sz w:val="24"/>
          <w:szCs w:val="24"/>
        </w:rPr>
        <w:t>lend support to interpersonal theory’s perspective of psychopathy, which places this personality type in the hostile-dominant quadrant of the interpersonal circle.</w:t>
      </w:r>
      <w:r w:rsidR="00FA5AAE">
        <w:rPr>
          <w:sz w:val="24"/>
          <w:szCs w:val="24"/>
        </w:rPr>
        <w:t xml:space="preserve"> As a result of their inadequate attachment bonds, psychopathic individuals are said to perceive and expect hostility from others, subsequently behaving in a way that elicits this reaction from the other person (Carson, 1979). This interpersonal style represents a pattern through which all interactions and relationships are approached. Thus, interpersonal theory infers that psychopathic individuals experience relationships that are few in quantity and poor in quality. </w:t>
      </w:r>
      <w:r w:rsidR="00C62C9C">
        <w:rPr>
          <w:sz w:val="24"/>
          <w:szCs w:val="24"/>
        </w:rPr>
        <w:t xml:space="preserve">Overall, </w:t>
      </w:r>
      <w:r w:rsidR="00752465">
        <w:rPr>
          <w:sz w:val="24"/>
          <w:szCs w:val="24"/>
        </w:rPr>
        <w:t>the findings of Study 2 support this notion</w:t>
      </w:r>
      <w:r w:rsidR="00692314">
        <w:rPr>
          <w:sz w:val="24"/>
          <w:szCs w:val="24"/>
        </w:rPr>
        <w:t xml:space="preserve"> in the finding that </w:t>
      </w:r>
      <w:r w:rsidR="00C62C9C">
        <w:rPr>
          <w:sz w:val="24"/>
          <w:szCs w:val="24"/>
        </w:rPr>
        <w:t xml:space="preserve">participants who are possibly psychopathic have fewer positive relationships and fewer intimate relationships, and </w:t>
      </w:r>
      <w:r w:rsidR="00103D81">
        <w:rPr>
          <w:sz w:val="24"/>
          <w:szCs w:val="24"/>
        </w:rPr>
        <w:t xml:space="preserve">they </w:t>
      </w:r>
      <w:r w:rsidR="00C62C9C">
        <w:rPr>
          <w:sz w:val="24"/>
          <w:szCs w:val="24"/>
        </w:rPr>
        <w:t>use positive relationship descriptors with less frequency than non-psychopathic participants.</w:t>
      </w:r>
    </w:p>
    <w:p w14:paraId="2C887E08" w14:textId="6ADD0B4C" w:rsidR="006305F2" w:rsidRDefault="006305F2" w:rsidP="006305F2">
      <w:pPr>
        <w:spacing w:after="0" w:line="480" w:lineRule="auto"/>
        <w:jc w:val="center"/>
        <w:rPr>
          <w:b/>
          <w:sz w:val="24"/>
          <w:szCs w:val="24"/>
        </w:rPr>
      </w:pPr>
      <w:r>
        <w:rPr>
          <w:b/>
          <w:sz w:val="24"/>
          <w:szCs w:val="24"/>
        </w:rPr>
        <w:t>Limitations</w:t>
      </w:r>
    </w:p>
    <w:p w14:paraId="270C19A1" w14:textId="522F9B45" w:rsidR="006305F2" w:rsidRDefault="006305F2" w:rsidP="006305F2">
      <w:pPr>
        <w:spacing w:after="0" w:line="480" w:lineRule="auto"/>
        <w:ind w:firstLine="720"/>
        <w:rPr>
          <w:sz w:val="24"/>
          <w:szCs w:val="24"/>
        </w:rPr>
      </w:pPr>
      <w:r>
        <w:rPr>
          <w:sz w:val="24"/>
          <w:szCs w:val="24"/>
        </w:rPr>
        <w:t xml:space="preserve">This </w:t>
      </w:r>
      <w:r w:rsidR="009E75A5">
        <w:rPr>
          <w:sz w:val="24"/>
          <w:szCs w:val="24"/>
        </w:rPr>
        <w:t>research</w:t>
      </w:r>
      <w:r>
        <w:rPr>
          <w:sz w:val="24"/>
          <w:szCs w:val="24"/>
        </w:rPr>
        <w:t xml:space="preserve"> is not without limitations. Although the results provide support for the findings of previous studies linking psychopathy with poor relationship quality (e.g. </w:t>
      </w:r>
      <w:r w:rsidRPr="00F54780">
        <w:rPr>
          <w:sz w:val="24"/>
          <w:szCs w:val="24"/>
        </w:rPr>
        <w:t xml:space="preserve">Love &amp; Holder, 2016; Ullrich, </w:t>
      </w:r>
      <w:r>
        <w:rPr>
          <w:sz w:val="24"/>
          <w:szCs w:val="24"/>
        </w:rPr>
        <w:t>et al.,</w:t>
      </w:r>
      <w:r w:rsidRPr="00F54780">
        <w:rPr>
          <w:sz w:val="24"/>
          <w:szCs w:val="24"/>
        </w:rPr>
        <w:t xml:space="preserve"> 2008</w:t>
      </w:r>
      <w:r>
        <w:rPr>
          <w:sz w:val="24"/>
          <w:szCs w:val="24"/>
        </w:rPr>
        <w:t xml:space="preserve">), without being able to compare participants’ self-reported perceptions of their relationships to the perceptions of the other members of these relationship dyads, it is not possible to ascertain whether the participants’ perceptions align with those of the other person or if they diverge from how the other person </w:t>
      </w:r>
      <w:r w:rsidR="009E75A5">
        <w:rPr>
          <w:sz w:val="24"/>
          <w:szCs w:val="24"/>
        </w:rPr>
        <w:t>views</w:t>
      </w:r>
      <w:r>
        <w:rPr>
          <w:sz w:val="24"/>
          <w:szCs w:val="24"/>
        </w:rPr>
        <w:t xml:space="preserve"> the relationship. In addition, the ACL genogram approach is relatively new and under-researched, particularly with the challenging population of forensic psychiatric patients. It is unclear whether </w:t>
      </w:r>
      <w:r w:rsidR="009E75A5">
        <w:rPr>
          <w:sz w:val="24"/>
          <w:szCs w:val="24"/>
        </w:rPr>
        <w:t xml:space="preserve">all </w:t>
      </w:r>
      <w:r>
        <w:rPr>
          <w:sz w:val="24"/>
          <w:szCs w:val="24"/>
        </w:rPr>
        <w:t xml:space="preserve">participants fully understood the instructions for the genogram task, and it is not possible to determine whether the number of relationships they recorded </w:t>
      </w:r>
      <w:r w:rsidR="009E75A5">
        <w:rPr>
          <w:sz w:val="24"/>
          <w:szCs w:val="24"/>
        </w:rPr>
        <w:t>was</w:t>
      </w:r>
      <w:r>
        <w:rPr>
          <w:sz w:val="24"/>
          <w:szCs w:val="24"/>
        </w:rPr>
        <w:t xml:space="preserve"> accurate. Their responses may represent inaccurate reporting—for instance, due to fatigue or disinterest. Furthermore, across both samples, participants may have drawn genograms for the same person across multiple categories (e.g. ‘friend’ and ‘colleague’; ‘colleague’ and ‘intimate partner’), </w:t>
      </w:r>
      <w:r w:rsidR="00772233">
        <w:rPr>
          <w:sz w:val="24"/>
          <w:szCs w:val="24"/>
        </w:rPr>
        <w:t xml:space="preserve">which could </w:t>
      </w:r>
      <w:r>
        <w:rPr>
          <w:sz w:val="24"/>
          <w:szCs w:val="24"/>
        </w:rPr>
        <w:t>invalidat</w:t>
      </w:r>
      <w:r w:rsidR="00772233">
        <w:rPr>
          <w:sz w:val="24"/>
          <w:szCs w:val="24"/>
        </w:rPr>
        <w:t>e</w:t>
      </w:r>
      <w:r>
        <w:rPr>
          <w:sz w:val="24"/>
          <w:szCs w:val="24"/>
        </w:rPr>
        <w:t xml:space="preserve"> to a certain extent the number of relationships depicted.</w:t>
      </w:r>
    </w:p>
    <w:p w14:paraId="0A14FE14" w14:textId="203E185D" w:rsidR="006305F2" w:rsidRPr="006305F2" w:rsidRDefault="009E75A5" w:rsidP="006305F2">
      <w:pPr>
        <w:spacing w:after="0" w:line="480" w:lineRule="auto"/>
        <w:ind w:firstLine="720"/>
        <w:rPr>
          <w:sz w:val="24"/>
          <w:szCs w:val="24"/>
        </w:rPr>
      </w:pPr>
      <w:r>
        <w:rPr>
          <w:sz w:val="24"/>
          <w:szCs w:val="24"/>
        </w:rPr>
        <w:t>Study 2</w:t>
      </w:r>
      <w:r w:rsidR="006305F2">
        <w:rPr>
          <w:sz w:val="24"/>
          <w:szCs w:val="24"/>
        </w:rPr>
        <w:t xml:space="preserve"> attempted to address some of the shortcomings identified </w:t>
      </w:r>
      <w:r>
        <w:rPr>
          <w:sz w:val="24"/>
          <w:szCs w:val="24"/>
        </w:rPr>
        <w:t>by Study 1</w:t>
      </w:r>
      <w:r w:rsidR="00F42121">
        <w:rPr>
          <w:sz w:val="24"/>
          <w:szCs w:val="24"/>
        </w:rPr>
        <w:t xml:space="preserve"> by </w:t>
      </w:r>
      <w:r w:rsidR="006305F2">
        <w:rPr>
          <w:sz w:val="24"/>
          <w:szCs w:val="24"/>
        </w:rPr>
        <w:t>includ</w:t>
      </w:r>
      <w:r w:rsidR="00F42121">
        <w:rPr>
          <w:sz w:val="24"/>
          <w:szCs w:val="24"/>
        </w:rPr>
        <w:t>ing</w:t>
      </w:r>
      <w:r w:rsidR="006305F2">
        <w:rPr>
          <w:sz w:val="24"/>
          <w:szCs w:val="24"/>
        </w:rPr>
        <w:t xml:space="preserve"> the use of an instrument designed to measure clinical psychopathy</w:t>
      </w:r>
      <w:r>
        <w:rPr>
          <w:sz w:val="24"/>
          <w:szCs w:val="24"/>
        </w:rPr>
        <w:t xml:space="preserve"> (PCL:SV)</w:t>
      </w:r>
      <w:r w:rsidR="006305F2">
        <w:rPr>
          <w:sz w:val="24"/>
          <w:szCs w:val="24"/>
        </w:rPr>
        <w:t xml:space="preserve"> rather than rel</w:t>
      </w:r>
      <w:r>
        <w:rPr>
          <w:sz w:val="24"/>
          <w:szCs w:val="24"/>
        </w:rPr>
        <w:t>iance</w:t>
      </w:r>
      <w:r w:rsidR="006305F2">
        <w:rPr>
          <w:sz w:val="24"/>
          <w:szCs w:val="24"/>
        </w:rPr>
        <w:t xml:space="preserve"> on a self-report measure of trait (subclinical) psychopathy. However, the PCL:SV is a screening tool, not a diagnostic instrument. Therefore, the grouping of participants into ‘possibly psychopathic’ and ‘not psychopathic’ groups represents a tentative approach to classifying participants and cannot be regarded as</w:t>
      </w:r>
      <w:r>
        <w:rPr>
          <w:sz w:val="24"/>
          <w:szCs w:val="24"/>
        </w:rPr>
        <w:t xml:space="preserve"> a</w:t>
      </w:r>
      <w:r w:rsidR="006305F2">
        <w:rPr>
          <w:sz w:val="24"/>
          <w:szCs w:val="24"/>
        </w:rPr>
        <w:t xml:space="preserve"> definitive judgement.</w:t>
      </w:r>
    </w:p>
    <w:p w14:paraId="79EE2738" w14:textId="67BC1B5E" w:rsidR="00E62AD9" w:rsidRDefault="00E62AD9" w:rsidP="00786D87">
      <w:pPr>
        <w:spacing w:after="0" w:line="480" w:lineRule="auto"/>
        <w:jc w:val="center"/>
        <w:rPr>
          <w:b/>
          <w:sz w:val="24"/>
          <w:szCs w:val="24"/>
        </w:rPr>
      </w:pPr>
      <w:r>
        <w:rPr>
          <w:b/>
          <w:sz w:val="24"/>
          <w:szCs w:val="24"/>
        </w:rPr>
        <w:t>Conclusions</w:t>
      </w:r>
      <w:r w:rsidR="00F22355">
        <w:rPr>
          <w:b/>
          <w:sz w:val="24"/>
          <w:szCs w:val="24"/>
        </w:rPr>
        <w:t xml:space="preserve"> </w:t>
      </w:r>
    </w:p>
    <w:p w14:paraId="36459D3C" w14:textId="201DF3F9" w:rsidR="00B71E76" w:rsidRPr="008B5273" w:rsidRDefault="00D14842" w:rsidP="00B71E76">
      <w:pPr>
        <w:spacing w:after="0" w:line="480" w:lineRule="auto"/>
        <w:rPr>
          <w:sz w:val="24"/>
          <w:szCs w:val="24"/>
        </w:rPr>
      </w:pPr>
      <w:r>
        <w:rPr>
          <w:b/>
          <w:sz w:val="24"/>
          <w:szCs w:val="24"/>
        </w:rPr>
        <w:tab/>
      </w:r>
      <w:r w:rsidR="008B5273">
        <w:rPr>
          <w:sz w:val="24"/>
          <w:szCs w:val="24"/>
        </w:rPr>
        <w:t>Th</w:t>
      </w:r>
      <w:r w:rsidR="009E75A5">
        <w:rPr>
          <w:sz w:val="24"/>
          <w:szCs w:val="24"/>
        </w:rPr>
        <w:t>is research</w:t>
      </w:r>
      <w:r w:rsidR="008B5273">
        <w:rPr>
          <w:sz w:val="24"/>
          <w:szCs w:val="24"/>
        </w:rPr>
        <w:t xml:space="preserve"> ha</w:t>
      </w:r>
      <w:r w:rsidR="009E75A5">
        <w:rPr>
          <w:sz w:val="24"/>
          <w:szCs w:val="24"/>
        </w:rPr>
        <w:t>s</w:t>
      </w:r>
      <w:r w:rsidR="008B5273">
        <w:rPr>
          <w:sz w:val="24"/>
          <w:szCs w:val="24"/>
        </w:rPr>
        <w:t xml:space="preserve"> identified and attempted to address some of the shortcomings that are present in the existing literature on the topic of psychopathy, including the reliance on quantitative measures of subclinical psychopathy in non-forensic samples and the tendency to disregard psychopathic participants’ own perceptions of their interpersonal relationships. The results of Study 2 provide support for conceptualisations of psychopathy driven by attachment theory and interpersonal theory, as well as the use of qualitative measures such as the ACL assessment</w:t>
      </w:r>
      <w:r w:rsidR="00084EC3">
        <w:rPr>
          <w:sz w:val="24"/>
          <w:szCs w:val="24"/>
        </w:rPr>
        <w:t xml:space="preserve"> (Ireland &amp; Ireland, 2014)</w:t>
      </w:r>
      <w:r w:rsidR="008B5273">
        <w:rPr>
          <w:sz w:val="24"/>
          <w:szCs w:val="24"/>
        </w:rPr>
        <w:t xml:space="preserve"> to explore this</w:t>
      </w:r>
      <w:r w:rsidR="00084EC3">
        <w:rPr>
          <w:sz w:val="24"/>
          <w:szCs w:val="24"/>
        </w:rPr>
        <w:t xml:space="preserve"> poorly understood</w:t>
      </w:r>
      <w:r w:rsidR="008B5273">
        <w:rPr>
          <w:sz w:val="24"/>
          <w:szCs w:val="24"/>
        </w:rPr>
        <w:t xml:space="preserve"> construct. Future research should build on these findings by administering the ACL to other forensic populations, in conjunction with the use of an established diagnostic instrument such as the PCL-R (Hare, 1991, 2003). Through</w:t>
      </w:r>
      <w:r w:rsidR="003071F7">
        <w:rPr>
          <w:sz w:val="24"/>
          <w:szCs w:val="24"/>
        </w:rPr>
        <w:t xml:space="preserve"> the repetition of</w:t>
      </w:r>
      <w:r w:rsidR="008B5273">
        <w:rPr>
          <w:sz w:val="24"/>
          <w:szCs w:val="24"/>
        </w:rPr>
        <w:t xml:space="preserve"> this nuanced approach to examining psychopathy, </w:t>
      </w:r>
      <w:r w:rsidR="003071F7">
        <w:rPr>
          <w:sz w:val="24"/>
          <w:szCs w:val="24"/>
        </w:rPr>
        <w:t xml:space="preserve">researchers may gain much-needed additional insight into the interpersonal aspects of psychopathy. By better understanding the interpersonal </w:t>
      </w:r>
      <w:r w:rsidR="00084EC3">
        <w:rPr>
          <w:sz w:val="24"/>
          <w:szCs w:val="24"/>
        </w:rPr>
        <w:t>traits and relationships</w:t>
      </w:r>
      <w:r w:rsidR="003071F7">
        <w:rPr>
          <w:sz w:val="24"/>
          <w:szCs w:val="24"/>
        </w:rPr>
        <w:t xml:space="preserve"> of psychopathic individuals, targeted interventions may be designed and implemented in order to improve the interpersonal behaviour and relationships of this challenging forensic population.</w:t>
      </w:r>
    </w:p>
    <w:p w14:paraId="1401B3C6" w14:textId="2091EDDF" w:rsidR="00786D87" w:rsidRPr="00333C5F" w:rsidRDefault="00786D87" w:rsidP="00786D87">
      <w:pPr>
        <w:spacing w:after="0" w:line="480" w:lineRule="auto"/>
        <w:jc w:val="center"/>
        <w:rPr>
          <w:b/>
          <w:sz w:val="24"/>
          <w:szCs w:val="24"/>
        </w:rPr>
      </w:pPr>
      <w:r w:rsidRPr="00333C5F">
        <w:rPr>
          <w:b/>
          <w:sz w:val="24"/>
          <w:szCs w:val="24"/>
        </w:rPr>
        <w:t>References</w:t>
      </w:r>
    </w:p>
    <w:p w14:paraId="0751695D" w14:textId="3CA3AFFC" w:rsidR="004D5FD8" w:rsidRDefault="004D5FD8" w:rsidP="004D5FD8">
      <w:pPr>
        <w:spacing w:after="0" w:line="480" w:lineRule="auto"/>
        <w:rPr>
          <w:sz w:val="24"/>
          <w:szCs w:val="24"/>
        </w:rPr>
      </w:pPr>
      <w:bookmarkStart w:id="7" w:name="_Hlk513325857"/>
      <w:r w:rsidRPr="004D5FD8">
        <w:rPr>
          <w:sz w:val="24"/>
          <w:szCs w:val="24"/>
        </w:rPr>
        <w:t>Barends, E., Rousseau, D.</w:t>
      </w:r>
      <w:r>
        <w:rPr>
          <w:sz w:val="24"/>
          <w:szCs w:val="24"/>
        </w:rPr>
        <w:t xml:space="preserve"> </w:t>
      </w:r>
      <w:r w:rsidRPr="004D5FD8">
        <w:rPr>
          <w:sz w:val="24"/>
          <w:szCs w:val="24"/>
        </w:rPr>
        <w:t>M.</w:t>
      </w:r>
      <w:r>
        <w:rPr>
          <w:sz w:val="24"/>
          <w:szCs w:val="24"/>
        </w:rPr>
        <w:t>,</w:t>
      </w:r>
      <w:r w:rsidRPr="004D5FD8">
        <w:rPr>
          <w:sz w:val="24"/>
          <w:szCs w:val="24"/>
        </w:rPr>
        <w:t xml:space="preserve"> &amp; Briner, R.</w:t>
      </w:r>
      <w:r>
        <w:rPr>
          <w:sz w:val="24"/>
          <w:szCs w:val="24"/>
        </w:rPr>
        <w:t xml:space="preserve"> </w:t>
      </w:r>
      <w:r w:rsidRPr="004D5FD8">
        <w:rPr>
          <w:sz w:val="24"/>
          <w:szCs w:val="24"/>
        </w:rPr>
        <w:t xml:space="preserve">B. (Eds). (2017). </w:t>
      </w:r>
      <w:r w:rsidRPr="004D5FD8">
        <w:rPr>
          <w:i/>
          <w:sz w:val="24"/>
          <w:szCs w:val="24"/>
        </w:rPr>
        <w:t xml:space="preserve">CEBMa Guideline for Rapid </w:t>
      </w:r>
      <w:r w:rsidR="00665ECB">
        <w:rPr>
          <w:i/>
          <w:sz w:val="24"/>
          <w:szCs w:val="24"/>
        </w:rPr>
        <w:tab/>
      </w:r>
      <w:r w:rsidRPr="004D5FD8">
        <w:rPr>
          <w:i/>
          <w:sz w:val="24"/>
          <w:szCs w:val="24"/>
        </w:rPr>
        <w:t>Evidence Assessments in Management and Organizations, Version 1.0</w:t>
      </w:r>
      <w:r w:rsidRPr="004D5FD8">
        <w:rPr>
          <w:sz w:val="24"/>
          <w:szCs w:val="24"/>
        </w:rPr>
        <w:t xml:space="preserve">. </w:t>
      </w:r>
      <w:r>
        <w:rPr>
          <w:sz w:val="24"/>
          <w:szCs w:val="24"/>
        </w:rPr>
        <w:t xml:space="preserve">Amsterdam: </w:t>
      </w:r>
      <w:r w:rsidR="00665ECB">
        <w:rPr>
          <w:sz w:val="24"/>
          <w:szCs w:val="24"/>
        </w:rPr>
        <w:tab/>
      </w:r>
      <w:r w:rsidRPr="004D5FD8">
        <w:rPr>
          <w:sz w:val="24"/>
          <w:szCs w:val="24"/>
        </w:rPr>
        <w:t>Center for Evidence Based</w:t>
      </w:r>
      <w:r>
        <w:rPr>
          <w:sz w:val="24"/>
          <w:szCs w:val="24"/>
        </w:rPr>
        <w:t xml:space="preserve"> </w:t>
      </w:r>
      <w:r w:rsidRPr="004D5FD8">
        <w:rPr>
          <w:sz w:val="24"/>
          <w:szCs w:val="24"/>
        </w:rPr>
        <w:t>Management</w:t>
      </w:r>
      <w:r>
        <w:rPr>
          <w:sz w:val="24"/>
          <w:szCs w:val="24"/>
        </w:rPr>
        <w:t xml:space="preserve">. Retrieved from </w:t>
      </w:r>
      <w:r w:rsidR="00665ECB" w:rsidRPr="00665ECB">
        <w:rPr>
          <w:sz w:val="24"/>
          <w:szCs w:val="24"/>
        </w:rPr>
        <w:t>https://www.cebma.org/wp-</w:t>
      </w:r>
      <w:r w:rsidR="00665ECB">
        <w:rPr>
          <w:sz w:val="24"/>
          <w:szCs w:val="24"/>
        </w:rPr>
        <w:tab/>
      </w:r>
      <w:r w:rsidRPr="004D5FD8">
        <w:rPr>
          <w:sz w:val="24"/>
          <w:szCs w:val="24"/>
        </w:rPr>
        <w:t>content/uploads/CEBMa-REA-Guideline.pdf</w:t>
      </w:r>
    </w:p>
    <w:p w14:paraId="7503196A" w14:textId="17121CB2" w:rsidR="00192DF4" w:rsidRDefault="00192DF4" w:rsidP="00FC4968">
      <w:pPr>
        <w:spacing w:after="0" w:line="480" w:lineRule="auto"/>
        <w:rPr>
          <w:rFonts w:ascii="Times New Roman" w:hAnsi="Times New Roman" w:cs="Times New Roman"/>
          <w:sz w:val="24"/>
        </w:rPr>
      </w:pPr>
      <w:r w:rsidRPr="001B4978">
        <w:rPr>
          <w:rFonts w:ascii="Times New Roman" w:hAnsi="Times New Roman" w:cs="Times New Roman"/>
          <w:sz w:val="24"/>
        </w:rPr>
        <w:t xml:space="preserve">Blackburn, R. (1998). Psychopathy and personality disorder: Implications of interpersonal </w:t>
      </w:r>
      <w:r w:rsidRPr="001B4978">
        <w:rPr>
          <w:rFonts w:ascii="Times New Roman" w:hAnsi="Times New Roman" w:cs="Times New Roman"/>
          <w:sz w:val="24"/>
        </w:rPr>
        <w:tab/>
        <w:t xml:space="preserve">theory. In D. J. Cooke, A. E. Forth, &amp; R. D. Hare (Eds.), </w:t>
      </w:r>
      <w:r w:rsidRPr="001B4978">
        <w:rPr>
          <w:rFonts w:ascii="Times New Roman" w:hAnsi="Times New Roman" w:cs="Times New Roman"/>
          <w:i/>
          <w:sz w:val="24"/>
        </w:rPr>
        <w:t xml:space="preserve">Psychopathy: Theory, </w:t>
      </w:r>
      <w:r w:rsidRPr="001B4978">
        <w:rPr>
          <w:rFonts w:ascii="Times New Roman" w:hAnsi="Times New Roman" w:cs="Times New Roman"/>
          <w:i/>
          <w:sz w:val="24"/>
        </w:rPr>
        <w:tab/>
        <w:t>research, and implications for society</w:t>
      </w:r>
      <w:r w:rsidRPr="001B4978">
        <w:rPr>
          <w:rFonts w:ascii="Times New Roman" w:hAnsi="Times New Roman" w:cs="Times New Roman"/>
          <w:sz w:val="24"/>
        </w:rPr>
        <w:t xml:space="preserve"> (pp. 269-302). Dordrecht, Netherlands: Kluwer </w:t>
      </w:r>
      <w:r>
        <w:rPr>
          <w:rFonts w:ascii="Times New Roman" w:hAnsi="Times New Roman" w:cs="Times New Roman"/>
          <w:sz w:val="24"/>
        </w:rPr>
        <w:tab/>
      </w:r>
      <w:r w:rsidRPr="001B4978">
        <w:rPr>
          <w:rFonts w:ascii="Times New Roman" w:hAnsi="Times New Roman" w:cs="Times New Roman"/>
          <w:sz w:val="24"/>
        </w:rPr>
        <w:t xml:space="preserve">Academic Publishers. </w:t>
      </w:r>
    </w:p>
    <w:p w14:paraId="050342C7" w14:textId="78767F6B" w:rsidR="00DC4391" w:rsidRDefault="00DC4391" w:rsidP="00FC4968">
      <w:pPr>
        <w:spacing w:after="0" w:line="480" w:lineRule="auto"/>
        <w:rPr>
          <w:sz w:val="24"/>
          <w:szCs w:val="24"/>
        </w:rPr>
      </w:pPr>
      <w:r w:rsidRPr="00DC4391">
        <w:rPr>
          <w:sz w:val="24"/>
          <w:szCs w:val="24"/>
        </w:rPr>
        <w:t xml:space="preserve">Blackburn, R., Logan, C., Renwick, S. J., &amp; Donnelly, J. P. (2005). Higher-order dimensions of </w:t>
      </w:r>
      <w:r>
        <w:rPr>
          <w:sz w:val="24"/>
          <w:szCs w:val="24"/>
        </w:rPr>
        <w:tab/>
      </w:r>
      <w:r w:rsidRPr="00DC4391">
        <w:rPr>
          <w:sz w:val="24"/>
          <w:szCs w:val="24"/>
        </w:rPr>
        <w:t xml:space="preserve">personality disorder: Hierarchical structure and relationships with the Five-Factor Model, </w:t>
      </w:r>
      <w:r>
        <w:rPr>
          <w:sz w:val="24"/>
          <w:szCs w:val="24"/>
        </w:rPr>
        <w:tab/>
      </w:r>
      <w:r w:rsidRPr="00DC4391">
        <w:rPr>
          <w:sz w:val="24"/>
          <w:szCs w:val="24"/>
        </w:rPr>
        <w:t xml:space="preserve">the Interpersonal Circle, and psychopathy. </w:t>
      </w:r>
      <w:r w:rsidRPr="00DC4391">
        <w:rPr>
          <w:i/>
          <w:sz w:val="24"/>
          <w:szCs w:val="24"/>
        </w:rPr>
        <w:t>Journal of Personality Disorders, 19</w:t>
      </w:r>
      <w:r w:rsidRPr="00DC4391">
        <w:rPr>
          <w:sz w:val="24"/>
          <w:szCs w:val="24"/>
        </w:rPr>
        <w:t>(6), 597-</w:t>
      </w:r>
      <w:r>
        <w:rPr>
          <w:sz w:val="24"/>
          <w:szCs w:val="24"/>
        </w:rPr>
        <w:tab/>
      </w:r>
      <w:r w:rsidRPr="00DC4391">
        <w:rPr>
          <w:sz w:val="24"/>
          <w:szCs w:val="24"/>
        </w:rPr>
        <w:t>623. doi: 10.1521/pedi.2005.19.6.597</w:t>
      </w:r>
    </w:p>
    <w:p w14:paraId="006DD9AD" w14:textId="76D57AA6" w:rsidR="006079CE" w:rsidRDefault="006079CE" w:rsidP="00FC4968">
      <w:pPr>
        <w:spacing w:after="0" w:line="480" w:lineRule="auto"/>
        <w:rPr>
          <w:sz w:val="24"/>
          <w:szCs w:val="24"/>
        </w:rPr>
      </w:pPr>
      <w:r w:rsidRPr="006079CE">
        <w:rPr>
          <w:sz w:val="24"/>
          <w:szCs w:val="24"/>
        </w:rPr>
        <w:t xml:space="preserve">Blackburn, R., &amp; Maybury, C. (1985). Identifying the psychopath: The relation of Cleckley’s </w:t>
      </w:r>
      <w:r w:rsidR="00693FB5">
        <w:rPr>
          <w:sz w:val="24"/>
          <w:szCs w:val="24"/>
        </w:rPr>
        <w:tab/>
      </w:r>
      <w:r w:rsidRPr="006079CE">
        <w:rPr>
          <w:sz w:val="24"/>
          <w:szCs w:val="24"/>
        </w:rPr>
        <w:t xml:space="preserve">criteria to the interpersonal domain. </w:t>
      </w:r>
      <w:r w:rsidRPr="006079CE">
        <w:rPr>
          <w:i/>
          <w:sz w:val="24"/>
          <w:szCs w:val="24"/>
        </w:rPr>
        <w:t>Personality and Individual Differences, 6</w:t>
      </w:r>
      <w:r w:rsidRPr="006079CE">
        <w:rPr>
          <w:sz w:val="24"/>
          <w:szCs w:val="24"/>
        </w:rPr>
        <w:t>(3), 375-</w:t>
      </w:r>
      <w:r w:rsidR="00693FB5">
        <w:rPr>
          <w:sz w:val="24"/>
          <w:szCs w:val="24"/>
        </w:rPr>
        <w:tab/>
      </w:r>
      <w:r w:rsidRPr="006079CE">
        <w:rPr>
          <w:sz w:val="24"/>
          <w:szCs w:val="24"/>
        </w:rPr>
        <w:t>386. doi: 10.1016/0191-8869(85)90062-5</w:t>
      </w:r>
    </w:p>
    <w:p w14:paraId="76CF29F6" w14:textId="55F6F727" w:rsidR="00523381" w:rsidRDefault="00523381" w:rsidP="00FC4968">
      <w:pPr>
        <w:spacing w:after="0" w:line="480" w:lineRule="auto"/>
        <w:rPr>
          <w:sz w:val="24"/>
          <w:szCs w:val="24"/>
        </w:rPr>
      </w:pPr>
      <w:r w:rsidRPr="00523381">
        <w:rPr>
          <w:sz w:val="24"/>
          <w:szCs w:val="24"/>
        </w:rPr>
        <w:t xml:space="preserve">Blair, J., Mitchel, D., &amp; Blair, K. (2005). </w:t>
      </w:r>
      <w:r w:rsidRPr="00523381">
        <w:rPr>
          <w:i/>
          <w:sz w:val="24"/>
          <w:szCs w:val="24"/>
        </w:rPr>
        <w:t>The psychopath: Emotion and the brain</w:t>
      </w:r>
      <w:r w:rsidRPr="00523381">
        <w:rPr>
          <w:sz w:val="24"/>
          <w:szCs w:val="24"/>
        </w:rPr>
        <w:t xml:space="preserve">. Malden, MA: </w:t>
      </w:r>
      <w:r>
        <w:rPr>
          <w:sz w:val="24"/>
          <w:szCs w:val="24"/>
        </w:rPr>
        <w:tab/>
      </w:r>
      <w:r w:rsidRPr="00523381">
        <w:rPr>
          <w:sz w:val="24"/>
          <w:szCs w:val="24"/>
        </w:rPr>
        <w:t>Blackwell.</w:t>
      </w:r>
    </w:p>
    <w:p w14:paraId="6C37E13D" w14:textId="29451078" w:rsidR="005F4336" w:rsidRDefault="005F4336" w:rsidP="005F4336">
      <w:pPr>
        <w:spacing w:after="0" w:line="480" w:lineRule="auto"/>
        <w:rPr>
          <w:sz w:val="24"/>
          <w:szCs w:val="24"/>
        </w:rPr>
      </w:pPr>
      <w:r w:rsidRPr="005F4336">
        <w:rPr>
          <w:sz w:val="24"/>
          <w:szCs w:val="24"/>
        </w:rPr>
        <w:t xml:space="preserve">Bowlby, J. (1979). </w:t>
      </w:r>
      <w:r w:rsidRPr="005F4336">
        <w:rPr>
          <w:i/>
          <w:sz w:val="24"/>
          <w:szCs w:val="24"/>
        </w:rPr>
        <w:t>The making and breaking of affectional bonds</w:t>
      </w:r>
      <w:r w:rsidRPr="005F4336">
        <w:rPr>
          <w:sz w:val="24"/>
          <w:szCs w:val="24"/>
        </w:rPr>
        <w:t>. New</w:t>
      </w:r>
      <w:r>
        <w:rPr>
          <w:sz w:val="24"/>
          <w:szCs w:val="24"/>
        </w:rPr>
        <w:t xml:space="preserve"> </w:t>
      </w:r>
      <w:r w:rsidRPr="005F4336">
        <w:rPr>
          <w:sz w:val="24"/>
          <w:szCs w:val="24"/>
        </w:rPr>
        <w:t>York: Tavistock.</w:t>
      </w:r>
    </w:p>
    <w:p w14:paraId="74314D91" w14:textId="268C5714" w:rsidR="009A5CB7" w:rsidRDefault="009A5CB7" w:rsidP="009A5CB7">
      <w:pPr>
        <w:spacing w:after="0" w:line="480" w:lineRule="auto"/>
        <w:rPr>
          <w:sz w:val="24"/>
          <w:szCs w:val="24"/>
        </w:rPr>
      </w:pPr>
      <w:r w:rsidRPr="009A5CB7">
        <w:rPr>
          <w:sz w:val="24"/>
          <w:szCs w:val="24"/>
        </w:rPr>
        <w:t xml:space="preserve">Bowlby, J. (1982). </w:t>
      </w:r>
      <w:r w:rsidRPr="005F4336">
        <w:rPr>
          <w:i/>
          <w:sz w:val="24"/>
          <w:szCs w:val="24"/>
        </w:rPr>
        <w:t>Attachment and loss: Vol. 1. Attachment</w:t>
      </w:r>
      <w:r w:rsidRPr="009A5CB7">
        <w:rPr>
          <w:sz w:val="24"/>
          <w:szCs w:val="24"/>
        </w:rPr>
        <w:t>. New York:</w:t>
      </w:r>
      <w:r>
        <w:rPr>
          <w:sz w:val="24"/>
          <w:szCs w:val="24"/>
        </w:rPr>
        <w:t xml:space="preserve"> </w:t>
      </w:r>
      <w:r w:rsidRPr="009A5CB7">
        <w:rPr>
          <w:sz w:val="24"/>
          <w:szCs w:val="24"/>
        </w:rPr>
        <w:t xml:space="preserve">Basic Books. (Original </w:t>
      </w:r>
      <w:r w:rsidR="005F4336">
        <w:rPr>
          <w:sz w:val="24"/>
          <w:szCs w:val="24"/>
        </w:rPr>
        <w:tab/>
      </w:r>
      <w:r w:rsidRPr="009A5CB7">
        <w:rPr>
          <w:sz w:val="24"/>
          <w:szCs w:val="24"/>
        </w:rPr>
        <w:t>work published 1969)</w:t>
      </w:r>
    </w:p>
    <w:p w14:paraId="37B87DA0" w14:textId="59AA503A" w:rsidR="00693FB5" w:rsidRDefault="00693FB5" w:rsidP="00FC4968">
      <w:pPr>
        <w:spacing w:after="0" w:line="480" w:lineRule="auto"/>
        <w:rPr>
          <w:sz w:val="24"/>
          <w:szCs w:val="24"/>
        </w:rPr>
      </w:pPr>
      <w:r w:rsidRPr="00693FB5">
        <w:rPr>
          <w:sz w:val="24"/>
          <w:szCs w:val="24"/>
        </w:rPr>
        <w:t xml:space="preserve">Brewer, G., Bennett, C., Davidson, L., Ireen, A., Phipps, A., Stewart-Wilkes, D., &amp; Wilson, B. </w:t>
      </w:r>
      <w:r>
        <w:rPr>
          <w:sz w:val="24"/>
          <w:szCs w:val="24"/>
        </w:rPr>
        <w:tab/>
      </w:r>
      <w:r w:rsidRPr="00693FB5">
        <w:rPr>
          <w:sz w:val="24"/>
          <w:szCs w:val="24"/>
        </w:rPr>
        <w:t xml:space="preserve">(2018). Dark Triad traits and romantic relationship attachment, accommodation, and </w:t>
      </w:r>
      <w:r>
        <w:rPr>
          <w:sz w:val="24"/>
          <w:szCs w:val="24"/>
        </w:rPr>
        <w:tab/>
      </w:r>
      <w:r w:rsidRPr="00693FB5">
        <w:rPr>
          <w:sz w:val="24"/>
          <w:szCs w:val="24"/>
        </w:rPr>
        <w:t xml:space="preserve">control. </w:t>
      </w:r>
      <w:r w:rsidRPr="00693FB5">
        <w:rPr>
          <w:i/>
          <w:sz w:val="24"/>
          <w:szCs w:val="24"/>
        </w:rPr>
        <w:t>Personality and Individual Differences, 120</w:t>
      </w:r>
      <w:r w:rsidRPr="00693FB5">
        <w:rPr>
          <w:sz w:val="24"/>
          <w:szCs w:val="24"/>
        </w:rPr>
        <w:t xml:space="preserve">, 202-208. doi: </w:t>
      </w:r>
      <w:r>
        <w:rPr>
          <w:sz w:val="24"/>
          <w:szCs w:val="24"/>
        </w:rPr>
        <w:tab/>
      </w:r>
      <w:r w:rsidRPr="00693FB5">
        <w:rPr>
          <w:sz w:val="24"/>
          <w:szCs w:val="24"/>
        </w:rPr>
        <w:t>10.1016/j.paid.2017.09.008</w:t>
      </w:r>
    </w:p>
    <w:p w14:paraId="728CFA51" w14:textId="05779DC1" w:rsidR="00192DF4" w:rsidRPr="00192DF4" w:rsidRDefault="00192DF4" w:rsidP="00FC4968">
      <w:pPr>
        <w:spacing w:after="0" w:line="480" w:lineRule="auto"/>
        <w:rPr>
          <w:sz w:val="24"/>
          <w:szCs w:val="24"/>
        </w:rPr>
      </w:pPr>
      <w:r w:rsidRPr="00192DF4">
        <w:rPr>
          <w:sz w:val="24"/>
          <w:szCs w:val="24"/>
        </w:rPr>
        <w:t>Carson, R. C. (1979). Personality and exchange in developing relationships. In R. L.</w:t>
      </w:r>
      <w:r>
        <w:rPr>
          <w:sz w:val="24"/>
          <w:szCs w:val="24"/>
        </w:rPr>
        <w:tab/>
      </w:r>
      <w:r>
        <w:rPr>
          <w:sz w:val="24"/>
          <w:szCs w:val="24"/>
        </w:rPr>
        <w:tab/>
      </w:r>
    </w:p>
    <w:p w14:paraId="75D4ADF0" w14:textId="5C76E4D8" w:rsidR="00192DF4" w:rsidRPr="00B12BED" w:rsidRDefault="00192DF4" w:rsidP="00FC4968">
      <w:pPr>
        <w:spacing w:after="0" w:line="480" w:lineRule="auto"/>
        <w:ind w:firstLine="720"/>
        <w:rPr>
          <w:i/>
          <w:sz w:val="24"/>
          <w:szCs w:val="24"/>
        </w:rPr>
      </w:pPr>
      <w:r w:rsidRPr="00192DF4">
        <w:rPr>
          <w:sz w:val="24"/>
          <w:szCs w:val="24"/>
        </w:rPr>
        <w:t xml:space="preserve">Burgess &amp; T. L. Huston (Eds.), </w:t>
      </w:r>
      <w:r w:rsidRPr="00192DF4">
        <w:rPr>
          <w:i/>
          <w:sz w:val="24"/>
          <w:szCs w:val="24"/>
        </w:rPr>
        <w:t xml:space="preserve">Social </w:t>
      </w:r>
      <w:r w:rsidR="00B12BED">
        <w:rPr>
          <w:i/>
          <w:sz w:val="24"/>
          <w:szCs w:val="24"/>
        </w:rPr>
        <w:t>e</w:t>
      </w:r>
      <w:r w:rsidRPr="00192DF4">
        <w:rPr>
          <w:i/>
          <w:sz w:val="24"/>
          <w:szCs w:val="24"/>
        </w:rPr>
        <w:t xml:space="preserve">xchange in </w:t>
      </w:r>
      <w:r w:rsidR="00B12BED">
        <w:rPr>
          <w:i/>
          <w:sz w:val="24"/>
          <w:szCs w:val="24"/>
        </w:rPr>
        <w:t>d</w:t>
      </w:r>
      <w:r w:rsidRPr="00192DF4">
        <w:rPr>
          <w:i/>
          <w:sz w:val="24"/>
          <w:szCs w:val="24"/>
        </w:rPr>
        <w:t xml:space="preserve">eveloping </w:t>
      </w:r>
      <w:r w:rsidR="00B12BED">
        <w:rPr>
          <w:i/>
          <w:sz w:val="24"/>
          <w:szCs w:val="24"/>
        </w:rPr>
        <w:t>r</w:t>
      </w:r>
      <w:r w:rsidRPr="00192DF4">
        <w:rPr>
          <w:i/>
          <w:sz w:val="24"/>
          <w:szCs w:val="24"/>
        </w:rPr>
        <w:t>elationshi</w:t>
      </w:r>
      <w:r>
        <w:rPr>
          <w:i/>
          <w:sz w:val="24"/>
          <w:szCs w:val="24"/>
        </w:rPr>
        <w:t>ps</w:t>
      </w:r>
      <w:r w:rsidRPr="00192DF4">
        <w:rPr>
          <w:sz w:val="24"/>
          <w:szCs w:val="24"/>
        </w:rPr>
        <w:t xml:space="preserve"> (pp.</w:t>
      </w:r>
      <w:r>
        <w:rPr>
          <w:sz w:val="24"/>
          <w:szCs w:val="24"/>
        </w:rPr>
        <w:t xml:space="preserve"> </w:t>
      </w:r>
      <w:r w:rsidRPr="00192DF4">
        <w:rPr>
          <w:sz w:val="24"/>
          <w:szCs w:val="24"/>
        </w:rPr>
        <w:t>247-</w:t>
      </w:r>
      <w:r>
        <w:rPr>
          <w:sz w:val="24"/>
          <w:szCs w:val="24"/>
        </w:rPr>
        <w:tab/>
      </w:r>
      <w:r w:rsidRPr="00192DF4">
        <w:rPr>
          <w:sz w:val="24"/>
          <w:szCs w:val="24"/>
        </w:rPr>
        <w:t>269). New</w:t>
      </w:r>
      <w:r>
        <w:rPr>
          <w:sz w:val="24"/>
          <w:szCs w:val="24"/>
        </w:rPr>
        <w:t xml:space="preserve"> </w:t>
      </w:r>
      <w:r w:rsidRPr="00192DF4">
        <w:rPr>
          <w:sz w:val="24"/>
          <w:szCs w:val="24"/>
        </w:rPr>
        <w:t>York: Academic Press.</w:t>
      </w:r>
    </w:p>
    <w:p w14:paraId="7287CF34" w14:textId="40C15695" w:rsidR="00693FB5" w:rsidRDefault="00693FB5" w:rsidP="00FC4968">
      <w:pPr>
        <w:spacing w:after="0" w:line="480" w:lineRule="auto"/>
        <w:rPr>
          <w:sz w:val="24"/>
          <w:szCs w:val="24"/>
        </w:rPr>
      </w:pPr>
      <w:r w:rsidRPr="00693FB5">
        <w:rPr>
          <w:sz w:val="24"/>
          <w:szCs w:val="24"/>
        </w:rPr>
        <w:t xml:space="preserve">Christian, E., Sellbom, M., &amp; Wilkinson, R. B. (2017). Clarifying the associations between </w:t>
      </w:r>
      <w:r>
        <w:rPr>
          <w:sz w:val="24"/>
          <w:szCs w:val="24"/>
        </w:rPr>
        <w:tab/>
      </w:r>
      <w:r w:rsidRPr="00693FB5">
        <w:rPr>
          <w:sz w:val="24"/>
          <w:szCs w:val="24"/>
        </w:rPr>
        <w:t xml:space="preserve">individual differences in general attachment styles and psychopathy. </w:t>
      </w:r>
      <w:r w:rsidRPr="00693FB5">
        <w:rPr>
          <w:i/>
          <w:sz w:val="24"/>
          <w:szCs w:val="24"/>
        </w:rPr>
        <w:t xml:space="preserve">Personality </w:t>
      </w:r>
      <w:r>
        <w:rPr>
          <w:i/>
          <w:sz w:val="24"/>
          <w:szCs w:val="24"/>
        </w:rPr>
        <w:tab/>
      </w:r>
      <w:r w:rsidRPr="00693FB5">
        <w:rPr>
          <w:i/>
          <w:sz w:val="24"/>
          <w:szCs w:val="24"/>
        </w:rPr>
        <w:t>Disorders: Theory, Research, and Treatment, 8</w:t>
      </w:r>
      <w:r w:rsidRPr="00693FB5">
        <w:rPr>
          <w:sz w:val="24"/>
          <w:szCs w:val="24"/>
        </w:rPr>
        <w:t>(4), 329-339. doi: 10.1037/per0000206</w:t>
      </w:r>
    </w:p>
    <w:p w14:paraId="542367EC" w14:textId="43C3CF5E" w:rsidR="00A12286" w:rsidRDefault="00A12286" w:rsidP="00FC4968">
      <w:pPr>
        <w:spacing w:after="0" w:line="480" w:lineRule="auto"/>
        <w:rPr>
          <w:sz w:val="24"/>
          <w:szCs w:val="24"/>
        </w:rPr>
      </w:pPr>
      <w:r w:rsidRPr="00A12286">
        <w:rPr>
          <w:sz w:val="24"/>
          <w:szCs w:val="24"/>
        </w:rPr>
        <w:t xml:space="preserve">Christian, E., Sellbom, M., &amp; Wilkinson, R. B. (2018). Is psychopathy associated with deficits in </w:t>
      </w:r>
      <w:r>
        <w:rPr>
          <w:sz w:val="24"/>
          <w:szCs w:val="24"/>
        </w:rPr>
        <w:tab/>
      </w:r>
      <w:r w:rsidRPr="00A12286">
        <w:rPr>
          <w:sz w:val="24"/>
          <w:szCs w:val="24"/>
        </w:rPr>
        <w:t xml:space="preserve">bonding in an adult noninstitutionalized sample? The association between intimate social </w:t>
      </w:r>
      <w:r>
        <w:rPr>
          <w:sz w:val="24"/>
          <w:szCs w:val="24"/>
        </w:rPr>
        <w:tab/>
      </w:r>
      <w:r w:rsidRPr="00A12286">
        <w:rPr>
          <w:sz w:val="24"/>
          <w:szCs w:val="24"/>
        </w:rPr>
        <w:t xml:space="preserve">network size, attachment behavior, and psychopathy. </w:t>
      </w:r>
      <w:r w:rsidRPr="00A12286">
        <w:rPr>
          <w:i/>
          <w:sz w:val="24"/>
          <w:szCs w:val="24"/>
        </w:rPr>
        <w:t xml:space="preserve">Journal of Social and Personal </w:t>
      </w:r>
      <w:r w:rsidRPr="00A12286">
        <w:rPr>
          <w:i/>
          <w:sz w:val="24"/>
          <w:szCs w:val="24"/>
        </w:rPr>
        <w:tab/>
        <w:t>Relationships</w:t>
      </w:r>
      <w:r w:rsidRPr="00A12286">
        <w:rPr>
          <w:sz w:val="24"/>
          <w:szCs w:val="24"/>
        </w:rPr>
        <w:t>, 1-19. doi: 10.1177/0265407518775239.</w:t>
      </w:r>
    </w:p>
    <w:p w14:paraId="6B58745E" w14:textId="415201B8" w:rsidR="00523381" w:rsidRDefault="00523381" w:rsidP="00FC4968">
      <w:pPr>
        <w:spacing w:after="0" w:line="480" w:lineRule="auto"/>
        <w:rPr>
          <w:sz w:val="24"/>
          <w:szCs w:val="24"/>
        </w:rPr>
      </w:pPr>
      <w:r w:rsidRPr="00523381">
        <w:rPr>
          <w:sz w:val="24"/>
          <w:szCs w:val="24"/>
        </w:rPr>
        <w:t xml:space="preserve">Cleckley, H. (1941). </w:t>
      </w:r>
      <w:r w:rsidRPr="00523381">
        <w:rPr>
          <w:i/>
          <w:sz w:val="24"/>
          <w:szCs w:val="24"/>
        </w:rPr>
        <w:t>The mask of sanity</w:t>
      </w:r>
      <w:r w:rsidRPr="00523381">
        <w:rPr>
          <w:sz w:val="24"/>
          <w:szCs w:val="24"/>
        </w:rPr>
        <w:t>. St. Louis, MO: Mosby.</w:t>
      </w:r>
    </w:p>
    <w:p w14:paraId="5B2ED5D5" w14:textId="4B893F91" w:rsidR="00B12BED" w:rsidRDefault="00B12BED" w:rsidP="00FC4968">
      <w:pPr>
        <w:spacing w:after="0" w:line="480" w:lineRule="auto"/>
        <w:rPr>
          <w:sz w:val="24"/>
          <w:szCs w:val="24"/>
        </w:rPr>
      </w:pPr>
      <w:r>
        <w:rPr>
          <w:sz w:val="24"/>
          <w:szCs w:val="24"/>
        </w:rPr>
        <w:t xml:space="preserve">Coid, J., Yang, M., Ullrich, S., Roberts, A., &amp; Hare, R. D. (2009). </w:t>
      </w:r>
      <w:r w:rsidRPr="00B12BED">
        <w:rPr>
          <w:sz w:val="24"/>
          <w:szCs w:val="24"/>
        </w:rPr>
        <w:t xml:space="preserve">Prevalence and </w:t>
      </w:r>
      <w:r w:rsidRPr="00B12BED">
        <w:rPr>
          <w:sz w:val="24"/>
          <w:szCs w:val="24"/>
        </w:rPr>
        <w:tab/>
        <w:t xml:space="preserve">correlates </w:t>
      </w:r>
      <w:r w:rsidRPr="00B12BED">
        <w:rPr>
          <w:sz w:val="24"/>
          <w:szCs w:val="24"/>
        </w:rPr>
        <w:tab/>
        <w:t xml:space="preserve">of psychopathic traits in the household population of Great Britain. </w:t>
      </w:r>
      <w:r w:rsidRPr="00B12BED">
        <w:rPr>
          <w:i/>
          <w:sz w:val="24"/>
          <w:szCs w:val="24"/>
        </w:rPr>
        <w:t xml:space="preserve">International Journal </w:t>
      </w:r>
      <w:r w:rsidRPr="00B12BED">
        <w:rPr>
          <w:i/>
          <w:sz w:val="24"/>
          <w:szCs w:val="24"/>
        </w:rPr>
        <w:tab/>
        <w:t>of Law and Psychiatry, 32</w:t>
      </w:r>
      <w:r w:rsidRPr="00B12BED">
        <w:rPr>
          <w:sz w:val="24"/>
          <w:szCs w:val="24"/>
        </w:rPr>
        <w:t>(2), 65-73. doi: 10.1016/j.ijlp.2009.01.002</w:t>
      </w:r>
    </w:p>
    <w:p w14:paraId="60326F4E" w14:textId="41E55C40" w:rsidR="00947B9D" w:rsidRDefault="00947B9D" w:rsidP="00FC4968">
      <w:pPr>
        <w:spacing w:after="0" w:line="480" w:lineRule="auto"/>
        <w:rPr>
          <w:sz w:val="24"/>
          <w:szCs w:val="24"/>
        </w:rPr>
      </w:pPr>
      <w:r>
        <w:rPr>
          <w:sz w:val="24"/>
          <w:szCs w:val="24"/>
        </w:rPr>
        <w:t xml:space="preserve">Coid, J., Yang, M., Ullrich, S., Roberts, A., Moran, P., Bebbington, P.,…Hare, R. (2009). </w:t>
      </w:r>
      <w:r>
        <w:rPr>
          <w:sz w:val="24"/>
          <w:szCs w:val="24"/>
        </w:rPr>
        <w:tab/>
        <w:t xml:space="preserve">Psychopathy among prisoners in England and Wales. </w:t>
      </w:r>
      <w:r>
        <w:rPr>
          <w:i/>
          <w:sz w:val="24"/>
          <w:szCs w:val="24"/>
        </w:rPr>
        <w:t xml:space="preserve">International Journal of Law and </w:t>
      </w:r>
      <w:r>
        <w:rPr>
          <w:i/>
          <w:sz w:val="24"/>
          <w:szCs w:val="24"/>
        </w:rPr>
        <w:tab/>
        <w:t>Psychiatry, 32</w:t>
      </w:r>
      <w:r>
        <w:rPr>
          <w:sz w:val="24"/>
          <w:szCs w:val="24"/>
        </w:rPr>
        <w:t>(3), 134-141. doi:</w:t>
      </w:r>
      <w:r w:rsidRPr="00947B9D">
        <w:t xml:space="preserve"> </w:t>
      </w:r>
      <w:r w:rsidRPr="00947B9D">
        <w:rPr>
          <w:sz w:val="24"/>
          <w:szCs w:val="24"/>
        </w:rPr>
        <w:t>10.1016/j.ijlp.2009.02.008</w:t>
      </w:r>
    </w:p>
    <w:p w14:paraId="1710EA5B" w14:textId="7964C451" w:rsidR="001557EA" w:rsidRDefault="001557EA" w:rsidP="00FC4968">
      <w:pPr>
        <w:spacing w:after="0" w:line="480" w:lineRule="auto"/>
        <w:rPr>
          <w:sz w:val="24"/>
          <w:szCs w:val="24"/>
        </w:rPr>
      </w:pPr>
      <w:r w:rsidRPr="001557EA">
        <w:rPr>
          <w:sz w:val="24"/>
          <w:szCs w:val="24"/>
        </w:rPr>
        <w:t>Conradi, H. J., Boertien, S. D., Cavus, H., &amp; Verschuere, B. (2016). Examining</w:t>
      </w:r>
      <w:r>
        <w:rPr>
          <w:sz w:val="24"/>
          <w:szCs w:val="24"/>
        </w:rPr>
        <w:t xml:space="preserve"> </w:t>
      </w:r>
      <w:r w:rsidRPr="001557EA">
        <w:rPr>
          <w:sz w:val="24"/>
          <w:szCs w:val="24"/>
        </w:rPr>
        <w:t xml:space="preserve">psychopathy </w:t>
      </w:r>
      <w:r>
        <w:rPr>
          <w:sz w:val="24"/>
          <w:szCs w:val="24"/>
        </w:rPr>
        <w:tab/>
      </w:r>
      <w:r w:rsidRPr="001557EA">
        <w:rPr>
          <w:sz w:val="24"/>
          <w:szCs w:val="24"/>
        </w:rPr>
        <w:t xml:space="preserve">from an attachment perspective: The role of fear of rejection and abandonment. </w:t>
      </w:r>
      <w:r w:rsidRPr="00F17EF1">
        <w:rPr>
          <w:i/>
          <w:sz w:val="24"/>
          <w:szCs w:val="24"/>
        </w:rPr>
        <w:t xml:space="preserve">Journal </w:t>
      </w:r>
      <w:r w:rsidRPr="00F17EF1">
        <w:rPr>
          <w:i/>
          <w:sz w:val="24"/>
          <w:szCs w:val="24"/>
        </w:rPr>
        <w:tab/>
        <w:t>of Forensic Psychiatry &amp; Psychology, 27</w:t>
      </w:r>
      <w:r w:rsidRPr="001557EA">
        <w:rPr>
          <w:sz w:val="24"/>
          <w:szCs w:val="24"/>
        </w:rPr>
        <w:t xml:space="preserve">(1), 92-109. doi: </w:t>
      </w:r>
      <w:r w:rsidRPr="001557EA">
        <w:rPr>
          <w:sz w:val="24"/>
          <w:szCs w:val="24"/>
        </w:rPr>
        <w:tab/>
        <w:t>10.1080/14789949.2015.1077264</w:t>
      </w:r>
    </w:p>
    <w:p w14:paraId="0CA7A89F" w14:textId="0A0D6136" w:rsidR="00523381" w:rsidRDefault="00523381" w:rsidP="00523381">
      <w:pPr>
        <w:spacing w:after="0" w:line="480" w:lineRule="auto"/>
        <w:rPr>
          <w:sz w:val="24"/>
          <w:szCs w:val="24"/>
        </w:rPr>
      </w:pPr>
      <w:r w:rsidRPr="00523381">
        <w:rPr>
          <w:sz w:val="24"/>
          <w:szCs w:val="24"/>
        </w:rPr>
        <w:t xml:space="preserve">Cooke, D. J., &amp; Michie, C. (2001). Refining the construct of psychopathy: Towards a </w:t>
      </w:r>
      <w:r>
        <w:rPr>
          <w:sz w:val="24"/>
          <w:szCs w:val="24"/>
        </w:rPr>
        <w:tab/>
      </w:r>
      <w:r w:rsidRPr="00523381">
        <w:rPr>
          <w:sz w:val="24"/>
          <w:szCs w:val="24"/>
        </w:rPr>
        <w:t>hierarchical</w:t>
      </w:r>
      <w:r>
        <w:rPr>
          <w:sz w:val="24"/>
          <w:szCs w:val="24"/>
        </w:rPr>
        <w:t xml:space="preserve"> </w:t>
      </w:r>
      <w:r w:rsidRPr="00523381">
        <w:rPr>
          <w:sz w:val="24"/>
          <w:szCs w:val="24"/>
        </w:rPr>
        <w:t xml:space="preserve">model. </w:t>
      </w:r>
      <w:r w:rsidRPr="00523381">
        <w:rPr>
          <w:i/>
          <w:sz w:val="24"/>
          <w:szCs w:val="24"/>
        </w:rPr>
        <w:t>Psychological Assessment, 13</w:t>
      </w:r>
      <w:r>
        <w:rPr>
          <w:sz w:val="24"/>
          <w:szCs w:val="24"/>
        </w:rPr>
        <w:t>(2)</w:t>
      </w:r>
      <w:r w:rsidRPr="00523381">
        <w:rPr>
          <w:sz w:val="24"/>
          <w:szCs w:val="24"/>
        </w:rPr>
        <w:t>, 171–188. doi:10.1037/1040-</w:t>
      </w:r>
      <w:r>
        <w:rPr>
          <w:sz w:val="24"/>
          <w:szCs w:val="24"/>
        </w:rPr>
        <w:tab/>
      </w:r>
      <w:r w:rsidRPr="00523381">
        <w:rPr>
          <w:sz w:val="24"/>
          <w:szCs w:val="24"/>
        </w:rPr>
        <w:t>3590.13.2.171</w:t>
      </w:r>
    </w:p>
    <w:p w14:paraId="36CA6F93" w14:textId="58362B2D" w:rsidR="00841362" w:rsidRDefault="00841362" w:rsidP="00FC4968">
      <w:pPr>
        <w:spacing w:after="0" w:line="480" w:lineRule="auto"/>
        <w:rPr>
          <w:sz w:val="24"/>
          <w:szCs w:val="24"/>
        </w:rPr>
      </w:pPr>
      <w:r w:rsidRPr="00841362">
        <w:rPr>
          <w:sz w:val="24"/>
          <w:szCs w:val="24"/>
        </w:rPr>
        <w:t xml:space="preserve">Declercq, F., Willemsen, J., Audenaert, K., &amp; Verhaeghe, P. (2010). Psychopathy and predatory </w:t>
      </w:r>
      <w:r>
        <w:rPr>
          <w:sz w:val="24"/>
          <w:szCs w:val="24"/>
        </w:rPr>
        <w:tab/>
      </w:r>
      <w:r w:rsidRPr="00841362">
        <w:rPr>
          <w:sz w:val="24"/>
          <w:szCs w:val="24"/>
        </w:rPr>
        <w:t xml:space="preserve">violence in homicide, violent, and sexual offences: Factor and facet relations. </w:t>
      </w:r>
      <w:r w:rsidRPr="00841362">
        <w:rPr>
          <w:i/>
          <w:sz w:val="24"/>
          <w:szCs w:val="24"/>
        </w:rPr>
        <w:t xml:space="preserve">Legal and </w:t>
      </w:r>
      <w:r w:rsidRPr="00841362">
        <w:rPr>
          <w:i/>
          <w:sz w:val="24"/>
          <w:szCs w:val="24"/>
        </w:rPr>
        <w:tab/>
        <w:t>Criminological Psychology, 17</w:t>
      </w:r>
      <w:r w:rsidRPr="00841362">
        <w:rPr>
          <w:sz w:val="24"/>
          <w:szCs w:val="24"/>
        </w:rPr>
        <w:t>, 59-74. doi: 10.1348/135532510X527722</w:t>
      </w:r>
    </w:p>
    <w:p w14:paraId="31234F17" w14:textId="15DD59B4" w:rsidR="00B12BED" w:rsidRPr="00B12BED" w:rsidRDefault="00B12BED" w:rsidP="00FC4968">
      <w:pPr>
        <w:spacing w:after="0" w:line="480" w:lineRule="auto"/>
        <w:rPr>
          <w:sz w:val="24"/>
          <w:szCs w:val="24"/>
        </w:rPr>
      </w:pPr>
      <w:r>
        <w:rPr>
          <w:sz w:val="24"/>
          <w:szCs w:val="24"/>
        </w:rPr>
        <w:t xml:space="preserve">Drarycott, S. Askari, R., &amp; Kirkpatrick, T. (2011). Patterns and changes in psychopathic </w:t>
      </w:r>
      <w:r>
        <w:rPr>
          <w:sz w:val="24"/>
          <w:szCs w:val="24"/>
        </w:rPr>
        <w:tab/>
        <w:t xml:space="preserve">interpersonal behaviour in forensic inpatient treatment. </w:t>
      </w:r>
      <w:r>
        <w:rPr>
          <w:i/>
          <w:sz w:val="24"/>
          <w:szCs w:val="24"/>
        </w:rPr>
        <w:t>Personality and Mental Health, 5</w:t>
      </w:r>
      <w:r>
        <w:rPr>
          <w:sz w:val="24"/>
          <w:szCs w:val="24"/>
        </w:rPr>
        <w:t xml:space="preserve">, </w:t>
      </w:r>
      <w:r>
        <w:rPr>
          <w:sz w:val="24"/>
          <w:szCs w:val="24"/>
        </w:rPr>
        <w:tab/>
        <w:t xml:space="preserve">200-208. doi: </w:t>
      </w:r>
      <w:r w:rsidRPr="00B12BED">
        <w:rPr>
          <w:sz w:val="24"/>
          <w:szCs w:val="24"/>
        </w:rPr>
        <w:t>10.1002/pmh.171</w:t>
      </w:r>
    </w:p>
    <w:p w14:paraId="2F277856" w14:textId="78210173" w:rsidR="001F1E21" w:rsidRDefault="001F1E21" w:rsidP="00FC4968">
      <w:pPr>
        <w:spacing w:after="0" w:line="480" w:lineRule="auto"/>
        <w:rPr>
          <w:sz w:val="24"/>
          <w:szCs w:val="24"/>
        </w:rPr>
      </w:pPr>
      <w:r w:rsidRPr="001F1E21">
        <w:rPr>
          <w:sz w:val="24"/>
          <w:szCs w:val="24"/>
        </w:rPr>
        <w:t xml:space="preserve">Fix, R. L., &amp; Fix, S. T. (2015). Trait psychopathy, emotional intelligence, and criminal thinking: </w:t>
      </w:r>
      <w:r>
        <w:rPr>
          <w:sz w:val="24"/>
          <w:szCs w:val="24"/>
        </w:rPr>
        <w:tab/>
      </w:r>
      <w:r w:rsidRPr="001F1E21">
        <w:rPr>
          <w:sz w:val="24"/>
          <w:szCs w:val="24"/>
        </w:rPr>
        <w:t xml:space="preserve">Predicting illegal behavior among college students. </w:t>
      </w:r>
      <w:r w:rsidRPr="001F1E21">
        <w:rPr>
          <w:i/>
          <w:sz w:val="24"/>
          <w:szCs w:val="24"/>
        </w:rPr>
        <w:t xml:space="preserve">International Journal of Law and </w:t>
      </w:r>
      <w:r w:rsidRPr="001F1E21">
        <w:rPr>
          <w:i/>
          <w:sz w:val="24"/>
          <w:szCs w:val="24"/>
        </w:rPr>
        <w:tab/>
        <w:t>Psychiatry, 42-43</w:t>
      </w:r>
      <w:r w:rsidRPr="001F1E21">
        <w:rPr>
          <w:sz w:val="24"/>
          <w:szCs w:val="24"/>
        </w:rPr>
        <w:t>, 183-188. doi: 10.1016/j.ijlp.2015.08.024</w:t>
      </w:r>
    </w:p>
    <w:p w14:paraId="254180A1" w14:textId="7A3BEE48" w:rsidR="00A12286" w:rsidRDefault="00A12286" w:rsidP="00A12286">
      <w:pPr>
        <w:spacing w:after="0" w:line="480" w:lineRule="auto"/>
        <w:rPr>
          <w:sz w:val="24"/>
          <w:szCs w:val="24"/>
        </w:rPr>
      </w:pPr>
      <w:r w:rsidRPr="00A12286">
        <w:rPr>
          <w:sz w:val="24"/>
          <w:szCs w:val="24"/>
        </w:rPr>
        <w:t>Forth, A. E., Brown, S. L., Hart, S. D., &amp; Hare,</w:t>
      </w:r>
      <w:r>
        <w:rPr>
          <w:sz w:val="24"/>
          <w:szCs w:val="24"/>
        </w:rPr>
        <w:t xml:space="preserve"> </w:t>
      </w:r>
      <w:r w:rsidRPr="00A12286">
        <w:rPr>
          <w:sz w:val="24"/>
          <w:szCs w:val="24"/>
        </w:rPr>
        <w:t>R. D. (1996). The assessment of psychopathy</w:t>
      </w:r>
      <w:r>
        <w:rPr>
          <w:sz w:val="24"/>
          <w:szCs w:val="24"/>
        </w:rPr>
        <w:t xml:space="preserve"> </w:t>
      </w:r>
      <w:r w:rsidRPr="00A12286">
        <w:rPr>
          <w:sz w:val="24"/>
          <w:szCs w:val="24"/>
        </w:rPr>
        <w:t>in</w:t>
      </w:r>
      <w:r>
        <w:rPr>
          <w:sz w:val="24"/>
          <w:szCs w:val="24"/>
        </w:rPr>
        <w:tab/>
      </w:r>
      <w:r>
        <w:rPr>
          <w:sz w:val="24"/>
          <w:szCs w:val="24"/>
        </w:rPr>
        <w:tab/>
      </w:r>
      <w:r w:rsidRPr="00A12286">
        <w:rPr>
          <w:sz w:val="24"/>
          <w:szCs w:val="24"/>
        </w:rPr>
        <w:t xml:space="preserve"> male and female</w:t>
      </w:r>
      <w:r>
        <w:rPr>
          <w:sz w:val="24"/>
          <w:szCs w:val="24"/>
        </w:rPr>
        <w:t xml:space="preserve"> </w:t>
      </w:r>
      <w:r w:rsidRPr="00A12286">
        <w:rPr>
          <w:sz w:val="24"/>
          <w:szCs w:val="24"/>
        </w:rPr>
        <w:t>noncriminals: Reliability and validity</w:t>
      </w:r>
      <w:r>
        <w:rPr>
          <w:sz w:val="24"/>
          <w:szCs w:val="24"/>
        </w:rPr>
        <w:t xml:space="preserve">. </w:t>
      </w:r>
      <w:r w:rsidRPr="00A12286">
        <w:rPr>
          <w:i/>
          <w:sz w:val="24"/>
          <w:szCs w:val="24"/>
        </w:rPr>
        <w:t xml:space="preserve">Journal of Personality and </w:t>
      </w:r>
      <w:r>
        <w:rPr>
          <w:i/>
          <w:sz w:val="24"/>
          <w:szCs w:val="24"/>
        </w:rPr>
        <w:tab/>
      </w:r>
      <w:r w:rsidRPr="00A12286">
        <w:rPr>
          <w:i/>
          <w:sz w:val="24"/>
          <w:szCs w:val="24"/>
        </w:rPr>
        <w:t>Individual</w:t>
      </w:r>
      <w:r>
        <w:rPr>
          <w:i/>
          <w:sz w:val="24"/>
          <w:szCs w:val="24"/>
        </w:rPr>
        <w:t xml:space="preserve"> </w:t>
      </w:r>
      <w:r w:rsidRPr="00A12286">
        <w:rPr>
          <w:i/>
          <w:sz w:val="24"/>
          <w:szCs w:val="24"/>
        </w:rPr>
        <w:t>Differences, 20</w:t>
      </w:r>
      <w:r>
        <w:rPr>
          <w:sz w:val="24"/>
          <w:szCs w:val="24"/>
        </w:rPr>
        <w:t>(5)</w:t>
      </w:r>
      <w:r w:rsidRPr="00A12286">
        <w:rPr>
          <w:sz w:val="24"/>
          <w:szCs w:val="24"/>
        </w:rPr>
        <w:t>, 531-543.</w:t>
      </w:r>
      <w:r>
        <w:rPr>
          <w:sz w:val="24"/>
          <w:szCs w:val="24"/>
        </w:rPr>
        <w:t xml:space="preserve"> doi:</w:t>
      </w:r>
      <w:r w:rsidRPr="00A12286">
        <w:t xml:space="preserve"> </w:t>
      </w:r>
      <w:r w:rsidRPr="00A12286">
        <w:rPr>
          <w:sz w:val="24"/>
          <w:szCs w:val="24"/>
        </w:rPr>
        <w:t>10.1016/0191-8869(95)00221-9</w:t>
      </w:r>
    </w:p>
    <w:p w14:paraId="7A519CF1" w14:textId="6E14D9EB" w:rsidR="00F36F5D" w:rsidRDefault="00F36F5D" w:rsidP="00FC4968">
      <w:pPr>
        <w:spacing w:after="0" w:line="480" w:lineRule="auto"/>
        <w:rPr>
          <w:sz w:val="24"/>
          <w:szCs w:val="24"/>
        </w:rPr>
      </w:pPr>
      <w:r>
        <w:rPr>
          <w:sz w:val="24"/>
          <w:szCs w:val="24"/>
        </w:rPr>
        <w:t xml:space="preserve">Fowler, K. A., Lilienfeld, S. O., &amp; Patrick, C. J. (2009). Detecting psychopathy from thin slices </w:t>
      </w:r>
      <w:r>
        <w:rPr>
          <w:sz w:val="24"/>
          <w:szCs w:val="24"/>
        </w:rPr>
        <w:tab/>
        <w:t xml:space="preserve">of behavior. </w:t>
      </w:r>
      <w:r>
        <w:rPr>
          <w:i/>
          <w:sz w:val="24"/>
          <w:szCs w:val="24"/>
        </w:rPr>
        <w:t>Psychological Assessment, 21</w:t>
      </w:r>
      <w:r>
        <w:rPr>
          <w:sz w:val="24"/>
          <w:szCs w:val="24"/>
        </w:rPr>
        <w:t>(1), 68-78. doi:</w:t>
      </w:r>
      <w:r w:rsidRPr="00F36F5D">
        <w:t xml:space="preserve"> </w:t>
      </w:r>
      <w:r w:rsidRPr="00F36F5D">
        <w:rPr>
          <w:sz w:val="24"/>
          <w:szCs w:val="24"/>
        </w:rPr>
        <w:t>10.1037/a0014938</w:t>
      </w:r>
    </w:p>
    <w:p w14:paraId="044A8502" w14:textId="634EF09C" w:rsidR="005427B1" w:rsidRPr="005427B1" w:rsidRDefault="005427B1" w:rsidP="005427B1">
      <w:pPr>
        <w:spacing w:after="0" w:line="480" w:lineRule="auto"/>
        <w:rPr>
          <w:sz w:val="24"/>
          <w:szCs w:val="24"/>
        </w:rPr>
      </w:pPr>
      <w:r w:rsidRPr="005427B1">
        <w:rPr>
          <w:sz w:val="24"/>
          <w:szCs w:val="24"/>
        </w:rPr>
        <w:t>Fraley, R. C., Waller, N. G., &amp; Brennan, K. A. (2000). An item response theory analysis of</w:t>
      </w:r>
      <w:r>
        <w:rPr>
          <w:sz w:val="24"/>
          <w:szCs w:val="24"/>
        </w:rPr>
        <w:tab/>
      </w:r>
    </w:p>
    <w:p w14:paraId="39DD5972" w14:textId="77777777" w:rsidR="005427B1" w:rsidRPr="005427B1" w:rsidRDefault="005427B1" w:rsidP="005427B1">
      <w:pPr>
        <w:spacing w:after="0" w:line="480" w:lineRule="auto"/>
        <w:ind w:firstLine="720"/>
        <w:rPr>
          <w:i/>
          <w:sz w:val="24"/>
          <w:szCs w:val="24"/>
        </w:rPr>
      </w:pPr>
      <w:r w:rsidRPr="005427B1">
        <w:rPr>
          <w:sz w:val="24"/>
          <w:szCs w:val="24"/>
        </w:rPr>
        <w:t xml:space="preserve">self-report measures of adult attachment. </w:t>
      </w:r>
      <w:r w:rsidRPr="005427B1">
        <w:rPr>
          <w:i/>
          <w:sz w:val="24"/>
          <w:szCs w:val="24"/>
        </w:rPr>
        <w:t>Journal of Personality and Social Psychology,</w:t>
      </w:r>
    </w:p>
    <w:p w14:paraId="30F8F439" w14:textId="6E0D690F" w:rsidR="005427B1" w:rsidRDefault="005427B1" w:rsidP="005427B1">
      <w:pPr>
        <w:spacing w:after="0" w:line="480" w:lineRule="auto"/>
        <w:ind w:firstLine="720"/>
        <w:rPr>
          <w:sz w:val="24"/>
          <w:szCs w:val="24"/>
        </w:rPr>
      </w:pPr>
      <w:r w:rsidRPr="005427B1">
        <w:rPr>
          <w:i/>
          <w:sz w:val="24"/>
          <w:szCs w:val="24"/>
        </w:rPr>
        <w:t>78</w:t>
      </w:r>
      <w:r w:rsidRPr="005427B1">
        <w:rPr>
          <w:sz w:val="24"/>
          <w:szCs w:val="24"/>
        </w:rPr>
        <w:t xml:space="preserve">, 350–365. </w:t>
      </w:r>
      <w:r>
        <w:rPr>
          <w:sz w:val="24"/>
          <w:szCs w:val="24"/>
        </w:rPr>
        <w:t xml:space="preserve">doi: </w:t>
      </w:r>
      <w:r w:rsidRPr="005427B1">
        <w:rPr>
          <w:sz w:val="24"/>
          <w:szCs w:val="24"/>
        </w:rPr>
        <w:t>10.1037/0022-3514.78.2.350.</w:t>
      </w:r>
    </w:p>
    <w:p w14:paraId="17DD94AD" w14:textId="03C7ED48" w:rsidR="00F17EF1" w:rsidRDefault="00F17EF1" w:rsidP="00FC4968">
      <w:pPr>
        <w:spacing w:after="0" w:line="480" w:lineRule="auto"/>
        <w:rPr>
          <w:sz w:val="24"/>
          <w:szCs w:val="24"/>
        </w:rPr>
      </w:pPr>
      <w:r w:rsidRPr="00F17EF1">
        <w:rPr>
          <w:sz w:val="24"/>
          <w:szCs w:val="24"/>
        </w:rPr>
        <w:t xml:space="preserve">Frodi, A., Dernevik, A. S., Philipson, J., &amp; Bragesjo, M. (2001). Current attachment </w:t>
      </w:r>
      <w:r w:rsidRPr="00F17EF1">
        <w:rPr>
          <w:sz w:val="24"/>
          <w:szCs w:val="24"/>
        </w:rPr>
        <w:tab/>
        <w:t xml:space="preserve">representations of incarcerated offenders varying in degree of psychopathy. </w:t>
      </w:r>
      <w:r w:rsidRPr="00F17EF1">
        <w:rPr>
          <w:sz w:val="24"/>
          <w:szCs w:val="24"/>
        </w:rPr>
        <w:tab/>
      </w:r>
      <w:r w:rsidRPr="00F17EF1">
        <w:rPr>
          <w:i/>
          <w:sz w:val="24"/>
          <w:szCs w:val="24"/>
        </w:rPr>
        <w:t>Attachment &amp; Human Development, 3</w:t>
      </w:r>
      <w:r w:rsidRPr="00F17EF1">
        <w:rPr>
          <w:sz w:val="24"/>
          <w:szCs w:val="24"/>
        </w:rPr>
        <w:t xml:space="preserve">(3), 269-283. doi: </w:t>
      </w:r>
      <w:r w:rsidRPr="00F17EF1">
        <w:rPr>
          <w:sz w:val="24"/>
          <w:szCs w:val="24"/>
        </w:rPr>
        <w:tab/>
        <w:t>10.1080/14616730110096889</w:t>
      </w:r>
    </w:p>
    <w:p w14:paraId="51F73C11" w14:textId="4AC1D929" w:rsidR="00A12286" w:rsidRDefault="00A12286" w:rsidP="00FC4968">
      <w:pPr>
        <w:spacing w:after="0" w:line="480" w:lineRule="auto"/>
        <w:rPr>
          <w:sz w:val="24"/>
          <w:szCs w:val="24"/>
        </w:rPr>
      </w:pPr>
      <w:r w:rsidRPr="00A12286">
        <w:rPr>
          <w:sz w:val="24"/>
          <w:szCs w:val="24"/>
        </w:rPr>
        <w:t xml:space="preserve">Hare, R. D. (1991). </w:t>
      </w:r>
      <w:r w:rsidRPr="00A12286">
        <w:rPr>
          <w:i/>
          <w:sz w:val="24"/>
          <w:szCs w:val="24"/>
        </w:rPr>
        <w:t>The Hare Psychopathy Checklist—Revised</w:t>
      </w:r>
      <w:r w:rsidRPr="00A12286">
        <w:rPr>
          <w:sz w:val="24"/>
          <w:szCs w:val="24"/>
        </w:rPr>
        <w:t xml:space="preserve">. Toronto, ON: Multi-Health </w:t>
      </w:r>
      <w:r>
        <w:rPr>
          <w:sz w:val="24"/>
          <w:szCs w:val="24"/>
        </w:rPr>
        <w:tab/>
      </w:r>
      <w:r w:rsidRPr="00A12286">
        <w:rPr>
          <w:sz w:val="24"/>
          <w:szCs w:val="24"/>
        </w:rPr>
        <w:t>Systems</w:t>
      </w:r>
      <w:r>
        <w:rPr>
          <w:sz w:val="24"/>
          <w:szCs w:val="24"/>
        </w:rPr>
        <w:t>.</w:t>
      </w:r>
    </w:p>
    <w:p w14:paraId="5A402CEB" w14:textId="7C15BD86" w:rsidR="008F72DE" w:rsidRPr="001B4978" w:rsidRDefault="008F72DE" w:rsidP="00FC4968">
      <w:pPr>
        <w:spacing w:after="0" w:line="480" w:lineRule="auto"/>
        <w:rPr>
          <w:rFonts w:ascii="Times New Roman" w:hAnsi="Times New Roman" w:cs="Times New Roman"/>
          <w:sz w:val="24"/>
        </w:rPr>
      </w:pPr>
      <w:r w:rsidRPr="001B4978">
        <w:rPr>
          <w:rFonts w:ascii="Times New Roman" w:hAnsi="Times New Roman" w:cs="Times New Roman"/>
          <w:sz w:val="24"/>
        </w:rPr>
        <w:t xml:space="preserve">Hare, R. D. (2003). </w:t>
      </w:r>
      <w:r w:rsidRPr="001B4978">
        <w:rPr>
          <w:rFonts w:ascii="Times New Roman" w:hAnsi="Times New Roman" w:cs="Times New Roman"/>
          <w:i/>
          <w:sz w:val="24"/>
        </w:rPr>
        <w:t>Manual for the Hare Psychopathy Checklist</w:t>
      </w:r>
      <w:r w:rsidR="00A12286">
        <w:rPr>
          <w:rFonts w:ascii="Times New Roman" w:hAnsi="Times New Roman" w:cs="Times New Roman"/>
          <w:i/>
          <w:sz w:val="24"/>
        </w:rPr>
        <w:t xml:space="preserve">—Revised </w:t>
      </w:r>
      <w:r w:rsidRPr="001B4978">
        <w:rPr>
          <w:rFonts w:ascii="Times New Roman" w:hAnsi="Times New Roman" w:cs="Times New Roman"/>
          <w:sz w:val="24"/>
        </w:rPr>
        <w:t xml:space="preserve">(2nd ed.). </w:t>
      </w:r>
      <w:r w:rsidRPr="001B4978">
        <w:rPr>
          <w:rFonts w:ascii="Times New Roman" w:hAnsi="Times New Roman" w:cs="Times New Roman"/>
          <w:sz w:val="24"/>
        </w:rPr>
        <w:tab/>
        <w:t>Toronto, ON: Multi-Health Systems.</w:t>
      </w:r>
    </w:p>
    <w:p w14:paraId="3A788945" w14:textId="2CD84F1B" w:rsidR="00F36F5D" w:rsidRDefault="00F36F5D" w:rsidP="00FC4968">
      <w:pPr>
        <w:spacing w:after="0" w:line="480" w:lineRule="auto"/>
        <w:rPr>
          <w:sz w:val="24"/>
          <w:szCs w:val="24"/>
        </w:rPr>
      </w:pPr>
      <w:r>
        <w:rPr>
          <w:sz w:val="24"/>
          <w:szCs w:val="24"/>
        </w:rPr>
        <w:t xml:space="preserve">Harpur, T. J., Hare, R. D., &amp; Hakstian, A. R. (1989). Two-factor conceptualization of </w:t>
      </w:r>
      <w:r w:rsidR="008F72DE">
        <w:rPr>
          <w:sz w:val="24"/>
          <w:szCs w:val="24"/>
        </w:rPr>
        <w:tab/>
      </w:r>
      <w:r>
        <w:rPr>
          <w:sz w:val="24"/>
          <w:szCs w:val="24"/>
        </w:rPr>
        <w:t xml:space="preserve">psychopathy: Construct validity and assessment implications. </w:t>
      </w:r>
      <w:r>
        <w:rPr>
          <w:i/>
          <w:sz w:val="24"/>
          <w:szCs w:val="24"/>
        </w:rPr>
        <w:t>Psychological Assessment</w:t>
      </w:r>
      <w:r w:rsidR="008F72DE">
        <w:rPr>
          <w:i/>
          <w:sz w:val="24"/>
          <w:szCs w:val="24"/>
        </w:rPr>
        <w:t xml:space="preserve">, </w:t>
      </w:r>
      <w:r w:rsidR="008F72DE">
        <w:rPr>
          <w:i/>
          <w:sz w:val="24"/>
          <w:szCs w:val="24"/>
        </w:rPr>
        <w:tab/>
        <w:t>1</w:t>
      </w:r>
      <w:r w:rsidR="008F72DE">
        <w:rPr>
          <w:sz w:val="24"/>
          <w:szCs w:val="24"/>
        </w:rPr>
        <w:t xml:space="preserve">(1), 6-17. doi: </w:t>
      </w:r>
      <w:r w:rsidR="008F72DE" w:rsidRPr="008F72DE">
        <w:rPr>
          <w:sz w:val="24"/>
          <w:szCs w:val="24"/>
        </w:rPr>
        <w:t>10.1037//1040-3590.1.1.6</w:t>
      </w:r>
    </w:p>
    <w:p w14:paraId="015F859F" w14:textId="49255EF0" w:rsidR="008F72DE" w:rsidRDefault="008F72DE" w:rsidP="00FC4968">
      <w:pPr>
        <w:spacing w:after="0" w:line="480" w:lineRule="auto"/>
        <w:rPr>
          <w:sz w:val="24"/>
          <w:szCs w:val="24"/>
        </w:rPr>
      </w:pPr>
      <w:r w:rsidRPr="008F72DE">
        <w:rPr>
          <w:sz w:val="24"/>
          <w:szCs w:val="24"/>
        </w:rPr>
        <w:t xml:space="preserve">Harpur, T. J., Hart, S. D., &amp; Hare, R. D. (2002). Personality of the psychopath. In P. T. Costa, Jr. </w:t>
      </w:r>
      <w:r>
        <w:rPr>
          <w:sz w:val="24"/>
          <w:szCs w:val="24"/>
        </w:rPr>
        <w:tab/>
      </w:r>
      <w:r w:rsidRPr="008F72DE">
        <w:rPr>
          <w:sz w:val="24"/>
          <w:szCs w:val="24"/>
        </w:rPr>
        <w:t xml:space="preserve">&amp; T. A. Widiger (Eds.), </w:t>
      </w:r>
      <w:r w:rsidRPr="008F72DE">
        <w:rPr>
          <w:i/>
          <w:sz w:val="24"/>
          <w:szCs w:val="24"/>
        </w:rPr>
        <w:t>Personality disorders and the five-factor model of personality</w:t>
      </w:r>
      <w:r w:rsidRPr="008F72DE">
        <w:rPr>
          <w:sz w:val="24"/>
          <w:szCs w:val="24"/>
        </w:rPr>
        <w:t xml:space="preserve"> </w:t>
      </w:r>
      <w:r>
        <w:rPr>
          <w:sz w:val="24"/>
          <w:szCs w:val="24"/>
        </w:rPr>
        <w:tab/>
      </w:r>
      <w:r w:rsidRPr="008F72DE">
        <w:rPr>
          <w:sz w:val="24"/>
          <w:szCs w:val="24"/>
        </w:rPr>
        <w:t>(pp. 299-324). Washington, DC, US: American Psychological Association.</w:t>
      </w:r>
    </w:p>
    <w:p w14:paraId="39B7F72D" w14:textId="20021BA9" w:rsidR="00652523" w:rsidRDefault="00652523" w:rsidP="00FC4968">
      <w:pPr>
        <w:spacing w:after="0" w:line="480" w:lineRule="auto"/>
        <w:rPr>
          <w:sz w:val="24"/>
          <w:szCs w:val="24"/>
        </w:rPr>
      </w:pPr>
      <w:r w:rsidRPr="00652523">
        <w:rPr>
          <w:sz w:val="24"/>
          <w:szCs w:val="24"/>
        </w:rPr>
        <w:t xml:space="preserve">Hart, S. D., Cox, D. N., &amp; Hare, R. D. (1995). </w:t>
      </w:r>
      <w:r w:rsidRPr="00652523">
        <w:rPr>
          <w:i/>
          <w:sz w:val="24"/>
          <w:szCs w:val="24"/>
        </w:rPr>
        <w:t xml:space="preserve">Manual for the screening version of the </w:t>
      </w:r>
      <w:r w:rsidRPr="00652523">
        <w:rPr>
          <w:i/>
          <w:sz w:val="24"/>
          <w:szCs w:val="24"/>
        </w:rPr>
        <w:tab/>
        <w:t>Psychopathy Checklist (PCL:SV)</w:t>
      </w:r>
      <w:r w:rsidRPr="00652523">
        <w:rPr>
          <w:sz w:val="24"/>
          <w:szCs w:val="24"/>
        </w:rPr>
        <w:t>. Toronto, ON: Multi-Health Systems.</w:t>
      </w:r>
    </w:p>
    <w:p w14:paraId="092CF43C" w14:textId="71278447" w:rsidR="00C76C9A" w:rsidRDefault="00C76C9A" w:rsidP="00FC4968">
      <w:pPr>
        <w:spacing w:after="0" w:line="480" w:lineRule="auto"/>
        <w:rPr>
          <w:sz w:val="24"/>
          <w:szCs w:val="24"/>
        </w:rPr>
      </w:pPr>
      <w:r w:rsidRPr="00C76C9A">
        <w:rPr>
          <w:sz w:val="24"/>
          <w:szCs w:val="24"/>
        </w:rPr>
        <w:t>Ireland, J. L., &amp; Ireland, C. A. (201</w:t>
      </w:r>
      <w:r w:rsidR="00E06DE5">
        <w:rPr>
          <w:sz w:val="24"/>
          <w:szCs w:val="24"/>
        </w:rPr>
        <w:t>4</w:t>
      </w:r>
      <w:r w:rsidRPr="00C76C9A">
        <w:rPr>
          <w:sz w:val="24"/>
          <w:szCs w:val="24"/>
        </w:rPr>
        <w:t xml:space="preserve">). </w:t>
      </w:r>
      <w:r w:rsidRPr="00C76C9A">
        <w:rPr>
          <w:i/>
          <w:sz w:val="24"/>
          <w:szCs w:val="24"/>
        </w:rPr>
        <w:t>Affective, Cognitive, and Lifestyle Assessment (ACL).</w:t>
      </w:r>
      <w:r w:rsidRPr="00C76C9A">
        <w:rPr>
          <w:sz w:val="24"/>
          <w:szCs w:val="24"/>
        </w:rPr>
        <w:t xml:space="preserve"> </w:t>
      </w:r>
      <w:r w:rsidR="00652523">
        <w:rPr>
          <w:sz w:val="24"/>
          <w:szCs w:val="24"/>
        </w:rPr>
        <w:t>UK:</w:t>
      </w:r>
      <w:r>
        <w:rPr>
          <w:sz w:val="24"/>
          <w:szCs w:val="24"/>
        </w:rPr>
        <w:tab/>
      </w:r>
      <w:r w:rsidR="00652523">
        <w:rPr>
          <w:sz w:val="24"/>
          <w:szCs w:val="24"/>
        </w:rPr>
        <w:t>TI</w:t>
      </w:r>
      <w:r>
        <w:rPr>
          <w:sz w:val="24"/>
          <w:szCs w:val="24"/>
        </w:rPr>
        <w:t>OFP</w:t>
      </w:r>
      <w:r w:rsidR="00652523">
        <w:rPr>
          <w:sz w:val="24"/>
          <w:szCs w:val="24"/>
        </w:rPr>
        <w:t xml:space="preserve"> </w:t>
      </w:r>
      <w:r w:rsidRPr="00C76C9A">
        <w:rPr>
          <w:sz w:val="24"/>
          <w:szCs w:val="24"/>
        </w:rPr>
        <w:t>and University of Central Lancashire.</w:t>
      </w:r>
    </w:p>
    <w:p w14:paraId="140A8651" w14:textId="7EA8644A" w:rsidR="00E06DE5" w:rsidRPr="00E06DE5" w:rsidRDefault="00E06DE5" w:rsidP="00FC4968">
      <w:pPr>
        <w:spacing w:after="0" w:line="480" w:lineRule="auto"/>
        <w:rPr>
          <w:sz w:val="24"/>
          <w:szCs w:val="24"/>
        </w:rPr>
      </w:pPr>
      <w:r>
        <w:rPr>
          <w:sz w:val="24"/>
          <w:szCs w:val="24"/>
        </w:rPr>
        <w:t xml:space="preserve">Ireland, J. L., Ireland, C. A., Lewis, M., Jones, C., &amp; Keeley, S. (2016). Initial development of an </w:t>
      </w:r>
      <w:r>
        <w:rPr>
          <w:sz w:val="24"/>
          <w:szCs w:val="24"/>
        </w:rPr>
        <w:tab/>
        <w:t xml:space="preserve">implicit and explicit approach to assess psychopathy. </w:t>
      </w:r>
      <w:r>
        <w:rPr>
          <w:i/>
          <w:sz w:val="24"/>
          <w:szCs w:val="24"/>
        </w:rPr>
        <w:t xml:space="preserve">International Journal of Law and </w:t>
      </w:r>
      <w:r>
        <w:rPr>
          <w:i/>
          <w:sz w:val="24"/>
          <w:szCs w:val="24"/>
        </w:rPr>
        <w:tab/>
        <w:t>Psychiatry, 46</w:t>
      </w:r>
      <w:r>
        <w:rPr>
          <w:sz w:val="24"/>
          <w:szCs w:val="24"/>
        </w:rPr>
        <w:t>, 117-128. doi:</w:t>
      </w:r>
      <w:r w:rsidRPr="00E06DE5">
        <w:t xml:space="preserve"> </w:t>
      </w:r>
      <w:r w:rsidRPr="00E06DE5">
        <w:rPr>
          <w:sz w:val="24"/>
          <w:szCs w:val="24"/>
        </w:rPr>
        <w:t>0.1016/j.ijlp.2016.02.008</w:t>
      </w:r>
    </w:p>
    <w:p w14:paraId="3177BEE1" w14:textId="5F3D01D9" w:rsidR="00841362" w:rsidRPr="001F1E21" w:rsidRDefault="00841362" w:rsidP="00FC4968">
      <w:pPr>
        <w:spacing w:after="0" w:line="480" w:lineRule="auto"/>
        <w:rPr>
          <w:sz w:val="24"/>
          <w:szCs w:val="24"/>
        </w:rPr>
      </w:pPr>
      <w:r w:rsidRPr="00841362">
        <w:rPr>
          <w:sz w:val="24"/>
          <w:szCs w:val="24"/>
        </w:rPr>
        <w:t xml:space="preserve">Iyican, S., Babcock, J. C. (2018). The relation between the two factors of psychopathy and </w:t>
      </w:r>
      <w:r>
        <w:rPr>
          <w:sz w:val="24"/>
          <w:szCs w:val="24"/>
        </w:rPr>
        <w:tab/>
      </w:r>
      <w:r w:rsidRPr="00841362">
        <w:rPr>
          <w:sz w:val="24"/>
          <w:szCs w:val="24"/>
        </w:rPr>
        <w:t xml:space="preserve">intimate partner aggression. </w:t>
      </w:r>
      <w:r w:rsidRPr="00841362">
        <w:rPr>
          <w:i/>
          <w:sz w:val="24"/>
          <w:szCs w:val="24"/>
        </w:rPr>
        <w:t>Journal of Aggression, Maltreatment &amp; Trauma, 27</w:t>
      </w:r>
      <w:r w:rsidRPr="00841362">
        <w:rPr>
          <w:sz w:val="24"/>
          <w:szCs w:val="24"/>
        </w:rPr>
        <w:t>(2), 119-</w:t>
      </w:r>
      <w:r>
        <w:rPr>
          <w:sz w:val="24"/>
          <w:szCs w:val="24"/>
        </w:rPr>
        <w:tab/>
      </w:r>
      <w:r w:rsidRPr="00841362">
        <w:rPr>
          <w:sz w:val="24"/>
          <w:szCs w:val="24"/>
        </w:rPr>
        <w:t>130. doi: 10.1080/10926771.2017.1334020</w:t>
      </w:r>
    </w:p>
    <w:p w14:paraId="6BA13969" w14:textId="778CC1F4" w:rsidR="001F1E21" w:rsidRDefault="001F1E21" w:rsidP="00FC4968">
      <w:pPr>
        <w:spacing w:after="0" w:line="480" w:lineRule="auto"/>
        <w:rPr>
          <w:sz w:val="24"/>
          <w:szCs w:val="24"/>
        </w:rPr>
      </w:pPr>
      <w:r w:rsidRPr="001F1E21">
        <w:rPr>
          <w:sz w:val="24"/>
          <w:szCs w:val="24"/>
        </w:rPr>
        <w:t xml:space="preserve">Jonason, P. K., Duineveld, J. J., &amp; Middleton, J. P. (2015). Pathology, pseudopathology, and the </w:t>
      </w:r>
      <w:r>
        <w:rPr>
          <w:sz w:val="24"/>
          <w:szCs w:val="24"/>
        </w:rPr>
        <w:tab/>
      </w:r>
      <w:r w:rsidRPr="001F1E21">
        <w:rPr>
          <w:sz w:val="24"/>
          <w:szCs w:val="24"/>
        </w:rPr>
        <w:t xml:space="preserve">Dark Triad of personality. </w:t>
      </w:r>
      <w:r w:rsidRPr="001F1E21">
        <w:rPr>
          <w:i/>
          <w:sz w:val="24"/>
          <w:szCs w:val="24"/>
        </w:rPr>
        <w:t>Personality and Individual Differences, 78</w:t>
      </w:r>
      <w:r w:rsidRPr="001F1E21">
        <w:rPr>
          <w:sz w:val="24"/>
          <w:szCs w:val="24"/>
        </w:rPr>
        <w:t xml:space="preserve">, 43-37. doi: </w:t>
      </w:r>
      <w:r>
        <w:rPr>
          <w:sz w:val="24"/>
          <w:szCs w:val="24"/>
        </w:rPr>
        <w:tab/>
      </w:r>
      <w:r w:rsidRPr="001F1E21">
        <w:rPr>
          <w:sz w:val="24"/>
          <w:szCs w:val="24"/>
        </w:rPr>
        <w:t>10.1016/j.paid.2015.01.028</w:t>
      </w:r>
    </w:p>
    <w:p w14:paraId="6DF99A0F" w14:textId="23DD5919" w:rsidR="00693FB5" w:rsidRDefault="00693FB5" w:rsidP="00FC4968">
      <w:pPr>
        <w:spacing w:after="0" w:line="480" w:lineRule="auto"/>
        <w:rPr>
          <w:sz w:val="24"/>
          <w:szCs w:val="24"/>
        </w:rPr>
      </w:pPr>
      <w:r w:rsidRPr="00693FB5">
        <w:rPr>
          <w:sz w:val="24"/>
          <w:szCs w:val="24"/>
        </w:rPr>
        <w:t xml:space="preserve">Kardum, I., Hudek-Knezevic, J., Gračanin, A., &amp; Mehic, N. (2017). Assortative mating for </w:t>
      </w:r>
      <w:r>
        <w:rPr>
          <w:sz w:val="24"/>
          <w:szCs w:val="24"/>
        </w:rPr>
        <w:tab/>
      </w:r>
      <w:r w:rsidRPr="00693FB5">
        <w:rPr>
          <w:sz w:val="24"/>
          <w:szCs w:val="24"/>
        </w:rPr>
        <w:t xml:space="preserve">psychopathy components and its effects on the relationship quality in intimate partners. </w:t>
      </w:r>
      <w:r>
        <w:rPr>
          <w:sz w:val="24"/>
          <w:szCs w:val="24"/>
        </w:rPr>
        <w:tab/>
      </w:r>
      <w:r w:rsidRPr="00693FB5">
        <w:rPr>
          <w:i/>
          <w:sz w:val="24"/>
          <w:szCs w:val="24"/>
        </w:rPr>
        <w:t>Psychological Topics, 26</w:t>
      </w:r>
      <w:r w:rsidRPr="00693FB5">
        <w:rPr>
          <w:sz w:val="24"/>
          <w:szCs w:val="24"/>
        </w:rPr>
        <w:t>, 211-239.</w:t>
      </w:r>
    </w:p>
    <w:p w14:paraId="7DAFE886" w14:textId="1DE62AD7" w:rsidR="00523381" w:rsidRDefault="00523381" w:rsidP="00FC4968">
      <w:pPr>
        <w:spacing w:after="0" w:line="480" w:lineRule="auto"/>
        <w:rPr>
          <w:sz w:val="24"/>
          <w:szCs w:val="24"/>
        </w:rPr>
      </w:pPr>
      <w:r w:rsidRPr="00523381">
        <w:rPr>
          <w:sz w:val="24"/>
          <w:szCs w:val="24"/>
        </w:rPr>
        <w:t xml:space="preserve">Karpman, B. (1941). On the need for separating psychopathy into two distinct clinical types: </w:t>
      </w:r>
      <w:r>
        <w:rPr>
          <w:sz w:val="24"/>
          <w:szCs w:val="24"/>
        </w:rPr>
        <w:tab/>
      </w:r>
      <w:r w:rsidRPr="00523381">
        <w:rPr>
          <w:sz w:val="24"/>
          <w:szCs w:val="24"/>
        </w:rPr>
        <w:t xml:space="preserve">Symptomatic and idiopathic. </w:t>
      </w:r>
      <w:r w:rsidRPr="00523381">
        <w:rPr>
          <w:i/>
          <w:sz w:val="24"/>
          <w:szCs w:val="24"/>
        </w:rPr>
        <w:t>Journal of Criminology and Psychopathology, 3</w:t>
      </w:r>
      <w:r w:rsidRPr="00523381">
        <w:rPr>
          <w:sz w:val="24"/>
          <w:szCs w:val="24"/>
        </w:rPr>
        <w:t>, 112–137.</w:t>
      </w:r>
    </w:p>
    <w:p w14:paraId="22062A5D" w14:textId="02F44035" w:rsidR="009F3314" w:rsidRDefault="009F3314" w:rsidP="00FC4968">
      <w:pPr>
        <w:spacing w:after="0" w:line="480" w:lineRule="auto"/>
        <w:rPr>
          <w:sz w:val="24"/>
          <w:szCs w:val="24"/>
        </w:rPr>
      </w:pPr>
      <w:r w:rsidRPr="009F3314">
        <w:rPr>
          <w:sz w:val="24"/>
          <w:szCs w:val="24"/>
        </w:rPr>
        <w:t xml:space="preserve">Karpman, B. (1948). The myth of the psychopathic personality. </w:t>
      </w:r>
      <w:r w:rsidRPr="009F3314">
        <w:rPr>
          <w:i/>
          <w:sz w:val="24"/>
          <w:szCs w:val="24"/>
        </w:rPr>
        <w:t xml:space="preserve">American Journal of Psychiatry, </w:t>
      </w:r>
      <w:r w:rsidRPr="009F3314">
        <w:rPr>
          <w:i/>
          <w:sz w:val="24"/>
          <w:szCs w:val="24"/>
        </w:rPr>
        <w:tab/>
        <w:t>104</w:t>
      </w:r>
      <w:r>
        <w:rPr>
          <w:sz w:val="24"/>
          <w:szCs w:val="24"/>
        </w:rPr>
        <w:t>(9)</w:t>
      </w:r>
      <w:r w:rsidRPr="009F3314">
        <w:rPr>
          <w:sz w:val="24"/>
          <w:szCs w:val="24"/>
        </w:rPr>
        <w:t>, 523–534.</w:t>
      </w:r>
      <w:r>
        <w:rPr>
          <w:sz w:val="24"/>
          <w:szCs w:val="24"/>
        </w:rPr>
        <w:t xml:space="preserve"> doi:</w:t>
      </w:r>
      <w:r w:rsidRPr="009F3314">
        <w:t xml:space="preserve"> </w:t>
      </w:r>
      <w:r w:rsidRPr="009F3314">
        <w:rPr>
          <w:sz w:val="24"/>
          <w:szCs w:val="24"/>
        </w:rPr>
        <w:t>10.1176/appi.ajp.104.9.523</w:t>
      </w:r>
    </w:p>
    <w:p w14:paraId="2B4744E3" w14:textId="77777777" w:rsidR="008F72DE" w:rsidRPr="001B4978" w:rsidRDefault="008F72DE" w:rsidP="00FC4968">
      <w:pPr>
        <w:spacing w:after="0" w:line="480" w:lineRule="auto"/>
        <w:rPr>
          <w:rFonts w:ascii="Times New Roman" w:hAnsi="Times New Roman" w:cs="Times New Roman"/>
          <w:sz w:val="24"/>
        </w:rPr>
      </w:pPr>
      <w:r w:rsidRPr="001B4978">
        <w:rPr>
          <w:rFonts w:ascii="Times New Roman" w:hAnsi="Times New Roman" w:cs="Times New Roman"/>
          <w:sz w:val="24"/>
        </w:rPr>
        <w:t xml:space="preserve">Kennealy, P. J., Skeem, J. L., Walters, G. D., &amp; Camp, J. (2010). Do core interpersonal and </w:t>
      </w:r>
      <w:r>
        <w:rPr>
          <w:rFonts w:ascii="Times New Roman" w:hAnsi="Times New Roman" w:cs="Times New Roman"/>
          <w:sz w:val="24"/>
        </w:rPr>
        <w:tab/>
      </w:r>
      <w:r w:rsidRPr="001B4978">
        <w:rPr>
          <w:rFonts w:ascii="Times New Roman" w:hAnsi="Times New Roman" w:cs="Times New Roman"/>
          <w:sz w:val="24"/>
        </w:rPr>
        <w:t xml:space="preserve">affective traits of PCL-R psychopathy interact with antisocial behavior and </w:t>
      </w:r>
      <w:r>
        <w:rPr>
          <w:rFonts w:ascii="Times New Roman" w:hAnsi="Times New Roman" w:cs="Times New Roman"/>
          <w:sz w:val="24"/>
        </w:rPr>
        <w:tab/>
      </w:r>
      <w:r w:rsidRPr="001B4978">
        <w:rPr>
          <w:rFonts w:ascii="Times New Roman" w:hAnsi="Times New Roman" w:cs="Times New Roman"/>
          <w:sz w:val="24"/>
        </w:rPr>
        <w:t xml:space="preserve">disinhibition to predict violence? </w:t>
      </w:r>
      <w:r w:rsidRPr="001B4978">
        <w:rPr>
          <w:rFonts w:ascii="Times New Roman" w:hAnsi="Times New Roman" w:cs="Times New Roman"/>
          <w:i/>
          <w:sz w:val="24"/>
        </w:rPr>
        <w:t>Psychological Assessment, 22</w:t>
      </w:r>
      <w:r w:rsidRPr="001B4978">
        <w:rPr>
          <w:rFonts w:ascii="Times New Roman" w:hAnsi="Times New Roman" w:cs="Times New Roman"/>
          <w:sz w:val="24"/>
        </w:rPr>
        <w:t xml:space="preserve">(3), 569-580. doi: </w:t>
      </w:r>
      <w:r w:rsidRPr="001B4978">
        <w:rPr>
          <w:rFonts w:ascii="Times New Roman" w:hAnsi="Times New Roman" w:cs="Times New Roman"/>
          <w:sz w:val="24"/>
        </w:rPr>
        <w:tab/>
        <w:t>10.1037/a0019618</w:t>
      </w:r>
    </w:p>
    <w:p w14:paraId="682A8D48" w14:textId="77777777" w:rsidR="008F72DE" w:rsidRPr="001B4978" w:rsidRDefault="008F72DE" w:rsidP="00FC4968">
      <w:pPr>
        <w:spacing w:after="0" w:line="480" w:lineRule="auto"/>
        <w:rPr>
          <w:rFonts w:ascii="Times New Roman" w:hAnsi="Times New Roman" w:cs="Times New Roman"/>
          <w:sz w:val="24"/>
        </w:rPr>
      </w:pPr>
      <w:r w:rsidRPr="001B4978">
        <w:rPr>
          <w:rFonts w:ascii="Times New Roman" w:hAnsi="Times New Roman" w:cs="Times New Roman"/>
          <w:sz w:val="24"/>
        </w:rPr>
        <w:t xml:space="preserve">Kosson, D. S., Forth, A. E., Steuerwald, B. L., &amp; Kirkhart, K. J. (1997). A new method for </w:t>
      </w:r>
      <w:r w:rsidRPr="001B4978">
        <w:rPr>
          <w:rFonts w:ascii="Times New Roman" w:hAnsi="Times New Roman" w:cs="Times New Roman"/>
          <w:sz w:val="24"/>
        </w:rPr>
        <w:tab/>
        <w:t xml:space="preserve">assessing the interpersonal behavior of psychopathic individuals: Preliminary </w:t>
      </w:r>
      <w:r w:rsidRPr="001B4978">
        <w:rPr>
          <w:rFonts w:ascii="Times New Roman" w:hAnsi="Times New Roman" w:cs="Times New Roman"/>
          <w:sz w:val="24"/>
        </w:rPr>
        <w:tab/>
        <w:t xml:space="preserve">validation studies. </w:t>
      </w:r>
      <w:r w:rsidRPr="00CE3CCD">
        <w:rPr>
          <w:rFonts w:ascii="Times New Roman" w:hAnsi="Times New Roman" w:cs="Times New Roman"/>
          <w:i/>
          <w:sz w:val="24"/>
        </w:rPr>
        <w:t>Psychological Assessment, 9</w:t>
      </w:r>
      <w:r w:rsidRPr="001B4978">
        <w:rPr>
          <w:rFonts w:ascii="Times New Roman" w:hAnsi="Times New Roman" w:cs="Times New Roman"/>
          <w:sz w:val="24"/>
        </w:rPr>
        <w:t>(2), 89-101. doi: 10.1037//1040-</w:t>
      </w:r>
      <w:r w:rsidRPr="001B4978">
        <w:rPr>
          <w:rFonts w:ascii="Times New Roman" w:hAnsi="Times New Roman" w:cs="Times New Roman"/>
          <w:sz w:val="24"/>
        </w:rPr>
        <w:tab/>
        <w:t>3590.9.2.89</w:t>
      </w:r>
    </w:p>
    <w:p w14:paraId="0BEC7642" w14:textId="650D0470" w:rsidR="008F72DE" w:rsidRDefault="008F72DE" w:rsidP="00FC4968">
      <w:pPr>
        <w:spacing w:after="0" w:line="480" w:lineRule="auto"/>
        <w:rPr>
          <w:rFonts w:ascii="Times New Roman" w:hAnsi="Times New Roman" w:cs="Times New Roman"/>
          <w:sz w:val="24"/>
        </w:rPr>
      </w:pPr>
      <w:r w:rsidRPr="001B4978">
        <w:rPr>
          <w:rFonts w:ascii="Times New Roman" w:hAnsi="Times New Roman" w:cs="Times New Roman"/>
          <w:sz w:val="24"/>
        </w:rPr>
        <w:t xml:space="preserve">Leary, T. (1957). </w:t>
      </w:r>
      <w:r w:rsidRPr="00CE3CCD">
        <w:rPr>
          <w:rFonts w:ascii="Times New Roman" w:hAnsi="Times New Roman" w:cs="Times New Roman"/>
          <w:i/>
          <w:sz w:val="24"/>
        </w:rPr>
        <w:t>Interpersonal diagnosis of personality</w:t>
      </w:r>
      <w:r w:rsidRPr="001B4978">
        <w:rPr>
          <w:rFonts w:ascii="Times New Roman" w:hAnsi="Times New Roman" w:cs="Times New Roman"/>
          <w:sz w:val="24"/>
        </w:rPr>
        <w:t>. New York, NY: Ronald Press.</w:t>
      </w:r>
    </w:p>
    <w:p w14:paraId="3F7034B9" w14:textId="599591A7" w:rsidR="007130A3" w:rsidRDefault="007130A3" w:rsidP="007130A3">
      <w:pPr>
        <w:spacing w:after="0" w:line="480" w:lineRule="auto"/>
        <w:rPr>
          <w:rFonts w:ascii="Times New Roman" w:hAnsi="Times New Roman" w:cs="Times New Roman"/>
          <w:sz w:val="24"/>
        </w:rPr>
      </w:pPr>
      <w:r w:rsidRPr="007130A3">
        <w:rPr>
          <w:rFonts w:ascii="Times New Roman" w:hAnsi="Times New Roman" w:cs="Times New Roman"/>
          <w:sz w:val="24"/>
        </w:rPr>
        <w:t xml:space="preserve">Levenson, M. R., Kiehl, K. A., &amp; Fitzpatrick, C. M. (1995). Assessing psychopathic attributes in </w:t>
      </w:r>
      <w:r>
        <w:rPr>
          <w:rFonts w:ascii="Times New Roman" w:hAnsi="Times New Roman" w:cs="Times New Roman"/>
          <w:sz w:val="24"/>
        </w:rPr>
        <w:tab/>
      </w:r>
      <w:r w:rsidRPr="007130A3">
        <w:rPr>
          <w:rFonts w:ascii="Times New Roman" w:hAnsi="Times New Roman" w:cs="Times New Roman"/>
          <w:sz w:val="24"/>
        </w:rPr>
        <w:t>a</w:t>
      </w:r>
      <w:r>
        <w:rPr>
          <w:rFonts w:ascii="Times New Roman" w:hAnsi="Times New Roman" w:cs="Times New Roman"/>
          <w:sz w:val="24"/>
        </w:rPr>
        <w:t xml:space="preserve"> </w:t>
      </w:r>
      <w:r w:rsidRPr="007130A3">
        <w:rPr>
          <w:rFonts w:ascii="Times New Roman" w:hAnsi="Times New Roman" w:cs="Times New Roman"/>
          <w:sz w:val="24"/>
        </w:rPr>
        <w:t>noninstitutional population</w:t>
      </w:r>
      <w:r w:rsidRPr="007130A3">
        <w:rPr>
          <w:rFonts w:ascii="Times New Roman" w:hAnsi="Times New Roman" w:cs="Times New Roman"/>
          <w:i/>
          <w:sz w:val="24"/>
        </w:rPr>
        <w:t>. Journal of Personality and Social Psychology, 68</w:t>
      </w:r>
      <w:r>
        <w:rPr>
          <w:rFonts w:ascii="Times New Roman" w:hAnsi="Times New Roman" w:cs="Times New Roman"/>
          <w:sz w:val="24"/>
        </w:rPr>
        <w:t>(1)</w:t>
      </w:r>
      <w:r w:rsidRPr="007130A3">
        <w:rPr>
          <w:rFonts w:ascii="Times New Roman" w:hAnsi="Times New Roman" w:cs="Times New Roman"/>
          <w:sz w:val="24"/>
        </w:rPr>
        <w:t>, 151–</w:t>
      </w:r>
      <w:r>
        <w:rPr>
          <w:rFonts w:ascii="Times New Roman" w:hAnsi="Times New Roman" w:cs="Times New Roman"/>
          <w:sz w:val="24"/>
        </w:rPr>
        <w:tab/>
      </w:r>
      <w:r w:rsidRPr="007130A3">
        <w:rPr>
          <w:rFonts w:ascii="Times New Roman" w:hAnsi="Times New Roman" w:cs="Times New Roman"/>
          <w:sz w:val="24"/>
        </w:rPr>
        <w:t>158.</w:t>
      </w:r>
      <w:r>
        <w:rPr>
          <w:rFonts w:ascii="Times New Roman" w:hAnsi="Times New Roman" w:cs="Times New Roman"/>
          <w:sz w:val="24"/>
        </w:rPr>
        <w:t xml:space="preserve"> doi:</w:t>
      </w:r>
      <w:r w:rsidRPr="007130A3">
        <w:t xml:space="preserve"> </w:t>
      </w:r>
      <w:r w:rsidRPr="007130A3">
        <w:rPr>
          <w:rFonts w:ascii="Times New Roman" w:hAnsi="Times New Roman" w:cs="Times New Roman"/>
          <w:sz w:val="24"/>
        </w:rPr>
        <w:t>10.1037//0022-3514.68.1.151</w:t>
      </w:r>
    </w:p>
    <w:p w14:paraId="5A018723" w14:textId="4F36BE7D" w:rsidR="005F4336" w:rsidRDefault="005F4336" w:rsidP="007130A3">
      <w:pPr>
        <w:spacing w:after="0" w:line="480" w:lineRule="auto"/>
        <w:rPr>
          <w:rFonts w:ascii="Times New Roman" w:hAnsi="Times New Roman" w:cs="Times New Roman"/>
          <w:sz w:val="24"/>
        </w:rPr>
      </w:pPr>
      <w:r w:rsidRPr="005F4336">
        <w:rPr>
          <w:rFonts w:ascii="Times New Roman" w:hAnsi="Times New Roman" w:cs="Times New Roman"/>
          <w:sz w:val="24"/>
        </w:rPr>
        <w:t xml:space="preserve">Levy, K., Blatt, S. J., &amp; Shaver, P. R. (1998). Attachment styles and parental representations. </w:t>
      </w:r>
      <w:r>
        <w:rPr>
          <w:rFonts w:ascii="Times New Roman" w:hAnsi="Times New Roman" w:cs="Times New Roman"/>
          <w:sz w:val="24"/>
        </w:rPr>
        <w:tab/>
      </w:r>
      <w:r w:rsidRPr="005F4336">
        <w:rPr>
          <w:rFonts w:ascii="Times New Roman" w:hAnsi="Times New Roman" w:cs="Times New Roman"/>
          <w:i/>
          <w:sz w:val="24"/>
        </w:rPr>
        <w:t>Journal of Personality and Social Psychology, 74</w:t>
      </w:r>
      <w:r w:rsidRPr="005F4336">
        <w:rPr>
          <w:rFonts w:ascii="Times New Roman" w:hAnsi="Times New Roman" w:cs="Times New Roman"/>
          <w:sz w:val="24"/>
        </w:rPr>
        <w:t>(2), 407-419. doi: 10.1037//0022-</w:t>
      </w:r>
      <w:r>
        <w:rPr>
          <w:rFonts w:ascii="Times New Roman" w:hAnsi="Times New Roman" w:cs="Times New Roman"/>
          <w:sz w:val="24"/>
        </w:rPr>
        <w:tab/>
      </w:r>
      <w:r w:rsidRPr="005F4336">
        <w:rPr>
          <w:rFonts w:ascii="Times New Roman" w:hAnsi="Times New Roman" w:cs="Times New Roman"/>
          <w:sz w:val="24"/>
        </w:rPr>
        <w:t>3514.74.2.407</w:t>
      </w:r>
    </w:p>
    <w:p w14:paraId="22C50D01" w14:textId="57FBCCB8" w:rsidR="00D05524" w:rsidRDefault="00D05524" w:rsidP="00FC4968">
      <w:pPr>
        <w:spacing w:after="0" w:line="480" w:lineRule="auto"/>
        <w:rPr>
          <w:rFonts w:ascii="Times New Roman" w:hAnsi="Times New Roman" w:cs="Times New Roman"/>
          <w:sz w:val="24"/>
        </w:rPr>
      </w:pPr>
      <w:r w:rsidRPr="00D05524">
        <w:rPr>
          <w:rFonts w:ascii="Times New Roman" w:hAnsi="Times New Roman" w:cs="Times New Roman"/>
          <w:sz w:val="24"/>
        </w:rPr>
        <w:t xml:space="preserve">Lewis, M., Ireland, J., Abbott, J., &amp; Ireland, C. (2017). Initial development of the psychopathic </w:t>
      </w:r>
      <w:r w:rsidR="00AF1E0B">
        <w:rPr>
          <w:rFonts w:ascii="Times New Roman" w:hAnsi="Times New Roman" w:cs="Times New Roman"/>
          <w:sz w:val="24"/>
        </w:rPr>
        <w:tab/>
      </w:r>
      <w:r w:rsidRPr="00D05524">
        <w:rPr>
          <w:rFonts w:ascii="Times New Roman" w:hAnsi="Times New Roman" w:cs="Times New Roman"/>
          <w:sz w:val="24"/>
        </w:rPr>
        <w:t>processing and personality assessment (PAPA) across populations.</w:t>
      </w:r>
      <w:r w:rsidRPr="00D05524">
        <w:rPr>
          <w:rFonts w:ascii="Times New Roman" w:hAnsi="Times New Roman" w:cs="Times New Roman"/>
          <w:i/>
          <w:sz w:val="24"/>
        </w:rPr>
        <w:t xml:space="preserve"> International Journal </w:t>
      </w:r>
      <w:r w:rsidR="00AF1E0B">
        <w:rPr>
          <w:rFonts w:ascii="Times New Roman" w:hAnsi="Times New Roman" w:cs="Times New Roman"/>
          <w:i/>
          <w:sz w:val="24"/>
        </w:rPr>
        <w:tab/>
      </w:r>
      <w:r w:rsidRPr="00D05524">
        <w:rPr>
          <w:rFonts w:ascii="Times New Roman" w:hAnsi="Times New Roman" w:cs="Times New Roman"/>
          <w:i/>
          <w:sz w:val="24"/>
        </w:rPr>
        <w:t>of Law and Psychiatry, 54</w:t>
      </w:r>
      <w:r w:rsidRPr="00D05524">
        <w:rPr>
          <w:rFonts w:ascii="Times New Roman" w:hAnsi="Times New Roman" w:cs="Times New Roman"/>
          <w:sz w:val="24"/>
        </w:rPr>
        <w:t>, 118-132. doi:</w:t>
      </w:r>
      <w:r w:rsidR="00CB360C">
        <w:rPr>
          <w:rFonts w:ascii="Times New Roman" w:hAnsi="Times New Roman" w:cs="Times New Roman"/>
          <w:sz w:val="24"/>
        </w:rPr>
        <w:t xml:space="preserve"> </w:t>
      </w:r>
      <w:r w:rsidRPr="00D05524">
        <w:rPr>
          <w:rFonts w:ascii="Times New Roman" w:hAnsi="Times New Roman" w:cs="Times New Roman"/>
          <w:sz w:val="24"/>
        </w:rPr>
        <w:t>10.1016/j.ijlp.2017.06.006</w:t>
      </w:r>
    </w:p>
    <w:p w14:paraId="2E9180FA" w14:textId="310CE626" w:rsidR="006079CE" w:rsidRDefault="006079CE" w:rsidP="00FC4968">
      <w:pPr>
        <w:spacing w:after="0" w:line="480" w:lineRule="auto"/>
        <w:rPr>
          <w:sz w:val="24"/>
          <w:szCs w:val="24"/>
        </w:rPr>
      </w:pPr>
      <w:r w:rsidRPr="006079CE">
        <w:rPr>
          <w:sz w:val="24"/>
          <w:szCs w:val="24"/>
        </w:rPr>
        <w:t>Lobbestael, J., Arntz, A., Voncken, M., &amp; Potegal, M. (2017, June 19). Responses to dominance</w:t>
      </w:r>
      <w:r>
        <w:rPr>
          <w:sz w:val="24"/>
          <w:szCs w:val="24"/>
        </w:rPr>
        <w:tab/>
      </w:r>
      <w:r>
        <w:rPr>
          <w:sz w:val="24"/>
          <w:szCs w:val="24"/>
        </w:rPr>
        <w:tab/>
      </w:r>
      <w:r w:rsidRPr="006079CE">
        <w:rPr>
          <w:sz w:val="24"/>
          <w:szCs w:val="24"/>
        </w:rPr>
        <w:t xml:space="preserve">challenge are a function of psychopathy level: A multimethod study. </w:t>
      </w:r>
      <w:r w:rsidRPr="006079CE">
        <w:rPr>
          <w:i/>
          <w:sz w:val="24"/>
          <w:szCs w:val="24"/>
        </w:rPr>
        <w:t xml:space="preserve">Personality </w:t>
      </w:r>
      <w:r>
        <w:rPr>
          <w:i/>
          <w:sz w:val="24"/>
          <w:szCs w:val="24"/>
        </w:rPr>
        <w:tab/>
      </w:r>
      <w:r w:rsidRPr="006079CE">
        <w:rPr>
          <w:i/>
          <w:sz w:val="24"/>
          <w:szCs w:val="24"/>
        </w:rPr>
        <w:t>Disorders:</w:t>
      </w:r>
      <w:r>
        <w:rPr>
          <w:i/>
          <w:sz w:val="24"/>
          <w:szCs w:val="24"/>
        </w:rPr>
        <w:t xml:space="preserve"> </w:t>
      </w:r>
      <w:r w:rsidRPr="006079CE">
        <w:rPr>
          <w:i/>
          <w:sz w:val="24"/>
          <w:szCs w:val="24"/>
        </w:rPr>
        <w:t xml:space="preserve">Theory, Research, and Treatment. </w:t>
      </w:r>
      <w:r w:rsidRPr="006079CE">
        <w:rPr>
          <w:sz w:val="24"/>
          <w:szCs w:val="24"/>
        </w:rPr>
        <w:t xml:space="preserve">Advance online publication. doi: </w:t>
      </w:r>
      <w:r>
        <w:rPr>
          <w:sz w:val="24"/>
          <w:szCs w:val="24"/>
        </w:rPr>
        <w:tab/>
      </w:r>
      <w:r w:rsidRPr="006079CE">
        <w:rPr>
          <w:sz w:val="24"/>
          <w:szCs w:val="24"/>
        </w:rPr>
        <w:t>10.1037/per0000252</w:t>
      </w:r>
    </w:p>
    <w:p w14:paraId="56E612E6" w14:textId="4C15A5D0" w:rsidR="008F72DE" w:rsidRDefault="008F72DE" w:rsidP="00FC4968">
      <w:pPr>
        <w:spacing w:after="0" w:line="480" w:lineRule="auto"/>
        <w:rPr>
          <w:sz w:val="24"/>
          <w:szCs w:val="24"/>
        </w:rPr>
      </w:pPr>
      <w:r>
        <w:rPr>
          <w:sz w:val="24"/>
          <w:szCs w:val="24"/>
        </w:rPr>
        <w:t xml:space="preserve">Love, A. B., Holder, M. D. (2016). Can romantic relationship quality mediate the relation </w:t>
      </w:r>
      <w:r w:rsidR="00FC4968">
        <w:rPr>
          <w:sz w:val="24"/>
          <w:szCs w:val="24"/>
        </w:rPr>
        <w:tab/>
      </w:r>
      <w:r>
        <w:rPr>
          <w:sz w:val="24"/>
          <w:szCs w:val="24"/>
        </w:rPr>
        <w:t xml:space="preserve">between psychopathy and subjective well-being? </w:t>
      </w:r>
      <w:r w:rsidR="00FC4968">
        <w:rPr>
          <w:i/>
          <w:sz w:val="24"/>
          <w:szCs w:val="24"/>
        </w:rPr>
        <w:t>Journal of Happiness Studies, 17</w:t>
      </w:r>
      <w:r w:rsidR="00FC4968">
        <w:rPr>
          <w:sz w:val="24"/>
          <w:szCs w:val="24"/>
        </w:rPr>
        <w:t>, 2407-</w:t>
      </w:r>
      <w:r w:rsidR="00FC4968">
        <w:rPr>
          <w:sz w:val="24"/>
          <w:szCs w:val="24"/>
        </w:rPr>
        <w:tab/>
        <w:t>2429. doi:</w:t>
      </w:r>
      <w:r w:rsidR="00FC4968" w:rsidRPr="00FC4968">
        <w:t xml:space="preserve"> </w:t>
      </w:r>
      <w:r w:rsidR="00FC4968" w:rsidRPr="00FC4968">
        <w:rPr>
          <w:sz w:val="24"/>
          <w:szCs w:val="24"/>
        </w:rPr>
        <w:t>10.1007/s10902-015-9700-2</w:t>
      </w:r>
    </w:p>
    <w:p w14:paraId="7586F14E" w14:textId="41120853" w:rsidR="00A12286" w:rsidRPr="00FC4968" w:rsidRDefault="00A12286" w:rsidP="00FC4968">
      <w:pPr>
        <w:spacing w:after="0" w:line="480" w:lineRule="auto"/>
        <w:rPr>
          <w:sz w:val="24"/>
          <w:szCs w:val="24"/>
        </w:rPr>
      </w:pPr>
      <w:r w:rsidRPr="00A12286">
        <w:rPr>
          <w:sz w:val="24"/>
          <w:szCs w:val="24"/>
        </w:rPr>
        <w:t xml:space="preserve">Mack, T. D., Hackney, A. A., &amp; Pyle, M. (2011). The relationship between psychopathic traits </w:t>
      </w:r>
      <w:r>
        <w:rPr>
          <w:sz w:val="24"/>
          <w:szCs w:val="24"/>
        </w:rPr>
        <w:tab/>
      </w:r>
      <w:r w:rsidRPr="00A12286">
        <w:rPr>
          <w:sz w:val="24"/>
          <w:szCs w:val="24"/>
        </w:rPr>
        <w:t xml:space="preserve">and attachment behavior in a non-clinical population. </w:t>
      </w:r>
      <w:r w:rsidRPr="00A12286">
        <w:rPr>
          <w:i/>
          <w:sz w:val="24"/>
          <w:szCs w:val="24"/>
        </w:rPr>
        <w:t xml:space="preserve">Personality and Individual </w:t>
      </w:r>
      <w:r w:rsidRPr="00A12286">
        <w:rPr>
          <w:i/>
          <w:sz w:val="24"/>
          <w:szCs w:val="24"/>
        </w:rPr>
        <w:tab/>
        <w:t>Differences, 51</w:t>
      </w:r>
      <w:r w:rsidRPr="00A12286">
        <w:rPr>
          <w:sz w:val="24"/>
          <w:szCs w:val="24"/>
        </w:rPr>
        <w:t>(5), 584-588. doi: 10.1016/j.paid.2011.05.019</w:t>
      </w:r>
    </w:p>
    <w:p w14:paraId="53D676A2" w14:textId="6898B846" w:rsidR="00841362" w:rsidRDefault="00841362" w:rsidP="00FC4968">
      <w:pPr>
        <w:spacing w:after="0" w:line="480" w:lineRule="auto"/>
        <w:rPr>
          <w:sz w:val="24"/>
          <w:szCs w:val="24"/>
        </w:rPr>
      </w:pPr>
      <w:r w:rsidRPr="00841362">
        <w:rPr>
          <w:sz w:val="24"/>
          <w:szCs w:val="24"/>
        </w:rPr>
        <w:t xml:space="preserve">Mager, K. L., Bresin, K., &amp; Verona, E. (2014). Gender, psychopathy factors, and intimate </w:t>
      </w:r>
      <w:r>
        <w:rPr>
          <w:sz w:val="24"/>
          <w:szCs w:val="24"/>
        </w:rPr>
        <w:tab/>
      </w:r>
      <w:r w:rsidRPr="00841362">
        <w:rPr>
          <w:sz w:val="24"/>
          <w:szCs w:val="24"/>
        </w:rPr>
        <w:t xml:space="preserve">partner violence. </w:t>
      </w:r>
      <w:r w:rsidRPr="00841362">
        <w:rPr>
          <w:i/>
          <w:sz w:val="24"/>
          <w:szCs w:val="24"/>
        </w:rPr>
        <w:t>Personality Disorders: Theory, Research, and Treatment, 5</w:t>
      </w:r>
      <w:r w:rsidRPr="00841362">
        <w:rPr>
          <w:sz w:val="24"/>
          <w:szCs w:val="24"/>
        </w:rPr>
        <w:t>(3), 257-</w:t>
      </w:r>
      <w:r>
        <w:rPr>
          <w:sz w:val="24"/>
          <w:szCs w:val="24"/>
        </w:rPr>
        <w:tab/>
      </w:r>
      <w:r w:rsidRPr="00841362">
        <w:rPr>
          <w:sz w:val="24"/>
          <w:szCs w:val="24"/>
        </w:rPr>
        <w:t>267. doi: 10.1037/per0000072</w:t>
      </w:r>
    </w:p>
    <w:p w14:paraId="2415E5FA" w14:textId="7CB8D854" w:rsidR="00693FB5" w:rsidRDefault="00693FB5" w:rsidP="00FC4968">
      <w:pPr>
        <w:spacing w:after="0" w:line="480" w:lineRule="auto"/>
        <w:rPr>
          <w:sz w:val="24"/>
          <w:szCs w:val="24"/>
        </w:rPr>
      </w:pPr>
      <w:r w:rsidRPr="00693FB5">
        <w:rPr>
          <w:sz w:val="24"/>
          <w:szCs w:val="24"/>
        </w:rPr>
        <w:t xml:space="preserve">Massar, K., Winters, C. L., Lenz, S., &amp; Jonason, P. K. (2017). Green-eyed snakes: The </w:t>
      </w:r>
      <w:r>
        <w:rPr>
          <w:sz w:val="24"/>
          <w:szCs w:val="24"/>
        </w:rPr>
        <w:tab/>
      </w:r>
      <w:r w:rsidRPr="00693FB5">
        <w:rPr>
          <w:sz w:val="24"/>
          <w:szCs w:val="24"/>
        </w:rPr>
        <w:t xml:space="preserve">associations between psychopathy, jealousy, and jealousy induction. </w:t>
      </w:r>
      <w:r w:rsidRPr="00693FB5">
        <w:rPr>
          <w:i/>
          <w:sz w:val="24"/>
          <w:szCs w:val="24"/>
        </w:rPr>
        <w:t xml:space="preserve">Personality and </w:t>
      </w:r>
      <w:r w:rsidRPr="00693FB5">
        <w:rPr>
          <w:i/>
          <w:sz w:val="24"/>
          <w:szCs w:val="24"/>
        </w:rPr>
        <w:tab/>
        <w:t>Individual Differences, 115</w:t>
      </w:r>
      <w:r w:rsidRPr="00693FB5">
        <w:rPr>
          <w:sz w:val="24"/>
          <w:szCs w:val="24"/>
        </w:rPr>
        <w:t>, 164-168. doi: 10.1016/j.paid.2016.01.055</w:t>
      </w:r>
    </w:p>
    <w:p w14:paraId="7DBC6426" w14:textId="3E1DE44B" w:rsidR="00FC4968" w:rsidRDefault="00FC4968" w:rsidP="00FC4968">
      <w:pPr>
        <w:spacing w:after="0" w:line="480" w:lineRule="auto"/>
        <w:rPr>
          <w:rFonts w:ascii="Times New Roman" w:hAnsi="Times New Roman" w:cs="Times New Roman"/>
          <w:sz w:val="24"/>
        </w:rPr>
      </w:pPr>
      <w:r w:rsidRPr="001B4978">
        <w:rPr>
          <w:rFonts w:ascii="Times New Roman" w:hAnsi="Times New Roman" w:cs="Times New Roman"/>
          <w:sz w:val="24"/>
        </w:rPr>
        <w:t xml:space="preserve">Neumann, C. S., &amp; Hare, R. D. (2008). Psychopathic traits in a large community sample: </w:t>
      </w:r>
      <w:r w:rsidRPr="001B4978">
        <w:rPr>
          <w:rFonts w:ascii="Times New Roman" w:hAnsi="Times New Roman" w:cs="Times New Roman"/>
          <w:sz w:val="24"/>
        </w:rPr>
        <w:tab/>
        <w:t xml:space="preserve">Links </w:t>
      </w:r>
      <w:r>
        <w:rPr>
          <w:rFonts w:ascii="Times New Roman" w:hAnsi="Times New Roman" w:cs="Times New Roman"/>
          <w:sz w:val="24"/>
        </w:rPr>
        <w:tab/>
      </w:r>
      <w:r w:rsidRPr="001B4978">
        <w:rPr>
          <w:rFonts w:ascii="Times New Roman" w:hAnsi="Times New Roman" w:cs="Times New Roman"/>
          <w:sz w:val="24"/>
        </w:rPr>
        <w:t xml:space="preserve">to violence, alcohol use, and intelligence. </w:t>
      </w:r>
      <w:r w:rsidRPr="00CE3CCD">
        <w:rPr>
          <w:rFonts w:ascii="Times New Roman" w:hAnsi="Times New Roman" w:cs="Times New Roman"/>
          <w:i/>
          <w:sz w:val="24"/>
        </w:rPr>
        <w:t xml:space="preserve">Journal of Consulting and Clinical </w:t>
      </w:r>
      <w:r w:rsidRPr="00CE3CCD">
        <w:rPr>
          <w:rFonts w:ascii="Times New Roman" w:hAnsi="Times New Roman" w:cs="Times New Roman"/>
          <w:i/>
          <w:sz w:val="24"/>
        </w:rPr>
        <w:tab/>
        <w:t>Psychology, 76</w:t>
      </w:r>
      <w:r w:rsidRPr="001B4978">
        <w:rPr>
          <w:rFonts w:ascii="Times New Roman" w:hAnsi="Times New Roman" w:cs="Times New Roman"/>
          <w:sz w:val="24"/>
        </w:rPr>
        <w:t>(5), 893-899. doi: 10.1037/0022-006X.76.5.893</w:t>
      </w:r>
    </w:p>
    <w:p w14:paraId="1BCBE312" w14:textId="306911FD" w:rsidR="00C9579C" w:rsidRPr="00C9579C" w:rsidRDefault="00C9579C" w:rsidP="00FC4968">
      <w:pPr>
        <w:spacing w:after="0" w:line="480" w:lineRule="auto"/>
        <w:rPr>
          <w:rFonts w:ascii="Times New Roman" w:hAnsi="Times New Roman" w:cs="Times New Roman"/>
          <w:sz w:val="24"/>
        </w:rPr>
      </w:pPr>
      <w:r>
        <w:rPr>
          <w:rFonts w:ascii="Times New Roman" w:hAnsi="Times New Roman" w:cs="Times New Roman"/>
          <w:sz w:val="24"/>
        </w:rPr>
        <w:t xml:space="preserve">Papadopoulos, L., Bor, R., &amp; Stanion, P. (1997). Genograms in counselling practice: A review </w:t>
      </w:r>
      <w:r>
        <w:rPr>
          <w:rFonts w:ascii="Times New Roman" w:hAnsi="Times New Roman" w:cs="Times New Roman"/>
          <w:sz w:val="24"/>
        </w:rPr>
        <w:tab/>
        <w:t xml:space="preserve">(part 1). </w:t>
      </w:r>
      <w:r>
        <w:rPr>
          <w:rFonts w:ascii="Times New Roman" w:hAnsi="Times New Roman" w:cs="Times New Roman"/>
          <w:i/>
          <w:sz w:val="24"/>
        </w:rPr>
        <w:t>Counselling Psychology Quarterly, 10</w:t>
      </w:r>
      <w:r>
        <w:rPr>
          <w:rFonts w:ascii="Times New Roman" w:hAnsi="Times New Roman" w:cs="Times New Roman"/>
          <w:sz w:val="24"/>
        </w:rPr>
        <w:t>(1), 17-28. doi:</w:t>
      </w:r>
      <w:r w:rsidRPr="00C9579C">
        <w:t xml:space="preserve"> </w:t>
      </w:r>
      <w:r>
        <w:tab/>
      </w:r>
      <w:r w:rsidRPr="00C9579C">
        <w:rPr>
          <w:rFonts w:ascii="Times New Roman" w:hAnsi="Times New Roman" w:cs="Times New Roman"/>
          <w:sz w:val="24"/>
        </w:rPr>
        <w:t>10.1080/09515079708251408</w:t>
      </w:r>
    </w:p>
    <w:p w14:paraId="45AD0B21" w14:textId="1F21C776" w:rsidR="00A12286" w:rsidRPr="001B4978" w:rsidRDefault="00A12286" w:rsidP="00FC4968">
      <w:pPr>
        <w:spacing w:after="0" w:line="480" w:lineRule="auto"/>
        <w:rPr>
          <w:rFonts w:ascii="Times New Roman" w:hAnsi="Times New Roman" w:cs="Times New Roman"/>
          <w:sz w:val="24"/>
        </w:rPr>
      </w:pPr>
      <w:r w:rsidRPr="00A12286">
        <w:rPr>
          <w:rFonts w:ascii="Times New Roman" w:hAnsi="Times New Roman" w:cs="Times New Roman"/>
          <w:sz w:val="24"/>
        </w:rPr>
        <w:t xml:space="preserve">Poythress, N. G., &amp; Skeem, J. L. (2006). Disaggregating psychopathy: Where and how to look </w:t>
      </w:r>
      <w:r>
        <w:rPr>
          <w:rFonts w:ascii="Times New Roman" w:hAnsi="Times New Roman" w:cs="Times New Roman"/>
          <w:sz w:val="24"/>
        </w:rPr>
        <w:tab/>
      </w:r>
      <w:r w:rsidRPr="00A12286">
        <w:rPr>
          <w:rFonts w:ascii="Times New Roman" w:hAnsi="Times New Roman" w:cs="Times New Roman"/>
          <w:sz w:val="24"/>
        </w:rPr>
        <w:t xml:space="preserve">for subtypes. In C. J. Patrick (Ed.), </w:t>
      </w:r>
      <w:r w:rsidRPr="00A12286">
        <w:rPr>
          <w:rFonts w:ascii="Times New Roman" w:hAnsi="Times New Roman" w:cs="Times New Roman"/>
          <w:i/>
          <w:sz w:val="24"/>
        </w:rPr>
        <w:t xml:space="preserve">Handbook of </w:t>
      </w:r>
      <w:r>
        <w:rPr>
          <w:rFonts w:ascii="Times New Roman" w:hAnsi="Times New Roman" w:cs="Times New Roman"/>
          <w:i/>
          <w:sz w:val="24"/>
        </w:rPr>
        <w:t>p</w:t>
      </w:r>
      <w:r w:rsidRPr="00A12286">
        <w:rPr>
          <w:rFonts w:ascii="Times New Roman" w:hAnsi="Times New Roman" w:cs="Times New Roman"/>
          <w:i/>
          <w:sz w:val="24"/>
        </w:rPr>
        <w:t>sychopathy</w:t>
      </w:r>
      <w:r w:rsidRPr="00A12286">
        <w:rPr>
          <w:rFonts w:ascii="Times New Roman" w:hAnsi="Times New Roman" w:cs="Times New Roman"/>
          <w:sz w:val="24"/>
        </w:rPr>
        <w:t xml:space="preserve"> (pp. 172-192). New York, </w:t>
      </w:r>
      <w:r>
        <w:rPr>
          <w:rFonts w:ascii="Times New Roman" w:hAnsi="Times New Roman" w:cs="Times New Roman"/>
          <w:sz w:val="24"/>
        </w:rPr>
        <w:tab/>
      </w:r>
      <w:r w:rsidRPr="00A12286">
        <w:rPr>
          <w:rFonts w:ascii="Times New Roman" w:hAnsi="Times New Roman" w:cs="Times New Roman"/>
          <w:sz w:val="24"/>
        </w:rPr>
        <w:t xml:space="preserve">NY: The Guildford Press.  </w:t>
      </w:r>
    </w:p>
    <w:p w14:paraId="4D747001" w14:textId="3BD1EDE3" w:rsidR="001F1E21" w:rsidRDefault="001F1E21" w:rsidP="00FC4968">
      <w:pPr>
        <w:spacing w:after="0" w:line="480" w:lineRule="auto"/>
        <w:rPr>
          <w:sz w:val="24"/>
          <w:szCs w:val="24"/>
        </w:rPr>
      </w:pPr>
      <w:r w:rsidRPr="001F1E21">
        <w:rPr>
          <w:sz w:val="24"/>
          <w:szCs w:val="24"/>
        </w:rPr>
        <w:t xml:space="preserve">Rauthmann, J. F. (2011). Acquisitive or protective self-presentation of dark personalities? </w:t>
      </w:r>
      <w:r>
        <w:rPr>
          <w:sz w:val="24"/>
          <w:szCs w:val="24"/>
        </w:rPr>
        <w:tab/>
      </w:r>
      <w:r w:rsidRPr="001F1E21">
        <w:rPr>
          <w:sz w:val="24"/>
          <w:szCs w:val="24"/>
        </w:rPr>
        <w:t xml:space="preserve">Associations among the Dark Triad and self-monitoring. </w:t>
      </w:r>
      <w:r w:rsidRPr="001F1E21">
        <w:rPr>
          <w:i/>
          <w:sz w:val="24"/>
          <w:szCs w:val="24"/>
        </w:rPr>
        <w:t xml:space="preserve">Personality and Individual </w:t>
      </w:r>
      <w:r w:rsidRPr="001F1E21">
        <w:rPr>
          <w:i/>
          <w:sz w:val="24"/>
          <w:szCs w:val="24"/>
        </w:rPr>
        <w:tab/>
        <w:t>Differences, 51</w:t>
      </w:r>
      <w:r w:rsidRPr="001F1E21">
        <w:rPr>
          <w:sz w:val="24"/>
          <w:szCs w:val="24"/>
        </w:rPr>
        <w:t>, 502-508. doi: 10.1016/j.paid.2011.05.008</w:t>
      </w:r>
    </w:p>
    <w:p w14:paraId="7F9FED69" w14:textId="24E0F480" w:rsidR="00FC4968" w:rsidRPr="00FC4968" w:rsidRDefault="00FC4968" w:rsidP="00FC4968">
      <w:pPr>
        <w:spacing w:after="0" w:line="480" w:lineRule="auto"/>
        <w:rPr>
          <w:sz w:val="24"/>
          <w:szCs w:val="24"/>
        </w:rPr>
      </w:pPr>
      <w:r>
        <w:rPr>
          <w:sz w:val="24"/>
          <w:szCs w:val="24"/>
        </w:rPr>
        <w:t xml:space="preserve">Rauthmann, J. F., &amp; Kolar, G. P. (2013). Positioning the Dark Triad in the interpersonal </w:t>
      </w:r>
      <w:r>
        <w:rPr>
          <w:sz w:val="24"/>
          <w:szCs w:val="24"/>
        </w:rPr>
        <w:tab/>
        <w:t xml:space="preserve">circumplex: The friendly-dominant narcissist, hostile-submissive Machiavellian, and </w:t>
      </w:r>
      <w:r>
        <w:rPr>
          <w:sz w:val="24"/>
          <w:szCs w:val="24"/>
        </w:rPr>
        <w:tab/>
        <w:t xml:space="preserve">hostile-dominant psychopath? </w:t>
      </w:r>
      <w:r>
        <w:rPr>
          <w:i/>
          <w:sz w:val="24"/>
          <w:szCs w:val="24"/>
        </w:rPr>
        <w:t>Personality and Individual Differences, 54</w:t>
      </w:r>
      <w:r>
        <w:rPr>
          <w:sz w:val="24"/>
          <w:szCs w:val="24"/>
        </w:rPr>
        <w:t>, 622-627. doi:</w:t>
      </w:r>
      <w:r w:rsidRPr="00FC4968">
        <w:t xml:space="preserve"> </w:t>
      </w:r>
      <w:r>
        <w:tab/>
      </w:r>
      <w:r w:rsidRPr="00FC4968">
        <w:rPr>
          <w:sz w:val="24"/>
          <w:szCs w:val="24"/>
        </w:rPr>
        <w:t>10.1016/j.paid.2012.11.021</w:t>
      </w:r>
    </w:p>
    <w:p w14:paraId="247B2512" w14:textId="707215AF" w:rsidR="006079CE" w:rsidRDefault="006079CE" w:rsidP="00FC4968">
      <w:pPr>
        <w:spacing w:after="0" w:line="480" w:lineRule="auto"/>
        <w:rPr>
          <w:sz w:val="24"/>
          <w:szCs w:val="24"/>
        </w:rPr>
      </w:pPr>
      <w:r w:rsidRPr="006079CE">
        <w:rPr>
          <w:sz w:val="24"/>
          <w:szCs w:val="24"/>
        </w:rPr>
        <w:t xml:space="preserve">Reidy, D. E., Wilson, L. F., Sloan, C. A., Cohn, A. M., Smart, L. M., &amp; Zeichner, A. (2013). </w:t>
      </w:r>
      <w:r>
        <w:rPr>
          <w:sz w:val="24"/>
          <w:szCs w:val="24"/>
        </w:rPr>
        <w:tab/>
      </w:r>
      <w:r w:rsidRPr="006079CE">
        <w:rPr>
          <w:sz w:val="24"/>
          <w:szCs w:val="24"/>
        </w:rPr>
        <w:t xml:space="preserve">Psychopathic traits and men’s anger response to interpersonal conflict: A pilot study. </w:t>
      </w:r>
      <w:r>
        <w:rPr>
          <w:sz w:val="24"/>
          <w:szCs w:val="24"/>
        </w:rPr>
        <w:tab/>
      </w:r>
      <w:r w:rsidRPr="006079CE">
        <w:rPr>
          <w:i/>
          <w:sz w:val="24"/>
          <w:szCs w:val="24"/>
        </w:rPr>
        <w:t>Personality and Individual Differences, 55</w:t>
      </w:r>
      <w:r w:rsidRPr="006079CE">
        <w:rPr>
          <w:sz w:val="24"/>
          <w:szCs w:val="24"/>
        </w:rPr>
        <w:t>, 957-961. doi: 10.1016/j.paid.2013.07.473</w:t>
      </w:r>
    </w:p>
    <w:p w14:paraId="63B6DCB9" w14:textId="0716289F" w:rsidR="00A12286" w:rsidRDefault="00A12286" w:rsidP="00FC4968">
      <w:pPr>
        <w:spacing w:after="0" w:line="480" w:lineRule="auto"/>
        <w:rPr>
          <w:sz w:val="24"/>
          <w:szCs w:val="24"/>
        </w:rPr>
      </w:pPr>
      <w:r w:rsidRPr="00A12286">
        <w:rPr>
          <w:sz w:val="24"/>
          <w:szCs w:val="24"/>
        </w:rPr>
        <w:t xml:space="preserve">Salekin, R. T., Trobst, K. K., &amp; Krioukova, M. (2001). Construct validity of psychopathy in a </w:t>
      </w:r>
      <w:r>
        <w:rPr>
          <w:sz w:val="24"/>
          <w:szCs w:val="24"/>
        </w:rPr>
        <w:tab/>
      </w:r>
      <w:r w:rsidRPr="00A12286">
        <w:rPr>
          <w:sz w:val="24"/>
          <w:szCs w:val="24"/>
        </w:rPr>
        <w:t xml:space="preserve">community sample: A nomological net approach. </w:t>
      </w:r>
      <w:r w:rsidRPr="00A12286">
        <w:rPr>
          <w:i/>
          <w:sz w:val="24"/>
          <w:szCs w:val="24"/>
        </w:rPr>
        <w:t xml:space="preserve">Journal of Personality Disorders, </w:t>
      </w:r>
      <w:r>
        <w:rPr>
          <w:i/>
          <w:sz w:val="24"/>
          <w:szCs w:val="24"/>
        </w:rPr>
        <w:tab/>
      </w:r>
      <w:r w:rsidRPr="00A12286">
        <w:rPr>
          <w:i/>
          <w:sz w:val="24"/>
          <w:szCs w:val="24"/>
        </w:rPr>
        <w:t>15</w:t>
      </w:r>
      <w:r w:rsidRPr="00A12286">
        <w:rPr>
          <w:sz w:val="24"/>
          <w:szCs w:val="24"/>
        </w:rPr>
        <w:t>(5),</w:t>
      </w:r>
      <w:r>
        <w:rPr>
          <w:sz w:val="24"/>
          <w:szCs w:val="24"/>
        </w:rPr>
        <w:t xml:space="preserve"> </w:t>
      </w:r>
      <w:r w:rsidRPr="00A12286">
        <w:rPr>
          <w:sz w:val="24"/>
          <w:szCs w:val="24"/>
        </w:rPr>
        <w:t>425-441. doi: 10.1521/pedi.15.5.425.19196</w:t>
      </w:r>
    </w:p>
    <w:p w14:paraId="0F7CA347" w14:textId="55C5C428" w:rsidR="00FC4968" w:rsidRDefault="00FC4968" w:rsidP="00FC4968">
      <w:pPr>
        <w:spacing w:after="0" w:line="480" w:lineRule="auto"/>
        <w:rPr>
          <w:rFonts w:ascii="Times New Roman" w:hAnsi="Times New Roman" w:cs="Times New Roman"/>
          <w:sz w:val="24"/>
        </w:rPr>
      </w:pPr>
      <w:r w:rsidRPr="001B4978">
        <w:rPr>
          <w:rFonts w:ascii="Times New Roman" w:hAnsi="Times New Roman" w:cs="Times New Roman"/>
          <w:sz w:val="24"/>
        </w:rPr>
        <w:t>Saltaris, C. (2002). Psychopathy in juvenile offenders: Can temperament and attachme</w:t>
      </w:r>
      <w:r>
        <w:rPr>
          <w:rFonts w:ascii="Times New Roman" w:hAnsi="Times New Roman" w:cs="Times New Roman"/>
          <w:sz w:val="24"/>
        </w:rPr>
        <w:t xml:space="preserve">nt </w:t>
      </w:r>
      <w:r w:rsidRPr="001B4978">
        <w:rPr>
          <w:rFonts w:ascii="Times New Roman" w:hAnsi="Times New Roman" w:cs="Times New Roman"/>
          <w:sz w:val="24"/>
        </w:rPr>
        <w:t xml:space="preserve">be </w:t>
      </w:r>
      <w:r>
        <w:rPr>
          <w:rFonts w:ascii="Times New Roman" w:hAnsi="Times New Roman" w:cs="Times New Roman"/>
          <w:sz w:val="24"/>
        </w:rPr>
        <w:tab/>
      </w:r>
      <w:r w:rsidRPr="001B4978">
        <w:rPr>
          <w:rFonts w:ascii="Times New Roman" w:hAnsi="Times New Roman" w:cs="Times New Roman"/>
          <w:sz w:val="24"/>
        </w:rPr>
        <w:t xml:space="preserve">considered as robust developmental precursors? </w:t>
      </w:r>
      <w:r w:rsidRPr="00CE3CCD">
        <w:rPr>
          <w:rFonts w:ascii="Times New Roman" w:hAnsi="Times New Roman" w:cs="Times New Roman"/>
          <w:i/>
          <w:sz w:val="24"/>
        </w:rPr>
        <w:t>Clinical Psychology Review, 22</w:t>
      </w:r>
      <w:r w:rsidRPr="001B4978">
        <w:rPr>
          <w:rFonts w:ascii="Times New Roman" w:hAnsi="Times New Roman" w:cs="Times New Roman"/>
          <w:sz w:val="24"/>
        </w:rPr>
        <w:t xml:space="preserve">(5), </w:t>
      </w:r>
      <w:r>
        <w:rPr>
          <w:rFonts w:ascii="Times New Roman" w:hAnsi="Times New Roman" w:cs="Times New Roman"/>
          <w:sz w:val="24"/>
        </w:rPr>
        <w:tab/>
      </w:r>
      <w:r w:rsidRPr="001B4978">
        <w:rPr>
          <w:rFonts w:ascii="Times New Roman" w:hAnsi="Times New Roman" w:cs="Times New Roman"/>
          <w:sz w:val="24"/>
        </w:rPr>
        <w:t>729-752. doi: 10.1016/s0272-7358(01)00122-2</w:t>
      </w:r>
    </w:p>
    <w:p w14:paraId="4912436B" w14:textId="36803E47" w:rsidR="001F1E21" w:rsidRDefault="001F1E21" w:rsidP="00FC4968">
      <w:pPr>
        <w:spacing w:after="0" w:line="480" w:lineRule="auto"/>
        <w:rPr>
          <w:sz w:val="24"/>
          <w:szCs w:val="24"/>
        </w:rPr>
      </w:pPr>
      <w:r w:rsidRPr="001F1E21">
        <w:rPr>
          <w:sz w:val="24"/>
          <w:szCs w:val="24"/>
        </w:rPr>
        <w:t xml:space="preserve">Sherman, E. D., &amp; Lynam, D. R. (2017). Psychopathy and low communion: An overlooked and </w:t>
      </w:r>
      <w:r>
        <w:rPr>
          <w:sz w:val="24"/>
          <w:szCs w:val="24"/>
        </w:rPr>
        <w:tab/>
      </w:r>
      <w:r w:rsidRPr="001F1E21">
        <w:rPr>
          <w:sz w:val="24"/>
          <w:szCs w:val="24"/>
        </w:rPr>
        <w:t xml:space="preserve">underappreciated core feature. </w:t>
      </w:r>
      <w:r w:rsidRPr="001F1E21">
        <w:rPr>
          <w:i/>
          <w:sz w:val="24"/>
          <w:szCs w:val="24"/>
        </w:rPr>
        <w:t xml:space="preserve">Personality Disorders: Theory, Research, and Treatment, </w:t>
      </w:r>
      <w:r w:rsidRPr="001F1E21">
        <w:rPr>
          <w:i/>
          <w:sz w:val="24"/>
          <w:szCs w:val="24"/>
        </w:rPr>
        <w:tab/>
        <w:t>8</w:t>
      </w:r>
      <w:r w:rsidRPr="001F1E21">
        <w:rPr>
          <w:sz w:val="24"/>
          <w:szCs w:val="24"/>
        </w:rPr>
        <w:t>(4), 309-318. doi: 10.1037/per0000203</w:t>
      </w:r>
    </w:p>
    <w:p w14:paraId="29D78DD8" w14:textId="79246075" w:rsidR="00FC4968" w:rsidRDefault="00FC4968" w:rsidP="00FC4968">
      <w:pPr>
        <w:spacing w:after="0" w:line="480" w:lineRule="auto"/>
        <w:rPr>
          <w:rFonts w:ascii="Times New Roman" w:hAnsi="Times New Roman" w:cs="Times New Roman"/>
          <w:sz w:val="24"/>
        </w:rPr>
      </w:pPr>
      <w:r w:rsidRPr="001B4978">
        <w:rPr>
          <w:rFonts w:ascii="Times New Roman" w:hAnsi="Times New Roman" w:cs="Times New Roman"/>
          <w:sz w:val="24"/>
        </w:rPr>
        <w:t xml:space="preserve">Sullivan, H. S. (1953). </w:t>
      </w:r>
      <w:r w:rsidRPr="00CE3CCD">
        <w:rPr>
          <w:rFonts w:ascii="Times New Roman" w:hAnsi="Times New Roman" w:cs="Times New Roman"/>
          <w:i/>
          <w:sz w:val="24"/>
        </w:rPr>
        <w:t>The interpersonal theory of psychiatry</w:t>
      </w:r>
      <w:r w:rsidRPr="001B4978">
        <w:rPr>
          <w:rFonts w:ascii="Times New Roman" w:hAnsi="Times New Roman" w:cs="Times New Roman"/>
          <w:sz w:val="24"/>
        </w:rPr>
        <w:t>. New York, NY: Norton.</w:t>
      </w:r>
    </w:p>
    <w:p w14:paraId="039557DA" w14:textId="38AD2EA7" w:rsidR="004D5FD8" w:rsidRPr="004D5FD8" w:rsidRDefault="004D5FD8" w:rsidP="00FC4968">
      <w:pPr>
        <w:spacing w:after="0" w:line="480" w:lineRule="auto"/>
        <w:rPr>
          <w:rFonts w:ascii="Times New Roman" w:hAnsi="Times New Roman" w:cs="Times New Roman"/>
          <w:sz w:val="24"/>
        </w:rPr>
      </w:pPr>
      <w:r>
        <w:rPr>
          <w:rFonts w:ascii="Times New Roman" w:hAnsi="Times New Roman" w:cs="Times New Roman"/>
          <w:sz w:val="24"/>
        </w:rPr>
        <w:t xml:space="preserve">Thomas, J., Newman, M., &amp; Oliver, S. (2013). Rapid evidence assessments of research to inform </w:t>
      </w:r>
      <w:r>
        <w:rPr>
          <w:rFonts w:ascii="Times New Roman" w:hAnsi="Times New Roman" w:cs="Times New Roman"/>
          <w:sz w:val="24"/>
        </w:rPr>
        <w:tab/>
        <w:t xml:space="preserve">social policy: taking stock and moving forward. </w:t>
      </w:r>
      <w:r w:rsidRPr="004D5FD8">
        <w:rPr>
          <w:rFonts w:ascii="Times New Roman" w:hAnsi="Times New Roman" w:cs="Times New Roman"/>
          <w:i/>
          <w:sz w:val="24"/>
        </w:rPr>
        <w:t xml:space="preserve">Evidence &amp; Policy: A Journal of </w:t>
      </w:r>
      <w:r>
        <w:rPr>
          <w:rFonts w:ascii="Times New Roman" w:hAnsi="Times New Roman" w:cs="Times New Roman"/>
          <w:i/>
          <w:sz w:val="24"/>
        </w:rPr>
        <w:tab/>
      </w:r>
      <w:r w:rsidRPr="004D5FD8">
        <w:rPr>
          <w:rFonts w:ascii="Times New Roman" w:hAnsi="Times New Roman" w:cs="Times New Roman"/>
          <w:i/>
          <w:sz w:val="24"/>
        </w:rPr>
        <w:t>Research, Debate and Practice</w:t>
      </w:r>
      <w:r>
        <w:rPr>
          <w:rFonts w:ascii="Times New Roman" w:hAnsi="Times New Roman" w:cs="Times New Roman"/>
          <w:i/>
          <w:sz w:val="24"/>
        </w:rPr>
        <w:t>, 9</w:t>
      </w:r>
      <w:r>
        <w:rPr>
          <w:rFonts w:ascii="Times New Roman" w:hAnsi="Times New Roman" w:cs="Times New Roman"/>
          <w:sz w:val="24"/>
        </w:rPr>
        <w:t>(1), 5-27. doi:</w:t>
      </w:r>
      <w:r w:rsidRPr="004D5FD8">
        <w:t xml:space="preserve"> </w:t>
      </w:r>
      <w:r w:rsidRPr="004D5FD8">
        <w:rPr>
          <w:rFonts w:ascii="Times New Roman" w:hAnsi="Times New Roman" w:cs="Times New Roman"/>
          <w:sz w:val="24"/>
        </w:rPr>
        <w:t>10.1332/174426413x662572</w:t>
      </w:r>
    </w:p>
    <w:p w14:paraId="3AF40EC7" w14:textId="1A258754" w:rsidR="00FC4968" w:rsidRDefault="00FC4968" w:rsidP="00FC4968">
      <w:pPr>
        <w:spacing w:after="0" w:line="480" w:lineRule="auto"/>
        <w:rPr>
          <w:rFonts w:ascii="Times New Roman" w:hAnsi="Times New Roman" w:cs="Times New Roman"/>
          <w:sz w:val="24"/>
        </w:rPr>
      </w:pPr>
      <w:r>
        <w:rPr>
          <w:rFonts w:ascii="Times New Roman" w:hAnsi="Times New Roman" w:cs="Times New Roman"/>
          <w:sz w:val="24"/>
        </w:rPr>
        <w:t>Ullrich, S., Farrington, D. P., &amp; Coid, J. W. (2008). Psychopathic personality traits and life-</w:t>
      </w:r>
      <w:r>
        <w:rPr>
          <w:rFonts w:ascii="Times New Roman" w:hAnsi="Times New Roman" w:cs="Times New Roman"/>
          <w:sz w:val="24"/>
        </w:rPr>
        <w:tab/>
        <w:t xml:space="preserve">success. </w:t>
      </w:r>
      <w:r>
        <w:rPr>
          <w:rFonts w:ascii="Times New Roman" w:hAnsi="Times New Roman" w:cs="Times New Roman"/>
          <w:i/>
          <w:sz w:val="24"/>
        </w:rPr>
        <w:t>Personality and Individual Differences, 44</w:t>
      </w:r>
      <w:r>
        <w:rPr>
          <w:rFonts w:ascii="Times New Roman" w:hAnsi="Times New Roman" w:cs="Times New Roman"/>
          <w:sz w:val="24"/>
        </w:rPr>
        <w:t>, 1162-1171. doi:</w:t>
      </w:r>
      <w:r w:rsidRPr="00FC4968">
        <w:t xml:space="preserve"> </w:t>
      </w:r>
      <w:r>
        <w:tab/>
      </w:r>
      <w:r w:rsidRPr="00FC4968">
        <w:rPr>
          <w:rFonts w:ascii="Times New Roman" w:hAnsi="Times New Roman" w:cs="Times New Roman"/>
          <w:sz w:val="24"/>
        </w:rPr>
        <w:t>10.1016/j.paid.2007.11.008</w:t>
      </w:r>
    </w:p>
    <w:p w14:paraId="125F85F5" w14:textId="3547F3B1" w:rsidR="00DE1651" w:rsidRDefault="00841362" w:rsidP="00FC4968">
      <w:pPr>
        <w:spacing w:after="0" w:line="480" w:lineRule="auto"/>
        <w:rPr>
          <w:sz w:val="24"/>
          <w:szCs w:val="24"/>
        </w:rPr>
      </w:pPr>
      <w:r w:rsidRPr="00841362">
        <w:rPr>
          <w:sz w:val="24"/>
          <w:szCs w:val="24"/>
        </w:rPr>
        <w:t xml:space="preserve">Walsh, Z., Swogger, M. T., &amp; Kosson, D. S. (2009). Psychopathy and instrumental violence: </w:t>
      </w:r>
      <w:r>
        <w:rPr>
          <w:sz w:val="24"/>
          <w:szCs w:val="24"/>
        </w:rPr>
        <w:tab/>
      </w:r>
      <w:r w:rsidRPr="00841362">
        <w:rPr>
          <w:sz w:val="24"/>
          <w:szCs w:val="24"/>
        </w:rPr>
        <w:t xml:space="preserve">Facet level relationships. </w:t>
      </w:r>
      <w:r w:rsidRPr="00841362">
        <w:rPr>
          <w:i/>
          <w:sz w:val="24"/>
          <w:szCs w:val="24"/>
        </w:rPr>
        <w:t>Journal of Personality Disorders, 23</w:t>
      </w:r>
      <w:r w:rsidRPr="00841362">
        <w:rPr>
          <w:sz w:val="24"/>
          <w:szCs w:val="24"/>
        </w:rPr>
        <w:t xml:space="preserve">(4), 416-424. doi: </w:t>
      </w:r>
      <w:r>
        <w:rPr>
          <w:sz w:val="24"/>
          <w:szCs w:val="24"/>
        </w:rPr>
        <w:tab/>
      </w:r>
      <w:r w:rsidRPr="00841362">
        <w:rPr>
          <w:sz w:val="24"/>
          <w:szCs w:val="24"/>
        </w:rPr>
        <w:t>10.1521/pedi.2009.23.4.416</w:t>
      </w:r>
    </w:p>
    <w:p w14:paraId="5169A9CC" w14:textId="77777777" w:rsidR="00333C5F" w:rsidRDefault="00333C5F">
      <w:pPr>
        <w:rPr>
          <w:sz w:val="24"/>
          <w:szCs w:val="24"/>
        </w:rPr>
      </w:pPr>
      <w:r>
        <w:rPr>
          <w:sz w:val="24"/>
          <w:szCs w:val="24"/>
        </w:rPr>
        <w:br w:type="page"/>
      </w:r>
    </w:p>
    <w:p w14:paraId="0D3F847F" w14:textId="5B511A45" w:rsidR="00EF4FC5" w:rsidRDefault="00EF4FC5" w:rsidP="00EF4FC5">
      <w:pPr>
        <w:spacing w:after="0" w:line="480" w:lineRule="auto"/>
        <w:rPr>
          <w:sz w:val="24"/>
          <w:szCs w:val="24"/>
        </w:rPr>
      </w:pPr>
      <w:r w:rsidRPr="0008517C">
        <w:rPr>
          <w:sz w:val="24"/>
          <w:szCs w:val="24"/>
        </w:rPr>
        <w:t xml:space="preserve">Table </w:t>
      </w:r>
      <w:r>
        <w:rPr>
          <w:sz w:val="24"/>
          <w:szCs w:val="24"/>
        </w:rPr>
        <w:t>1</w:t>
      </w:r>
    </w:p>
    <w:p w14:paraId="58CAB1DC" w14:textId="77777777" w:rsidR="00EF4FC5" w:rsidRDefault="00EF4FC5" w:rsidP="00EF4FC5">
      <w:pPr>
        <w:spacing w:after="0" w:line="480" w:lineRule="auto"/>
        <w:rPr>
          <w:i/>
          <w:sz w:val="24"/>
          <w:szCs w:val="24"/>
        </w:rPr>
      </w:pPr>
      <w:r>
        <w:rPr>
          <w:i/>
          <w:sz w:val="24"/>
          <w:szCs w:val="24"/>
        </w:rPr>
        <w:t>Means and Standard Deviations for PCL:SV Total, Factor 1, and Factor 2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134"/>
        <w:gridCol w:w="1134"/>
        <w:gridCol w:w="1134"/>
        <w:gridCol w:w="1134"/>
        <w:gridCol w:w="1134"/>
        <w:gridCol w:w="1134"/>
      </w:tblGrid>
      <w:tr w:rsidR="00EF4FC5" w14:paraId="0DF01671" w14:textId="77777777" w:rsidTr="000D69E9">
        <w:tc>
          <w:tcPr>
            <w:tcW w:w="2235" w:type="dxa"/>
            <w:tcBorders>
              <w:top w:val="single" w:sz="4" w:space="0" w:color="auto"/>
              <w:bottom w:val="single" w:sz="4" w:space="0" w:color="auto"/>
            </w:tcBorders>
          </w:tcPr>
          <w:p w14:paraId="731627D3" w14:textId="77777777" w:rsidR="00EF4FC5" w:rsidRDefault="00EF4FC5" w:rsidP="00EF4FC5">
            <w:pPr>
              <w:spacing w:line="480" w:lineRule="auto"/>
              <w:ind w:firstLine="0"/>
            </w:pPr>
          </w:p>
        </w:tc>
        <w:tc>
          <w:tcPr>
            <w:tcW w:w="2268" w:type="dxa"/>
            <w:gridSpan w:val="2"/>
            <w:tcBorders>
              <w:top w:val="single" w:sz="4" w:space="0" w:color="auto"/>
              <w:bottom w:val="single" w:sz="4" w:space="0" w:color="auto"/>
            </w:tcBorders>
          </w:tcPr>
          <w:p w14:paraId="3402C0DD" w14:textId="77777777" w:rsidR="00EF4FC5" w:rsidRDefault="00EF4FC5" w:rsidP="00EF4FC5">
            <w:pPr>
              <w:spacing w:line="480" w:lineRule="auto"/>
              <w:ind w:firstLine="0"/>
              <w:jc w:val="center"/>
            </w:pPr>
            <w:r>
              <w:t>PCL:SV Total Scores</w:t>
            </w:r>
          </w:p>
        </w:tc>
        <w:tc>
          <w:tcPr>
            <w:tcW w:w="2268" w:type="dxa"/>
            <w:gridSpan w:val="2"/>
            <w:tcBorders>
              <w:top w:val="single" w:sz="4" w:space="0" w:color="auto"/>
              <w:bottom w:val="single" w:sz="4" w:space="0" w:color="auto"/>
            </w:tcBorders>
          </w:tcPr>
          <w:p w14:paraId="68ADB7D3" w14:textId="77777777" w:rsidR="00EF4FC5" w:rsidRDefault="00EF4FC5" w:rsidP="00EF4FC5">
            <w:pPr>
              <w:spacing w:line="480" w:lineRule="auto"/>
              <w:ind w:firstLine="0"/>
              <w:jc w:val="center"/>
            </w:pPr>
            <w:r>
              <w:t>PCL:SV Factor 1 Scores</w:t>
            </w:r>
          </w:p>
        </w:tc>
        <w:tc>
          <w:tcPr>
            <w:tcW w:w="2268" w:type="dxa"/>
            <w:gridSpan w:val="2"/>
            <w:tcBorders>
              <w:top w:val="single" w:sz="4" w:space="0" w:color="auto"/>
              <w:bottom w:val="single" w:sz="4" w:space="0" w:color="auto"/>
            </w:tcBorders>
          </w:tcPr>
          <w:p w14:paraId="6B71F5D0" w14:textId="77777777" w:rsidR="00EF4FC5" w:rsidRDefault="00EF4FC5" w:rsidP="00EF4FC5">
            <w:pPr>
              <w:spacing w:line="480" w:lineRule="auto"/>
              <w:ind w:firstLine="0"/>
              <w:jc w:val="center"/>
            </w:pPr>
            <w:r>
              <w:t>PCL:SV Factor 2 Scores</w:t>
            </w:r>
          </w:p>
        </w:tc>
      </w:tr>
      <w:tr w:rsidR="00EF4FC5" w14:paraId="1CD9A06F" w14:textId="77777777" w:rsidTr="000D69E9">
        <w:tc>
          <w:tcPr>
            <w:tcW w:w="2235" w:type="dxa"/>
            <w:tcBorders>
              <w:top w:val="single" w:sz="4" w:space="0" w:color="auto"/>
              <w:bottom w:val="single" w:sz="4" w:space="0" w:color="auto"/>
            </w:tcBorders>
          </w:tcPr>
          <w:p w14:paraId="4E99937D" w14:textId="77777777" w:rsidR="00EF4FC5" w:rsidRDefault="00EF4FC5" w:rsidP="00EF4FC5">
            <w:pPr>
              <w:spacing w:line="480" w:lineRule="auto"/>
              <w:ind w:firstLine="0"/>
              <w:jc w:val="both"/>
            </w:pPr>
            <w:r>
              <w:t>Group</w:t>
            </w:r>
          </w:p>
        </w:tc>
        <w:tc>
          <w:tcPr>
            <w:tcW w:w="1134" w:type="dxa"/>
            <w:tcBorders>
              <w:top w:val="single" w:sz="4" w:space="0" w:color="auto"/>
              <w:bottom w:val="single" w:sz="4" w:space="0" w:color="auto"/>
            </w:tcBorders>
          </w:tcPr>
          <w:p w14:paraId="74BC0337" w14:textId="77777777" w:rsidR="00EF4FC5" w:rsidRPr="00A307D3" w:rsidRDefault="00EF4FC5" w:rsidP="00EF4FC5">
            <w:pPr>
              <w:spacing w:line="480" w:lineRule="auto"/>
              <w:ind w:firstLine="0"/>
              <w:jc w:val="center"/>
              <w:rPr>
                <w:i/>
              </w:rPr>
            </w:pPr>
            <w:r>
              <w:rPr>
                <w:i/>
              </w:rPr>
              <w:t>M</w:t>
            </w:r>
          </w:p>
        </w:tc>
        <w:tc>
          <w:tcPr>
            <w:tcW w:w="1134" w:type="dxa"/>
            <w:tcBorders>
              <w:top w:val="single" w:sz="4" w:space="0" w:color="auto"/>
              <w:bottom w:val="single" w:sz="4" w:space="0" w:color="auto"/>
            </w:tcBorders>
          </w:tcPr>
          <w:p w14:paraId="6BD448E4" w14:textId="77777777" w:rsidR="00EF4FC5" w:rsidRPr="00A307D3" w:rsidRDefault="00EF4FC5" w:rsidP="00EF4FC5">
            <w:pPr>
              <w:spacing w:line="480" w:lineRule="auto"/>
              <w:ind w:firstLine="0"/>
              <w:jc w:val="center"/>
              <w:rPr>
                <w:i/>
              </w:rPr>
            </w:pPr>
            <w:r>
              <w:rPr>
                <w:i/>
              </w:rPr>
              <w:t>SD</w:t>
            </w:r>
          </w:p>
        </w:tc>
        <w:tc>
          <w:tcPr>
            <w:tcW w:w="1134" w:type="dxa"/>
            <w:tcBorders>
              <w:top w:val="single" w:sz="4" w:space="0" w:color="auto"/>
              <w:bottom w:val="single" w:sz="4" w:space="0" w:color="auto"/>
            </w:tcBorders>
          </w:tcPr>
          <w:p w14:paraId="49FD5308" w14:textId="77777777" w:rsidR="00EF4FC5" w:rsidRPr="00A307D3" w:rsidRDefault="00EF4FC5" w:rsidP="00EF4FC5">
            <w:pPr>
              <w:spacing w:line="480" w:lineRule="auto"/>
              <w:ind w:firstLine="0"/>
              <w:jc w:val="center"/>
              <w:rPr>
                <w:i/>
              </w:rPr>
            </w:pPr>
            <w:r>
              <w:rPr>
                <w:i/>
              </w:rPr>
              <w:t>M</w:t>
            </w:r>
          </w:p>
        </w:tc>
        <w:tc>
          <w:tcPr>
            <w:tcW w:w="1134" w:type="dxa"/>
            <w:tcBorders>
              <w:top w:val="single" w:sz="4" w:space="0" w:color="auto"/>
              <w:bottom w:val="single" w:sz="4" w:space="0" w:color="auto"/>
            </w:tcBorders>
          </w:tcPr>
          <w:p w14:paraId="16672BA8" w14:textId="77777777" w:rsidR="00EF4FC5" w:rsidRPr="00A307D3" w:rsidRDefault="00EF4FC5" w:rsidP="00EF4FC5">
            <w:pPr>
              <w:spacing w:line="480" w:lineRule="auto"/>
              <w:ind w:firstLine="0"/>
              <w:jc w:val="center"/>
              <w:rPr>
                <w:i/>
              </w:rPr>
            </w:pPr>
            <w:r>
              <w:rPr>
                <w:i/>
              </w:rPr>
              <w:t>SD</w:t>
            </w:r>
          </w:p>
        </w:tc>
        <w:tc>
          <w:tcPr>
            <w:tcW w:w="1134" w:type="dxa"/>
            <w:tcBorders>
              <w:top w:val="single" w:sz="4" w:space="0" w:color="auto"/>
              <w:bottom w:val="single" w:sz="4" w:space="0" w:color="auto"/>
            </w:tcBorders>
          </w:tcPr>
          <w:p w14:paraId="0F028607" w14:textId="77777777" w:rsidR="00EF4FC5" w:rsidRPr="00A307D3" w:rsidRDefault="00EF4FC5" w:rsidP="00EF4FC5">
            <w:pPr>
              <w:spacing w:line="480" w:lineRule="auto"/>
              <w:ind w:firstLine="0"/>
              <w:jc w:val="center"/>
              <w:rPr>
                <w:i/>
              </w:rPr>
            </w:pPr>
            <w:r>
              <w:rPr>
                <w:i/>
              </w:rPr>
              <w:t>M</w:t>
            </w:r>
          </w:p>
        </w:tc>
        <w:tc>
          <w:tcPr>
            <w:tcW w:w="1134" w:type="dxa"/>
            <w:tcBorders>
              <w:top w:val="single" w:sz="4" w:space="0" w:color="auto"/>
              <w:bottom w:val="single" w:sz="4" w:space="0" w:color="auto"/>
            </w:tcBorders>
          </w:tcPr>
          <w:p w14:paraId="6EDC84A5" w14:textId="77777777" w:rsidR="00EF4FC5" w:rsidRPr="00A307D3" w:rsidRDefault="00EF4FC5" w:rsidP="00EF4FC5">
            <w:pPr>
              <w:spacing w:line="480" w:lineRule="auto"/>
              <w:ind w:firstLine="0"/>
              <w:jc w:val="center"/>
              <w:rPr>
                <w:i/>
              </w:rPr>
            </w:pPr>
            <w:r>
              <w:rPr>
                <w:i/>
              </w:rPr>
              <w:t>SD</w:t>
            </w:r>
          </w:p>
        </w:tc>
      </w:tr>
      <w:tr w:rsidR="00EF4FC5" w14:paraId="595AFC6E" w14:textId="77777777" w:rsidTr="000D69E9">
        <w:tc>
          <w:tcPr>
            <w:tcW w:w="2235" w:type="dxa"/>
            <w:tcBorders>
              <w:top w:val="single" w:sz="4" w:space="0" w:color="auto"/>
            </w:tcBorders>
          </w:tcPr>
          <w:p w14:paraId="63EC8AC7" w14:textId="77777777" w:rsidR="00EF4FC5" w:rsidRPr="00A307D3" w:rsidRDefault="00EF4FC5" w:rsidP="00EF4FC5">
            <w:pPr>
              <w:spacing w:line="480" w:lineRule="auto"/>
              <w:ind w:firstLine="0"/>
              <w:jc w:val="both"/>
            </w:pPr>
            <w:r>
              <w:t>Students (</w:t>
            </w:r>
            <w:r>
              <w:rPr>
                <w:i/>
              </w:rPr>
              <w:t>n</w:t>
            </w:r>
            <w:r>
              <w:t xml:space="preserve"> = 50)</w:t>
            </w:r>
          </w:p>
        </w:tc>
        <w:tc>
          <w:tcPr>
            <w:tcW w:w="1134" w:type="dxa"/>
            <w:tcBorders>
              <w:top w:val="single" w:sz="4" w:space="0" w:color="auto"/>
            </w:tcBorders>
          </w:tcPr>
          <w:p w14:paraId="0494E6F0" w14:textId="77777777" w:rsidR="00EF4FC5" w:rsidRDefault="00EF4FC5" w:rsidP="00EF4FC5">
            <w:pPr>
              <w:spacing w:line="480" w:lineRule="auto"/>
              <w:ind w:firstLine="0"/>
              <w:jc w:val="center"/>
            </w:pPr>
            <w:r>
              <w:t>14.7</w:t>
            </w:r>
          </w:p>
        </w:tc>
        <w:tc>
          <w:tcPr>
            <w:tcW w:w="1134" w:type="dxa"/>
            <w:tcBorders>
              <w:top w:val="single" w:sz="4" w:space="0" w:color="auto"/>
            </w:tcBorders>
          </w:tcPr>
          <w:p w14:paraId="5F6C3537" w14:textId="77777777" w:rsidR="00EF4FC5" w:rsidRDefault="00EF4FC5" w:rsidP="00EF4FC5">
            <w:pPr>
              <w:spacing w:line="480" w:lineRule="auto"/>
              <w:ind w:firstLine="0"/>
              <w:jc w:val="center"/>
            </w:pPr>
            <w:r>
              <w:t>4.31</w:t>
            </w:r>
          </w:p>
        </w:tc>
        <w:tc>
          <w:tcPr>
            <w:tcW w:w="1134" w:type="dxa"/>
            <w:tcBorders>
              <w:top w:val="single" w:sz="4" w:space="0" w:color="auto"/>
            </w:tcBorders>
          </w:tcPr>
          <w:p w14:paraId="55426961" w14:textId="77777777" w:rsidR="00EF4FC5" w:rsidRDefault="00EF4FC5" w:rsidP="00EF4FC5">
            <w:pPr>
              <w:spacing w:line="480" w:lineRule="auto"/>
              <w:ind w:firstLine="0"/>
              <w:jc w:val="center"/>
            </w:pPr>
            <w:r>
              <w:t>6.37</w:t>
            </w:r>
          </w:p>
        </w:tc>
        <w:tc>
          <w:tcPr>
            <w:tcW w:w="1134" w:type="dxa"/>
            <w:tcBorders>
              <w:top w:val="single" w:sz="4" w:space="0" w:color="auto"/>
            </w:tcBorders>
          </w:tcPr>
          <w:p w14:paraId="6FD18561" w14:textId="77777777" w:rsidR="00EF4FC5" w:rsidRDefault="00EF4FC5" w:rsidP="00EF4FC5">
            <w:pPr>
              <w:spacing w:line="480" w:lineRule="auto"/>
              <w:ind w:firstLine="0"/>
              <w:jc w:val="center"/>
            </w:pPr>
            <w:r>
              <w:t>2.69</w:t>
            </w:r>
          </w:p>
        </w:tc>
        <w:tc>
          <w:tcPr>
            <w:tcW w:w="1134" w:type="dxa"/>
            <w:tcBorders>
              <w:top w:val="single" w:sz="4" w:space="0" w:color="auto"/>
            </w:tcBorders>
          </w:tcPr>
          <w:p w14:paraId="53F6BD98" w14:textId="77777777" w:rsidR="00EF4FC5" w:rsidRDefault="00EF4FC5" w:rsidP="00EF4FC5">
            <w:pPr>
              <w:spacing w:line="480" w:lineRule="auto"/>
              <w:ind w:firstLine="0"/>
              <w:jc w:val="center"/>
            </w:pPr>
            <w:r>
              <w:t>8.33</w:t>
            </w:r>
          </w:p>
        </w:tc>
        <w:tc>
          <w:tcPr>
            <w:tcW w:w="1134" w:type="dxa"/>
            <w:tcBorders>
              <w:top w:val="single" w:sz="4" w:space="0" w:color="auto"/>
            </w:tcBorders>
          </w:tcPr>
          <w:p w14:paraId="3BD444AA" w14:textId="77777777" w:rsidR="00EF4FC5" w:rsidRDefault="00EF4FC5" w:rsidP="00EF4FC5">
            <w:pPr>
              <w:spacing w:line="480" w:lineRule="auto"/>
              <w:ind w:firstLine="0"/>
              <w:jc w:val="center"/>
            </w:pPr>
            <w:r>
              <w:t>2.71</w:t>
            </w:r>
          </w:p>
        </w:tc>
      </w:tr>
      <w:tr w:rsidR="00EF4FC5" w14:paraId="5A194DA9" w14:textId="77777777" w:rsidTr="000D69E9">
        <w:tc>
          <w:tcPr>
            <w:tcW w:w="2235" w:type="dxa"/>
            <w:tcBorders>
              <w:bottom w:val="single" w:sz="4" w:space="0" w:color="auto"/>
            </w:tcBorders>
          </w:tcPr>
          <w:p w14:paraId="1292FD87" w14:textId="77777777" w:rsidR="00EF4FC5" w:rsidRPr="00A307D3" w:rsidRDefault="00EF4FC5" w:rsidP="00EF4FC5">
            <w:pPr>
              <w:spacing w:line="480" w:lineRule="auto"/>
              <w:ind w:firstLine="0"/>
              <w:jc w:val="both"/>
            </w:pPr>
            <w:r>
              <w:t>Patients (</w:t>
            </w:r>
            <w:r>
              <w:rPr>
                <w:i/>
              </w:rPr>
              <w:t>n</w:t>
            </w:r>
            <w:r>
              <w:t xml:space="preserve"> = 40)</w:t>
            </w:r>
          </w:p>
        </w:tc>
        <w:tc>
          <w:tcPr>
            <w:tcW w:w="1134" w:type="dxa"/>
            <w:tcBorders>
              <w:bottom w:val="single" w:sz="4" w:space="0" w:color="auto"/>
            </w:tcBorders>
          </w:tcPr>
          <w:p w14:paraId="2C14D74C" w14:textId="77777777" w:rsidR="00EF4FC5" w:rsidRDefault="00EF4FC5" w:rsidP="00EF4FC5">
            <w:pPr>
              <w:spacing w:line="480" w:lineRule="auto"/>
              <w:ind w:firstLine="0"/>
              <w:jc w:val="center"/>
            </w:pPr>
            <w:r>
              <w:t>2.34</w:t>
            </w:r>
          </w:p>
        </w:tc>
        <w:tc>
          <w:tcPr>
            <w:tcW w:w="1134" w:type="dxa"/>
            <w:tcBorders>
              <w:bottom w:val="single" w:sz="4" w:space="0" w:color="auto"/>
            </w:tcBorders>
          </w:tcPr>
          <w:p w14:paraId="36943B61" w14:textId="77777777" w:rsidR="00EF4FC5" w:rsidRDefault="00EF4FC5" w:rsidP="00EF4FC5">
            <w:pPr>
              <w:spacing w:line="480" w:lineRule="auto"/>
              <w:ind w:firstLine="0"/>
              <w:jc w:val="center"/>
            </w:pPr>
            <w:r>
              <w:t>2.69</w:t>
            </w:r>
          </w:p>
        </w:tc>
        <w:tc>
          <w:tcPr>
            <w:tcW w:w="1134" w:type="dxa"/>
            <w:tcBorders>
              <w:bottom w:val="single" w:sz="4" w:space="0" w:color="auto"/>
            </w:tcBorders>
          </w:tcPr>
          <w:p w14:paraId="6FB6B7A0" w14:textId="77777777" w:rsidR="00EF4FC5" w:rsidRDefault="00EF4FC5" w:rsidP="00EF4FC5">
            <w:pPr>
              <w:spacing w:line="480" w:lineRule="auto"/>
              <w:ind w:firstLine="0"/>
              <w:jc w:val="center"/>
            </w:pPr>
            <w:r>
              <w:t>1.12</w:t>
            </w:r>
          </w:p>
        </w:tc>
        <w:tc>
          <w:tcPr>
            <w:tcW w:w="1134" w:type="dxa"/>
            <w:tcBorders>
              <w:bottom w:val="single" w:sz="4" w:space="0" w:color="auto"/>
            </w:tcBorders>
          </w:tcPr>
          <w:p w14:paraId="4FAF6897" w14:textId="77777777" w:rsidR="00EF4FC5" w:rsidRDefault="00EF4FC5" w:rsidP="00EF4FC5">
            <w:pPr>
              <w:spacing w:line="480" w:lineRule="auto"/>
              <w:ind w:firstLine="0"/>
              <w:jc w:val="center"/>
            </w:pPr>
            <w:r>
              <w:t>1.96</w:t>
            </w:r>
          </w:p>
        </w:tc>
        <w:tc>
          <w:tcPr>
            <w:tcW w:w="1134" w:type="dxa"/>
            <w:tcBorders>
              <w:bottom w:val="single" w:sz="4" w:space="0" w:color="auto"/>
            </w:tcBorders>
          </w:tcPr>
          <w:p w14:paraId="174C3F40" w14:textId="77777777" w:rsidR="00EF4FC5" w:rsidRDefault="00EF4FC5" w:rsidP="00EF4FC5">
            <w:pPr>
              <w:spacing w:line="480" w:lineRule="auto"/>
              <w:ind w:firstLine="0"/>
              <w:jc w:val="center"/>
            </w:pPr>
            <w:r>
              <w:t>1.24</w:t>
            </w:r>
          </w:p>
        </w:tc>
        <w:tc>
          <w:tcPr>
            <w:tcW w:w="1134" w:type="dxa"/>
            <w:tcBorders>
              <w:bottom w:val="single" w:sz="4" w:space="0" w:color="auto"/>
            </w:tcBorders>
          </w:tcPr>
          <w:p w14:paraId="63233E48" w14:textId="77777777" w:rsidR="00EF4FC5" w:rsidRDefault="00EF4FC5" w:rsidP="00EF4FC5">
            <w:pPr>
              <w:spacing w:line="480" w:lineRule="auto"/>
              <w:ind w:firstLine="0"/>
              <w:jc w:val="center"/>
            </w:pPr>
            <w:r>
              <w:t>1.33</w:t>
            </w:r>
          </w:p>
        </w:tc>
      </w:tr>
    </w:tbl>
    <w:p w14:paraId="245C8D24" w14:textId="6CEA37CD" w:rsidR="00B14183" w:rsidRDefault="00B14183" w:rsidP="00EF4FC5">
      <w:pPr>
        <w:spacing w:after="0" w:line="480" w:lineRule="auto"/>
        <w:rPr>
          <w:sz w:val="24"/>
          <w:szCs w:val="24"/>
        </w:rPr>
      </w:pPr>
    </w:p>
    <w:p w14:paraId="706BAF2D" w14:textId="143A9E67" w:rsidR="00B14183" w:rsidRDefault="00B14183" w:rsidP="00FC4968">
      <w:pPr>
        <w:spacing w:after="0" w:line="480" w:lineRule="auto"/>
        <w:rPr>
          <w:sz w:val="24"/>
          <w:szCs w:val="24"/>
        </w:rPr>
      </w:pPr>
    </w:p>
    <w:p w14:paraId="27DB84ED" w14:textId="703CFF95" w:rsidR="00B14183" w:rsidRDefault="00B14183" w:rsidP="00FC4968">
      <w:pPr>
        <w:spacing w:after="0" w:line="480" w:lineRule="auto"/>
        <w:rPr>
          <w:sz w:val="24"/>
          <w:szCs w:val="24"/>
        </w:rPr>
      </w:pPr>
    </w:p>
    <w:p w14:paraId="6F25D84F" w14:textId="17467627" w:rsidR="00B14183" w:rsidRDefault="00B14183" w:rsidP="00FC4968">
      <w:pPr>
        <w:spacing w:after="0" w:line="480" w:lineRule="auto"/>
        <w:rPr>
          <w:sz w:val="24"/>
          <w:szCs w:val="24"/>
        </w:rPr>
      </w:pPr>
    </w:p>
    <w:p w14:paraId="052F7CE7" w14:textId="52FD7F85" w:rsidR="00EF4FC5" w:rsidRDefault="00EF4FC5">
      <w:pPr>
        <w:rPr>
          <w:sz w:val="24"/>
          <w:szCs w:val="24"/>
        </w:rPr>
      </w:pPr>
      <w:r>
        <w:rPr>
          <w:sz w:val="24"/>
          <w:szCs w:val="24"/>
        </w:rPr>
        <w:br w:type="page"/>
      </w:r>
    </w:p>
    <w:p w14:paraId="03D11DBC" w14:textId="77777777" w:rsidR="00EF4FC5" w:rsidRDefault="00EF4FC5" w:rsidP="00EF4FC5">
      <w:pPr>
        <w:spacing w:after="0" w:line="480" w:lineRule="auto"/>
        <w:rPr>
          <w:sz w:val="24"/>
          <w:szCs w:val="24"/>
        </w:rPr>
      </w:pPr>
      <w:r w:rsidRPr="0008517C">
        <w:rPr>
          <w:sz w:val="24"/>
          <w:szCs w:val="24"/>
        </w:rPr>
        <w:t xml:space="preserve">Table </w:t>
      </w:r>
      <w:r>
        <w:rPr>
          <w:sz w:val="24"/>
          <w:szCs w:val="24"/>
        </w:rPr>
        <w:t>2</w:t>
      </w:r>
    </w:p>
    <w:p w14:paraId="086E7238" w14:textId="77777777" w:rsidR="00EF4FC5" w:rsidRDefault="00EF4FC5" w:rsidP="00EF4FC5">
      <w:pPr>
        <w:spacing w:after="0" w:line="480" w:lineRule="auto"/>
        <w:rPr>
          <w:i/>
          <w:sz w:val="24"/>
          <w:szCs w:val="24"/>
        </w:rPr>
      </w:pPr>
      <w:r>
        <w:rPr>
          <w:i/>
          <w:sz w:val="24"/>
          <w:szCs w:val="24"/>
        </w:rPr>
        <w:t>Means and Standard Deviations for Number and Frequency of Relationships Indicated in Genograms</w:t>
      </w:r>
    </w:p>
    <w:tbl>
      <w:tblPr>
        <w:tblStyle w:val="TableGrid"/>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
        <w:gridCol w:w="1697"/>
        <w:gridCol w:w="29"/>
        <w:gridCol w:w="228"/>
        <w:gridCol w:w="691"/>
        <w:gridCol w:w="30"/>
        <w:gridCol w:w="339"/>
        <w:gridCol w:w="477"/>
        <w:gridCol w:w="97"/>
        <w:gridCol w:w="6"/>
        <w:gridCol w:w="30"/>
        <w:gridCol w:w="541"/>
        <w:gridCol w:w="275"/>
        <w:gridCol w:w="103"/>
        <w:gridCol w:w="30"/>
        <w:gridCol w:w="781"/>
        <w:gridCol w:w="6"/>
        <w:gridCol w:w="32"/>
        <w:gridCol w:w="9"/>
        <w:gridCol w:w="124"/>
        <w:gridCol w:w="784"/>
        <w:gridCol w:w="34"/>
        <w:gridCol w:w="120"/>
        <w:gridCol w:w="790"/>
        <w:gridCol w:w="7"/>
        <w:gridCol w:w="34"/>
        <w:gridCol w:w="320"/>
        <w:gridCol w:w="494"/>
        <w:gridCol w:w="101"/>
        <w:gridCol w:w="34"/>
        <w:gridCol w:w="328"/>
        <w:gridCol w:w="487"/>
        <w:gridCol w:w="101"/>
        <w:gridCol w:w="34"/>
      </w:tblGrid>
      <w:tr w:rsidR="00EF4FC5" w14:paraId="5F6D4A85" w14:textId="77777777" w:rsidTr="000D69E9">
        <w:trPr>
          <w:gridBefore w:val="1"/>
          <w:gridAfter w:val="3"/>
          <w:wBefore w:w="90" w:type="pct"/>
          <w:wAfter w:w="332" w:type="pct"/>
        </w:trPr>
        <w:tc>
          <w:tcPr>
            <w:tcW w:w="1045" w:type="pct"/>
            <w:gridSpan w:val="3"/>
            <w:tcBorders>
              <w:top w:val="single" w:sz="4" w:space="0" w:color="auto"/>
              <w:bottom w:val="single" w:sz="4" w:space="0" w:color="auto"/>
            </w:tcBorders>
          </w:tcPr>
          <w:p w14:paraId="1020754F" w14:textId="77777777" w:rsidR="00EF4FC5" w:rsidRDefault="00EF4FC5" w:rsidP="00EF4FC5">
            <w:pPr>
              <w:spacing w:line="360" w:lineRule="auto"/>
            </w:pPr>
          </w:p>
        </w:tc>
        <w:tc>
          <w:tcPr>
            <w:tcW w:w="1181" w:type="pct"/>
            <w:gridSpan w:val="8"/>
            <w:tcBorders>
              <w:top w:val="single" w:sz="4" w:space="0" w:color="auto"/>
              <w:bottom w:val="single" w:sz="4" w:space="0" w:color="auto"/>
            </w:tcBorders>
          </w:tcPr>
          <w:p w14:paraId="48411C8F" w14:textId="77777777" w:rsidR="00EF4FC5" w:rsidRDefault="00EF4FC5" w:rsidP="00EF4FC5">
            <w:pPr>
              <w:spacing w:line="360" w:lineRule="auto"/>
              <w:ind w:firstLine="0"/>
              <w:jc w:val="center"/>
            </w:pPr>
            <w:r>
              <w:t>Positive Relationships</w:t>
            </w:r>
          </w:p>
        </w:tc>
        <w:tc>
          <w:tcPr>
            <w:tcW w:w="1227" w:type="pct"/>
            <w:gridSpan w:val="11"/>
            <w:tcBorders>
              <w:top w:val="single" w:sz="4" w:space="0" w:color="auto"/>
              <w:bottom w:val="single" w:sz="4" w:space="0" w:color="auto"/>
            </w:tcBorders>
          </w:tcPr>
          <w:p w14:paraId="04F17105" w14:textId="77777777" w:rsidR="00EF4FC5" w:rsidRDefault="00EF4FC5" w:rsidP="00EF4FC5">
            <w:pPr>
              <w:spacing w:line="360" w:lineRule="auto"/>
              <w:ind w:firstLine="0"/>
              <w:jc w:val="center"/>
            </w:pPr>
            <w:r>
              <w:t>Negative Relationships</w:t>
            </w:r>
          </w:p>
        </w:tc>
        <w:tc>
          <w:tcPr>
            <w:tcW w:w="1125" w:type="pct"/>
            <w:gridSpan w:val="8"/>
            <w:tcBorders>
              <w:top w:val="single" w:sz="4" w:space="0" w:color="auto"/>
              <w:bottom w:val="single" w:sz="4" w:space="0" w:color="auto"/>
            </w:tcBorders>
          </w:tcPr>
          <w:p w14:paraId="3D8982D7" w14:textId="77777777" w:rsidR="00EF4FC5" w:rsidRDefault="00EF4FC5" w:rsidP="00EF4FC5">
            <w:pPr>
              <w:spacing w:line="360" w:lineRule="auto"/>
              <w:ind w:firstLine="0"/>
              <w:jc w:val="center"/>
            </w:pPr>
            <w:r>
              <w:t>Total Relationships</w:t>
            </w:r>
          </w:p>
        </w:tc>
      </w:tr>
      <w:tr w:rsidR="00EF4FC5" w14:paraId="20E52F5A" w14:textId="77777777" w:rsidTr="000D69E9">
        <w:trPr>
          <w:gridBefore w:val="1"/>
          <w:gridAfter w:val="3"/>
          <w:wBefore w:w="90" w:type="pct"/>
          <w:wAfter w:w="332" w:type="pct"/>
        </w:trPr>
        <w:tc>
          <w:tcPr>
            <w:tcW w:w="1045" w:type="pct"/>
            <w:gridSpan w:val="3"/>
            <w:tcBorders>
              <w:top w:val="single" w:sz="4" w:space="0" w:color="auto"/>
              <w:bottom w:val="single" w:sz="4" w:space="0" w:color="auto"/>
            </w:tcBorders>
          </w:tcPr>
          <w:p w14:paraId="7ED0B70A" w14:textId="77777777" w:rsidR="00EF4FC5" w:rsidRDefault="00EF4FC5" w:rsidP="00EF4FC5">
            <w:pPr>
              <w:spacing w:line="480" w:lineRule="auto"/>
              <w:ind w:firstLine="0"/>
            </w:pPr>
            <w:r>
              <w:t>Group</w:t>
            </w:r>
          </w:p>
        </w:tc>
        <w:tc>
          <w:tcPr>
            <w:tcW w:w="566" w:type="pct"/>
            <w:gridSpan w:val="3"/>
            <w:tcBorders>
              <w:top w:val="single" w:sz="4" w:space="0" w:color="auto"/>
              <w:bottom w:val="single" w:sz="4" w:space="0" w:color="auto"/>
            </w:tcBorders>
          </w:tcPr>
          <w:p w14:paraId="280AFBF6" w14:textId="77777777" w:rsidR="00EF4FC5" w:rsidRPr="00FB2962" w:rsidRDefault="00EF4FC5" w:rsidP="00EF4FC5">
            <w:pPr>
              <w:spacing w:line="480" w:lineRule="auto"/>
              <w:ind w:firstLine="0"/>
              <w:jc w:val="center"/>
              <w:rPr>
                <w:i/>
              </w:rPr>
            </w:pPr>
            <w:r>
              <w:rPr>
                <w:i/>
              </w:rPr>
              <w:t>M</w:t>
            </w:r>
          </w:p>
        </w:tc>
        <w:tc>
          <w:tcPr>
            <w:tcW w:w="615" w:type="pct"/>
            <w:gridSpan w:val="5"/>
            <w:tcBorders>
              <w:top w:val="single" w:sz="4" w:space="0" w:color="auto"/>
              <w:bottom w:val="single" w:sz="4" w:space="0" w:color="auto"/>
            </w:tcBorders>
          </w:tcPr>
          <w:p w14:paraId="4870D3A0" w14:textId="77777777" w:rsidR="00EF4FC5" w:rsidRPr="00FB2962" w:rsidRDefault="00EF4FC5" w:rsidP="00EF4FC5">
            <w:pPr>
              <w:spacing w:line="480" w:lineRule="auto"/>
              <w:ind w:firstLine="0"/>
              <w:jc w:val="center"/>
              <w:rPr>
                <w:i/>
              </w:rPr>
            </w:pPr>
            <w:r>
              <w:rPr>
                <w:i/>
              </w:rPr>
              <w:t>SD</w:t>
            </w:r>
          </w:p>
        </w:tc>
        <w:tc>
          <w:tcPr>
            <w:tcW w:w="660" w:type="pct"/>
            <w:gridSpan w:val="7"/>
            <w:tcBorders>
              <w:top w:val="single" w:sz="4" w:space="0" w:color="auto"/>
              <w:bottom w:val="single" w:sz="4" w:space="0" w:color="auto"/>
            </w:tcBorders>
          </w:tcPr>
          <w:p w14:paraId="2B737100" w14:textId="77777777" w:rsidR="00EF4FC5" w:rsidRPr="00FB2962" w:rsidRDefault="00EF4FC5" w:rsidP="00EF4FC5">
            <w:pPr>
              <w:spacing w:line="480" w:lineRule="auto"/>
              <w:ind w:firstLine="0"/>
              <w:jc w:val="center"/>
              <w:rPr>
                <w:i/>
              </w:rPr>
            </w:pPr>
            <w:r>
              <w:rPr>
                <w:i/>
              </w:rPr>
              <w:t>M</w:t>
            </w:r>
          </w:p>
        </w:tc>
        <w:tc>
          <w:tcPr>
            <w:tcW w:w="567" w:type="pct"/>
            <w:gridSpan w:val="4"/>
            <w:tcBorders>
              <w:top w:val="single" w:sz="4" w:space="0" w:color="auto"/>
              <w:bottom w:val="single" w:sz="4" w:space="0" w:color="auto"/>
            </w:tcBorders>
          </w:tcPr>
          <w:p w14:paraId="06C2D89B" w14:textId="77777777" w:rsidR="00EF4FC5" w:rsidRPr="00FB2962" w:rsidRDefault="00EF4FC5" w:rsidP="00EF4FC5">
            <w:pPr>
              <w:spacing w:line="480" w:lineRule="auto"/>
              <w:ind w:firstLine="0"/>
              <w:jc w:val="center"/>
              <w:rPr>
                <w:i/>
              </w:rPr>
            </w:pPr>
            <w:r>
              <w:rPr>
                <w:i/>
              </w:rPr>
              <w:t>SD</w:t>
            </w:r>
          </w:p>
        </w:tc>
        <w:tc>
          <w:tcPr>
            <w:tcW w:w="614" w:type="pct"/>
            <w:gridSpan w:val="4"/>
            <w:tcBorders>
              <w:top w:val="single" w:sz="4" w:space="0" w:color="auto"/>
              <w:bottom w:val="single" w:sz="4" w:space="0" w:color="auto"/>
            </w:tcBorders>
          </w:tcPr>
          <w:p w14:paraId="7BFC7059" w14:textId="77777777" w:rsidR="00EF4FC5" w:rsidRPr="00FB2962" w:rsidRDefault="00EF4FC5" w:rsidP="00EF4FC5">
            <w:pPr>
              <w:spacing w:line="480" w:lineRule="auto"/>
              <w:ind w:firstLine="0"/>
              <w:jc w:val="center"/>
              <w:rPr>
                <w:i/>
              </w:rPr>
            </w:pPr>
            <w:r>
              <w:rPr>
                <w:i/>
              </w:rPr>
              <w:t>M</w:t>
            </w:r>
          </w:p>
        </w:tc>
        <w:tc>
          <w:tcPr>
            <w:tcW w:w="510" w:type="pct"/>
            <w:gridSpan w:val="4"/>
            <w:tcBorders>
              <w:top w:val="single" w:sz="4" w:space="0" w:color="auto"/>
              <w:bottom w:val="single" w:sz="4" w:space="0" w:color="auto"/>
            </w:tcBorders>
          </w:tcPr>
          <w:p w14:paraId="1E6EEF75" w14:textId="77777777" w:rsidR="00EF4FC5" w:rsidRPr="00FB2962" w:rsidRDefault="00EF4FC5" w:rsidP="00EF4FC5">
            <w:pPr>
              <w:spacing w:line="480" w:lineRule="auto"/>
              <w:ind w:firstLine="0"/>
              <w:jc w:val="center"/>
              <w:rPr>
                <w:i/>
              </w:rPr>
            </w:pPr>
            <w:r>
              <w:rPr>
                <w:i/>
              </w:rPr>
              <w:t>SD</w:t>
            </w:r>
          </w:p>
        </w:tc>
      </w:tr>
      <w:tr w:rsidR="00EF4FC5" w14:paraId="19C3C0F2" w14:textId="77777777" w:rsidTr="000D69E9">
        <w:trPr>
          <w:gridBefore w:val="1"/>
          <w:gridAfter w:val="3"/>
          <w:wBefore w:w="90" w:type="pct"/>
          <w:wAfter w:w="332" w:type="pct"/>
        </w:trPr>
        <w:tc>
          <w:tcPr>
            <w:tcW w:w="1045" w:type="pct"/>
            <w:gridSpan w:val="3"/>
            <w:tcBorders>
              <w:top w:val="single" w:sz="4" w:space="0" w:color="auto"/>
            </w:tcBorders>
          </w:tcPr>
          <w:p w14:paraId="13564CFD" w14:textId="77777777" w:rsidR="00EF4FC5" w:rsidRPr="00FB2962" w:rsidRDefault="00EF4FC5" w:rsidP="00EF4FC5">
            <w:pPr>
              <w:spacing w:line="480" w:lineRule="auto"/>
              <w:ind w:firstLine="0"/>
            </w:pPr>
            <w:r>
              <w:t>Students (</w:t>
            </w:r>
            <w:r>
              <w:rPr>
                <w:i/>
              </w:rPr>
              <w:t>n</w:t>
            </w:r>
            <w:r>
              <w:t xml:space="preserve"> = 50)</w:t>
            </w:r>
          </w:p>
        </w:tc>
        <w:tc>
          <w:tcPr>
            <w:tcW w:w="566" w:type="pct"/>
            <w:gridSpan w:val="3"/>
            <w:tcBorders>
              <w:top w:val="single" w:sz="4" w:space="0" w:color="auto"/>
            </w:tcBorders>
          </w:tcPr>
          <w:p w14:paraId="70D44FB6" w14:textId="77777777" w:rsidR="00EF4FC5" w:rsidRDefault="00EF4FC5" w:rsidP="00EF4FC5">
            <w:pPr>
              <w:spacing w:line="480" w:lineRule="auto"/>
              <w:ind w:firstLine="0"/>
              <w:jc w:val="center"/>
            </w:pPr>
            <w:r>
              <w:t>8.8</w:t>
            </w:r>
          </w:p>
        </w:tc>
        <w:tc>
          <w:tcPr>
            <w:tcW w:w="615" w:type="pct"/>
            <w:gridSpan w:val="5"/>
            <w:tcBorders>
              <w:top w:val="single" w:sz="4" w:space="0" w:color="auto"/>
            </w:tcBorders>
          </w:tcPr>
          <w:p w14:paraId="1C02F61A" w14:textId="77777777" w:rsidR="00EF4FC5" w:rsidRDefault="00EF4FC5" w:rsidP="00EF4FC5">
            <w:pPr>
              <w:spacing w:line="480" w:lineRule="auto"/>
              <w:ind w:firstLine="0"/>
              <w:jc w:val="center"/>
            </w:pPr>
            <w:r>
              <w:t>3.27</w:t>
            </w:r>
          </w:p>
        </w:tc>
        <w:tc>
          <w:tcPr>
            <w:tcW w:w="660" w:type="pct"/>
            <w:gridSpan w:val="7"/>
            <w:tcBorders>
              <w:top w:val="single" w:sz="4" w:space="0" w:color="auto"/>
            </w:tcBorders>
          </w:tcPr>
          <w:p w14:paraId="38A7F606" w14:textId="77777777" w:rsidR="00EF4FC5" w:rsidRDefault="00EF4FC5" w:rsidP="00EF4FC5">
            <w:pPr>
              <w:spacing w:line="480" w:lineRule="auto"/>
              <w:ind w:firstLine="0"/>
              <w:jc w:val="center"/>
            </w:pPr>
            <w:r>
              <w:t>7.9</w:t>
            </w:r>
          </w:p>
        </w:tc>
        <w:tc>
          <w:tcPr>
            <w:tcW w:w="567" w:type="pct"/>
            <w:gridSpan w:val="4"/>
            <w:tcBorders>
              <w:top w:val="single" w:sz="4" w:space="0" w:color="auto"/>
            </w:tcBorders>
          </w:tcPr>
          <w:p w14:paraId="1E960EF6" w14:textId="77777777" w:rsidR="00EF4FC5" w:rsidRDefault="00EF4FC5" w:rsidP="00EF4FC5">
            <w:pPr>
              <w:spacing w:line="480" w:lineRule="auto"/>
              <w:ind w:firstLine="0"/>
              <w:jc w:val="center"/>
            </w:pPr>
            <w:r>
              <w:t>3.5</w:t>
            </w:r>
          </w:p>
        </w:tc>
        <w:tc>
          <w:tcPr>
            <w:tcW w:w="614" w:type="pct"/>
            <w:gridSpan w:val="4"/>
            <w:tcBorders>
              <w:top w:val="single" w:sz="4" w:space="0" w:color="auto"/>
            </w:tcBorders>
          </w:tcPr>
          <w:p w14:paraId="7DC8B17B" w14:textId="77777777" w:rsidR="00EF4FC5" w:rsidRDefault="00EF4FC5" w:rsidP="00EF4FC5">
            <w:pPr>
              <w:spacing w:line="480" w:lineRule="auto"/>
              <w:ind w:firstLine="0"/>
              <w:jc w:val="center"/>
            </w:pPr>
            <w:r>
              <w:t>16.7</w:t>
            </w:r>
          </w:p>
        </w:tc>
        <w:tc>
          <w:tcPr>
            <w:tcW w:w="510" w:type="pct"/>
            <w:gridSpan w:val="4"/>
            <w:tcBorders>
              <w:top w:val="single" w:sz="4" w:space="0" w:color="auto"/>
            </w:tcBorders>
          </w:tcPr>
          <w:p w14:paraId="174DABC7" w14:textId="77777777" w:rsidR="00EF4FC5" w:rsidRDefault="00EF4FC5" w:rsidP="00EF4FC5">
            <w:pPr>
              <w:spacing w:line="480" w:lineRule="auto"/>
              <w:ind w:firstLine="0"/>
              <w:jc w:val="center"/>
            </w:pPr>
            <w:r>
              <w:t>2.97</w:t>
            </w:r>
          </w:p>
        </w:tc>
      </w:tr>
      <w:tr w:rsidR="00EF4FC5" w14:paraId="210A204F" w14:textId="77777777" w:rsidTr="000D69E9">
        <w:trPr>
          <w:gridBefore w:val="1"/>
          <w:gridAfter w:val="3"/>
          <w:wBefore w:w="90" w:type="pct"/>
          <w:wAfter w:w="332" w:type="pct"/>
        </w:trPr>
        <w:tc>
          <w:tcPr>
            <w:tcW w:w="1045" w:type="pct"/>
            <w:gridSpan w:val="3"/>
            <w:tcBorders>
              <w:bottom w:val="single" w:sz="4" w:space="0" w:color="auto"/>
            </w:tcBorders>
          </w:tcPr>
          <w:p w14:paraId="05CDBA9E" w14:textId="77777777" w:rsidR="00EF4FC5" w:rsidRPr="00FB2962" w:rsidRDefault="00EF4FC5" w:rsidP="00EF4FC5">
            <w:pPr>
              <w:spacing w:line="480" w:lineRule="auto"/>
              <w:ind w:firstLine="0"/>
            </w:pPr>
            <w:r>
              <w:t>Patients (</w:t>
            </w:r>
            <w:r>
              <w:rPr>
                <w:i/>
              </w:rPr>
              <w:t>n</w:t>
            </w:r>
            <w:r>
              <w:t xml:space="preserve"> = 40)</w:t>
            </w:r>
          </w:p>
        </w:tc>
        <w:tc>
          <w:tcPr>
            <w:tcW w:w="566" w:type="pct"/>
            <w:gridSpan w:val="3"/>
            <w:tcBorders>
              <w:bottom w:val="single" w:sz="4" w:space="0" w:color="auto"/>
            </w:tcBorders>
          </w:tcPr>
          <w:p w14:paraId="407CE370" w14:textId="77777777" w:rsidR="00EF4FC5" w:rsidRDefault="00EF4FC5" w:rsidP="00EF4FC5">
            <w:pPr>
              <w:spacing w:line="480" w:lineRule="auto"/>
              <w:ind w:firstLine="0"/>
              <w:jc w:val="center"/>
            </w:pPr>
            <w:r>
              <w:t>5.4</w:t>
            </w:r>
          </w:p>
        </w:tc>
        <w:tc>
          <w:tcPr>
            <w:tcW w:w="615" w:type="pct"/>
            <w:gridSpan w:val="5"/>
            <w:tcBorders>
              <w:bottom w:val="single" w:sz="4" w:space="0" w:color="auto"/>
            </w:tcBorders>
          </w:tcPr>
          <w:p w14:paraId="122E27B1" w14:textId="77777777" w:rsidR="00EF4FC5" w:rsidRDefault="00EF4FC5" w:rsidP="00EF4FC5">
            <w:pPr>
              <w:spacing w:line="480" w:lineRule="auto"/>
              <w:ind w:firstLine="0"/>
              <w:jc w:val="center"/>
            </w:pPr>
            <w:r>
              <w:t>4.09</w:t>
            </w:r>
          </w:p>
        </w:tc>
        <w:tc>
          <w:tcPr>
            <w:tcW w:w="660" w:type="pct"/>
            <w:gridSpan w:val="7"/>
            <w:tcBorders>
              <w:bottom w:val="single" w:sz="4" w:space="0" w:color="auto"/>
            </w:tcBorders>
          </w:tcPr>
          <w:p w14:paraId="0FB56947" w14:textId="77777777" w:rsidR="00EF4FC5" w:rsidRDefault="00EF4FC5" w:rsidP="00EF4FC5">
            <w:pPr>
              <w:spacing w:line="480" w:lineRule="auto"/>
              <w:ind w:firstLine="0"/>
              <w:jc w:val="center"/>
            </w:pPr>
            <w:r>
              <w:t>4.45</w:t>
            </w:r>
          </w:p>
        </w:tc>
        <w:tc>
          <w:tcPr>
            <w:tcW w:w="567" w:type="pct"/>
            <w:gridSpan w:val="4"/>
            <w:tcBorders>
              <w:bottom w:val="single" w:sz="4" w:space="0" w:color="auto"/>
            </w:tcBorders>
          </w:tcPr>
          <w:p w14:paraId="3D947035" w14:textId="77777777" w:rsidR="00EF4FC5" w:rsidRDefault="00EF4FC5" w:rsidP="00EF4FC5">
            <w:pPr>
              <w:spacing w:line="480" w:lineRule="auto"/>
              <w:ind w:firstLine="0"/>
              <w:jc w:val="center"/>
            </w:pPr>
            <w:r>
              <w:t>3.3</w:t>
            </w:r>
          </w:p>
        </w:tc>
        <w:tc>
          <w:tcPr>
            <w:tcW w:w="614" w:type="pct"/>
            <w:gridSpan w:val="4"/>
            <w:tcBorders>
              <w:bottom w:val="single" w:sz="4" w:space="0" w:color="auto"/>
            </w:tcBorders>
          </w:tcPr>
          <w:p w14:paraId="02A16990" w14:textId="77777777" w:rsidR="00EF4FC5" w:rsidRDefault="00EF4FC5" w:rsidP="00EF4FC5">
            <w:pPr>
              <w:spacing w:line="480" w:lineRule="auto"/>
              <w:ind w:firstLine="0"/>
              <w:jc w:val="center"/>
            </w:pPr>
            <w:r>
              <w:t>9.85</w:t>
            </w:r>
          </w:p>
        </w:tc>
        <w:tc>
          <w:tcPr>
            <w:tcW w:w="510" w:type="pct"/>
            <w:gridSpan w:val="4"/>
            <w:tcBorders>
              <w:bottom w:val="single" w:sz="4" w:space="0" w:color="auto"/>
            </w:tcBorders>
          </w:tcPr>
          <w:p w14:paraId="055B77A8" w14:textId="77777777" w:rsidR="00EF4FC5" w:rsidRDefault="00EF4FC5" w:rsidP="00EF4FC5">
            <w:pPr>
              <w:spacing w:line="480" w:lineRule="auto"/>
              <w:ind w:firstLine="0"/>
              <w:jc w:val="center"/>
            </w:pPr>
            <w:r>
              <w:t>5.92</w:t>
            </w:r>
          </w:p>
        </w:tc>
      </w:tr>
      <w:tr w:rsidR="00EF4FC5" w:rsidRPr="0008517C" w14:paraId="28BFED4D" w14:textId="77777777" w:rsidTr="000D69E9">
        <w:trPr>
          <w:gridAfter w:val="1"/>
          <w:wAfter w:w="18" w:type="pct"/>
        </w:trPr>
        <w:tc>
          <w:tcPr>
            <w:tcW w:w="997" w:type="pct"/>
            <w:gridSpan w:val="2"/>
            <w:tcBorders>
              <w:top w:val="single" w:sz="4" w:space="0" w:color="auto"/>
              <w:bottom w:val="single" w:sz="4" w:space="0" w:color="auto"/>
            </w:tcBorders>
          </w:tcPr>
          <w:p w14:paraId="1C862A9E" w14:textId="77777777" w:rsidR="00EF4FC5" w:rsidRPr="0008517C" w:rsidRDefault="00EF4FC5" w:rsidP="00EF4FC5">
            <w:pPr>
              <w:spacing w:line="480" w:lineRule="auto"/>
            </w:pPr>
          </w:p>
        </w:tc>
        <w:tc>
          <w:tcPr>
            <w:tcW w:w="3985" w:type="pct"/>
            <w:gridSpan w:val="31"/>
            <w:tcBorders>
              <w:top w:val="single" w:sz="4" w:space="0" w:color="auto"/>
              <w:bottom w:val="single" w:sz="4" w:space="0" w:color="auto"/>
            </w:tcBorders>
          </w:tcPr>
          <w:p w14:paraId="621DB544" w14:textId="77777777" w:rsidR="00EF4FC5" w:rsidRPr="0008517C" w:rsidRDefault="00EF4FC5" w:rsidP="00EF4FC5">
            <w:pPr>
              <w:spacing w:line="480" w:lineRule="auto"/>
              <w:jc w:val="center"/>
            </w:pPr>
            <w:r>
              <w:t>Relationship Descriptor</w:t>
            </w:r>
          </w:p>
        </w:tc>
      </w:tr>
      <w:tr w:rsidR="00EF4FC5" w:rsidRPr="0008517C" w14:paraId="72F6DCF2" w14:textId="77777777" w:rsidTr="000D69E9">
        <w:trPr>
          <w:gridAfter w:val="1"/>
          <w:wAfter w:w="18" w:type="pct"/>
        </w:trPr>
        <w:tc>
          <w:tcPr>
            <w:tcW w:w="997" w:type="pct"/>
            <w:gridSpan w:val="2"/>
            <w:tcBorders>
              <w:top w:val="single" w:sz="4" w:space="0" w:color="auto"/>
              <w:bottom w:val="single" w:sz="4" w:space="0" w:color="auto"/>
            </w:tcBorders>
          </w:tcPr>
          <w:p w14:paraId="65FF5ADE" w14:textId="77777777" w:rsidR="00EF4FC5" w:rsidRPr="0008517C" w:rsidRDefault="00EF4FC5" w:rsidP="00EF4FC5">
            <w:pPr>
              <w:spacing w:line="480" w:lineRule="auto"/>
            </w:pPr>
          </w:p>
        </w:tc>
        <w:tc>
          <w:tcPr>
            <w:tcW w:w="1011" w:type="pct"/>
            <w:gridSpan w:val="7"/>
            <w:tcBorders>
              <w:top w:val="single" w:sz="4" w:space="0" w:color="auto"/>
              <w:bottom w:val="single" w:sz="4" w:space="0" w:color="auto"/>
            </w:tcBorders>
          </w:tcPr>
          <w:p w14:paraId="104DE3D2" w14:textId="77777777" w:rsidR="00EF4FC5" w:rsidRPr="0008517C" w:rsidRDefault="00EF4FC5" w:rsidP="00EF4FC5">
            <w:pPr>
              <w:spacing w:line="480" w:lineRule="auto"/>
              <w:ind w:firstLine="0"/>
              <w:jc w:val="center"/>
            </w:pPr>
            <w:r w:rsidRPr="0008517C">
              <w:t>Family</w:t>
            </w:r>
          </w:p>
        </w:tc>
        <w:tc>
          <w:tcPr>
            <w:tcW w:w="943" w:type="pct"/>
            <w:gridSpan w:val="7"/>
            <w:tcBorders>
              <w:top w:val="single" w:sz="4" w:space="0" w:color="auto"/>
              <w:bottom w:val="single" w:sz="4" w:space="0" w:color="auto"/>
            </w:tcBorders>
          </w:tcPr>
          <w:p w14:paraId="1729BBB8" w14:textId="77777777" w:rsidR="00EF4FC5" w:rsidRPr="0008517C" w:rsidRDefault="00EF4FC5" w:rsidP="00EF4FC5">
            <w:pPr>
              <w:spacing w:line="480" w:lineRule="auto"/>
              <w:ind w:firstLine="0"/>
              <w:jc w:val="center"/>
            </w:pPr>
            <w:r w:rsidRPr="0008517C">
              <w:t>Friends</w:t>
            </w:r>
          </w:p>
        </w:tc>
        <w:tc>
          <w:tcPr>
            <w:tcW w:w="1014" w:type="pct"/>
            <w:gridSpan w:val="8"/>
            <w:tcBorders>
              <w:top w:val="single" w:sz="4" w:space="0" w:color="auto"/>
              <w:bottom w:val="single" w:sz="4" w:space="0" w:color="auto"/>
            </w:tcBorders>
          </w:tcPr>
          <w:p w14:paraId="37133FCF" w14:textId="77777777" w:rsidR="00EF4FC5" w:rsidRPr="0008517C" w:rsidRDefault="00EF4FC5" w:rsidP="00EF4FC5">
            <w:pPr>
              <w:spacing w:line="480" w:lineRule="auto"/>
              <w:ind w:firstLine="0"/>
              <w:jc w:val="center"/>
            </w:pPr>
            <w:r w:rsidRPr="0008517C">
              <w:t>Intimate Partners</w:t>
            </w:r>
          </w:p>
        </w:tc>
        <w:tc>
          <w:tcPr>
            <w:tcW w:w="1017" w:type="pct"/>
            <w:gridSpan w:val="9"/>
            <w:tcBorders>
              <w:top w:val="single" w:sz="4" w:space="0" w:color="auto"/>
              <w:bottom w:val="single" w:sz="4" w:space="0" w:color="auto"/>
            </w:tcBorders>
          </w:tcPr>
          <w:p w14:paraId="7883CA5A" w14:textId="77777777" w:rsidR="00EF4FC5" w:rsidRPr="0008517C" w:rsidRDefault="00EF4FC5" w:rsidP="00EF4FC5">
            <w:pPr>
              <w:spacing w:line="480" w:lineRule="auto"/>
              <w:ind w:firstLine="0"/>
              <w:jc w:val="center"/>
            </w:pPr>
            <w:r w:rsidRPr="0008517C">
              <w:t>Colleagues</w:t>
            </w:r>
          </w:p>
        </w:tc>
      </w:tr>
      <w:tr w:rsidR="00EF4FC5" w:rsidRPr="0008517C" w14:paraId="6A4C6006" w14:textId="77777777" w:rsidTr="000D69E9">
        <w:trPr>
          <w:gridAfter w:val="1"/>
          <w:wAfter w:w="18" w:type="pct"/>
        </w:trPr>
        <w:tc>
          <w:tcPr>
            <w:tcW w:w="997" w:type="pct"/>
            <w:gridSpan w:val="2"/>
            <w:tcBorders>
              <w:top w:val="single" w:sz="4" w:space="0" w:color="auto"/>
              <w:bottom w:val="single" w:sz="4" w:space="0" w:color="auto"/>
            </w:tcBorders>
          </w:tcPr>
          <w:p w14:paraId="038732AB" w14:textId="77777777" w:rsidR="00EF4FC5" w:rsidRPr="0008517C" w:rsidRDefault="00EF4FC5" w:rsidP="00EF4FC5">
            <w:pPr>
              <w:spacing w:line="480" w:lineRule="auto"/>
              <w:ind w:firstLine="0"/>
            </w:pPr>
            <w:r w:rsidRPr="0008517C">
              <w:t>Group</w:t>
            </w:r>
          </w:p>
        </w:tc>
        <w:tc>
          <w:tcPr>
            <w:tcW w:w="507" w:type="pct"/>
            <w:gridSpan w:val="3"/>
            <w:tcBorders>
              <w:top w:val="single" w:sz="4" w:space="0" w:color="auto"/>
              <w:bottom w:val="single" w:sz="4" w:space="0" w:color="auto"/>
            </w:tcBorders>
          </w:tcPr>
          <w:p w14:paraId="74AF7C3F" w14:textId="77777777" w:rsidR="00EF4FC5" w:rsidRPr="0008517C" w:rsidRDefault="00EF4FC5" w:rsidP="00EF4FC5">
            <w:pPr>
              <w:spacing w:line="480" w:lineRule="auto"/>
              <w:ind w:firstLine="0"/>
              <w:jc w:val="center"/>
              <w:rPr>
                <w:i/>
              </w:rPr>
            </w:pPr>
            <w:r w:rsidRPr="0008517C">
              <w:rPr>
                <w:i/>
              </w:rPr>
              <w:t>M</w:t>
            </w:r>
          </w:p>
        </w:tc>
        <w:tc>
          <w:tcPr>
            <w:tcW w:w="507" w:type="pct"/>
            <w:gridSpan w:val="5"/>
            <w:tcBorders>
              <w:top w:val="single" w:sz="4" w:space="0" w:color="auto"/>
              <w:bottom w:val="single" w:sz="4" w:space="0" w:color="auto"/>
            </w:tcBorders>
          </w:tcPr>
          <w:p w14:paraId="0B3E6A96" w14:textId="77777777" w:rsidR="00EF4FC5" w:rsidRPr="0008517C" w:rsidRDefault="00EF4FC5" w:rsidP="00EF4FC5">
            <w:pPr>
              <w:spacing w:line="480" w:lineRule="auto"/>
              <w:ind w:firstLine="0"/>
              <w:jc w:val="center"/>
              <w:rPr>
                <w:i/>
              </w:rPr>
            </w:pPr>
            <w:r w:rsidRPr="0008517C">
              <w:rPr>
                <w:i/>
              </w:rPr>
              <w:t>SD</w:t>
            </w:r>
          </w:p>
        </w:tc>
        <w:tc>
          <w:tcPr>
            <w:tcW w:w="507" w:type="pct"/>
            <w:gridSpan w:val="4"/>
            <w:tcBorders>
              <w:top w:val="single" w:sz="4" w:space="0" w:color="auto"/>
              <w:bottom w:val="single" w:sz="4" w:space="0" w:color="auto"/>
            </w:tcBorders>
          </w:tcPr>
          <w:p w14:paraId="748BACF8" w14:textId="77777777" w:rsidR="00EF4FC5" w:rsidRPr="0008517C" w:rsidRDefault="00EF4FC5" w:rsidP="00EF4FC5">
            <w:pPr>
              <w:spacing w:line="480" w:lineRule="auto"/>
              <w:ind w:firstLine="0"/>
              <w:jc w:val="center"/>
              <w:rPr>
                <w:i/>
              </w:rPr>
            </w:pPr>
            <w:r w:rsidRPr="0008517C">
              <w:rPr>
                <w:i/>
              </w:rPr>
              <w:t>M</w:t>
            </w:r>
          </w:p>
        </w:tc>
        <w:tc>
          <w:tcPr>
            <w:tcW w:w="436" w:type="pct"/>
            <w:gridSpan w:val="3"/>
            <w:tcBorders>
              <w:top w:val="single" w:sz="4" w:space="0" w:color="auto"/>
              <w:bottom w:val="single" w:sz="4" w:space="0" w:color="auto"/>
            </w:tcBorders>
          </w:tcPr>
          <w:p w14:paraId="2D7793F1" w14:textId="77777777" w:rsidR="00EF4FC5" w:rsidRPr="0008517C" w:rsidRDefault="00EF4FC5" w:rsidP="00EF4FC5">
            <w:pPr>
              <w:spacing w:line="480" w:lineRule="auto"/>
              <w:ind w:firstLine="0"/>
              <w:jc w:val="center"/>
              <w:rPr>
                <w:i/>
              </w:rPr>
            </w:pPr>
            <w:r w:rsidRPr="0008517C">
              <w:rPr>
                <w:i/>
              </w:rPr>
              <w:t>SD</w:t>
            </w:r>
          </w:p>
        </w:tc>
        <w:tc>
          <w:tcPr>
            <w:tcW w:w="507" w:type="pct"/>
            <w:gridSpan w:val="4"/>
            <w:tcBorders>
              <w:top w:val="single" w:sz="4" w:space="0" w:color="auto"/>
              <w:bottom w:val="single" w:sz="4" w:space="0" w:color="auto"/>
            </w:tcBorders>
          </w:tcPr>
          <w:p w14:paraId="5F73431D" w14:textId="77777777" w:rsidR="00EF4FC5" w:rsidRPr="0008517C" w:rsidRDefault="00EF4FC5" w:rsidP="00EF4FC5">
            <w:pPr>
              <w:spacing w:line="480" w:lineRule="auto"/>
              <w:ind w:firstLine="0"/>
              <w:jc w:val="center"/>
              <w:rPr>
                <w:i/>
              </w:rPr>
            </w:pPr>
            <w:r w:rsidRPr="0008517C">
              <w:rPr>
                <w:i/>
              </w:rPr>
              <w:t>M</w:t>
            </w:r>
          </w:p>
        </w:tc>
        <w:tc>
          <w:tcPr>
            <w:tcW w:w="507" w:type="pct"/>
            <w:gridSpan w:val="4"/>
            <w:tcBorders>
              <w:top w:val="single" w:sz="4" w:space="0" w:color="auto"/>
              <w:bottom w:val="single" w:sz="4" w:space="0" w:color="auto"/>
            </w:tcBorders>
          </w:tcPr>
          <w:p w14:paraId="63E2A313" w14:textId="77777777" w:rsidR="00EF4FC5" w:rsidRPr="0008517C" w:rsidRDefault="00EF4FC5" w:rsidP="00EF4FC5">
            <w:pPr>
              <w:spacing w:line="480" w:lineRule="auto"/>
              <w:ind w:firstLine="0"/>
              <w:jc w:val="center"/>
              <w:rPr>
                <w:i/>
              </w:rPr>
            </w:pPr>
            <w:r w:rsidRPr="0008517C">
              <w:rPr>
                <w:i/>
              </w:rPr>
              <w:t>SD</w:t>
            </w:r>
          </w:p>
        </w:tc>
        <w:tc>
          <w:tcPr>
            <w:tcW w:w="507" w:type="pct"/>
            <w:gridSpan w:val="4"/>
            <w:tcBorders>
              <w:top w:val="single" w:sz="4" w:space="0" w:color="auto"/>
              <w:bottom w:val="single" w:sz="4" w:space="0" w:color="auto"/>
            </w:tcBorders>
          </w:tcPr>
          <w:p w14:paraId="0896ED31" w14:textId="77777777" w:rsidR="00EF4FC5" w:rsidRPr="0008517C" w:rsidRDefault="00EF4FC5" w:rsidP="00EF4FC5">
            <w:pPr>
              <w:spacing w:line="480" w:lineRule="auto"/>
              <w:ind w:firstLine="0"/>
              <w:jc w:val="center"/>
              <w:rPr>
                <w:i/>
              </w:rPr>
            </w:pPr>
            <w:r w:rsidRPr="0008517C">
              <w:rPr>
                <w:i/>
              </w:rPr>
              <w:t>M</w:t>
            </w:r>
          </w:p>
        </w:tc>
        <w:tc>
          <w:tcPr>
            <w:tcW w:w="507" w:type="pct"/>
            <w:gridSpan w:val="4"/>
            <w:tcBorders>
              <w:top w:val="single" w:sz="4" w:space="0" w:color="auto"/>
              <w:bottom w:val="single" w:sz="4" w:space="0" w:color="auto"/>
            </w:tcBorders>
          </w:tcPr>
          <w:p w14:paraId="211629C0" w14:textId="77777777" w:rsidR="00EF4FC5" w:rsidRPr="0008517C" w:rsidRDefault="00EF4FC5" w:rsidP="00EF4FC5">
            <w:pPr>
              <w:spacing w:line="480" w:lineRule="auto"/>
              <w:ind w:firstLine="0"/>
              <w:jc w:val="center"/>
              <w:rPr>
                <w:i/>
              </w:rPr>
            </w:pPr>
            <w:r w:rsidRPr="0008517C">
              <w:rPr>
                <w:i/>
              </w:rPr>
              <w:t>SD</w:t>
            </w:r>
          </w:p>
        </w:tc>
      </w:tr>
      <w:tr w:rsidR="00EF4FC5" w:rsidRPr="0008517C" w14:paraId="08A756C7" w14:textId="77777777" w:rsidTr="000D69E9">
        <w:trPr>
          <w:gridAfter w:val="1"/>
          <w:wAfter w:w="18" w:type="pct"/>
        </w:trPr>
        <w:tc>
          <w:tcPr>
            <w:tcW w:w="997" w:type="pct"/>
            <w:gridSpan w:val="2"/>
            <w:tcBorders>
              <w:top w:val="single" w:sz="4" w:space="0" w:color="auto"/>
            </w:tcBorders>
          </w:tcPr>
          <w:p w14:paraId="0F0CA5A4" w14:textId="77777777" w:rsidR="00EF4FC5" w:rsidRPr="0008517C" w:rsidRDefault="00EF4FC5" w:rsidP="00EF4FC5">
            <w:pPr>
              <w:spacing w:line="480" w:lineRule="auto"/>
              <w:ind w:firstLine="0"/>
            </w:pPr>
            <w:r w:rsidRPr="0008517C">
              <w:t>Students (</w:t>
            </w:r>
            <w:r w:rsidRPr="0008517C">
              <w:rPr>
                <w:i/>
              </w:rPr>
              <w:t>n</w:t>
            </w:r>
            <w:r w:rsidRPr="0008517C">
              <w:t xml:space="preserve"> = 50)</w:t>
            </w:r>
          </w:p>
        </w:tc>
        <w:tc>
          <w:tcPr>
            <w:tcW w:w="507" w:type="pct"/>
            <w:gridSpan w:val="3"/>
            <w:tcBorders>
              <w:top w:val="single" w:sz="4" w:space="0" w:color="auto"/>
            </w:tcBorders>
          </w:tcPr>
          <w:p w14:paraId="733B47C9" w14:textId="77777777" w:rsidR="00EF4FC5" w:rsidRPr="0008517C" w:rsidRDefault="00EF4FC5" w:rsidP="00EF4FC5">
            <w:pPr>
              <w:spacing w:line="480" w:lineRule="auto"/>
              <w:ind w:firstLine="0"/>
              <w:jc w:val="center"/>
            </w:pPr>
            <w:r w:rsidRPr="0008517C">
              <w:t>4.1</w:t>
            </w:r>
          </w:p>
        </w:tc>
        <w:tc>
          <w:tcPr>
            <w:tcW w:w="507" w:type="pct"/>
            <w:gridSpan w:val="5"/>
            <w:tcBorders>
              <w:top w:val="single" w:sz="4" w:space="0" w:color="auto"/>
            </w:tcBorders>
          </w:tcPr>
          <w:p w14:paraId="443DE799" w14:textId="77777777" w:rsidR="00EF4FC5" w:rsidRPr="0008517C" w:rsidRDefault="00EF4FC5" w:rsidP="00EF4FC5">
            <w:pPr>
              <w:spacing w:line="480" w:lineRule="auto"/>
              <w:ind w:firstLine="0"/>
              <w:jc w:val="center"/>
            </w:pPr>
            <w:r w:rsidRPr="0008517C">
              <w:t>1.36</w:t>
            </w:r>
          </w:p>
        </w:tc>
        <w:tc>
          <w:tcPr>
            <w:tcW w:w="507" w:type="pct"/>
            <w:gridSpan w:val="4"/>
            <w:tcBorders>
              <w:top w:val="single" w:sz="4" w:space="0" w:color="auto"/>
            </w:tcBorders>
          </w:tcPr>
          <w:p w14:paraId="15EAC2E8" w14:textId="77777777" w:rsidR="00EF4FC5" w:rsidRPr="0008517C" w:rsidRDefault="00EF4FC5" w:rsidP="00EF4FC5">
            <w:pPr>
              <w:spacing w:line="480" w:lineRule="auto"/>
              <w:ind w:firstLine="0"/>
              <w:jc w:val="center"/>
            </w:pPr>
            <w:r w:rsidRPr="0008517C">
              <w:t>5.06</w:t>
            </w:r>
          </w:p>
        </w:tc>
        <w:tc>
          <w:tcPr>
            <w:tcW w:w="436" w:type="pct"/>
            <w:gridSpan w:val="3"/>
            <w:tcBorders>
              <w:top w:val="single" w:sz="4" w:space="0" w:color="auto"/>
            </w:tcBorders>
          </w:tcPr>
          <w:p w14:paraId="6A440E74" w14:textId="77777777" w:rsidR="00EF4FC5" w:rsidRPr="0008517C" w:rsidRDefault="00EF4FC5" w:rsidP="00EF4FC5">
            <w:pPr>
              <w:spacing w:line="480" w:lineRule="auto"/>
              <w:ind w:firstLine="0"/>
              <w:jc w:val="center"/>
            </w:pPr>
            <w:r w:rsidRPr="0008517C">
              <w:t>.843</w:t>
            </w:r>
          </w:p>
        </w:tc>
        <w:tc>
          <w:tcPr>
            <w:tcW w:w="507" w:type="pct"/>
            <w:gridSpan w:val="4"/>
            <w:tcBorders>
              <w:top w:val="single" w:sz="4" w:space="0" w:color="auto"/>
            </w:tcBorders>
          </w:tcPr>
          <w:p w14:paraId="4FEB5F9E" w14:textId="77777777" w:rsidR="00EF4FC5" w:rsidRPr="0008517C" w:rsidRDefault="00EF4FC5" w:rsidP="00EF4FC5">
            <w:pPr>
              <w:spacing w:line="480" w:lineRule="auto"/>
              <w:ind w:firstLine="0"/>
              <w:jc w:val="center"/>
            </w:pPr>
            <w:r w:rsidRPr="0008517C">
              <w:t>2.9</w:t>
            </w:r>
          </w:p>
        </w:tc>
        <w:tc>
          <w:tcPr>
            <w:tcW w:w="507" w:type="pct"/>
            <w:gridSpan w:val="4"/>
            <w:tcBorders>
              <w:top w:val="single" w:sz="4" w:space="0" w:color="auto"/>
            </w:tcBorders>
          </w:tcPr>
          <w:p w14:paraId="13C00452" w14:textId="77777777" w:rsidR="00EF4FC5" w:rsidRPr="0008517C" w:rsidRDefault="00EF4FC5" w:rsidP="00EF4FC5">
            <w:pPr>
              <w:spacing w:line="480" w:lineRule="auto"/>
              <w:ind w:firstLine="0"/>
              <w:jc w:val="center"/>
            </w:pPr>
            <w:r w:rsidRPr="0008517C">
              <w:t>1.57</w:t>
            </w:r>
          </w:p>
        </w:tc>
        <w:tc>
          <w:tcPr>
            <w:tcW w:w="507" w:type="pct"/>
            <w:gridSpan w:val="4"/>
            <w:tcBorders>
              <w:top w:val="single" w:sz="4" w:space="0" w:color="auto"/>
            </w:tcBorders>
          </w:tcPr>
          <w:p w14:paraId="4872820C" w14:textId="77777777" w:rsidR="00EF4FC5" w:rsidRPr="0008517C" w:rsidRDefault="00EF4FC5" w:rsidP="00EF4FC5">
            <w:pPr>
              <w:spacing w:line="480" w:lineRule="auto"/>
              <w:ind w:firstLine="0"/>
              <w:jc w:val="center"/>
            </w:pPr>
            <w:r w:rsidRPr="0008517C">
              <w:t>4.64</w:t>
            </w:r>
          </w:p>
        </w:tc>
        <w:tc>
          <w:tcPr>
            <w:tcW w:w="507" w:type="pct"/>
            <w:gridSpan w:val="4"/>
            <w:tcBorders>
              <w:top w:val="single" w:sz="4" w:space="0" w:color="auto"/>
            </w:tcBorders>
          </w:tcPr>
          <w:p w14:paraId="6BF3F267" w14:textId="77777777" w:rsidR="00EF4FC5" w:rsidRPr="0008517C" w:rsidRDefault="00EF4FC5" w:rsidP="00EF4FC5">
            <w:pPr>
              <w:spacing w:line="480" w:lineRule="auto"/>
              <w:ind w:firstLine="0"/>
              <w:jc w:val="center"/>
            </w:pPr>
            <w:r w:rsidRPr="0008517C">
              <w:t>1.23</w:t>
            </w:r>
          </w:p>
        </w:tc>
      </w:tr>
      <w:tr w:rsidR="00EF4FC5" w:rsidRPr="0008517C" w14:paraId="67DFD693" w14:textId="77777777" w:rsidTr="000D69E9">
        <w:trPr>
          <w:gridAfter w:val="1"/>
          <w:wAfter w:w="18" w:type="pct"/>
        </w:trPr>
        <w:tc>
          <w:tcPr>
            <w:tcW w:w="997" w:type="pct"/>
            <w:gridSpan w:val="2"/>
            <w:tcBorders>
              <w:bottom w:val="single" w:sz="4" w:space="0" w:color="auto"/>
            </w:tcBorders>
          </w:tcPr>
          <w:p w14:paraId="16B8BF6D" w14:textId="77777777" w:rsidR="00EF4FC5" w:rsidRPr="0008517C" w:rsidRDefault="00EF4FC5" w:rsidP="00EF4FC5">
            <w:pPr>
              <w:spacing w:line="480" w:lineRule="auto"/>
              <w:ind w:firstLine="0"/>
            </w:pPr>
            <w:r w:rsidRPr="0008517C">
              <w:t>Patients (</w:t>
            </w:r>
            <w:r w:rsidRPr="0008517C">
              <w:rPr>
                <w:i/>
              </w:rPr>
              <w:t>n</w:t>
            </w:r>
            <w:r w:rsidRPr="0008517C">
              <w:t xml:space="preserve"> = 40)</w:t>
            </w:r>
          </w:p>
        </w:tc>
        <w:tc>
          <w:tcPr>
            <w:tcW w:w="507" w:type="pct"/>
            <w:gridSpan w:val="3"/>
            <w:tcBorders>
              <w:bottom w:val="single" w:sz="4" w:space="0" w:color="auto"/>
            </w:tcBorders>
          </w:tcPr>
          <w:p w14:paraId="489475BD" w14:textId="77777777" w:rsidR="00EF4FC5" w:rsidRPr="0008517C" w:rsidRDefault="00EF4FC5" w:rsidP="00EF4FC5">
            <w:pPr>
              <w:spacing w:line="480" w:lineRule="auto"/>
              <w:ind w:firstLine="0"/>
              <w:jc w:val="center"/>
            </w:pPr>
            <w:r w:rsidRPr="0008517C">
              <w:t>3.57</w:t>
            </w:r>
          </w:p>
        </w:tc>
        <w:tc>
          <w:tcPr>
            <w:tcW w:w="507" w:type="pct"/>
            <w:gridSpan w:val="5"/>
            <w:tcBorders>
              <w:bottom w:val="single" w:sz="4" w:space="0" w:color="auto"/>
            </w:tcBorders>
          </w:tcPr>
          <w:p w14:paraId="0275B5E5" w14:textId="77777777" w:rsidR="00EF4FC5" w:rsidRPr="0008517C" w:rsidRDefault="00EF4FC5" w:rsidP="00EF4FC5">
            <w:pPr>
              <w:spacing w:line="480" w:lineRule="auto"/>
              <w:ind w:firstLine="0"/>
              <w:jc w:val="center"/>
            </w:pPr>
            <w:r w:rsidRPr="0008517C">
              <w:t>2.26</w:t>
            </w:r>
          </w:p>
        </w:tc>
        <w:tc>
          <w:tcPr>
            <w:tcW w:w="507" w:type="pct"/>
            <w:gridSpan w:val="4"/>
            <w:tcBorders>
              <w:bottom w:val="single" w:sz="4" w:space="0" w:color="auto"/>
            </w:tcBorders>
          </w:tcPr>
          <w:p w14:paraId="78CFCAAF" w14:textId="77777777" w:rsidR="00EF4FC5" w:rsidRPr="0008517C" w:rsidRDefault="00EF4FC5" w:rsidP="00EF4FC5">
            <w:pPr>
              <w:spacing w:line="480" w:lineRule="auto"/>
              <w:ind w:firstLine="0"/>
              <w:jc w:val="center"/>
            </w:pPr>
            <w:r w:rsidRPr="0008517C">
              <w:t>2.23</w:t>
            </w:r>
          </w:p>
        </w:tc>
        <w:tc>
          <w:tcPr>
            <w:tcW w:w="436" w:type="pct"/>
            <w:gridSpan w:val="3"/>
            <w:tcBorders>
              <w:bottom w:val="single" w:sz="4" w:space="0" w:color="auto"/>
            </w:tcBorders>
          </w:tcPr>
          <w:p w14:paraId="569F9A21" w14:textId="77777777" w:rsidR="00EF4FC5" w:rsidRPr="0008517C" w:rsidRDefault="00EF4FC5" w:rsidP="00EF4FC5">
            <w:pPr>
              <w:spacing w:line="480" w:lineRule="auto"/>
              <w:ind w:firstLine="0"/>
              <w:jc w:val="center"/>
            </w:pPr>
            <w:r w:rsidRPr="0008517C">
              <w:t>2.4</w:t>
            </w:r>
          </w:p>
        </w:tc>
        <w:tc>
          <w:tcPr>
            <w:tcW w:w="507" w:type="pct"/>
            <w:gridSpan w:val="4"/>
            <w:tcBorders>
              <w:bottom w:val="single" w:sz="4" w:space="0" w:color="auto"/>
            </w:tcBorders>
          </w:tcPr>
          <w:p w14:paraId="43E8CCD0" w14:textId="77777777" w:rsidR="00EF4FC5" w:rsidRPr="0008517C" w:rsidRDefault="00EF4FC5" w:rsidP="00EF4FC5">
            <w:pPr>
              <w:spacing w:line="480" w:lineRule="auto"/>
              <w:ind w:firstLine="0"/>
              <w:jc w:val="center"/>
            </w:pPr>
            <w:r w:rsidRPr="0008517C">
              <w:t>1.8</w:t>
            </w:r>
          </w:p>
        </w:tc>
        <w:tc>
          <w:tcPr>
            <w:tcW w:w="507" w:type="pct"/>
            <w:gridSpan w:val="4"/>
            <w:tcBorders>
              <w:bottom w:val="single" w:sz="4" w:space="0" w:color="auto"/>
            </w:tcBorders>
          </w:tcPr>
          <w:p w14:paraId="550625D2" w14:textId="77777777" w:rsidR="00EF4FC5" w:rsidRPr="0008517C" w:rsidRDefault="00EF4FC5" w:rsidP="00EF4FC5">
            <w:pPr>
              <w:spacing w:line="480" w:lineRule="auto"/>
              <w:ind w:firstLine="0"/>
              <w:jc w:val="center"/>
            </w:pPr>
            <w:r w:rsidRPr="0008517C">
              <w:t>1.84</w:t>
            </w:r>
          </w:p>
        </w:tc>
        <w:tc>
          <w:tcPr>
            <w:tcW w:w="507" w:type="pct"/>
            <w:gridSpan w:val="4"/>
            <w:tcBorders>
              <w:bottom w:val="single" w:sz="4" w:space="0" w:color="auto"/>
            </w:tcBorders>
          </w:tcPr>
          <w:p w14:paraId="67E5D675" w14:textId="77777777" w:rsidR="00EF4FC5" w:rsidRPr="0008517C" w:rsidRDefault="00EF4FC5" w:rsidP="00EF4FC5">
            <w:pPr>
              <w:spacing w:line="480" w:lineRule="auto"/>
              <w:ind w:firstLine="0"/>
              <w:jc w:val="center"/>
            </w:pPr>
            <w:r w:rsidRPr="0008517C">
              <w:t>2.25</w:t>
            </w:r>
          </w:p>
        </w:tc>
        <w:tc>
          <w:tcPr>
            <w:tcW w:w="507" w:type="pct"/>
            <w:gridSpan w:val="4"/>
            <w:tcBorders>
              <w:bottom w:val="single" w:sz="4" w:space="0" w:color="auto"/>
            </w:tcBorders>
          </w:tcPr>
          <w:p w14:paraId="7761394A" w14:textId="77777777" w:rsidR="00EF4FC5" w:rsidRPr="0008517C" w:rsidRDefault="00EF4FC5" w:rsidP="00EF4FC5">
            <w:pPr>
              <w:spacing w:line="480" w:lineRule="auto"/>
              <w:ind w:firstLine="0"/>
              <w:jc w:val="center"/>
            </w:pPr>
            <w:r w:rsidRPr="0008517C">
              <w:t>1.87</w:t>
            </w:r>
          </w:p>
        </w:tc>
      </w:tr>
      <w:tr w:rsidR="00EF4FC5" w14:paraId="4DAD2EED" w14:textId="77777777" w:rsidTr="000D69E9">
        <w:tc>
          <w:tcPr>
            <w:tcW w:w="1013" w:type="pct"/>
            <w:gridSpan w:val="3"/>
            <w:tcBorders>
              <w:top w:val="single" w:sz="4" w:space="0" w:color="auto"/>
              <w:bottom w:val="single" w:sz="4" w:space="0" w:color="auto"/>
            </w:tcBorders>
          </w:tcPr>
          <w:p w14:paraId="1137A7A3" w14:textId="77777777" w:rsidR="00EF4FC5" w:rsidRPr="00B962BD" w:rsidRDefault="00EF4FC5" w:rsidP="00EF4FC5">
            <w:pPr>
              <w:spacing w:line="480" w:lineRule="auto"/>
            </w:pPr>
          </w:p>
        </w:tc>
        <w:tc>
          <w:tcPr>
            <w:tcW w:w="943" w:type="pct"/>
            <w:gridSpan w:val="5"/>
            <w:tcBorders>
              <w:top w:val="single" w:sz="4" w:space="0" w:color="auto"/>
              <w:bottom w:val="single" w:sz="4" w:space="0" w:color="auto"/>
            </w:tcBorders>
          </w:tcPr>
          <w:p w14:paraId="1F26D0B7" w14:textId="77777777" w:rsidR="00EF4FC5" w:rsidRPr="00B962BD" w:rsidRDefault="00EF4FC5" w:rsidP="00EF4FC5">
            <w:pPr>
              <w:spacing w:line="480" w:lineRule="auto"/>
              <w:ind w:firstLine="0"/>
              <w:jc w:val="center"/>
            </w:pPr>
            <w:r>
              <w:t>Close</w:t>
            </w:r>
          </w:p>
        </w:tc>
        <w:tc>
          <w:tcPr>
            <w:tcW w:w="1015" w:type="pct"/>
            <w:gridSpan w:val="10"/>
            <w:tcBorders>
              <w:top w:val="single" w:sz="4" w:space="0" w:color="auto"/>
              <w:bottom w:val="single" w:sz="4" w:space="0" w:color="auto"/>
            </w:tcBorders>
          </w:tcPr>
          <w:p w14:paraId="2F21AE4F" w14:textId="77777777" w:rsidR="00EF4FC5" w:rsidRPr="00B962BD" w:rsidRDefault="00EF4FC5" w:rsidP="00EF4FC5">
            <w:pPr>
              <w:spacing w:line="480" w:lineRule="auto"/>
              <w:ind w:firstLine="0"/>
              <w:jc w:val="center"/>
            </w:pPr>
            <w:r>
              <w:t>Conflictual</w:t>
            </w:r>
          </w:p>
        </w:tc>
        <w:tc>
          <w:tcPr>
            <w:tcW w:w="1014" w:type="pct"/>
            <w:gridSpan w:val="8"/>
            <w:tcBorders>
              <w:top w:val="single" w:sz="4" w:space="0" w:color="auto"/>
              <w:bottom w:val="single" w:sz="4" w:space="0" w:color="auto"/>
            </w:tcBorders>
          </w:tcPr>
          <w:p w14:paraId="3A28DE86" w14:textId="77777777" w:rsidR="00EF4FC5" w:rsidRPr="00B962BD" w:rsidRDefault="00EF4FC5" w:rsidP="00EF4FC5">
            <w:pPr>
              <w:spacing w:line="480" w:lineRule="auto"/>
              <w:ind w:firstLine="0"/>
              <w:jc w:val="center"/>
            </w:pPr>
            <w:r>
              <w:t>Distant</w:t>
            </w:r>
          </w:p>
        </w:tc>
        <w:tc>
          <w:tcPr>
            <w:tcW w:w="1016" w:type="pct"/>
            <w:gridSpan w:val="8"/>
            <w:tcBorders>
              <w:top w:val="single" w:sz="4" w:space="0" w:color="auto"/>
              <w:bottom w:val="single" w:sz="4" w:space="0" w:color="auto"/>
            </w:tcBorders>
          </w:tcPr>
          <w:p w14:paraId="4CED7BA4" w14:textId="77777777" w:rsidR="00EF4FC5" w:rsidRPr="00B962BD" w:rsidRDefault="00EF4FC5" w:rsidP="00EF4FC5">
            <w:pPr>
              <w:spacing w:line="480" w:lineRule="auto"/>
              <w:ind w:firstLine="0"/>
              <w:jc w:val="center"/>
            </w:pPr>
            <w:r>
              <w:t>Cut-off</w:t>
            </w:r>
          </w:p>
        </w:tc>
      </w:tr>
      <w:tr w:rsidR="00EF4FC5" w14:paraId="39B0643E" w14:textId="77777777" w:rsidTr="000D69E9">
        <w:tc>
          <w:tcPr>
            <w:tcW w:w="1013" w:type="pct"/>
            <w:gridSpan w:val="3"/>
            <w:tcBorders>
              <w:top w:val="single" w:sz="4" w:space="0" w:color="auto"/>
              <w:bottom w:val="single" w:sz="4" w:space="0" w:color="auto"/>
            </w:tcBorders>
          </w:tcPr>
          <w:p w14:paraId="07EE069A" w14:textId="77777777" w:rsidR="00EF4FC5" w:rsidRPr="00B962BD" w:rsidRDefault="00EF4FC5" w:rsidP="00EF4FC5">
            <w:pPr>
              <w:spacing w:line="480" w:lineRule="auto"/>
              <w:ind w:firstLine="0"/>
            </w:pPr>
            <w:r w:rsidRPr="00B962BD">
              <w:t>Group</w:t>
            </w:r>
          </w:p>
        </w:tc>
        <w:tc>
          <w:tcPr>
            <w:tcW w:w="507" w:type="pct"/>
            <w:gridSpan w:val="3"/>
            <w:tcBorders>
              <w:top w:val="single" w:sz="4" w:space="0" w:color="auto"/>
              <w:bottom w:val="single" w:sz="4" w:space="0" w:color="auto"/>
            </w:tcBorders>
          </w:tcPr>
          <w:p w14:paraId="518006E1" w14:textId="77777777" w:rsidR="00EF4FC5" w:rsidRPr="00B962BD" w:rsidRDefault="00EF4FC5" w:rsidP="00EF4FC5">
            <w:pPr>
              <w:spacing w:line="480" w:lineRule="auto"/>
              <w:ind w:firstLine="0"/>
              <w:jc w:val="center"/>
              <w:rPr>
                <w:i/>
              </w:rPr>
            </w:pPr>
            <w:r>
              <w:rPr>
                <w:i/>
              </w:rPr>
              <w:t>M</w:t>
            </w:r>
          </w:p>
        </w:tc>
        <w:tc>
          <w:tcPr>
            <w:tcW w:w="436" w:type="pct"/>
            <w:gridSpan w:val="2"/>
            <w:tcBorders>
              <w:top w:val="single" w:sz="4" w:space="0" w:color="auto"/>
              <w:bottom w:val="single" w:sz="4" w:space="0" w:color="auto"/>
            </w:tcBorders>
          </w:tcPr>
          <w:p w14:paraId="3794C3C6" w14:textId="77777777" w:rsidR="00EF4FC5" w:rsidRPr="00B962BD" w:rsidRDefault="00EF4FC5" w:rsidP="00EF4FC5">
            <w:pPr>
              <w:spacing w:line="480" w:lineRule="auto"/>
              <w:ind w:firstLine="0"/>
              <w:jc w:val="center"/>
              <w:rPr>
                <w:i/>
              </w:rPr>
            </w:pPr>
            <w:r>
              <w:rPr>
                <w:i/>
              </w:rPr>
              <w:t>SD</w:t>
            </w:r>
          </w:p>
        </w:tc>
        <w:tc>
          <w:tcPr>
            <w:tcW w:w="507" w:type="pct"/>
            <w:gridSpan w:val="5"/>
            <w:tcBorders>
              <w:top w:val="single" w:sz="4" w:space="0" w:color="auto"/>
              <w:bottom w:val="single" w:sz="4" w:space="0" w:color="auto"/>
            </w:tcBorders>
          </w:tcPr>
          <w:p w14:paraId="61275B32" w14:textId="77777777" w:rsidR="00EF4FC5" w:rsidRPr="00B962BD" w:rsidRDefault="00EF4FC5" w:rsidP="00EF4FC5">
            <w:pPr>
              <w:spacing w:line="480" w:lineRule="auto"/>
              <w:ind w:firstLine="0"/>
              <w:jc w:val="center"/>
              <w:rPr>
                <w:i/>
              </w:rPr>
            </w:pPr>
            <w:r>
              <w:rPr>
                <w:i/>
              </w:rPr>
              <w:t>M</w:t>
            </w:r>
          </w:p>
        </w:tc>
        <w:tc>
          <w:tcPr>
            <w:tcW w:w="508" w:type="pct"/>
            <w:gridSpan w:val="5"/>
            <w:tcBorders>
              <w:top w:val="single" w:sz="4" w:space="0" w:color="auto"/>
              <w:bottom w:val="single" w:sz="4" w:space="0" w:color="auto"/>
            </w:tcBorders>
          </w:tcPr>
          <w:p w14:paraId="3DE265F4" w14:textId="77777777" w:rsidR="00EF4FC5" w:rsidRPr="00B962BD" w:rsidRDefault="00EF4FC5" w:rsidP="00EF4FC5">
            <w:pPr>
              <w:spacing w:line="480" w:lineRule="auto"/>
              <w:ind w:firstLine="0"/>
              <w:jc w:val="center"/>
              <w:rPr>
                <w:i/>
              </w:rPr>
            </w:pPr>
            <w:r>
              <w:rPr>
                <w:i/>
              </w:rPr>
              <w:t>SD</w:t>
            </w:r>
          </w:p>
        </w:tc>
        <w:tc>
          <w:tcPr>
            <w:tcW w:w="507" w:type="pct"/>
            <w:gridSpan w:val="4"/>
            <w:tcBorders>
              <w:top w:val="single" w:sz="4" w:space="0" w:color="auto"/>
              <w:bottom w:val="single" w:sz="4" w:space="0" w:color="auto"/>
            </w:tcBorders>
          </w:tcPr>
          <w:p w14:paraId="316E24D9" w14:textId="77777777" w:rsidR="00EF4FC5" w:rsidRPr="00B962BD" w:rsidRDefault="00EF4FC5" w:rsidP="00EF4FC5">
            <w:pPr>
              <w:spacing w:line="480" w:lineRule="auto"/>
              <w:ind w:firstLine="0"/>
              <w:jc w:val="center"/>
              <w:rPr>
                <w:i/>
              </w:rPr>
            </w:pPr>
            <w:r w:rsidRPr="00B962BD">
              <w:rPr>
                <w:i/>
              </w:rPr>
              <w:t>M</w:t>
            </w:r>
          </w:p>
        </w:tc>
        <w:tc>
          <w:tcPr>
            <w:tcW w:w="507" w:type="pct"/>
            <w:gridSpan w:val="4"/>
            <w:tcBorders>
              <w:top w:val="single" w:sz="4" w:space="0" w:color="auto"/>
              <w:bottom w:val="single" w:sz="4" w:space="0" w:color="auto"/>
            </w:tcBorders>
          </w:tcPr>
          <w:p w14:paraId="69885F30" w14:textId="77777777" w:rsidR="00EF4FC5" w:rsidRPr="00B962BD" w:rsidRDefault="00EF4FC5" w:rsidP="00EF4FC5">
            <w:pPr>
              <w:spacing w:line="480" w:lineRule="auto"/>
              <w:ind w:firstLine="0"/>
              <w:jc w:val="center"/>
              <w:rPr>
                <w:i/>
              </w:rPr>
            </w:pPr>
            <w:r w:rsidRPr="00B962BD">
              <w:rPr>
                <w:i/>
              </w:rPr>
              <w:t>SD</w:t>
            </w:r>
          </w:p>
        </w:tc>
        <w:tc>
          <w:tcPr>
            <w:tcW w:w="507" w:type="pct"/>
            <w:gridSpan w:val="4"/>
            <w:tcBorders>
              <w:top w:val="single" w:sz="4" w:space="0" w:color="auto"/>
              <w:bottom w:val="single" w:sz="4" w:space="0" w:color="auto"/>
            </w:tcBorders>
          </w:tcPr>
          <w:p w14:paraId="2FB8A3C8" w14:textId="77777777" w:rsidR="00EF4FC5" w:rsidRPr="00B962BD" w:rsidRDefault="00EF4FC5" w:rsidP="00EF4FC5">
            <w:pPr>
              <w:spacing w:line="480" w:lineRule="auto"/>
              <w:ind w:firstLine="0"/>
              <w:jc w:val="center"/>
              <w:rPr>
                <w:i/>
              </w:rPr>
            </w:pPr>
            <w:r w:rsidRPr="00B962BD">
              <w:rPr>
                <w:i/>
              </w:rPr>
              <w:t>M</w:t>
            </w:r>
          </w:p>
        </w:tc>
        <w:tc>
          <w:tcPr>
            <w:tcW w:w="509" w:type="pct"/>
            <w:gridSpan w:val="4"/>
            <w:tcBorders>
              <w:top w:val="single" w:sz="4" w:space="0" w:color="auto"/>
              <w:bottom w:val="single" w:sz="4" w:space="0" w:color="auto"/>
            </w:tcBorders>
          </w:tcPr>
          <w:p w14:paraId="59700659" w14:textId="77777777" w:rsidR="00EF4FC5" w:rsidRPr="00B962BD" w:rsidRDefault="00EF4FC5" w:rsidP="00EF4FC5">
            <w:pPr>
              <w:spacing w:line="480" w:lineRule="auto"/>
              <w:ind w:firstLine="0"/>
              <w:jc w:val="center"/>
              <w:rPr>
                <w:i/>
              </w:rPr>
            </w:pPr>
            <w:r w:rsidRPr="00B962BD">
              <w:rPr>
                <w:i/>
              </w:rPr>
              <w:t>SD</w:t>
            </w:r>
          </w:p>
        </w:tc>
      </w:tr>
      <w:tr w:rsidR="00EF4FC5" w14:paraId="34BCD862" w14:textId="77777777" w:rsidTr="000D69E9">
        <w:tc>
          <w:tcPr>
            <w:tcW w:w="1013" w:type="pct"/>
            <w:gridSpan w:val="3"/>
            <w:tcBorders>
              <w:top w:val="single" w:sz="4" w:space="0" w:color="auto"/>
            </w:tcBorders>
          </w:tcPr>
          <w:p w14:paraId="3F02652E" w14:textId="77777777" w:rsidR="00EF4FC5" w:rsidRPr="00B962BD" w:rsidRDefault="00EF4FC5" w:rsidP="00EF4FC5">
            <w:pPr>
              <w:spacing w:line="480" w:lineRule="auto"/>
              <w:ind w:firstLine="0"/>
            </w:pPr>
            <w:r w:rsidRPr="00B962BD">
              <w:t>Students (</w:t>
            </w:r>
            <w:r w:rsidRPr="00B962BD">
              <w:rPr>
                <w:i/>
              </w:rPr>
              <w:t>n</w:t>
            </w:r>
            <w:r w:rsidRPr="00B962BD">
              <w:t xml:space="preserve"> = 50)</w:t>
            </w:r>
          </w:p>
        </w:tc>
        <w:tc>
          <w:tcPr>
            <w:tcW w:w="507" w:type="pct"/>
            <w:gridSpan w:val="3"/>
            <w:tcBorders>
              <w:top w:val="single" w:sz="4" w:space="0" w:color="auto"/>
            </w:tcBorders>
          </w:tcPr>
          <w:p w14:paraId="59F07A90" w14:textId="77777777" w:rsidR="00EF4FC5" w:rsidRPr="00B962BD" w:rsidRDefault="00EF4FC5" w:rsidP="00EF4FC5">
            <w:pPr>
              <w:spacing w:line="480" w:lineRule="auto"/>
              <w:ind w:firstLine="0"/>
              <w:jc w:val="center"/>
            </w:pPr>
            <w:r>
              <w:t>9.92</w:t>
            </w:r>
          </w:p>
        </w:tc>
        <w:tc>
          <w:tcPr>
            <w:tcW w:w="436" w:type="pct"/>
            <w:gridSpan w:val="2"/>
            <w:tcBorders>
              <w:top w:val="single" w:sz="4" w:space="0" w:color="auto"/>
            </w:tcBorders>
          </w:tcPr>
          <w:p w14:paraId="799AD2E1" w14:textId="77777777" w:rsidR="00EF4FC5" w:rsidRPr="00B962BD" w:rsidRDefault="00EF4FC5" w:rsidP="00EF4FC5">
            <w:pPr>
              <w:spacing w:line="480" w:lineRule="auto"/>
              <w:ind w:firstLine="0"/>
              <w:jc w:val="center"/>
            </w:pPr>
            <w:r>
              <w:t>3.18</w:t>
            </w:r>
          </w:p>
        </w:tc>
        <w:tc>
          <w:tcPr>
            <w:tcW w:w="507" w:type="pct"/>
            <w:gridSpan w:val="5"/>
            <w:tcBorders>
              <w:top w:val="single" w:sz="4" w:space="0" w:color="auto"/>
            </w:tcBorders>
          </w:tcPr>
          <w:p w14:paraId="43990982" w14:textId="77777777" w:rsidR="00EF4FC5" w:rsidRPr="00B962BD" w:rsidRDefault="00EF4FC5" w:rsidP="00EF4FC5">
            <w:pPr>
              <w:spacing w:line="480" w:lineRule="auto"/>
              <w:ind w:firstLine="0"/>
              <w:jc w:val="center"/>
            </w:pPr>
            <w:r>
              <w:t>1.98</w:t>
            </w:r>
          </w:p>
        </w:tc>
        <w:tc>
          <w:tcPr>
            <w:tcW w:w="508" w:type="pct"/>
            <w:gridSpan w:val="5"/>
            <w:tcBorders>
              <w:top w:val="single" w:sz="4" w:space="0" w:color="auto"/>
            </w:tcBorders>
          </w:tcPr>
          <w:p w14:paraId="610E9F29" w14:textId="77777777" w:rsidR="00EF4FC5" w:rsidRPr="00B962BD" w:rsidRDefault="00EF4FC5" w:rsidP="00EF4FC5">
            <w:pPr>
              <w:spacing w:line="480" w:lineRule="auto"/>
              <w:ind w:firstLine="0"/>
              <w:jc w:val="center"/>
            </w:pPr>
            <w:r>
              <w:t>1.5</w:t>
            </w:r>
          </w:p>
        </w:tc>
        <w:tc>
          <w:tcPr>
            <w:tcW w:w="507" w:type="pct"/>
            <w:gridSpan w:val="4"/>
            <w:tcBorders>
              <w:top w:val="single" w:sz="4" w:space="0" w:color="auto"/>
            </w:tcBorders>
          </w:tcPr>
          <w:p w14:paraId="08FCC70F" w14:textId="77777777" w:rsidR="00EF4FC5" w:rsidRPr="00B962BD" w:rsidRDefault="00EF4FC5" w:rsidP="00EF4FC5">
            <w:pPr>
              <w:spacing w:line="480" w:lineRule="auto"/>
              <w:ind w:firstLine="0"/>
              <w:jc w:val="center"/>
            </w:pPr>
            <w:r w:rsidRPr="00B962BD">
              <w:t>3.66</w:t>
            </w:r>
          </w:p>
        </w:tc>
        <w:tc>
          <w:tcPr>
            <w:tcW w:w="507" w:type="pct"/>
            <w:gridSpan w:val="4"/>
            <w:tcBorders>
              <w:top w:val="single" w:sz="4" w:space="0" w:color="auto"/>
            </w:tcBorders>
          </w:tcPr>
          <w:p w14:paraId="646D31C9" w14:textId="77777777" w:rsidR="00EF4FC5" w:rsidRPr="00B962BD" w:rsidRDefault="00EF4FC5" w:rsidP="00EF4FC5">
            <w:pPr>
              <w:spacing w:line="480" w:lineRule="auto"/>
              <w:ind w:firstLine="0"/>
              <w:jc w:val="center"/>
            </w:pPr>
            <w:r w:rsidRPr="00B962BD">
              <w:t>2.97</w:t>
            </w:r>
          </w:p>
        </w:tc>
        <w:tc>
          <w:tcPr>
            <w:tcW w:w="507" w:type="pct"/>
            <w:gridSpan w:val="4"/>
            <w:tcBorders>
              <w:top w:val="single" w:sz="4" w:space="0" w:color="auto"/>
            </w:tcBorders>
          </w:tcPr>
          <w:p w14:paraId="4C1BD3B8" w14:textId="77777777" w:rsidR="00EF4FC5" w:rsidRPr="00B962BD" w:rsidRDefault="00EF4FC5" w:rsidP="00EF4FC5">
            <w:pPr>
              <w:spacing w:line="480" w:lineRule="auto"/>
              <w:ind w:firstLine="0"/>
              <w:jc w:val="center"/>
            </w:pPr>
            <w:r w:rsidRPr="00B962BD">
              <w:t>1.5</w:t>
            </w:r>
          </w:p>
        </w:tc>
        <w:tc>
          <w:tcPr>
            <w:tcW w:w="509" w:type="pct"/>
            <w:gridSpan w:val="4"/>
            <w:tcBorders>
              <w:top w:val="single" w:sz="4" w:space="0" w:color="auto"/>
            </w:tcBorders>
          </w:tcPr>
          <w:p w14:paraId="629622AB" w14:textId="77777777" w:rsidR="00EF4FC5" w:rsidRPr="00B962BD" w:rsidRDefault="00EF4FC5" w:rsidP="00EF4FC5">
            <w:pPr>
              <w:spacing w:line="480" w:lineRule="auto"/>
              <w:ind w:firstLine="0"/>
              <w:jc w:val="center"/>
            </w:pPr>
            <w:r w:rsidRPr="00B962BD">
              <w:t>1.6</w:t>
            </w:r>
          </w:p>
        </w:tc>
      </w:tr>
      <w:tr w:rsidR="00EF4FC5" w14:paraId="782E4018" w14:textId="77777777" w:rsidTr="000D69E9">
        <w:tc>
          <w:tcPr>
            <w:tcW w:w="1013" w:type="pct"/>
            <w:gridSpan w:val="3"/>
            <w:tcBorders>
              <w:bottom w:val="single" w:sz="4" w:space="0" w:color="auto"/>
            </w:tcBorders>
          </w:tcPr>
          <w:p w14:paraId="4BC5EE69" w14:textId="77777777" w:rsidR="00EF4FC5" w:rsidRPr="00B962BD" w:rsidRDefault="00EF4FC5" w:rsidP="00EF4FC5">
            <w:pPr>
              <w:spacing w:line="480" w:lineRule="auto"/>
              <w:ind w:firstLine="0"/>
            </w:pPr>
            <w:r w:rsidRPr="00B962BD">
              <w:t>Patients (</w:t>
            </w:r>
            <w:r w:rsidRPr="00B962BD">
              <w:rPr>
                <w:i/>
              </w:rPr>
              <w:t>n</w:t>
            </w:r>
            <w:r w:rsidRPr="00B962BD">
              <w:t xml:space="preserve"> = 40)</w:t>
            </w:r>
          </w:p>
        </w:tc>
        <w:tc>
          <w:tcPr>
            <w:tcW w:w="507" w:type="pct"/>
            <w:gridSpan w:val="3"/>
            <w:tcBorders>
              <w:bottom w:val="single" w:sz="4" w:space="0" w:color="auto"/>
            </w:tcBorders>
          </w:tcPr>
          <w:p w14:paraId="0357FE93" w14:textId="77777777" w:rsidR="00EF4FC5" w:rsidRPr="00B962BD" w:rsidRDefault="00EF4FC5" w:rsidP="00EF4FC5">
            <w:pPr>
              <w:spacing w:line="480" w:lineRule="auto"/>
              <w:ind w:firstLine="0"/>
              <w:jc w:val="center"/>
            </w:pPr>
            <w:r>
              <w:t>6.17</w:t>
            </w:r>
          </w:p>
        </w:tc>
        <w:tc>
          <w:tcPr>
            <w:tcW w:w="436" w:type="pct"/>
            <w:gridSpan w:val="2"/>
            <w:tcBorders>
              <w:bottom w:val="single" w:sz="4" w:space="0" w:color="auto"/>
            </w:tcBorders>
          </w:tcPr>
          <w:p w14:paraId="61CE0B5E" w14:textId="77777777" w:rsidR="00EF4FC5" w:rsidRPr="00B962BD" w:rsidRDefault="00EF4FC5" w:rsidP="00EF4FC5">
            <w:pPr>
              <w:spacing w:line="480" w:lineRule="auto"/>
              <w:ind w:firstLine="0"/>
              <w:jc w:val="center"/>
            </w:pPr>
            <w:r>
              <w:t>4.44</w:t>
            </w:r>
          </w:p>
        </w:tc>
        <w:tc>
          <w:tcPr>
            <w:tcW w:w="507" w:type="pct"/>
            <w:gridSpan w:val="5"/>
            <w:tcBorders>
              <w:bottom w:val="single" w:sz="4" w:space="0" w:color="auto"/>
            </w:tcBorders>
          </w:tcPr>
          <w:p w14:paraId="3896F74E" w14:textId="77777777" w:rsidR="00EF4FC5" w:rsidRPr="00B962BD" w:rsidRDefault="00EF4FC5" w:rsidP="00EF4FC5">
            <w:pPr>
              <w:spacing w:line="480" w:lineRule="auto"/>
              <w:ind w:firstLine="0"/>
              <w:jc w:val="center"/>
            </w:pPr>
            <w:r>
              <w:t>1.22</w:t>
            </w:r>
          </w:p>
        </w:tc>
        <w:tc>
          <w:tcPr>
            <w:tcW w:w="508" w:type="pct"/>
            <w:gridSpan w:val="5"/>
            <w:tcBorders>
              <w:bottom w:val="single" w:sz="4" w:space="0" w:color="auto"/>
            </w:tcBorders>
          </w:tcPr>
          <w:p w14:paraId="129A433B" w14:textId="77777777" w:rsidR="00EF4FC5" w:rsidRPr="00B962BD" w:rsidRDefault="00EF4FC5" w:rsidP="00EF4FC5">
            <w:pPr>
              <w:spacing w:line="480" w:lineRule="auto"/>
              <w:ind w:firstLine="0"/>
              <w:jc w:val="center"/>
            </w:pPr>
            <w:r>
              <w:t>1.83</w:t>
            </w:r>
          </w:p>
        </w:tc>
        <w:tc>
          <w:tcPr>
            <w:tcW w:w="507" w:type="pct"/>
            <w:gridSpan w:val="4"/>
            <w:tcBorders>
              <w:bottom w:val="single" w:sz="4" w:space="0" w:color="auto"/>
            </w:tcBorders>
          </w:tcPr>
          <w:p w14:paraId="4311E462" w14:textId="77777777" w:rsidR="00EF4FC5" w:rsidRPr="00B962BD" w:rsidRDefault="00EF4FC5" w:rsidP="00EF4FC5">
            <w:pPr>
              <w:spacing w:line="480" w:lineRule="auto"/>
              <w:ind w:firstLine="0"/>
              <w:jc w:val="center"/>
            </w:pPr>
            <w:r w:rsidRPr="00B962BD">
              <w:t>1.8</w:t>
            </w:r>
          </w:p>
        </w:tc>
        <w:tc>
          <w:tcPr>
            <w:tcW w:w="507" w:type="pct"/>
            <w:gridSpan w:val="4"/>
            <w:tcBorders>
              <w:bottom w:val="single" w:sz="4" w:space="0" w:color="auto"/>
            </w:tcBorders>
          </w:tcPr>
          <w:p w14:paraId="2073550D" w14:textId="77777777" w:rsidR="00EF4FC5" w:rsidRPr="00B962BD" w:rsidRDefault="00EF4FC5" w:rsidP="00EF4FC5">
            <w:pPr>
              <w:spacing w:line="480" w:lineRule="auto"/>
              <w:ind w:firstLine="0"/>
              <w:jc w:val="center"/>
            </w:pPr>
            <w:r w:rsidRPr="00B962BD">
              <w:t>2.1</w:t>
            </w:r>
          </w:p>
        </w:tc>
        <w:tc>
          <w:tcPr>
            <w:tcW w:w="507" w:type="pct"/>
            <w:gridSpan w:val="4"/>
            <w:tcBorders>
              <w:bottom w:val="single" w:sz="4" w:space="0" w:color="auto"/>
            </w:tcBorders>
          </w:tcPr>
          <w:p w14:paraId="03929836" w14:textId="77777777" w:rsidR="00EF4FC5" w:rsidRPr="00B962BD" w:rsidRDefault="00EF4FC5" w:rsidP="00EF4FC5">
            <w:pPr>
              <w:spacing w:line="480" w:lineRule="auto"/>
              <w:ind w:firstLine="0"/>
              <w:jc w:val="center"/>
            </w:pPr>
            <w:r w:rsidRPr="00B962BD">
              <w:t>1.32</w:t>
            </w:r>
          </w:p>
        </w:tc>
        <w:tc>
          <w:tcPr>
            <w:tcW w:w="509" w:type="pct"/>
            <w:gridSpan w:val="4"/>
            <w:tcBorders>
              <w:bottom w:val="single" w:sz="4" w:space="0" w:color="auto"/>
            </w:tcBorders>
          </w:tcPr>
          <w:p w14:paraId="29E603D8" w14:textId="77777777" w:rsidR="00EF4FC5" w:rsidRPr="00B962BD" w:rsidRDefault="00EF4FC5" w:rsidP="00EF4FC5">
            <w:pPr>
              <w:spacing w:line="480" w:lineRule="auto"/>
              <w:ind w:firstLine="0"/>
              <w:jc w:val="center"/>
            </w:pPr>
            <w:r w:rsidRPr="00B962BD">
              <w:t>2</w:t>
            </w:r>
          </w:p>
        </w:tc>
      </w:tr>
      <w:tr w:rsidR="00EF4FC5" w14:paraId="1E006EFA" w14:textId="77777777" w:rsidTr="000D69E9">
        <w:trPr>
          <w:gridAfter w:val="2"/>
          <w:wAfter w:w="74" w:type="pct"/>
        </w:trPr>
        <w:tc>
          <w:tcPr>
            <w:tcW w:w="1013" w:type="pct"/>
            <w:gridSpan w:val="3"/>
            <w:tcBorders>
              <w:top w:val="single" w:sz="4" w:space="0" w:color="auto"/>
              <w:bottom w:val="single" w:sz="4" w:space="0" w:color="auto"/>
            </w:tcBorders>
          </w:tcPr>
          <w:p w14:paraId="215DD5A0" w14:textId="77777777" w:rsidR="00EF4FC5" w:rsidRPr="00B962BD" w:rsidRDefault="00EF4FC5" w:rsidP="00EF4FC5">
            <w:pPr>
              <w:spacing w:line="360" w:lineRule="auto"/>
            </w:pPr>
          </w:p>
        </w:tc>
        <w:tc>
          <w:tcPr>
            <w:tcW w:w="1013" w:type="pct"/>
            <w:gridSpan w:val="8"/>
            <w:tcBorders>
              <w:top w:val="single" w:sz="4" w:space="0" w:color="auto"/>
              <w:bottom w:val="single" w:sz="4" w:space="0" w:color="auto"/>
            </w:tcBorders>
          </w:tcPr>
          <w:p w14:paraId="27D92D2C" w14:textId="77777777" w:rsidR="00EF4FC5" w:rsidRPr="00B962BD" w:rsidRDefault="00EF4FC5" w:rsidP="00EF4FC5">
            <w:pPr>
              <w:spacing w:line="360" w:lineRule="auto"/>
              <w:ind w:firstLine="0"/>
              <w:jc w:val="center"/>
            </w:pPr>
            <w:r w:rsidRPr="00B962BD">
              <w:t>Enmeshed</w:t>
            </w:r>
          </w:p>
        </w:tc>
        <w:tc>
          <w:tcPr>
            <w:tcW w:w="1015" w:type="pct"/>
            <w:gridSpan w:val="9"/>
            <w:tcBorders>
              <w:top w:val="single" w:sz="4" w:space="0" w:color="auto"/>
              <w:bottom w:val="single" w:sz="4" w:space="0" w:color="auto"/>
            </w:tcBorders>
          </w:tcPr>
          <w:p w14:paraId="51A6C6DA" w14:textId="77777777" w:rsidR="00EF4FC5" w:rsidRPr="00B962BD" w:rsidRDefault="00EF4FC5" w:rsidP="00EF4FC5">
            <w:pPr>
              <w:spacing w:line="360" w:lineRule="auto"/>
              <w:ind w:firstLine="0"/>
              <w:jc w:val="center"/>
            </w:pPr>
            <w:r w:rsidRPr="00B962BD">
              <w:t xml:space="preserve">Aggression </w:t>
            </w:r>
            <w:r>
              <w:t>f</w:t>
            </w:r>
            <w:r w:rsidRPr="00B962BD">
              <w:t>rom Me</w:t>
            </w:r>
          </w:p>
        </w:tc>
        <w:tc>
          <w:tcPr>
            <w:tcW w:w="944" w:type="pct"/>
            <w:gridSpan w:val="6"/>
            <w:tcBorders>
              <w:top w:val="single" w:sz="4" w:space="0" w:color="auto"/>
              <w:bottom w:val="single" w:sz="4" w:space="0" w:color="auto"/>
            </w:tcBorders>
          </w:tcPr>
          <w:p w14:paraId="0627792F" w14:textId="77777777" w:rsidR="00EF4FC5" w:rsidRPr="00B962BD" w:rsidRDefault="00EF4FC5" w:rsidP="00EF4FC5">
            <w:pPr>
              <w:spacing w:line="360" w:lineRule="auto"/>
              <w:ind w:firstLine="0"/>
              <w:jc w:val="center"/>
            </w:pPr>
            <w:r w:rsidRPr="00B962BD">
              <w:t xml:space="preserve">Aggression </w:t>
            </w:r>
            <w:r>
              <w:t>f</w:t>
            </w:r>
            <w:r w:rsidRPr="00B962BD">
              <w:t>rom Them</w:t>
            </w:r>
          </w:p>
        </w:tc>
        <w:tc>
          <w:tcPr>
            <w:tcW w:w="942" w:type="pct"/>
            <w:gridSpan w:val="6"/>
            <w:tcBorders>
              <w:top w:val="single" w:sz="4" w:space="0" w:color="auto"/>
              <w:bottom w:val="single" w:sz="4" w:space="0" w:color="auto"/>
            </w:tcBorders>
          </w:tcPr>
          <w:p w14:paraId="3360A756" w14:textId="77777777" w:rsidR="00EF4FC5" w:rsidRPr="00B962BD" w:rsidRDefault="00EF4FC5" w:rsidP="00EF4FC5">
            <w:pPr>
              <w:spacing w:line="360" w:lineRule="auto"/>
              <w:ind w:firstLine="0"/>
              <w:jc w:val="center"/>
            </w:pPr>
            <w:r w:rsidRPr="00B962BD">
              <w:t>Bi-directional Aggression</w:t>
            </w:r>
          </w:p>
        </w:tc>
      </w:tr>
      <w:tr w:rsidR="00EF4FC5" w14:paraId="7385E703" w14:textId="77777777" w:rsidTr="000D69E9">
        <w:trPr>
          <w:gridAfter w:val="2"/>
          <w:wAfter w:w="74" w:type="pct"/>
        </w:trPr>
        <w:tc>
          <w:tcPr>
            <w:tcW w:w="1013" w:type="pct"/>
            <w:gridSpan w:val="3"/>
            <w:tcBorders>
              <w:top w:val="single" w:sz="4" w:space="0" w:color="auto"/>
              <w:bottom w:val="single" w:sz="4" w:space="0" w:color="auto"/>
            </w:tcBorders>
          </w:tcPr>
          <w:p w14:paraId="11AE3368" w14:textId="77777777" w:rsidR="00EF4FC5" w:rsidRPr="00B962BD" w:rsidRDefault="00EF4FC5" w:rsidP="00EF4FC5">
            <w:pPr>
              <w:spacing w:line="480" w:lineRule="auto"/>
              <w:ind w:firstLine="0"/>
            </w:pPr>
            <w:r w:rsidRPr="00B962BD">
              <w:t>Group</w:t>
            </w:r>
          </w:p>
        </w:tc>
        <w:tc>
          <w:tcPr>
            <w:tcW w:w="507" w:type="pct"/>
            <w:gridSpan w:val="3"/>
            <w:tcBorders>
              <w:top w:val="single" w:sz="4" w:space="0" w:color="auto"/>
              <w:bottom w:val="single" w:sz="4" w:space="0" w:color="auto"/>
            </w:tcBorders>
          </w:tcPr>
          <w:p w14:paraId="62F6D44D" w14:textId="77777777" w:rsidR="00EF4FC5" w:rsidRPr="00B962BD" w:rsidRDefault="00EF4FC5" w:rsidP="00EF4FC5">
            <w:pPr>
              <w:spacing w:line="480" w:lineRule="auto"/>
              <w:ind w:firstLine="0"/>
              <w:jc w:val="center"/>
              <w:rPr>
                <w:i/>
              </w:rPr>
            </w:pPr>
            <w:r w:rsidRPr="00B962BD">
              <w:rPr>
                <w:i/>
              </w:rPr>
              <w:t>M</w:t>
            </w:r>
          </w:p>
        </w:tc>
        <w:tc>
          <w:tcPr>
            <w:tcW w:w="507" w:type="pct"/>
            <w:gridSpan w:val="5"/>
            <w:tcBorders>
              <w:top w:val="single" w:sz="4" w:space="0" w:color="auto"/>
              <w:bottom w:val="single" w:sz="4" w:space="0" w:color="auto"/>
            </w:tcBorders>
          </w:tcPr>
          <w:p w14:paraId="323B7EAA" w14:textId="77777777" w:rsidR="00EF4FC5" w:rsidRPr="00B962BD" w:rsidRDefault="00EF4FC5" w:rsidP="00EF4FC5">
            <w:pPr>
              <w:spacing w:line="480" w:lineRule="auto"/>
              <w:ind w:firstLine="0"/>
              <w:jc w:val="center"/>
              <w:rPr>
                <w:i/>
              </w:rPr>
            </w:pPr>
            <w:r w:rsidRPr="00B962BD">
              <w:rPr>
                <w:i/>
              </w:rPr>
              <w:t>SD</w:t>
            </w:r>
          </w:p>
        </w:tc>
        <w:tc>
          <w:tcPr>
            <w:tcW w:w="507" w:type="pct"/>
            <w:gridSpan w:val="4"/>
            <w:tcBorders>
              <w:top w:val="single" w:sz="4" w:space="0" w:color="auto"/>
              <w:bottom w:val="single" w:sz="4" w:space="0" w:color="auto"/>
            </w:tcBorders>
          </w:tcPr>
          <w:p w14:paraId="2F7720CB" w14:textId="77777777" w:rsidR="00EF4FC5" w:rsidRPr="00B962BD" w:rsidRDefault="00EF4FC5" w:rsidP="00EF4FC5">
            <w:pPr>
              <w:spacing w:line="480" w:lineRule="auto"/>
              <w:ind w:firstLine="0"/>
              <w:jc w:val="center"/>
              <w:rPr>
                <w:i/>
              </w:rPr>
            </w:pPr>
            <w:r w:rsidRPr="00B962BD">
              <w:rPr>
                <w:i/>
              </w:rPr>
              <w:t>M</w:t>
            </w:r>
          </w:p>
        </w:tc>
        <w:tc>
          <w:tcPr>
            <w:tcW w:w="508" w:type="pct"/>
            <w:gridSpan w:val="5"/>
            <w:tcBorders>
              <w:top w:val="single" w:sz="4" w:space="0" w:color="auto"/>
              <w:bottom w:val="single" w:sz="4" w:space="0" w:color="auto"/>
            </w:tcBorders>
          </w:tcPr>
          <w:p w14:paraId="0831C7D8" w14:textId="77777777" w:rsidR="00EF4FC5" w:rsidRPr="00B962BD" w:rsidRDefault="00EF4FC5" w:rsidP="00EF4FC5">
            <w:pPr>
              <w:spacing w:line="480" w:lineRule="auto"/>
              <w:ind w:firstLine="0"/>
              <w:jc w:val="center"/>
              <w:rPr>
                <w:i/>
              </w:rPr>
            </w:pPr>
            <w:r w:rsidRPr="00B962BD">
              <w:rPr>
                <w:i/>
              </w:rPr>
              <w:t>SD</w:t>
            </w:r>
          </w:p>
        </w:tc>
        <w:tc>
          <w:tcPr>
            <w:tcW w:w="437" w:type="pct"/>
            <w:gridSpan w:val="2"/>
            <w:tcBorders>
              <w:top w:val="single" w:sz="4" w:space="0" w:color="auto"/>
              <w:bottom w:val="single" w:sz="4" w:space="0" w:color="auto"/>
            </w:tcBorders>
          </w:tcPr>
          <w:p w14:paraId="78CC5081" w14:textId="77777777" w:rsidR="00EF4FC5" w:rsidRPr="00B962BD" w:rsidRDefault="00EF4FC5" w:rsidP="00EF4FC5">
            <w:pPr>
              <w:spacing w:line="480" w:lineRule="auto"/>
              <w:ind w:firstLine="0"/>
              <w:jc w:val="center"/>
              <w:rPr>
                <w:i/>
              </w:rPr>
            </w:pPr>
            <w:r w:rsidRPr="00B962BD">
              <w:rPr>
                <w:i/>
              </w:rPr>
              <w:t>M</w:t>
            </w:r>
          </w:p>
        </w:tc>
        <w:tc>
          <w:tcPr>
            <w:tcW w:w="507" w:type="pct"/>
            <w:gridSpan w:val="4"/>
            <w:tcBorders>
              <w:top w:val="single" w:sz="4" w:space="0" w:color="auto"/>
              <w:bottom w:val="single" w:sz="4" w:space="0" w:color="auto"/>
            </w:tcBorders>
          </w:tcPr>
          <w:p w14:paraId="5139570E" w14:textId="77777777" w:rsidR="00EF4FC5" w:rsidRPr="00B962BD" w:rsidRDefault="00EF4FC5" w:rsidP="00EF4FC5">
            <w:pPr>
              <w:spacing w:line="480" w:lineRule="auto"/>
              <w:ind w:firstLine="0"/>
              <w:jc w:val="center"/>
              <w:rPr>
                <w:i/>
              </w:rPr>
            </w:pPr>
            <w:r w:rsidRPr="00B962BD">
              <w:rPr>
                <w:i/>
              </w:rPr>
              <w:t>SD</w:t>
            </w:r>
          </w:p>
        </w:tc>
        <w:tc>
          <w:tcPr>
            <w:tcW w:w="435" w:type="pct"/>
            <w:gridSpan w:val="2"/>
            <w:tcBorders>
              <w:top w:val="single" w:sz="4" w:space="0" w:color="auto"/>
              <w:bottom w:val="single" w:sz="4" w:space="0" w:color="auto"/>
            </w:tcBorders>
          </w:tcPr>
          <w:p w14:paraId="1FCD8709" w14:textId="77777777" w:rsidR="00EF4FC5" w:rsidRPr="00B962BD" w:rsidRDefault="00EF4FC5" w:rsidP="00EF4FC5">
            <w:pPr>
              <w:spacing w:line="480" w:lineRule="auto"/>
              <w:ind w:firstLine="0"/>
              <w:jc w:val="center"/>
              <w:rPr>
                <w:i/>
              </w:rPr>
            </w:pPr>
            <w:r w:rsidRPr="00B962BD">
              <w:rPr>
                <w:i/>
              </w:rPr>
              <w:t>M</w:t>
            </w:r>
          </w:p>
        </w:tc>
        <w:tc>
          <w:tcPr>
            <w:tcW w:w="507" w:type="pct"/>
            <w:gridSpan w:val="4"/>
            <w:tcBorders>
              <w:top w:val="single" w:sz="4" w:space="0" w:color="auto"/>
              <w:bottom w:val="single" w:sz="4" w:space="0" w:color="auto"/>
            </w:tcBorders>
          </w:tcPr>
          <w:p w14:paraId="2AC21AAB" w14:textId="77777777" w:rsidR="00EF4FC5" w:rsidRPr="00B962BD" w:rsidRDefault="00EF4FC5" w:rsidP="00EF4FC5">
            <w:pPr>
              <w:spacing w:line="480" w:lineRule="auto"/>
              <w:ind w:firstLine="0"/>
              <w:jc w:val="center"/>
              <w:rPr>
                <w:i/>
              </w:rPr>
            </w:pPr>
            <w:r w:rsidRPr="00B962BD">
              <w:rPr>
                <w:i/>
              </w:rPr>
              <w:t>SD</w:t>
            </w:r>
          </w:p>
        </w:tc>
      </w:tr>
      <w:tr w:rsidR="00EF4FC5" w14:paraId="016E4F42" w14:textId="77777777" w:rsidTr="000D69E9">
        <w:trPr>
          <w:gridAfter w:val="2"/>
          <w:wAfter w:w="74" w:type="pct"/>
        </w:trPr>
        <w:tc>
          <w:tcPr>
            <w:tcW w:w="1013" w:type="pct"/>
            <w:gridSpan w:val="3"/>
            <w:tcBorders>
              <w:top w:val="single" w:sz="4" w:space="0" w:color="auto"/>
            </w:tcBorders>
          </w:tcPr>
          <w:p w14:paraId="72FC5692" w14:textId="77777777" w:rsidR="00EF4FC5" w:rsidRPr="00B962BD" w:rsidRDefault="00EF4FC5" w:rsidP="00EF4FC5">
            <w:pPr>
              <w:spacing w:line="480" w:lineRule="auto"/>
              <w:ind w:firstLine="0"/>
            </w:pPr>
            <w:r w:rsidRPr="00B962BD">
              <w:t>Students (</w:t>
            </w:r>
            <w:r w:rsidRPr="00B962BD">
              <w:rPr>
                <w:i/>
              </w:rPr>
              <w:t>n</w:t>
            </w:r>
            <w:r w:rsidRPr="00B962BD">
              <w:t xml:space="preserve"> = 50)</w:t>
            </w:r>
          </w:p>
        </w:tc>
        <w:tc>
          <w:tcPr>
            <w:tcW w:w="507" w:type="pct"/>
            <w:gridSpan w:val="3"/>
            <w:tcBorders>
              <w:top w:val="single" w:sz="4" w:space="0" w:color="auto"/>
            </w:tcBorders>
          </w:tcPr>
          <w:p w14:paraId="5592223D" w14:textId="77777777" w:rsidR="00EF4FC5" w:rsidRPr="00B962BD" w:rsidRDefault="00EF4FC5" w:rsidP="00EF4FC5">
            <w:pPr>
              <w:spacing w:line="480" w:lineRule="auto"/>
              <w:ind w:firstLine="0"/>
              <w:jc w:val="center"/>
            </w:pPr>
            <w:r w:rsidRPr="00B962BD">
              <w:t>.54</w:t>
            </w:r>
          </w:p>
        </w:tc>
        <w:tc>
          <w:tcPr>
            <w:tcW w:w="507" w:type="pct"/>
            <w:gridSpan w:val="5"/>
            <w:tcBorders>
              <w:top w:val="single" w:sz="4" w:space="0" w:color="auto"/>
            </w:tcBorders>
          </w:tcPr>
          <w:p w14:paraId="62385A18" w14:textId="77777777" w:rsidR="00EF4FC5" w:rsidRPr="00B962BD" w:rsidRDefault="00EF4FC5" w:rsidP="00EF4FC5">
            <w:pPr>
              <w:spacing w:line="480" w:lineRule="auto"/>
              <w:ind w:firstLine="0"/>
              <w:jc w:val="center"/>
            </w:pPr>
            <w:r w:rsidRPr="00B962BD">
              <w:t>1.09</w:t>
            </w:r>
          </w:p>
        </w:tc>
        <w:tc>
          <w:tcPr>
            <w:tcW w:w="507" w:type="pct"/>
            <w:gridSpan w:val="4"/>
            <w:tcBorders>
              <w:top w:val="single" w:sz="4" w:space="0" w:color="auto"/>
            </w:tcBorders>
          </w:tcPr>
          <w:p w14:paraId="26E5460D" w14:textId="77777777" w:rsidR="00EF4FC5" w:rsidRPr="00B962BD" w:rsidRDefault="00EF4FC5" w:rsidP="00EF4FC5">
            <w:pPr>
              <w:spacing w:line="480" w:lineRule="auto"/>
              <w:ind w:firstLine="0"/>
              <w:jc w:val="center"/>
            </w:pPr>
            <w:r w:rsidRPr="00B962BD">
              <w:t>.22</w:t>
            </w:r>
          </w:p>
        </w:tc>
        <w:tc>
          <w:tcPr>
            <w:tcW w:w="508" w:type="pct"/>
            <w:gridSpan w:val="5"/>
            <w:tcBorders>
              <w:top w:val="single" w:sz="4" w:space="0" w:color="auto"/>
            </w:tcBorders>
          </w:tcPr>
          <w:p w14:paraId="44BD39D0" w14:textId="77777777" w:rsidR="00EF4FC5" w:rsidRPr="00B962BD" w:rsidRDefault="00EF4FC5" w:rsidP="00EF4FC5">
            <w:pPr>
              <w:spacing w:line="480" w:lineRule="auto"/>
              <w:ind w:firstLine="0"/>
              <w:jc w:val="center"/>
            </w:pPr>
            <w:r w:rsidRPr="00B962BD">
              <w:t>.47</w:t>
            </w:r>
          </w:p>
        </w:tc>
        <w:tc>
          <w:tcPr>
            <w:tcW w:w="437" w:type="pct"/>
            <w:gridSpan w:val="2"/>
            <w:tcBorders>
              <w:top w:val="single" w:sz="4" w:space="0" w:color="auto"/>
            </w:tcBorders>
          </w:tcPr>
          <w:p w14:paraId="2A5FB947" w14:textId="77777777" w:rsidR="00EF4FC5" w:rsidRPr="00B962BD" w:rsidRDefault="00EF4FC5" w:rsidP="00EF4FC5">
            <w:pPr>
              <w:spacing w:line="480" w:lineRule="auto"/>
              <w:ind w:firstLine="0"/>
              <w:jc w:val="center"/>
            </w:pPr>
            <w:r w:rsidRPr="00B962BD">
              <w:t>.36</w:t>
            </w:r>
          </w:p>
        </w:tc>
        <w:tc>
          <w:tcPr>
            <w:tcW w:w="507" w:type="pct"/>
            <w:gridSpan w:val="4"/>
            <w:tcBorders>
              <w:top w:val="single" w:sz="4" w:space="0" w:color="auto"/>
            </w:tcBorders>
          </w:tcPr>
          <w:p w14:paraId="3553B508" w14:textId="77777777" w:rsidR="00EF4FC5" w:rsidRPr="00B962BD" w:rsidRDefault="00EF4FC5" w:rsidP="00EF4FC5">
            <w:pPr>
              <w:spacing w:line="480" w:lineRule="auto"/>
              <w:ind w:firstLine="0"/>
              <w:jc w:val="center"/>
            </w:pPr>
            <w:r w:rsidRPr="00B962BD">
              <w:t>.66</w:t>
            </w:r>
          </w:p>
        </w:tc>
        <w:tc>
          <w:tcPr>
            <w:tcW w:w="435" w:type="pct"/>
            <w:gridSpan w:val="2"/>
            <w:tcBorders>
              <w:top w:val="single" w:sz="4" w:space="0" w:color="auto"/>
            </w:tcBorders>
          </w:tcPr>
          <w:p w14:paraId="6754BE62" w14:textId="77777777" w:rsidR="00EF4FC5" w:rsidRPr="00B962BD" w:rsidRDefault="00EF4FC5" w:rsidP="00EF4FC5">
            <w:pPr>
              <w:spacing w:line="480" w:lineRule="auto"/>
              <w:ind w:firstLine="0"/>
              <w:jc w:val="center"/>
            </w:pPr>
            <w:r w:rsidRPr="00B962BD">
              <w:t>.86</w:t>
            </w:r>
          </w:p>
        </w:tc>
        <w:tc>
          <w:tcPr>
            <w:tcW w:w="507" w:type="pct"/>
            <w:gridSpan w:val="4"/>
            <w:tcBorders>
              <w:top w:val="single" w:sz="4" w:space="0" w:color="auto"/>
            </w:tcBorders>
          </w:tcPr>
          <w:p w14:paraId="3918A492" w14:textId="77777777" w:rsidR="00EF4FC5" w:rsidRPr="00B962BD" w:rsidRDefault="00EF4FC5" w:rsidP="00EF4FC5">
            <w:pPr>
              <w:spacing w:line="480" w:lineRule="auto"/>
              <w:ind w:firstLine="0"/>
              <w:jc w:val="center"/>
            </w:pPr>
            <w:r w:rsidRPr="00B962BD">
              <w:t>1.18</w:t>
            </w:r>
          </w:p>
        </w:tc>
      </w:tr>
      <w:tr w:rsidR="00EF4FC5" w14:paraId="3FCDBB0D" w14:textId="77777777" w:rsidTr="000D69E9">
        <w:trPr>
          <w:gridAfter w:val="2"/>
          <w:wAfter w:w="74" w:type="pct"/>
        </w:trPr>
        <w:tc>
          <w:tcPr>
            <w:tcW w:w="1013" w:type="pct"/>
            <w:gridSpan w:val="3"/>
            <w:tcBorders>
              <w:bottom w:val="single" w:sz="4" w:space="0" w:color="auto"/>
            </w:tcBorders>
          </w:tcPr>
          <w:p w14:paraId="7FE33EC3" w14:textId="77777777" w:rsidR="00EF4FC5" w:rsidRPr="00B962BD" w:rsidRDefault="00EF4FC5" w:rsidP="00EF4FC5">
            <w:pPr>
              <w:spacing w:line="480" w:lineRule="auto"/>
              <w:ind w:firstLine="0"/>
            </w:pPr>
            <w:r w:rsidRPr="00B962BD">
              <w:t>Patients (</w:t>
            </w:r>
            <w:r w:rsidRPr="00B962BD">
              <w:rPr>
                <w:i/>
              </w:rPr>
              <w:t>n</w:t>
            </w:r>
            <w:r w:rsidRPr="00B962BD">
              <w:t xml:space="preserve"> = 40)</w:t>
            </w:r>
          </w:p>
        </w:tc>
        <w:tc>
          <w:tcPr>
            <w:tcW w:w="507" w:type="pct"/>
            <w:gridSpan w:val="3"/>
            <w:tcBorders>
              <w:bottom w:val="single" w:sz="4" w:space="0" w:color="auto"/>
            </w:tcBorders>
          </w:tcPr>
          <w:p w14:paraId="4BEBA9FD" w14:textId="77777777" w:rsidR="00EF4FC5" w:rsidRPr="00B962BD" w:rsidRDefault="00EF4FC5" w:rsidP="00EF4FC5">
            <w:pPr>
              <w:spacing w:line="480" w:lineRule="auto"/>
              <w:ind w:firstLine="0"/>
              <w:jc w:val="center"/>
            </w:pPr>
            <w:r w:rsidRPr="00B962BD">
              <w:t>.38</w:t>
            </w:r>
          </w:p>
        </w:tc>
        <w:tc>
          <w:tcPr>
            <w:tcW w:w="507" w:type="pct"/>
            <w:gridSpan w:val="5"/>
            <w:tcBorders>
              <w:bottom w:val="single" w:sz="4" w:space="0" w:color="auto"/>
            </w:tcBorders>
          </w:tcPr>
          <w:p w14:paraId="2AE52A8D" w14:textId="77777777" w:rsidR="00EF4FC5" w:rsidRPr="00B962BD" w:rsidRDefault="00EF4FC5" w:rsidP="00EF4FC5">
            <w:pPr>
              <w:spacing w:line="480" w:lineRule="auto"/>
              <w:ind w:firstLine="0"/>
              <w:jc w:val="center"/>
            </w:pPr>
            <w:r w:rsidRPr="00B962BD">
              <w:t>1.08</w:t>
            </w:r>
          </w:p>
        </w:tc>
        <w:tc>
          <w:tcPr>
            <w:tcW w:w="507" w:type="pct"/>
            <w:gridSpan w:val="4"/>
            <w:tcBorders>
              <w:bottom w:val="single" w:sz="4" w:space="0" w:color="auto"/>
            </w:tcBorders>
          </w:tcPr>
          <w:p w14:paraId="349E1C52" w14:textId="77777777" w:rsidR="00EF4FC5" w:rsidRPr="00B962BD" w:rsidRDefault="00EF4FC5" w:rsidP="00EF4FC5">
            <w:pPr>
              <w:spacing w:line="480" w:lineRule="auto"/>
              <w:ind w:firstLine="0"/>
              <w:jc w:val="center"/>
            </w:pPr>
            <w:r w:rsidRPr="00B962BD">
              <w:t>.25</w:t>
            </w:r>
          </w:p>
        </w:tc>
        <w:tc>
          <w:tcPr>
            <w:tcW w:w="508" w:type="pct"/>
            <w:gridSpan w:val="5"/>
            <w:tcBorders>
              <w:bottom w:val="single" w:sz="4" w:space="0" w:color="auto"/>
            </w:tcBorders>
          </w:tcPr>
          <w:p w14:paraId="30B13900" w14:textId="77777777" w:rsidR="00EF4FC5" w:rsidRPr="00B962BD" w:rsidRDefault="00EF4FC5" w:rsidP="00EF4FC5">
            <w:pPr>
              <w:spacing w:line="480" w:lineRule="auto"/>
              <w:ind w:firstLine="0"/>
              <w:jc w:val="center"/>
            </w:pPr>
            <w:r w:rsidRPr="00B962BD">
              <w:t>.67</w:t>
            </w:r>
          </w:p>
        </w:tc>
        <w:tc>
          <w:tcPr>
            <w:tcW w:w="437" w:type="pct"/>
            <w:gridSpan w:val="2"/>
            <w:tcBorders>
              <w:bottom w:val="single" w:sz="4" w:space="0" w:color="auto"/>
            </w:tcBorders>
          </w:tcPr>
          <w:p w14:paraId="19E48C38" w14:textId="77777777" w:rsidR="00EF4FC5" w:rsidRPr="00B962BD" w:rsidRDefault="00EF4FC5" w:rsidP="00EF4FC5">
            <w:pPr>
              <w:spacing w:line="480" w:lineRule="auto"/>
              <w:ind w:firstLine="0"/>
              <w:jc w:val="center"/>
            </w:pPr>
            <w:r w:rsidRPr="00B962BD">
              <w:t>.2</w:t>
            </w:r>
          </w:p>
        </w:tc>
        <w:tc>
          <w:tcPr>
            <w:tcW w:w="507" w:type="pct"/>
            <w:gridSpan w:val="4"/>
            <w:tcBorders>
              <w:bottom w:val="single" w:sz="4" w:space="0" w:color="auto"/>
            </w:tcBorders>
          </w:tcPr>
          <w:p w14:paraId="6FE4044D" w14:textId="77777777" w:rsidR="00EF4FC5" w:rsidRPr="00B962BD" w:rsidRDefault="00EF4FC5" w:rsidP="00EF4FC5">
            <w:pPr>
              <w:spacing w:line="480" w:lineRule="auto"/>
              <w:ind w:firstLine="0"/>
              <w:jc w:val="center"/>
            </w:pPr>
            <w:r w:rsidRPr="00B962BD">
              <w:t>.41</w:t>
            </w:r>
          </w:p>
        </w:tc>
        <w:tc>
          <w:tcPr>
            <w:tcW w:w="435" w:type="pct"/>
            <w:gridSpan w:val="2"/>
            <w:tcBorders>
              <w:bottom w:val="single" w:sz="4" w:space="0" w:color="auto"/>
            </w:tcBorders>
          </w:tcPr>
          <w:p w14:paraId="1985F483" w14:textId="77777777" w:rsidR="00EF4FC5" w:rsidRPr="00B962BD" w:rsidRDefault="00EF4FC5" w:rsidP="00EF4FC5">
            <w:pPr>
              <w:spacing w:line="480" w:lineRule="auto"/>
              <w:ind w:firstLine="0"/>
              <w:jc w:val="center"/>
            </w:pPr>
            <w:r w:rsidRPr="00B962BD">
              <w:t>.43</w:t>
            </w:r>
          </w:p>
        </w:tc>
        <w:tc>
          <w:tcPr>
            <w:tcW w:w="507" w:type="pct"/>
            <w:gridSpan w:val="4"/>
            <w:tcBorders>
              <w:bottom w:val="single" w:sz="4" w:space="0" w:color="auto"/>
            </w:tcBorders>
          </w:tcPr>
          <w:p w14:paraId="430206DA" w14:textId="77777777" w:rsidR="00EF4FC5" w:rsidRPr="00B962BD" w:rsidRDefault="00EF4FC5" w:rsidP="00EF4FC5">
            <w:pPr>
              <w:spacing w:line="480" w:lineRule="auto"/>
              <w:ind w:firstLine="0"/>
              <w:jc w:val="center"/>
            </w:pPr>
            <w:r w:rsidRPr="00B962BD">
              <w:t>.81</w:t>
            </w:r>
          </w:p>
        </w:tc>
      </w:tr>
    </w:tbl>
    <w:p w14:paraId="29256DDF" w14:textId="77777777" w:rsidR="00945B6D" w:rsidRDefault="00945B6D" w:rsidP="0088487E">
      <w:pPr>
        <w:autoSpaceDE w:val="0"/>
        <w:autoSpaceDN w:val="0"/>
        <w:adjustRightInd w:val="0"/>
        <w:spacing w:after="0" w:line="480" w:lineRule="auto"/>
        <w:rPr>
          <w:rFonts w:ascii="Times New Roman" w:eastAsiaTheme="minorHAnsi" w:hAnsi="Times New Roman" w:cs="Times New Roman"/>
          <w:sz w:val="24"/>
          <w:szCs w:val="24"/>
        </w:rPr>
      </w:pPr>
    </w:p>
    <w:p w14:paraId="55F3B99A" w14:textId="1BF4CAAC" w:rsidR="0088487E" w:rsidRPr="00772366" w:rsidRDefault="0088487E" w:rsidP="0088487E">
      <w:pPr>
        <w:autoSpaceDE w:val="0"/>
        <w:autoSpaceDN w:val="0"/>
        <w:adjustRightInd w:val="0"/>
        <w:spacing w:after="0" w:line="480" w:lineRule="auto"/>
        <w:rPr>
          <w:rFonts w:ascii="Times New Roman" w:eastAsiaTheme="minorHAnsi" w:hAnsi="Times New Roman" w:cs="Times New Roman"/>
          <w:sz w:val="24"/>
          <w:szCs w:val="24"/>
        </w:rPr>
      </w:pPr>
      <w:r w:rsidRPr="0008517C">
        <w:rPr>
          <w:rFonts w:ascii="Times New Roman" w:eastAsiaTheme="minorHAnsi" w:hAnsi="Times New Roman" w:cs="Times New Roman"/>
          <w:sz w:val="24"/>
          <w:szCs w:val="24"/>
        </w:rPr>
        <w:t xml:space="preserve">Table </w:t>
      </w:r>
      <w:r>
        <w:rPr>
          <w:rFonts w:ascii="Times New Roman" w:eastAsiaTheme="minorHAnsi" w:hAnsi="Times New Roman" w:cs="Times New Roman"/>
          <w:sz w:val="24"/>
          <w:szCs w:val="24"/>
        </w:rPr>
        <w:t>3</w:t>
      </w:r>
    </w:p>
    <w:p w14:paraId="02243DD6" w14:textId="77777777" w:rsidR="0088487E" w:rsidRPr="00E80DB5" w:rsidRDefault="0088487E" w:rsidP="0088487E">
      <w:pPr>
        <w:autoSpaceDE w:val="0"/>
        <w:autoSpaceDN w:val="0"/>
        <w:adjustRightInd w:val="0"/>
        <w:spacing w:after="0" w:line="480" w:lineRule="auto"/>
        <w:rPr>
          <w:rFonts w:ascii="Times New Roman" w:eastAsiaTheme="minorHAnsi" w:hAnsi="Times New Roman" w:cs="Times New Roman"/>
          <w:sz w:val="24"/>
          <w:szCs w:val="24"/>
        </w:rPr>
      </w:pPr>
      <w:r>
        <w:rPr>
          <w:rFonts w:ascii="Times New Roman" w:eastAsiaTheme="minorHAnsi" w:hAnsi="Times New Roman" w:cs="Times New Roman"/>
          <w:i/>
          <w:sz w:val="24"/>
          <w:szCs w:val="24"/>
        </w:rPr>
        <w:t>Coded r</w:t>
      </w:r>
      <w:r w:rsidRPr="00772366">
        <w:rPr>
          <w:rFonts w:ascii="Times New Roman" w:eastAsiaTheme="minorHAnsi" w:hAnsi="Times New Roman" w:cs="Times New Roman"/>
          <w:i/>
          <w:sz w:val="24"/>
          <w:szCs w:val="24"/>
        </w:rPr>
        <w:t>esponses to ACL interview question</w:t>
      </w:r>
      <w:r>
        <w:rPr>
          <w:rFonts w:ascii="Times New Roman" w:eastAsiaTheme="minorHAnsi" w:hAnsi="Times New Roman" w:cs="Times New Roman"/>
          <w:i/>
          <w:sz w:val="24"/>
          <w:szCs w:val="24"/>
        </w:rPr>
        <w:t>s</w:t>
      </w:r>
      <w:r w:rsidRPr="00772366">
        <w:rPr>
          <w:rFonts w:ascii="Times New Roman" w:eastAsiaTheme="minorHAnsi" w:hAnsi="Times New Roman" w:cs="Times New Roman"/>
          <w:i/>
          <w:sz w:val="24"/>
          <w:szCs w:val="24"/>
        </w:rPr>
        <w:t xml:space="preserve"> “How would you describe your relationships with others?”</w:t>
      </w:r>
      <w:r>
        <w:rPr>
          <w:rFonts w:ascii="Times New Roman" w:eastAsiaTheme="minorHAnsi" w:hAnsi="Times New Roman" w:cs="Times New Roman"/>
          <w:i/>
          <w:sz w:val="24"/>
          <w:szCs w:val="24"/>
        </w:rPr>
        <w:t xml:space="preserve"> and “Who are the most important people in your life and why?”</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533"/>
        <w:gridCol w:w="1476"/>
        <w:gridCol w:w="1377"/>
        <w:gridCol w:w="1561"/>
        <w:gridCol w:w="1699"/>
      </w:tblGrid>
      <w:tr w:rsidR="0088487E" w:rsidRPr="00772366" w14:paraId="669F1ABE" w14:textId="77777777" w:rsidTr="000D69E9">
        <w:tc>
          <w:tcPr>
            <w:tcW w:w="1101" w:type="dxa"/>
            <w:tcBorders>
              <w:top w:val="single" w:sz="4" w:space="0" w:color="auto"/>
              <w:bottom w:val="single" w:sz="4" w:space="0" w:color="auto"/>
            </w:tcBorders>
          </w:tcPr>
          <w:p w14:paraId="4364FC01" w14:textId="77777777" w:rsidR="0088487E" w:rsidRPr="00772366" w:rsidRDefault="0088487E" w:rsidP="0088487E">
            <w:pPr>
              <w:spacing w:line="480" w:lineRule="auto"/>
            </w:pPr>
          </w:p>
        </w:tc>
        <w:tc>
          <w:tcPr>
            <w:tcW w:w="2533" w:type="dxa"/>
            <w:tcBorders>
              <w:top w:val="single" w:sz="4" w:space="0" w:color="auto"/>
              <w:bottom w:val="single" w:sz="4" w:space="0" w:color="auto"/>
            </w:tcBorders>
          </w:tcPr>
          <w:p w14:paraId="1424943A" w14:textId="77777777" w:rsidR="0088487E" w:rsidRDefault="0088487E" w:rsidP="0088487E">
            <w:pPr>
              <w:spacing w:line="480" w:lineRule="auto"/>
              <w:ind w:firstLine="32"/>
              <w:jc w:val="center"/>
            </w:pPr>
          </w:p>
        </w:tc>
        <w:tc>
          <w:tcPr>
            <w:tcW w:w="2853" w:type="dxa"/>
            <w:gridSpan w:val="2"/>
            <w:tcBorders>
              <w:top w:val="single" w:sz="4" w:space="0" w:color="auto"/>
              <w:bottom w:val="single" w:sz="4" w:space="0" w:color="auto"/>
            </w:tcBorders>
          </w:tcPr>
          <w:p w14:paraId="5A5721BA" w14:textId="77777777" w:rsidR="0088487E" w:rsidRPr="00772366" w:rsidRDefault="0088487E" w:rsidP="0088487E">
            <w:pPr>
              <w:spacing w:line="480" w:lineRule="auto"/>
              <w:ind w:firstLine="32"/>
              <w:jc w:val="center"/>
            </w:pPr>
            <w:r>
              <w:t>Not psychopathic (</w:t>
            </w:r>
            <w:r>
              <w:rPr>
                <w:i/>
              </w:rPr>
              <w:t>n</w:t>
            </w:r>
            <w:r>
              <w:t xml:space="preserve"> = 62)</w:t>
            </w:r>
          </w:p>
        </w:tc>
        <w:tc>
          <w:tcPr>
            <w:tcW w:w="3260" w:type="dxa"/>
            <w:gridSpan w:val="2"/>
            <w:tcBorders>
              <w:top w:val="single" w:sz="4" w:space="0" w:color="auto"/>
              <w:bottom w:val="single" w:sz="4" w:space="0" w:color="auto"/>
            </w:tcBorders>
          </w:tcPr>
          <w:p w14:paraId="5BB5C04C" w14:textId="77777777" w:rsidR="0088487E" w:rsidRPr="00772366" w:rsidRDefault="0088487E" w:rsidP="0088487E">
            <w:pPr>
              <w:spacing w:line="480" w:lineRule="auto"/>
              <w:ind w:firstLine="28"/>
              <w:jc w:val="center"/>
            </w:pPr>
            <w:r w:rsidRPr="00772366">
              <w:t>P</w:t>
            </w:r>
            <w:r>
              <w:t>ossibly psychopathic (</w:t>
            </w:r>
            <w:r>
              <w:rPr>
                <w:i/>
              </w:rPr>
              <w:t>n</w:t>
            </w:r>
            <w:r>
              <w:t xml:space="preserve"> = 28)</w:t>
            </w:r>
          </w:p>
        </w:tc>
      </w:tr>
      <w:tr w:rsidR="0088487E" w:rsidRPr="00772366" w14:paraId="21C173F4" w14:textId="77777777" w:rsidTr="000D69E9">
        <w:tc>
          <w:tcPr>
            <w:tcW w:w="1101" w:type="dxa"/>
            <w:tcBorders>
              <w:top w:val="single" w:sz="4" w:space="0" w:color="auto"/>
              <w:bottom w:val="single" w:sz="4" w:space="0" w:color="auto"/>
            </w:tcBorders>
          </w:tcPr>
          <w:p w14:paraId="00D1E3E3" w14:textId="77777777" w:rsidR="0088487E" w:rsidRPr="00772366" w:rsidRDefault="0088487E" w:rsidP="0088487E">
            <w:pPr>
              <w:spacing w:line="480" w:lineRule="auto"/>
              <w:ind w:firstLine="0"/>
            </w:pPr>
          </w:p>
        </w:tc>
        <w:tc>
          <w:tcPr>
            <w:tcW w:w="2533" w:type="dxa"/>
            <w:tcBorders>
              <w:top w:val="single" w:sz="4" w:space="0" w:color="auto"/>
              <w:bottom w:val="single" w:sz="4" w:space="0" w:color="auto"/>
            </w:tcBorders>
          </w:tcPr>
          <w:p w14:paraId="0F202E6B" w14:textId="77777777" w:rsidR="0088487E" w:rsidRPr="00772366" w:rsidRDefault="0088487E" w:rsidP="0088487E">
            <w:pPr>
              <w:spacing w:line="480" w:lineRule="auto"/>
              <w:ind w:firstLine="32"/>
            </w:pPr>
            <w:r w:rsidRPr="00772366">
              <w:t>Response Category</w:t>
            </w:r>
          </w:p>
        </w:tc>
        <w:tc>
          <w:tcPr>
            <w:tcW w:w="1476" w:type="dxa"/>
            <w:tcBorders>
              <w:top w:val="single" w:sz="4" w:space="0" w:color="auto"/>
              <w:bottom w:val="single" w:sz="4" w:space="0" w:color="auto"/>
            </w:tcBorders>
          </w:tcPr>
          <w:p w14:paraId="60A18621" w14:textId="25795011" w:rsidR="0088487E" w:rsidRPr="002C6A91" w:rsidRDefault="0088487E" w:rsidP="006120E3">
            <w:pPr>
              <w:spacing w:line="480" w:lineRule="auto"/>
              <w:ind w:firstLine="32"/>
              <w:jc w:val="center"/>
              <w:rPr>
                <w:vertAlign w:val="superscript"/>
              </w:rPr>
            </w:pPr>
            <w:proofErr w:type="spellStart"/>
            <w:r w:rsidRPr="00772366">
              <w:t>Frequency</w:t>
            </w:r>
            <w:r w:rsidR="006120E3" w:rsidRPr="006120E3">
              <w:rPr>
                <w:vertAlign w:val="superscript"/>
              </w:rPr>
              <w:t>a</w:t>
            </w:r>
            <w:proofErr w:type="spellEnd"/>
          </w:p>
        </w:tc>
        <w:tc>
          <w:tcPr>
            <w:tcW w:w="1377" w:type="dxa"/>
            <w:tcBorders>
              <w:top w:val="single" w:sz="4" w:space="0" w:color="auto"/>
              <w:bottom w:val="single" w:sz="4" w:space="0" w:color="auto"/>
            </w:tcBorders>
          </w:tcPr>
          <w:p w14:paraId="2FA37B5D" w14:textId="77777777" w:rsidR="0088487E" w:rsidRPr="00E80DB5" w:rsidRDefault="0088487E" w:rsidP="0088487E">
            <w:pPr>
              <w:spacing w:line="480" w:lineRule="auto"/>
              <w:ind w:firstLine="28"/>
              <w:jc w:val="center"/>
              <w:rPr>
                <w:vertAlign w:val="superscript"/>
              </w:rPr>
            </w:pPr>
            <w:r>
              <w:t>Percentage</w:t>
            </w:r>
          </w:p>
        </w:tc>
        <w:tc>
          <w:tcPr>
            <w:tcW w:w="1561" w:type="dxa"/>
            <w:tcBorders>
              <w:top w:val="single" w:sz="4" w:space="0" w:color="auto"/>
              <w:bottom w:val="single" w:sz="4" w:space="0" w:color="auto"/>
            </w:tcBorders>
          </w:tcPr>
          <w:p w14:paraId="2DC07900" w14:textId="77777777" w:rsidR="0088487E" w:rsidRPr="00772366" w:rsidRDefault="0088487E" w:rsidP="0088487E">
            <w:pPr>
              <w:spacing w:line="480" w:lineRule="auto"/>
              <w:ind w:firstLine="28"/>
              <w:jc w:val="center"/>
            </w:pPr>
            <w:r w:rsidRPr="00772366">
              <w:t>Frequency</w:t>
            </w:r>
          </w:p>
        </w:tc>
        <w:tc>
          <w:tcPr>
            <w:tcW w:w="1699" w:type="dxa"/>
            <w:tcBorders>
              <w:top w:val="single" w:sz="4" w:space="0" w:color="auto"/>
              <w:bottom w:val="single" w:sz="4" w:space="0" w:color="auto"/>
            </w:tcBorders>
          </w:tcPr>
          <w:p w14:paraId="4BEEC326" w14:textId="77777777" w:rsidR="0088487E" w:rsidRPr="00772366" w:rsidRDefault="0088487E" w:rsidP="0088487E">
            <w:pPr>
              <w:spacing w:line="480" w:lineRule="auto"/>
              <w:ind w:firstLine="28"/>
              <w:jc w:val="center"/>
            </w:pPr>
            <w:r>
              <w:t>Percentage</w:t>
            </w:r>
          </w:p>
        </w:tc>
      </w:tr>
      <w:tr w:rsidR="0088487E" w:rsidRPr="00772366" w14:paraId="4A2F8961" w14:textId="77777777" w:rsidTr="000D69E9">
        <w:tc>
          <w:tcPr>
            <w:tcW w:w="1101" w:type="dxa"/>
            <w:vMerge w:val="restart"/>
            <w:tcBorders>
              <w:top w:val="single" w:sz="4" w:space="0" w:color="auto"/>
              <w:bottom w:val="single" w:sz="4" w:space="0" w:color="auto"/>
            </w:tcBorders>
            <w:vAlign w:val="center"/>
          </w:tcPr>
          <w:p w14:paraId="158A27BE" w14:textId="77777777" w:rsidR="0088487E" w:rsidRPr="00772366" w:rsidRDefault="0088487E" w:rsidP="0088487E">
            <w:pPr>
              <w:spacing w:line="480" w:lineRule="auto"/>
              <w:ind w:firstLine="0"/>
              <w:jc w:val="center"/>
            </w:pPr>
            <w:r>
              <w:t>Quality</w:t>
            </w:r>
          </w:p>
        </w:tc>
        <w:tc>
          <w:tcPr>
            <w:tcW w:w="2533" w:type="dxa"/>
            <w:tcBorders>
              <w:top w:val="single" w:sz="4" w:space="0" w:color="auto"/>
            </w:tcBorders>
          </w:tcPr>
          <w:p w14:paraId="70235E2A" w14:textId="77777777" w:rsidR="0088487E" w:rsidRDefault="0088487E" w:rsidP="0088487E">
            <w:pPr>
              <w:spacing w:line="480" w:lineRule="auto"/>
              <w:ind w:firstLine="32"/>
            </w:pPr>
            <w:r w:rsidRPr="00772366">
              <w:t>Very good</w:t>
            </w:r>
          </w:p>
        </w:tc>
        <w:tc>
          <w:tcPr>
            <w:tcW w:w="1476" w:type="dxa"/>
            <w:tcBorders>
              <w:top w:val="single" w:sz="4" w:space="0" w:color="auto"/>
            </w:tcBorders>
          </w:tcPr>
          <w:p w14:paraId="17E06FAA" w14:textId="77777777" w:rsidR="0088487E" w:rsidRPr="00772366" w:rsidRDefault="0088487E" w:rsidP="0088487E">
            <w:pPr>
              <w:spacing w:line="480" w:lineRule="auto"/>
              <w:ind w:firstLine="32"/>
              <w:jc w:val="center"/>
            </w:pPr>
            <w:r>
              <w:t>4</w:t>
            </w:r>
          </w:p>
        </w:tc>
        <w:tc>
          <w:tcPr>
            <w:tcW w:w="1377" w:type="dxa"/>
            <w:tcBorders>
              <w:top w:val="single" w:sz="4" w:space="0" w:color="auto"/>
            </w:tcBorders>
          </w:tcPr>
          <w:p w14:paraId="182890B8" w14:textId="77777777" w:rsidR="0088487E" w:rsidRDefault="0088487E" w:rsidP="0088487E">
            <w:pPr>
              <w:spacing w:line="480" w:lineRule="auto"/>
              <w:ind w:firstLine="28"/>
              <w:jc w:val="center"/>
            </w:pPr>
            <w:r>
              <w:t>6.4%</w:t>
            </w:r>
          </w:p>
        </w:tc>
        <w:tc>
          <w:tcPr>
            <w:tcW w:w="1561" w:type="dxa"/>
            <w:tcBorders>
              <w:top w:val="single" w:sz="4" w:space="0" w:color="auto"/>
            </w:tcBorders>
          </w:tcPr>
          <w:p w14:paraId="6744B304" w14:textId="77777777" w:rsidR="0088487E" w:rsidRPr="00772366" w:rsidRDefault="0088487E" w:rsidP="0088487E">
            <w:pPr>
              <w:spacing w:line="480" w:lineRule="auto"/>
              <w:ind w:firstLine="28"/>
              <w:jc w:val="center"/>
            </w:pPr>
            <w:r>
              <w:t>1</w:t>
            </w:r>
          </w:p>
        </w:tc>
        <w:tc>
          <w:tcPr>
            <w:tcW w:w="1699" w:type="dxa"/>
            <w:tcBorders>
              <w:top w:val="single" w:sz="4" w:space="0" w:color="auto"/>
            </w:tcBorders>
          </w:tcPr>
          <w:p w14:paraId="519487EE" w14:textId="77777777" w:rsidR="0088487E" w:rsidRDefault="0088487E" w:rsidP="0088487E">
            <w:pPr>
              <w:spacing w:line="480" w:lineRule="auto"/>
              <w:ind w:firstLine="28"/>
              <w:jc w:val="center"/>
            </w:pPr>
            <w:r>
              <w:t>3.6%</w:t>
            </w:r>
          </w:p>
        </w:tc>
      </w:tr>
      <w:tr w:rsidR="0088487E" w:rsidRPr="00772366" w14:paraId="6EB954CB" w14:textId="77777777" w:rsidTr="000D69E9">
        <w:tc>
          <w:tcPr>
            <w:tcW w:w="1101" w:type="dxa"/>
            <w:vMerge/>
            <w:tcBorders>
              <w:top w:val="single" w:sz="4" w:space="0" w:color="auto"/>
              <w:bottom w:val="single" w:sz="4" w:space="0" w:color="auto"/>
            </w:tcBorders>
          </w:tcPr>
          <w:p w14:paraId="1CB638DD" w14:textId="77777777" w:rsidR="0088487E" w:rsidRPr="00772366" w:rsidRDefault="0088487E" w:rsidP="0088487E">
            <w:pPr>
              <w:spacing w:line="480" w:lineRule="auto"/>
            </w:pPr>
          </w:p>
        </w:tc>
        <w:tc>
          <w:tcPr>
            <w:tcW w:w="2533" w:type="dxa"/>
          </w:tcPr>
          <w:p w14:paraId="15B03BF9" w14:textId="77777777" w:rsidR="0088487E" w:rsidRPr="00772366" w:rsidRDefault="0088487E" w:rsidP="0088487E">
            <w:pPr>
              <w:spacing w:line="480" w:lineRule="auto"/>
              <w:ind w:firstLine="32"/>
            </w:pPr>
            <w:r w:rsidRPr="00772366">
              <w:t>Good</w:t>
            </w:r>
          </w:p>
        </w:tc>
        <w:tc>
          <w:tcPr>
            <w:tcW w:w="1476" w:type="dxa"/>
          </w:tcPr>
          <w:p w14:paraId="24F97016" w14:textId="77777777" w:rsidR="0088487E" w:rsidRPr="00772366" w:rsidRDefault="0088487E" w:rsidP="0088487E">
            <w:pPr>
              <w:spacing w:line="480" w:lineRule="auto"/>
              <w:ind w:firstLine="32"/>
              <w:jc w:val="center"/>
            </w:pPr>
            <w:r w:rsidRPr="00772366">
              <w:t>2</w:t>
            </w:r>
            <w:r>
              <w:t>9</w:t>
            </w:r>
          </w:p>
        </w:tc>
        <w:tc>
          <w:tcPr>
            <w:tcW w:w="1377" w:type="dxa"/>
          </w:tcPr>
          <w:p w14:paraId="104DD16A" w14:textId="77777777" w:rsidR="0088487E" w:rsidRDefault="0088487E" w:rsidP="0088487E">
            <w:pPr>
              <w:spacing w:line="480" w:lineRule="auto"/>
              <w:ind w:firstLine="28"/>
              <w:jc w:val="center"/>
            </w:pPr>
            <w:r>
              <w:t>46.8%</w:t>
            </w:r>
          </w:p>
        </w:tc>
        <w:tc>
          <w:tcPr>
            <w:tcW w:w="1561" w:type="dxa"/>
          </w:tcPr>
          <w:p w14:paraId="146785AF" w14:textId="77777777" w:rsidR="0088487E" w:rsidRPr="00772366" w:rsidRDefault="0088487E" w:rsidP="0088487E">
            <w:pPr>
              <w:spacing w:line="480" w:lineRule="auto"/>
              <w:ind w:firstLine="28"/>
              <w:jc w:val="center"/>
            </w:pPr>
            <w:r>
              <w:t>6</w:t>
            </w:r>
          </w:p>
        </w:tc>
        <w:tc>
          <w:tcPr>
            <w:tcW w:w="1699" w:type="dxa"/>
          </w:tcPr>
          <w:p w14:paraId="62804A90" w14:textId="77777777" w:rsidR="0088487E" w:rsidRDefault="0088487E" w:rsidP="0088487E">
            <w:pPr>
              <w:spacing w:line="480" w:lineRule="auto"/>
              <w:ind w:firstLine="28"/>
              <w:jc w:val="center"/>
            </w:pPr>
            <w:r>
              <w:t>21.4%</w:t>
            </w:r>
          </w:p>
        </w:tc>
      </w:tr>
      <w:tr w:rsidR="0088487E" w:rsidRPr="00772366" w14:paraId="0D74F49A" w14:textId="77777777" w:rsidTr="000D69E9">
        <w:tc>
          <w:tcPr>
            <w:tcW w:w="1101" w:type="dxa"/>
            <w:vMerge/>
            <w:tcBorders>
              <w:top w:val="single" w:sz="4" w:space="0" w:color="auto"/>
              <w:bottom w:val="single" w:sz="4" w:space="0" w:color="auto"/>
            </w:tcBorders>
          </w:tcPr>
          <w:p w14:paraId="56F6F1D2" w14:textId="77777777" w:rsidR="0088487E" w:rsidRPr="00772366" w:rsidRDefault="0088487E" w:rsidP="0088487E">
            <w:pPr>
              <w:spacing w:line="480" w:lineRule="auto"/>
            </w:pPr>
          </w:p>
        </w:tc>
        <w:tc>
          <w:tcPr>
            <w:tcW w:w="2533" w:type="dxa"/>
          </w:tcPr>
          <w:p w14:paraId="5AA7EBB7" w14:textId="77777777" w:rsidR="0088487E" w:rsidRPr="00772366" w:rsidRDefault="0088487E" w:rsidP="0088487E">
            <w:pPr>
              <w:spacing w:line="480" w:lineRule="auto"/>
              <w:ind w:firstLine="32"/>
            </w:pPr>
            <w:r w:rsidRPr="00772366">
              <w:t>Strong</w:t>
            </w:r>
          </w:p>
        </w:tc>
        <w:tc>
          <w:tcPr>
            <w:tcW w:w="1476" w:type="dxa"/>
          </w:tcPr>
          <w:p w14:paraId="770AB0EE" w14:textId="77777777" w:rsidR="0088487E" w:rsidRPr="00772366" w:rsidRDefault="0088487E" w:rsidP="0088487E">
            <w:pPr>
              <w:spacing w:line="480" w:lineRule="auto"/>
              <w:ind w:firstLine="32"/>
              <w:jc w:val="center"/>
            </w:pPr>
            <w:r w:rsidRPr="00772366">
              <w:t>6</w:t>
            </w:r>
          </w:p>
        </w:tc>
        <w:tc>
          <w:tcPr>
            <w:tcW w:w="1377" w:type="dxa"/>
          </w:tcPr>
          <w:p w14:paraId="7032986A" w14:textId="77777777" w:rsidR="0088487E" w:rsidRPr="00772366" w:rsidRDefault="0088487E" w:rsidP="0088487E">
            <w:pPr>
              <w:spacing w:line="480" w:lineRule="auto"/>
              <w:ind w:firstLine="28"/>
              <w:jc w:val="center"/>
            </w:pPr>
            <w:r>
              <w:t>9.7%</w:t>
            </w:r>
          </w:p>
        </w:tc>
        <w:tc>
          <w:tcPr>
            <w:tcW w:w="1561" w:type="dxa"/>
          </w:tcPr>
          <w:p w14:paraId="600E0162" w14:textId="77777777" w:rsidR="0088487E" w:rsidRPr="00772366" w:rsidRDefault="0088487E" w:rsidP="0088487E">
            <w:pPr>
              <w:spacing w:line="480" w:lineRule="auto"/>
              <w:ind w:firstLine="28"/>
              <w:jc w:val="center"/>
            </w:pPr>
            <w:r w:rsidRPr="00772366">
              <w:t>3</w:t>
            </w:r>
          </w:p>
        </w:tc>
        <w:tc>
          <w:tcPr>
            <w:tcW w:w="1699" w:type="dxa"/>
          </w:tcPr>
          <w:p w14:paraId="1457F594" w14:textId="77777777" w:rsidR="0088487E" w:rsidRPr="00772366" w:rsidRDefault="0088487E" w:rsidP="0088487E">
            <w:pPr>
              <w:spacing w:line="480" w:lineRule="auto"/>
              <w:ind w:firstLine="28"/>
              <w:jc w:val="center"/>
            </w:pPr>
            <w:r>
              <w:t>10.7%</w:t>
            </w:r>
          </w:p>
        </w:tc>
      </w:tr>
      <w:tr w:rsidR="0088487E" w:rsidRPr="00772366" w14:paraId="69585CCD" w14:textId="77777777" w:rsidTr="000D69E9">
        <w:tc>
          <w:tcPr>
            <w:tcW w:w="1101" w:type="dxa"/>
            <w:vMerge/>
            <w:tcBorders>
              <w:top w:val="single" w:sz="4" w:space="0" w:color="auto"/>
              <w:bottom w:val="single" w:sz="4" w:space="0" w:color="auto"/>
            </w:tcBorders>
          </w:tcPr>
          <w:p w14:paraId="5AD87682" w14:textId="77777777" w:rsidR="0088487E" w:rsidRPr="00772366" w:rsidRDefault="0088487E" w:rsidP="0088487E">
            <w:pPr>
              <w:spacing w:line="480" w:lineRule="auto"/>
            </w:pPr>
          </w:p>
        </w:tc>
        <w:tc>
          <w:tcPr>
            <w:tcW w:w="2533" w:type="dxa"/>
          </w:tcPr>
          <w:p w14:paraId="3D474CC4" w14:textId="77777777" w:rsidR="0088487E" w:rsidRPr="00772366" w:rsidRDefault="0088487E" w:rsidP="0088487E">
            <w:pPr>
              <w:spacing w:line="480" w:lineRule="auto"/>
              <w:ind w:firstLine="32"/>
            </w:pPr>
            <w:r w:rsidRPr="00772366">
              <w:t>Close</w:t>
            </w:r>
          </w:p>
        </w:tc>
        <w:tc>
          <w:tcPr>
            <w:tcW w:w="1476" w:type="dxa"/>
          </w:tcPr>
          <w:p w14:paraId="7358D87C" w14:textId="77777777" w:rsidR="0088487E" w:rsidRPr="00772366" w:rsidRDefault="0088487E" w:rsidP="0088487E">
            <w:pPr>
              <w:spacing w:line="480" w:lineRule="auto"/>
              <w:ind w:firstLine="32"/>
              <w:jc w:val="center"/>
            </w:pPr>
            <w:r w:rsidRPr="00772366">
              <w:t>1</w:t>
            </w:r>
            <w:r>
              <w:t>5</w:t>
            </w:r>
          </w:p>
        </w:tc>
        <w:tc>
          <w:tcPr>
            <w:tcW w:w="1377" w:type="dxa"/>
          </w:tcPr>
          <w:p w14:paraId="327612B8" w14:textId="77777777" w:rsidR="0088487E" w:rsidRDefault="0088487E" w:rsidP="0088487E">
            <w:pPr>
              <w:spacing w:line="480" w:lineRule="auto"/>
              <w:ind w:firstLine="28"/>
              <w:jc w:val="center"/>
            </w:pPr>
            <w:r>
              <w:t>24.2%</w:t>
            </w:r>
          </w:p>
        </w:tc>
        <w:tc>
          <w:tcPr>
            <w:tcW w:w="1561" w:type="dxa"/>
          </w:tcPr>
          <w:p w14:paraId="76B8F87A" w14:textId="77777777" w:rsidR="0088487E" w:rsidRPr="00772366" w:rsidRDefault="0088487E" w:rsidP="0088487E">
            <w:pPr>
              <w:spacing w:line="480" w:lineRule="auto"/>
              <w:ind w:firstLine="28"/>
              <w:jc w:val="center"/>
            </w:pPr>
            <w:r>
              <w:t>2</w:t>
            </w:r>
          </w:p>
        </w:tc>
        <w:tc>
          <w:tcPr>
            <w:tcW w:w="1699" w:type="dxa"/>
          </w:tcPr>
          <w:p w14:paraId="31216625" w14:textId="77777777" w:rsidR="0088487E" w:rsidRDefault="0088487E" w:rsidP="0088487E">
            <w:pPr>
              <w:spacing w:line="480" w:lineRule="auto"/>
              <w:ind w:firstLine="28"/>
              <w:jc w:val="center"/>
            </w:pPr>
            <w:r>
              <w:t>7.1%</w:t>
            </w:r>
          </w:p>
        </w:tc>
      </w:tr>
      <w:tr w:rsidR="0088487E" w:rsidRPr="00772366" w14:paraId="06070CC1" w14:textId="77777777" w:rsidTr="000D69E9">
        <w:tc>
          <w:tcPr>
            <w:tcW w:w="1101" w:type="dxa"/>
            <w:vMerge/>
            <w:tcBorders>
              <w:top w:val="single" w:sz="4" w:space="0" w:color="auto"/>
              <w:bottom w:val="single" w:sz="4" w:space="0" w:color="auto"/>
            </w:tcBorders>
          </w:tcPr>
          <w:p w14:paraId="7DED099F" w14:textId="77777777" w:rsidR="0088487E" w:rsidRPr="00772366" w:rsidRDefault="0088487E" w:rsidP="0088487E">
            <w:pPr>
              <w:spacing w:line="480" w:lineRule="auto"/>
            </w:pPr>
          </w:p>
        </w:tc>
        <w:tc>
          <w:tcPr>
            <w:tcW w:w="2533" w:type="dxa"/>
          </w:tcPr>
          <w:p w14:paraId="09972136" w14:textId="77777777" w:rsidR="0088487E" w:rsidRDefault="0088487E" w:rsidP="0088487E">
            <w:pPr>
              <w:spacing w:line="480" w:lineRule="auto"/>
              <w:ind w:firstLine="32"/>
            </w:pPr>
            <w:r w:rsidRPr="00772366">
              <w:t>OK</w:t>
            </w:r>
          </w:p>
        </w:tc>
        <w:tc>
          <w:tcPr>
            <w:tcW w:w="1476" w:type="dxa"/>
          </w:tcPr>
          <w:p w14:paraId="05E1BF41" w14:textId="77777777" w:rsidR="0088487E" w:rsidRPr="00772366" w:rsidRDefault="0088487E" w:rsidP="0088487E">
            <w:pPr>
              <w:spacing w:line="480" w:lineRule="auto"/>
              <w:ind w:firstLine="32"/>
              <w:jc w:val="center"/>
            </w:pPr>
            <w:r>
              <w:t>8</w:t>
            </w:r>
          </w:p>
        </w:tc>
        <w:tc>
          <w:tcPr>
            <w:tcW w:w="1377" w:type="dxa"/>
          </w:tcPr>
          <w:p w14:paraId="4072E1A7" w14:textId="77777777" w:rsidR="0088487E" w:rsidRDefault="0088487E" w:rsidP="0088487E">
            <w:pPr>
              <w:spacing w:line="480" w:lineRule="auto"/>
              <w:ind w:firstLine="28"/>
              <w:jc w:val="center"/>
            </w:pPr>
            <w:r>
              <w:t>12.9%</w:t>
            </w:r>
          </w:p>
        </w:tc>
        <w:tc>
          <w:tcPr>
            <w:tcW w:w="1561" w:type="dxa"/>
          </w:tcPr>
          <w:p w14:paraId="1247909F" w14:textId="77777777" w:rsidR="0088487E" w:rsidRPr="00772366" w:rsidRDefault="0088487E" w:rsidP="0088487E">
            <w:pPr>
              <w:spacing w:line="480" w:lineRule="auto"/>
              <w:ind w:firstLine="28"/>
              <w:jc w:val="center"/>
            </w:pPr>
            <w:r>
              <w:t>9</w:t>
            </w:r>
          </w:p>
        </w:tc>
        <w:tc>
          <w:tcPr>
            <w:tcW w:w="1699" w:type="dxa"/>
          </w:tcPr>
          <w:p w14:paraId="5E83EC24" w14:textId="77777777" w:rsidR="0088487E" w:rsidRDefault="0088487E" w:rsidP="0088487E">
            <w:pPr>
              <w:spacing w:line="480" w:lineRule="auto"/>
              <w:ind w:firstLine="28"/>
              <w:jc w:val="center"/>
            </w:pPr>
            <w:r>
              <w:t>32.1%</w:t>
            </w:r>
          </w:p>
        </w:tc>
      </w:tr>
      <w:tr w:rsidR="0088487E" w:rsidRPr="00772366" w14:paraId="61040B61" w14:textId="77777777" w:rsidTr="000D69E9">
        <w:tc>
          <w:tcPr>
            <w:tcW w:w="1101" w:type="dxa"/>
            <w:vMerge/>
            <w:tcBorders>
              <w:top w:val="single" w:sz="4" w:space="0" w:color="auto"/>
              <w:bottom w:val="single" w:sz="4" w:space="0" w:color="auto"/>
            </w:tcBorders>
          </w:tcPr>
          <w:p w14:paraId="5780FC43" w14:textId="77777777" w:rsidR="0088487E" w:rsidRPr="00772366" w:rsidRDefault="0088487E" w:rsidP="0088487E">
            <w:pPr>
              <w:spacing w:line="480" w:lineRule="auto"/>
            </w:pPr>
          </w:p>
        </w:tc>
        <w:tc>
          <w:tcPr>
            <w:tcW w:w="2533" w:type="dxa"/>
          </w:tcPr>
          <w:p w14:paraId="0A5A805E" w14:textId="77777777" w:rsidR="0088487E" w:rsidRPr="00772366" w:rsidRDefault="0088487E" w:rsidP="0088487E">
            <w:pPr>
              <w:spacing w:line="480" w:lineRule="auto"/>
              <w:ind w:firstLine="32"/>
            </w:pPr>
            <w:r w:rsidRPr="00772366">
              <w:t>Shallow</w:t>
            </w:r>
          </w:p>
        </w:tc>
        <w:tc>
          <w:tcPr>
            <w:tcW w:w="1476" w:type="dxa"/>
          </w:tcPr>
          <w:p w14:paraId="4CFB4A73" w14:textId="77777777" w:rsidR="0088487E" w:rsidRPr="00772366" w:rsidRDefault="0088487E" w:rsidP="0088487E">
            <w:pPr>
              <w:spacing w:line="480" w:lineRule="auto"/>
              <w:ind w:firstLine="32"/>
              <w:jc w:val="center"/>
            </w:pPr>
            <w:r w:rsidRPr="00772366">
              <w:t>3</w:t>
            </w:r>
          </w:p>
        </w:tc>
        <w:tc>
          <w:tcPr>
            <w:tcW w:w="1377" w:type="dxa"/>
          </w:tcPr>
          <w:p w14:paraId="5F63EF5F" w14:textId="77777777" w:rsidR="0088487E" w:rsidRPr="00772366" w:rsidRDefault="0088487E" w:rsidP="0088487E">
            <w:pPr>
              <w:spacing w:line="480" w:lineRule="auto"/>
              <w:ind w:firstLine="28"/>
              <w:jc w:val="center"/>
            </w:pPr>
            <w:r>
              <w:t>4.8%</w:t>
            </w:r>
          </w:p>
        </w:tc>
        <w:tc>
          <w:tcPr>
            <w:tcW w:w="1561" w:type="dxa"/>
          </w:tcPr>
          <w:p w14:paraId="17E3084D" w14:textId="77777777" w:rsidR="0088487E" w:rsidRPr="00772366" w:rsidRDefault="0088487E" w:rsidP="0088487E">
            <w:pPr>
              <w:spacing w:line="480" w:lineRule="auto"/>
              <w:ind w:firstLine="28"/>
              <w:jc w:val="center"/>
            </w:pPr>
            <w:r w:rsidRPr="00772366">
              <w:t>3</w:t>
            </w:r>
          </w:p>
        </w:tc>
        <w:tc>
          <w:tcPr>
            <w:tcW w:w="1699" w:type="dxa"/>
          </w:tcPr>
          <w:p w14:paraId="7BC21DF4" w14:textId="77777777" w:rsidR="0088487E" w:rsidRPr="00772366" w:rsidRDefault="0088487E" w:rsidP="0088487E">
            <w:pPr>
              <w:spacing w:line="480" w:lineRule="auto"/>
              <w:ind w:firstLine="28"/>
              <w:jc w:val="center"/>
            </w:pPr>
            <w:r>
              <w:t>10.7%</w:t>
            </w:r>
          </w:p>
        </w:tc>
      </w:tr>
      <w:tr w:rsidR="0088487E" w:rsidRPr="00772366" w14:paraId="03D9C504" w14:textId="77777777" w:rsidTr="000D69E9">
        <w:tc>
          <w:tcPr>
            <w:tcW w:w="1101" w:type="dxa"/>
            <w:vMerge/>
            <w:tcBorders>
              <w:top w:val="single" w:sz="4" w:space="0" w:color="auto"/>
              <w:bottom w:val="single" w:sz="4" w:space="0" w:color="auto"/>
            </w:tcBorders>
          </w:tcPr>
          <w:p w14:paraId="73357E3F" w14:textId="77777777" w:rsidR="0088487E" w:rsidRPr="00772366" w:rsidRDefault="0088487E" w:rsidP="0088487E">
            <w:pPr>
              <w:spacing w:line="480" w:lineRule="auto"/>
            </w:pPr>
          </w:p>
        </w:tc>
        <w:tc>
          <w:tcPr>
            <w:tcW w:w="2533" w:type="dxa"/>
          </w:tcPr>
          <w:p w14:paraId="66393A4F" w14:textId="77777777" w:rsidR="0088487E" w:rsidRPr="00772366" w:rsidRDefault="0088487E" w:rsidP="0088487E">
            <w:pPr>
              <w:spacing w:line="480" w:lineRule="auto"/>
              <w:ind w:firstLine="32"/>
            </w:pPr>
            <w:r w:rsidRPr="00772366">
              <w:t>Distant</w:t>
            </w:r>
          </w:p>
        </w:tc>
        <w:tc>
          <w:tcPr>
            <w:tcW w:w="1476" w:type="dxa"/>
          </w:tcPr>
          <w:p w14:paraId="3C7ED99E" w14:textId="77777777" w:rsidR="0088487E" w:rsidRPr="00772366" w:rsidRDefault="0088487E" w:rsidP="0088487E">
            <w:pPr>
              <w:spacing w:line="480" w:lineRule="auto"/>
              <w:ind w:firstLine="32"/>
              <w:jc w:val="center"/>
            </w:pPr>
            <w:r w:rsidRPr="00772366">
              <w:t>1</w:t>
            </w:r>
          </w:p>
        </w:tc>
        <w:tc>
          <w:tcPr>
            <w:tcW w:w="1377" w:type="dxa"/>
          </w:tcPr>
          <w:p w14:paraId="696F51F8" w14:textId="77777777" w:rsidR="0088487E" w:rsidRPr="00772366" w:rsidRDefault="0088487E" w:rsidP="0088487E">
            <w:pPr>
              <w:spacing w:line="480" w:lineRule="auto"/>
              <w:ind w:firstLine="28"/>
              <w:jc w:val="center"/>
            </w:pPr>
            <w:r>
              <w:t>1.6%</w:t>
            </w:r>
          </w:p>
        </w:tc>
        <w:tc>
          <w:tcPr>
            <w:tcW w:w="1561" w:type="dxa"/>
          </w:tcPr>
          <w:p w14:paraId="6EA8938C" w14:textId="77777777" w:rsidR="0088487E" w:rsidRPr="00772366" w:rsidRDefault="0088487E" w:rsidP="0088487E">
            <w:pPr>
              <w:spacing w:line="480" w:lineRule="auto"/>
              <w:ind w:firstLine="28"/>
              <w:jc w:val="center"/>
            </w:pPr>
            <w:r w:rsidRPr="00772366">
              <w:t>2</w:t>
            </w:r>
          </w:p>
        </w:tc>
        <w:tc>
          <w:tcPr>
            <w:tcW w:w="1699" w:type="dxa"/>
          </w:tcPr>
          <w:p w14:paraId="543156BF" w14:textId="77777777" w:rsidR="0088487E" w:rsidRPr="00772366" w:rsidRDefault="0088487E" w:rsidP="0088487E">
            <w:pPr>
              <w:spacing w:line="480" w:lineRule="auto"/>
              <w:ind w:firstLine="28"/>
              <w:jc w:val="center"/>
            </w:pPr>
            <w:r>
              <w:t>7.1%</w:t>
            </w:r>
          </w:p>
        </w:tc>
      </w:tr>
      <w:tr w:rsidR="0088487E" w:rsidRPr="00772366" w14:paraId="349B6504" w14:textId="77777777" w:rsidTr="000D69E9">
        <w:tc>
          <w:tcPr>
            <w:tcW w:w="1101" w:type="dxa"/>
            <w:vMerge/>
            <w:tcBorders>
              <w:top w:val="single" w:sz="4" w:space="0" w:color="auto"/>
              <w:bottom w:val="single" w:sz="4" w:space="0" w:color="auto"/>
            </w:tcBorders>
          </w:tcPr>
          <w:p w14:paraId="5467E5F2" w14:textId="77777777" w:rsidR="0088487E" w:rsidRPr="00772366" w:rsidRDefault="0088487E" w:rsidP="0088487E">
            <w:pPr>
              <w:spacing w:line="480" w:lineRule="auto"/>
            </w:pPr>
          </w:p>
        </w:tc>
        <w:tc>
          <w:tcPr>
            <w:tcW w:w="2533" w:type="dxa"/>
          </w:tcPr>
          <w:p w14:paraId="30ED574C" w14:textId="77777777" w:rsidR="0088487E" w:rsidRPr="00772366" w:rsidRDefault="0088487E" w:rsidP="0088487E">
            <w:pPr>
              <w:spacing w:line="480" w:lineRule="auto"/>
              <w:ind w:firstLine="32"/>
            </w:pPr>
            <w:r w:rsidRPr="00772366">
              <w:t>Conflictual</w:t>
            </w:r>
          </w:p>
        </w:tc>
        <w:tc>
          <w:tcPr>
            <w:tcW w:w="1476" w:type="dxa"/>
          </w:tcPr>
          <w:p w14:paraId="1C3AC50B" w14:textId="77777777" w:rsidR="0088487E" w:rsidRPr="00772366" w:rsidRDefault="0088487E" w:rsidP="0088487E">
            <w:pPr>
              <w:spacing w:line="480" w:lineRule="auto"/>
              <w:ind w:firstLine="32"/>
              <w:jc w:val="center"/>
            </w:pPr>
            <w:r w:rsidRPr="00772366">
              <w:t>2</w:t>
            </w:r>
          </w:p>
        </w:tc>
        <w:tc>
          <w:tcPr>
            <w:tcW w:w="1377" w:type="dxa"/>
          </w:tcPr>
          <w:p w14:paraId="15A606F3" w14:textId="77777777" w:rsidR="0088487E" w:rsidRPr="00772366" w:rsidRDefault="0088487E" w:rsidP="0088487E">
            <w:pPr>
              <w:spacing w:line="480" w:lineRule="auto"/>
              <w:ind w:firstLine="28"/>
              <w:jc w:val="center"/>
            </w:pPr>
            <w:r>
              <w:t>3.2%</w:t>
            </w:r>
          </w:p>
        </w:tc>
        <w:tc>
          <w:tcPr>
            <w:tcW w:w="1561" w:type="dxa"/>
          </w:tcPr>
          <w:p w14:paraId="1D65447D" w14:textId="77777777" w:rsidR="0088487E" w:rsidRPr="00772366" w:rsidRDefault="0088487E" w:rsidP="0088487E">
            <w:pPr>
              <w:spacing w:line="480" w:lineRule="auto"/>
              <w:ind w:firstLine="28"/>
              <w:jc w:val="center"/>
            </w:pPr>
            <w:r w:rsidRPr="00772366">
              <w:t>5</w:t>
            </w:r>
          </w:p>
        </w:tc>
        <w:tc>
          <w:tcPr>
            <w:tcW w:w="1699" w:type="dxa"/>
          </w:tcPr>
          <w:p w14:paraId="51012954" w14:textId="77777777" w:rsidR="0088487E" w:rsidRPr="00772366" w:rsidRDefault="0088487E" w:rsidP="0088487E">
            <w:pPr>
              <w:spacing w:line="480" w:lineRule="auto"/>
              <w:ind w:firstLine="28"/>
              <w:jc w:val="center"/>
            </w:pPr>
            <w:r>
              <w:t>17.9%</w:t>
            </w:r>
          </w:p>
        </w:tc>
      </w:tr>
      <w:tr w:rsidR="0088487E" w:rsidRPr="00772366" w14:paraId="22516FCD" w14:textId="77777777" w:rsidTr="000D69E9">
        <w:tc>
          <w:tcPr>
            <w:tcW w:w="1101" w:type="dxa"/>
            <w:vMerge/>
            <w:tcBorders>
              <w:top w:val="single" w:sz="4" w:space="0" w:color="auto"/>
              <w:bottom w:val="single" w:sz="4" w:space="0" w:color="auto"/>
            </w:tcBorders>
          </w:tcPr>
          <w:p w14:paraId="487F1AB3" w14:textId="77777777" w:rsidR="0088487E" w:rsidRPr="00772366" w:rsidRDefault="0088487E" w:rsidP="0088487E">
            <w:pPr>
              <w:spacing w:line="480" w:lineRule="auto"/>
            </w:pPr>
          </w:p>
        </w:tc>
        <w:tc>
          <w:tcPr>
            <w:tcW w:w="2533" w:type="dxa"/>
          </w:tcPr>
          <w:p w14:paraId="4F303379" w14:textId="77777777" w:rsidR="0088487E" w:rsidRDefault="0088487E" w:rsidP="0088487E">
            <w:pPr>
              <w:spacing w:line="480" w:lineRule="auto"/>
              <w:ind w:firstLine="32"/>
            </w:pPr>
            <w:r w:rsidRPr="00772366">
              <w:t>Cut-off</w:t>
            </w:r>
          </w:p>
        </w:tc>
        <w:tc>
          <w:tcPr>
            <w:tcW w:w="1476" w:type="dxa"/>
          </w:tcPr>
          <w:p w14:paraId="073378C2" w14:textId="77777777" w:rsidR="0088487E" w:rsidRPr="00772366" w:rsidRDefault="0088487E" w:rsidP="0088487E">
            <w:pPr>
              <w:spacing w:line="480" w:lineRule="auto"/>
              <w:ind w:firstLine="32"/>
              <w:jc w:val="center"/>
            </w:pPr>
            <w:r>
              <w:t>1</w:t>
            </w:r>
          </w:p>
        </w:tc>
        <w:tc>
          <w:tcPr>
            <w:tcW w:w="1377" w:type="dxa"/>
          </w:tcPr>
          <w:p w14:paraId="5CAC6F1C" w14:textId="77777777" w:rsidR="0088487E" w:rsidRDefault="0088487E" w:rsidP="0088487E">
            <w:pPr>
              <w:spacing w:line="480" w:lineRule="auto"/>
              <w:ind w:firstLine="28"/>
              <w:jc w:val="center"/>
            </w:pPr>
            <w:r>
              <w:t>1.6%</w:t>
            </w:r>
          </w:p>
        </w:tc>
        <w:tc>
          <w:tcPr>
            <w:tcW w:w="1561" w:type="dxa"/>
          </w:tcPr>
          <w:p w14:paraId="5E2F6DB2" w14:textId="77777777" w:rsidR="0088487E" w:rsidRPr="00772366" w:rsidRDefault="0088487E" w:rsidP="0088487E">
            <w:pPr>
              <w:spacing w:line="480" w:lineRule="auto"/>
              <w:ind w:firstLine="28"/>
              <w:jc w:val="center"/>
            </w:pPr>
            <w:r>
              <w:t>3</w:t>
            </w:r>
          </w:p>
        </w:tc>
        <w:tc>
          <w:tcPr>
            <w:tcW w:w="1699" w:type="dxa"/>
          </w:tcPr>
          <w:p w14:paraId="5C902E6A" w14:textId="77777777" w:rsidR="0088487E" w:rsidRDefault="0088487E" w:rsidP="0088487E">
            <w:pPr>
              <w:spacing w:line="480" w:lineRule="auto"/>
              <w:ind w:firstLine="28"/>
              <w:jc w:val="center"/>
            </w:pPr>
            <w:r>
              <w:t>10.7%</w:t>
            </w:r>
          </w:p>
        </w:tc>
      </w:tr>
      <w:tr w:rsidR="0088487E" w:rsidRPr="00772366" w14:paraId="42530E52" w14:textId="77777777" w:rsidTr="000D69E9">
        <w:tc>
          <w:tcPr>
            <w:tcW w:w="1101" w:type="dxa"/>
            <w:vMerge/>
            <w:tcBorders>
              <w:top w:val="single" w:sz="4" w:space="0" w:color="auto"/>
              <w:bottom w:val="single" w:sz="4" w:space="0" w:color="auto"/>
            </w:tcBorders>
          </w:tcPr>
          <w:p w14:paraId="293AD667" w14:textId="77777777" w:rsidR="0088487E" w:rsidRPr="00772366" w:rsidRDefault="0088487E" w:rsidP="0088487E">
            <w:pPr>
              <w:spacing w:line="480" w:lineRule="auto"/>
            </w:pPr>
          </w:p>
        </w:tc>
        <w:tc>
          <w:tcPr>
            <w:tcW w:w="2533" w:type="dxa"/>
            <w:tcBorders>
              <w:bottom w:val="single" w:sz="4" w:space="0" w:color="auto"/>
            </w:tcBorders>
          </w:tcPr>
          <w:p w14:paraId="513FF978" w14:textId="77777777" w:rsidR="0088487E" w:rsidRPr="00772366" w:rsidRDefault="0088487E" w:rsidP="0088487E">
            <w:pPr>
              <w:spacing w:line="480" w:lineRule="auto"/>
              <w:ind w:firstLine="32"/>
            </w:pPr>
            <w:r w:rsidRPr="00772366">
              <w:t>Get on well with others</w:t>
            </w:r>
          </w:p>
        </w:tc>
        <w:tc>
          <w:tcPr>
            <w:tcW w:w="1476" w:type="dxa"/>
            <w:tcBorders>
              <w:bottom w:val="single" w:sz="4" w:space="0" w:color="auto"/>
            </w:tcBorders>
          </w:tcPr>
          <w:p w14:paraId="1E525872" w14:textId="77777777" w:rsidR="0088487E" w:rsidRDefault="0088487E" w:rsidP="0088487E">
            <w:pPr>
              <w:spacing w:line="480" w:lineRule="auto"/>
              <w:ind w:firstLine="32"/>
              <w:jc w:val="center"/>
            </w:pPr>
            <w:r w:rsidRPr="00772366">
              <w:t>2</w:t>
            </w:r>
            <w:r>
              <w:t>4</w:t>
            </w:r>
          </w:p>
        </w:tc>
        <w:tc>
          <w:tcPr>
            <w:tcW w:w="1377" w:type="dxa"/>
            <w:tcBorders>
              <w:bottom w:val="single" w:sz="4" w:space="0" w:color="auto"/>
            </w:tcBorders>
          </w:tcPr>
          <w:p w14:paraId="5817DDD0" w14:textId="77777777" w:rsidR="0088487E" w:rsidRDefault="0088487E" w:rsidP="0088487E">
            <w:pPr>
              <w:spacing w:line="480" w:lineRule="auto"/>
              <w:ind w:firstLine="28"/>
              <w:jc w:val="center"/>
            </w:pPr>
            <w:r>
              <w:t>38.7%</w:t>
            </w:r>
          </w:p>
        </w:tc>
        <w:tc>
          <w:tcPr>
            <w:tcW w:w="1561" w:type="dxa"/>
            <w:tcBorders>
              <w:bottom w:val="single" w:sz="4" w:space="0" w:color="auto"/>
            </w:tcBorders>
          </w:tcPr>
          <w:p w14:paraId="26A54A95" w14:textId="77777777" w:rsidR="0088487E" w:rsidRDefault="0088487E" w:rsidP="0088487E">
            <w:pPr>
              <w:spacing w:line="480" w:lineRule="auto"/>
              <w:ind w:firstLine="28"/>
              <w:jc w:val="center"/>
            </w:pPr>
            <w:r>
              <w:t>8</w:t>
            </w:r>
          </w:p>
        </w:tc>
        <w:tc>
          <w:tcPr>
            <w:tcW w:w="1699" w:type="dxa"/>
            <w:tcBorders>
              <w:bottom w:val="single" w:sz="4" w:space="0" w:color="auto"/>
            </w:tcBorders>
          </w:tcPr>
          <w:p w14:paraId="2E2AFDB0" w14:textId="77777777" w:rsidR="0088487E" w:rsidRDefault="0088487E" w:rsidP="0088487E">
            <w:pPr>
              <w:spacing w:line="480" w:lineRule="auto"/>
              <w:ind w:firstLine="28"/>
              <w:jc w:val="center"/>
            </w:pPr>
            <w:r>
              <w:t>28.6%</w:t>
            </w:r>
          </w:p>
        </w:tc>
      </w:tr>
      <w:tr w:rsidR="0088487E" w:rsidRPr="00772366" w14:paraId="294608B9" w14:textId="77777777" w:rsidTr="000D69E9">
        <w:tc>
          <w:tcPr>
            <w:tcW w:w="1101" w:type="dxa"/>
            <w:vMerge w:val="restart"/>
            <w:tcBorders>
              <w:top w:val="single" w:sz="4" w:space="0" w:color="auto"/>
              <w:bottom w:val="single" w:sz="4" w:space="0" w:color="auto"/>
            </w:tcBorders>
            <w:vAlign w:val="center"/>
          </w:tcPr>
          <w:p w14:paraId="07594146" w14:textId="77777777" w:rsidR="0088487E" w:rsidRPr="00772366" w:rsidRDefault="0088487E" w:rsidP="0088487E">
            <w:pPr>
              <w:spacing w:line="480" w:lineRule="auto"/>
              <w:ind w:firstLine="0"/>
              <w:jc w:val="center"/>
            </w:pPr>
            <w:r>
              <w:t>Who</w:t>
            </w:r>
          </w:p>
        </w:tc>
        <w:tc>
          <w:tcPr>
            <w:tcW w:w="2533" w:type="dxa"/>
            <w:tcBorders>
              <w:top w:val="single" w:sz="4" w:space="0" w:color="auto"/>
            </w:tcBorders>
          </w:tcPr>
          <w:p w14:paraId="0629D9F9" w14:textId="77777777" w:rsidR="0088487E" w:rsidRPr="00772366" w:rsidRDefault="0088487E" w:rsidP="0088487E">
            <w:pPr>
              <w:spacing w:line="480" w:lineRule="auto"/>
              <w:ind w:firstLine="32"/>
            </w:pPr>
            <w:r w:rsidRPr="00772366">
              <w:t>Family</w:t>
            </w:r>
          </w:p>
        </w:tc>
        <w:tc>
          <w:tcPr>
            <w:tcW w:w="1476" w:type="dxa"/>
            <w:tcBorders>
              <w:top w:val="single" w:sz="4" w:space="0" w:color="auto"/>
            </w:tcBorders>
          </w:tcPr>
          <w:p w14:paraId="0E9BDA23" w14:textId="77777777" w:rsidR="0088487E" w:rsidRPr="00772366" w:rsidRDefault="0088487E" w:rsidP="0088487E">
            <w:pPr>
              <w:spacing w:line="480" w:lineRule="auto"/>
              <w:ind w:firstLine="32"/>
              <w:jc w:val="center"/>
            </w:pPr>
            <w:r>
              <w:t>33</w:t>
            </w:r>
          </w:p>
        </w:tc>
        <w:tc>
          <w:tcPr>
            <w:tcW w:w="1377" w:type="dxa"/>
            <w:tcBorders>
              <w:top w:val="single" w:sz="4" w:space="0" w:color="auto"/>
            </w:tcBorders>
          </w:tcPr>
          <w:p w14:paraId="0C0C186E" w14:textId="77777777" w:rsidR="0088487E" w:rsidRDefault="0088487E" w:rsidP="0088487E">
            <w:pPr>
              <w:spacing w:line="480" w:lineRule="auto"/>
              <w:ind w:firstLine="28"/>
              <w:jc w:val="center"/>
            </w:pPr>
            <w:r>
              <w:t>53.2%</w:t>
            </w:r>
          </w:p>
        </w:tc>
        <w:tc>
          <w:tcPr>
            <w:tcW w:w="1561" w:type="dxa"/>
            <w:tcBorders>
              <w:top w:val="single" w:sz="4" w:space="0" w:color="auto"/>
            </w:tcBorders>
          </w:tcPr>
          <w:p w14:paraId="4711F1C7" w14:textId="77777777" w:rsidR="0088487E" w:rsidRDefault="0088487E" w:rsidP="0088487E">
            <w:pPr>
              <w:spacing w:line="480" w:lineRule="auto"/>
              <w:ind w:firstLine="28"/>
              <w:jc w:val="center"/>
            </w:pPr>
            <w:r>
              <w:t>11</w:t>
            </w:r>
          </w:p>
        </w:tc>
        <w:tc>
          <w:tcPr>
            <w:tcW w:w="1699" w:type="dxa"/>
            <w:tcBorders>
              <w:top w:val="single" w:sz="4" w:space="0" w:color="auto"/>
            </w:tcBorders>
          </w:tcPr>
          <w:p w14:paraId="16753384" w14:textId="77777777" w:rsidR="0088487E" w:rsidRDefault="0088487E" w:rsidP="0088487E">
            <w:pPr>
              <w:spacing w:line="480" w:lineRule="auto"/>
              <w:ind w:firstLine="28"/>
              <w:jc w:val="center"/>
            </w:pPr>
            <w:r>
              <w:t>39.3%</w:t>
            </w:r>
          </w:p>
        </w:tc>
      </w:tr>
      <w:tr w:rsidR="0088487E" w:rsidRPr="00772366" w14:paraId="5436C735" w14:textId="77777777" w:rsidTr="000D69E9">
        <w:tc>
          <w:tcPr>
            <w:tcW w:w="1101" w:type="dxa"/>
            <w:vMerge/>
            <w:tcBorders>
              <w:bottom w:val="single" w:sz="4" w:space="0" w:color="auto"/>
            </w:tcBorders>
          </w:tcPr>
          <w:p w14:paraId="7EC97CC4" w14:textId="77777777" w:rsidR="0088487E" w:rsidRPr="00772366" w:rsidRDefault="0088487E" w:rsidP="0088487E">
            <w:pPr>
              <w:spacing w:line="480" w:lineRule="auto"/>
            </w:pPr>
          </w:p>
        </w:tc>
        <w:tc>
          <w:tcPr>
            <w:tcW w:w="2533" w:type="dxa"/>
          </w:tcPr>
          <w:p w14:paraId="12C46A0F" w14:textId="77777777" w:rsidR="0088487E" w:rsidRPr="00772366" w:rsidRDefault="0088487E" w:rsidP="0088487E">
            <w:pPr>
              <w:spacing w:line="480" w:lineRule="auto"/>
              <w:ind w:firstLine="32"/>
            </w:pPr>
            <w:r w:rsidRPr="00772366">
              <w:t>Parents</w:t>
            </w:r>
          </w:p>
        </w:tc>
        <w:tc>
          <w:tcPr>
            <w:tcW w:w="1476" w:type="dxa"/>
          </w:tcPr>
          <w:p w14:paraId="142588DC" w14:textId="77777777" w:rsidR="0088487E" w:rsidRPr="00772366" w:rsidRDefault="0088487E" w:rsidP="0088487E">
            <w:pPr>
              <w:spacing w:line="480" w:lineRule="auto"/>
              <w:ind w:firstLine="32"/>
              <w:jc w:val="center"/>
            </w:pPr>
            <w:r w:rsidRPr="00772366">
              <w:t>2</w:t>
            </w:r>
            <w:r>
              <w:t>5</w:t>
            </w:r>
          </w:p>
        </w:tc>
        <w:tc>
          <w:tcPr>
            <w:tcW w:w="1377" w:type="dxa"/>
          </w:tcPr>
          <w:p w14:paraId="7F00175E" w14:textId="77777777" w:rsidR="0088487E" w:rsidRDefault="0088487E" w:rsidP="0088487E">
            <w:pPr>
              <w:spacing w:line="480" w:lineRule="auto"/>
              <w:ind w:firstLine="28"/>
              <w:jc w:val="center"/>
            </w:pPr>
            <w:r>
              <w:t>40.3%</w:t>
            </w:r>
          </w:p>
        </w:tc>
        <w:tc>
          <w:tcPr>
            <w:tcW w:w="1561" w:type="dxa"/>
          </w:tcPr>
          <w:p w14:paraId="418D5ADF" w14:textId="77777777" w:rsidR="0088487E" w:rsidRDefault="0088487E" w:rsidP="0088487E">
            <w:pPr>
              <w:spacing w:line="480" w:lineRule="auto"/>
              <w:ind w:firstLine="28"/>
              <w:jc w:val="center"/>
            </w:pPr>
            <w:r w:rsidRPr="00772366">
              <w:t>1</w:t>
            </w:r>
            <w:r>
              <w:t>3</w:t>
            </w:r>
          </w:p>
        </w:tc>
        <w:tc>
          <w:tcPr>
            <w:tcW w:w="1699" w:type="dxa"/>
          </w:tcPr>
          <w:p w14:paraId="66E4023D" w14:textId="77777777" w:rsidR="0088487E" w:rsidRDefault="0088487E" w:rsidP="0088487E">
            <w:pPr>
              <w:spacing w:line="480" w:lineRule="auto"/>
              <w:ind w:firstLine="28"/>
              <w:jc w:val="center"/>
            </w:pPr>
            <w:r>
              <w:t>46.4%</w:t>
            </w:r>
          </w:p>
        </w:tc>
      </w:tr>
      <w:tr w:rsidR="0088487E" w:rsidRPr="00772366" w14:paraId="2C5CA0FC" w14:textId="77777777" w:rsidTr="000D69E9">
        <w:tc>
          <w:tcPr>
            <w:tcW w:w="1101" w:type="dxa"/>
            <w:vMerge/>
            <w:tcBorders>
              <w:bottom w:val="single" w:sz="4" w:space="0" w:color="auto"/>
            </w:tcBorders>
          </w:tcPr>
          <w:p w14:paraId="54852F6B" w14:textId="77777777" w:rsidR="0088487E" w:rsidRPr="00772366" w:rsidRDefault="0088487E" w:rsidP="0088487E">
            <w:pPr>
              <w:spacing w:line="480" w:lineRule="auto"/>
            </w:pPr>
          </w:p>
        </w:tc>
        <w:tc>
          <w:tcPr>
            <w:tcW w:w="2533" w:type="dxa"/>
          </w:tcPr>
          <w:p w14:paraId="1478FCAE" w14:textId="77777777" w:rsidR="0088487E" w:rsidRPr="00772366" w:rsidRDefault="0088487E" w:rsidP="0088487E">
            <w:pPr>
              <w:spacing w:line="480" w:lineRule="auto"/>
              <w:ind w:firstLine="32"/>
            </w:pPr>
            <w:r w:rsidRPr="00772366">
              <w:t>Siblings</w:t>
            </w:r>
          </w:p>
        </w:tc>
        <w:tc>
          <w:tcPr>
            <w:tcW w:w="1476" w:type="dxa"/>
          </w:tcPr>
          <w:p w14:paraId="00826CC4" w14:textId="77777777" w:rsidR="0088487E" w:rsidRPr="00772366" w:rsidRDefault="0088487E" w:rsidP="0088487E">
            <w:pPr>
              <w:spacing w:line="480" w:lineRule="auto"/>
              <w:ind w:firstLine="32"/>
              <w:jc w:val="center"/>
            </w:pPr>
            <w:r w:rsidRPr="00772366">
              <w:t>1</w:t>
            </w:r>
            <w:r>
              <w:t>7</w:t>
            </w:r>
          </w:p>
        </w:tc>
        <w:tc>
          <w:tcPr>
            <w:tcW w:w="1377" w:type="dxa"/>
          </w:tcPr>
          <w:p w14:paraId="26934E9B" w14:textId="77777777" w:rsidR="0088487E" w:rsidRDefault="0088487E" w:rsidP="0088487E">
            <w:pPr>
              <w:spacing w:line="480" w:lineRule="auto"/>
              <w:ind w:firstLine="28"/>
              <w:jc w:val="center"/>
            </w:pPr>
            <w:r>
              <w:t>27.4%</w:t>
            </w:r>
          </w:p>
        </w:tc>
        <w:tc>
          <w:tcPr>
            <w:tcW w:w="1561" w:type="dxa"/>
          </w:tcPr>
          <w:p w14:paraId="7C3B5B03" w14:textId="77777777" w:rsidR="0088487E" w:rsidRDefault="0088487E" w:rsidP="0088487E">
            <w:pPr>
              <w:spacing w:line="480" w:lineRule="auto"/>
              <w:ind w:firstLine="28"/>
              <w:jc w:val="center"/>
            </w:pPr>
            <w:r>
              <w:t>7</w:t>
            </w:r>
          </w:p>
        </w:tc>
        <w:tc>
          <w:tcPr>
            <w:tcW w:w="1699" w:type="dxa"/>
          </w:tcPr>
          <w:p w14:paraId="0C1F6B1B" w14:textId="77777777" w:rsidR="0088487E" w:rsidRDefault="0088487E" w:rsidP="0088487E">
            <w:pPr>
              <w:spacing w:line="480" w:lineRule="auto"/>
              <w:ind w:firstLine="28"/>
              <w:jc w:val="center"/>
            </w:pPr>
            <w:r>
              <w:t>25%</w:t>
            </w:r>
          </w:p>
        </w:tc>
      </w:tr>
      <w:tr w:rsidR="0088487E" w:rsidRPr="00772366" w14:paraId="7CB6D8FE" w14:textId="77777777" w:rsidTr="000D69E9">
        <w:tc>
          <w:tcPr>
            <w:tcW w:w="1101" w:type="dxa"/>
            <w:vMerge/>
            <w:tcBorders>
              <w:bottom w:val="single" w:sz="4" w:space="0" w:color="auto"/>
            </w:tcBorders>
          </w:tcPr>
          <w:p w14:paraId="7898A388" w14:textId="77777777" w:rsidR="0088487E" w:rsidRPr="00772366" w:rsidRDefault="0088487E" w:rsidP="0088487E">
            <w:pPr>
              <w:spacing w:line="480" w:lineRule="auto"/>
            </w:pPr>
          </w:p>
        </w:tc>
        <w:tc>
          <w:tcPr>
            <w:tcW w:w="2533" w:type="dxa"/>
          </w:tcPr>
          <w:p w14:paraId="12C69D42" w14:textId="77777777" w:rsidR="0088487E" w:rsidRPr="00772366" w:rsidRDefault="0088487E" w:rsidP="0088487E">
            <w:pPr>
              <w:spacing w:line="480" w:lineRule="auto"/>
              <w:ind w:firstLine="32"/>
            </w:pPr>
            <w:r w:rsidRPr="00772366">
              <w:t>Children</w:t>
            </w:r>
          </w:p>
        </w:tc>
        <w:tc>
          <w:tcPr>
            <w:tcW w:w="1476" w:type="dxa"/>
          </w:tcPr>
          <w:p w14:paraId="688BA266" w14:textId="77777777" w:rsidR="0088487E" w:rsidRPr="00772366" w:rsidRDefault="0088487E" w:rsidP="0088487E">
            <w:pPr>
              <w:spacing w:line="480" w:lineRule="auto"/>
              <w:ind w:firstLine="32"/>
              <w:jc w:val="center"/>
            </w:pPr>
            <w:r>
              <w:t>4</w:t>
            </w:r>
          </w:p>
        </w:tc>
        <w:tc>
          <w:tcPr>
            <w:tcW w:w="1377" w:type="dxa"/>
          </w:tcPr>
          <w:p w14:paraId="4FE21073" w14:textId="77777777" w:rsidR="0088487E" w:rsidRDefault="0088487E" w:rsidP="0088487E">
            <w:pPr>
              <w:spacing w:line="480" w:lineRule="auto"/>
              <w:ind w:firstLine="28"/>
              <w:jc w:val="center"/>
            </w:pPr>
            <w:r>
              <w:t>6.4%</w:t>
            </w:r>
          </w:p>
        </w:tc>
        <w:tc>
          <w:tcPr>
            <w:tcW w:w="1561" w:type="dxa"/>
          </w:tcPr>
          <w:p w14:paraId="2E9DED1C" w14:textId="77777777" w:rsidR="0088487E" w:rsidRDefault="0088487E" w:rsidP="0088487E">
            <w:pPr>
              <w:spacing w:line="480" w:lineRule="auto"/>
              <w:ind w:firstLine="28"/>
              <w:jc w:val="center"/>
            </w:pPr>
            <w:r>
              <w:t>5</w:t>
            </w:r>
          </w:p>
        </w:tc>
        <w:tc>
          <w:tcPr>
            <w:tcW w:w="1699" w:type="dxa"/>
          </w:tcPr>
          <w:p w14:paraId="7B9E2322" w14:textId="77777777" w:rsidR="0088487E" w:rsidRDefault="0088487E" w:rsidP="0088487E">
            <w:pPr>
              <w:spacing w:line="480" w:lineRule="auto"/>
              <w:ind w:firstLine="28"/>
              <w:jc w:val="center"/>
            </w:pPr>
            <w:r>
              <w:t>17.9%</w:t>
            </w:r>
          </w:p>
        </w:tc>
      </w:tr>
      <w:tr w:rsidR="0088487E" w:rsidRPr="00772366" w14:paraId="392E256D" w14:textId="77777777" w:rsidTr="000D69E9">
        <w:tc>
          <w:tcPr>
            <w:tcW w:w="1101" w:type="dxa"/>
            <w:vMerge/>
            <w:tcBorders>
              <w:bottom w:val="single" w:sz="4" w:space="0" w:color="auto"/>
            </w:tcBorders>
          </w:tcPr>
          <w:p w14:paraId="0DAF7C0B" w14:textId="77777777" w:rsidR="0088487E" w:rsidRPr="00772366" w:rsidRDefault="0088487E" w:rsidP="0088487E">
            <w:pPr>
              <w:spacing w:line="480" w:lineRule="auto"/>
            </w:pPr>
          </w:p>
        </w:tc>
        <w:tc>
          <w:tcPr>
            <w:tcW w:w="2533" w:type="dxa"/>
          </w:tcPr>
          <w:p w14:paraId="2036578A" w14:textId="77777777" w:rsidR="0088487E" w:rsidRPr="00772366" w:rsidRDefault="0088487E" w:rsidP="0088487E">
            <w:pPr>
              <w:spacing w:line="480" w:lineRule="auto"/>
              <w:ind w:firstLine="32"/>
            </w:pPr>
            <w:r w:rsidRPr="00772366">
              <w:t>Grandparents</w:t>
            </w:r>
          </w:p>
        </w:tc>
        <w:tc>
          <w:tcPr>
            <w:tcW w:w="1476" w:type="dxa"/>
          </w:tcPr>
          <w:p w14:paraId="5FC8FCAF" w14:textId="77777777" w:rsidR="0088487E" w:rsidRPr="00772366" w:rsidRDefault="0088487E" w:rsidP="0088487E">
            <w:pPr>
              <w:spacing w:line="480" w:lineRule="auto"/>
              <w:ind w:firstLine="32"/>
              <w:jc w:val="center"/>
            </w:pPr>
            <w:r>
              <w:t>6</w:t>
            </w:r>
          </w:p>
        </w:tc>
        <w:tc>
          <w:tcPr>
            <w:tcW w:w="1377" w:type="dxa"/>
          </w:tcPr>
          <w:p w14:paraId="3C929E37" w14:textId="77777777" w:rsidR="0088487E" w:rsidRDefault="0088487E" w:rsidP="0088487E">
            <w:pPr>
              <w:spacing w:line="480" w:lineRule="auto"/>
              <w:ind w:firstLine="28"/>
              <w:jc w:val="center"/>
            </w:pPr>
            <w:r>
              <w:t>9.7%</w:t>
            </w:r>
          </w:p>
        </w:tc>
        <w:tc>
          <w:tcPr>
            <w:tcW w:w="1561" w:type="dxa"/>
          </w:tcPr>
          <w:p w14:paraId="5FCC793F" w14:textId="77777777" w:rsidR="0088487E" w:rsidRDefault="0088487E" w:rsidP="0088487E">
            <w:pPr>
              <w:spacing w:line="480" w:lineRule="auto"/>
              <w:ind w:firstLine="28"/>
              <w:jc w:val="center"/>
            </w:pPr>
            <w:r>
              <w:t>2</w:t>
            </w:r>
          </w:p>
        </w:tc>
        <w:tc>
          <w:tcPr>
            <w:tcW w:w="1699" w:type="dxa"/>
          </w:tcPr>
          <w:p w14:paraId="42545ADA" w14:textId="77777777" w:rsidR="0088487E" w:rsidRDefault="0088487E" w:rsidP="0088487E">
            <w:pPr>
              <w:spacing w:line="480" w:lineRule="auto"/>
              <w:ind w:firstLine="28"/>
              <w:jc w:val="center"/>
            </w:pPr>
            <w:r>
              <w:t>7.1%</w:t>
            </w:r>
          </w:p>
        </w:tc>
      </w:tr>
      <w:tr w:rsidR="0088487E" w:rsidRPr="00772366" w14:paraId="5BD2BB5D" w14:textId="77777777" w:rsidTr="000D69E9">
        <w:tc>
          <w:tcPr>
            <w:tcW w:w="1101" w:type="dxa"/>
            <w:vMerge/>
            <w:tcBorders>
              <w:bottom w:val="single" w:sz="4" w:space="0" w:color="auto"/>
            </w:tcBorders>
          </w:tcPr>
          <w:p w14:paraId="3A5EA455" w14:textId="77777777" w:rsidR="0088487E" w:rsidRPr="00772366" w:rsidRDefault="0088487E" w:rsidP="0088487E">
            <w:pPr>
              <w:spacing w:line="480" w:lineRule="auto"/>
            </w:pPr>
          </w:p>
        </w:tc>
        <w:tc>
          <w:tcPr>
            <w:tcW w:w="2533" w:type="dxa"/>
          </w:tcPr>
          <w:p w14:paraId="5BD333A2" w14:textId="77777777" w:rsidR="0088487E" w:rsidRPr="00772366" w:rsidRDefault="0088487E" w:rsidP="0088487E">
            <w:pPr>
              <w:spacing w:line="480" w:lineRule="auto"/>
              <w:ind w:firstLine="32"/>
            </w:pPr>
            <w:r w:rsidRPr="00772366">
              <w:t>Intimate partner</w:t>
            </w:r>
          </w:p>
        </w:tc>
        <w:tc>
          <w:tcPr>
            <w:tcW w:w="1476" w:type="dxa"/>
          </w:tcPr>
          <w:p w14:paraId="5070B720" w14:textId="77777777" w:rsidR="0088487E" w:rsidRPr="00772366" w:rsidRDefault="0088487E" w:rsidP="0088487E">
            <w:pPr>
              <w:spacing w:line="480" w:lineRule="auto"/>
              <w:ind w:firstLine="32"/>
              <w:jc w:val="center"/>
            </w:pPr>
            <w:r w:rsidRPr="00772366">
              <w:t>2</w:t>
            </w:r>
            <w:r>
              <w:t>8</w:t>
            </w:r>
          </w:p>
        </w:tc>
        <w:tc>
          <w:tcPr>
            <w:tcW w:w="1377" w:type="dxa"/>
          </w:tcPr>
          <w:p w14:paraId="0F2E2856" w14:textId="77777777" w:rsidR="0088487E" w:rsidRDefault="0088487E" w:rsidP="0088487E">
            <w:pPr>
              <w:spacing w:line="480" w:lineRule="auto"/>
              <w:ind w:firstLine="28"/>
              <w:jc w:val="center"/>
            </w:pPr>
            <w:r>
              <w:t>45.2%</w:t>
            </w:r>
          </w:p>
        </w:tc>
        <w:tc>
          <w:tcPr>
            <w:tcW w:w="1561" w:type="dxa"/>
          </w:tcPr>
          <w:p w14:paraId="78CE1952" w14:textId="77777777" w:rsidR="0088487E" w:rsidRDefault="0088487E" w:rsidP="0088487E">
            <w:pPr>
              <w:spacing w:line="480" w:lineRule="auto"/>
              <w:ind w:firstLine="28"/>
              <w:jc w:val="center"/>
            </w:pPr>
            <w:r>
              <w:t>3</w:t>
            </w:r>
          </w:p>
        </w:tc>
        <w:tc>
          <w:tcPr>
            <w:tcW w:w="1699" w:type="dxa"/>
          </w:tcPr>
          <w:p w14:paraId="15AE53D4" w14:textId="77777777" w:rsidR="0088487E" w:rsidRDefault="0088487E" w:rsidP="0088487E">
            <w:pPr>
              <w:spacing w:line="480" w:lineRule="auto"/>
              <w:ind w:firstLine="28"/>
              <w:jc w:val="center"/>
            </w:pPr>
            <w:r>
              <w:t>10.7%</w:t>
            </w:r>
          </w:p>
        </w:tc>
      </w:tr>
      <w:tr w:rsidR="0088487E" w:rsidRPr="00772366" w14:paraId="613C2BE0" w14:textId="77777777" w:rsidTr="000D69E9">
        <w:tc>
          <w:tcPr>
            <w:tcW w:w="1101" w:type="dxa"/>
            <w:vMerge/>
            <w:tcBorders>
              <w:bottom w:val="single" w:sz="4" w:space="0" w:color="auto"/>
            </w:tcBorders>
          </w:tcPr>
          <w:p w14:paraId="3E6AC656" w14:textId="77777777" w:rsidR="0088487E" w:rsidRPr="00772366" w:rsidRDefault="0088487E" w:rsidP="0088487E">
            <w:pPr>
              <w:spacing w:line="480" w:lineRule="auto"/>
            </w:pPr>
          </w:p>
        </w:tc>
        <w:tc>
          <w:tcPr>
            <w:tcW w:w="2533" w:type="dxa"/>
          </w:tcPr>
          <w:p w14:paraId="2147AC22" w14:textId="77777777" w:rsidR="0088487E" w:rsidRPr="00772366" w:rsidRDefault="0088487E" w:rsidP="0088487E">
            <w:pPr>
              <w:spacing w:line="480" w:lineRule="auto"/>
              <w:ind w:firstLine="32"/>
            </w:pPr>
            <w:r w:rsidRPr="00772366">
              <w:t>Friends</w:t>
            </w:r>
          </w:p>
        </w:tc>
        <w:tc>
          <w:tcPr>
            <w:tcW w:w="1476" w:type="dxa"/>
          </w:tcPr>
          <w:p w14:paraId="55A3547D" w14:textId="77777777" w:rsidR="0088487E" w:rsidRPr="00772366" w:rsidRDefault="0088487E" w:rsidP="0088487E">
            <w:pPr>
              <w:spacing w:line="480" w:lineRule="auto"/>
              <w:ind w:firstLine="32"/>
              <w:jc w:val="center"/>
            </w:pPr>
            <w:r w:rsidRPr="00772366">
              <w:t>5</w:t>
            </w:r>
            <w:r>
              <w:t>8</w:t>
            </w:r>
          </w:p>
        </w:tc>
        <w:tc>
          <w:tcPr>
            <w:tcW w:w="1377" w:type="dxa"/>
          </w:tcPr>
          <w:p w14:paraId="75ED2BD4" w14:textId="77777777" w:rsidR="0088487E" w:rsidRDefault="0088487E" w:rsidP="0088487E">
            <w:pPr>
              <w:spacing w:line="480" w:lineRule="auto"/>
              <w:ind w:firstLine="28"/>
              <w:jc w:val="center"/>
            </w:pPr>
            <w:r>
              <w:t>93.5%</w:t>
            </w:r>
          </w:p>
        </w:tc>
        <w:tc>
          <w:tcPr>
            <w:tcW w:w="1561" w:type="dxa"/>
          </w:tcPr>
          <w:p w14:paraId="26B75DDA" w14:textId="77777777" w:rsidR="0088487E" w:rsidRDefault="0088487E" w:rsidP="0088487E">
            <w:pPr>
              <w:spacing w:line="480" w:lineRule="auto"/>
              <w:ind w:firstLine="28"/>
              <w:jc w:val="center"/>
            </w:pPr>
            <w:r>
              <w:t>7</w:t>
            </w:r>
          </w:p>
        </w:tc>
        <w:tc>
          <w:tcPr>
            <w:tcW w:w="1699" w:type="dxa"/>
          </w:tcPr>
          <w:p w14:paraId="63983528" w14:textId="77777777" w:rsidR="0088487E" w:rsidRDefault="0088487E" w:rsidP="0088487E">
            <w:pPr>
              <w:spacing w:line="480" w:lineRule="auto"/>
              <w:ind w:firstLine="28"/>
              <w:jc w:val="center"/>
            </w:pPr>
            <w:r>
              <w:t>25%</w:t>
            </w:r>
          </w:p>
        </w:tc>
      </w:tr>
      <w:tr w:rsidR="0088487E" w:rsidRPr="00772366" w14:paraId="32526B35" w14:textId="77777777" w:rsidTr="000D69E9">
        <w:tc>
          <w:tcPr>
            <w:tcW w:w="1101" w:type="dxa"/>
            <w:vMerge/>
            <w:tcBorders>
              <w:bottom w:val="single" w:sz="4" w:space="0" w:color="auto"/>
            </w:tcBorders>
          </w:tcPr>
          <w:p w14:paraId="5C6C233D" w14:textId="77777777" w:rsidR="0088487E" w:rsidRPr="00772366" w:rsidRDefault="0088487E" w:rsidP="0088487E">
            <w:pPr>
              <w:spacing w:line="480" w:lineRule="auto"/>
            </w:pPr>
          </w:p>
        </w:tc>
        <w:tc>
          <w:tcPr>
            <w:tcW w:w="2533" w:type="dxa"/>
          </w:tcPr>
          <w:p w14:paraId="3B90C675" w14:textId="77777777" w:rsidR="0088487E" w:rsidRPr="00772366" w:rsidRDefault="0088487E" w:rsidP="0088487E">
            <w:pPr>
              <w:spacing w:line="480" w:lineRule="auto"/>
              <w:ind w:firstLine="32"/>
            </w:pPr>
            <w:r w:rsidRPr="00772366">
              <w:t>Hospital patients</w:t>
            </w:r>
          </w:p>
        </w:tc>
        <w:tc>
          <w:tcPr>
            <w:tcW w:w="1476" w:type="dxa"/>
          </w:tcPr>
          <w:p w14:paraId="3C1A548A" w14:textId="77777777" w:rsidR="0088487E" w:rsidRPr="00772366" w:rsidRDefault="0088487E" w:rsidP="0088487E">
            <w:pPr>
              <w:spacing w:line="480" w:lineRule="auto"/>
              <w:ind w:firstLine="32"/>
              <w:jc w:val="center"/>
            </w:pPr>
            <w:r>
              <w:t>4</w:t>
            </w:r>
          </w:p>
        </w:tc>
        <w:tc>
          <w:tcPr>
            <w:tcW w:w="1377" w:type="dxa"/>
          </w:tcPr>
          <w:p w14:paraId="592A0A66" w14:textId="77777777" w:rsidR="0088487E" w:rsidRDefault="0088487E" w:rsidP="0088487E">
            <w:pPr>
              <w:spacing w:line="480" w:lineRule="auto"/>
              <w:ind w:firstLine="28"/>
              <w:jc w:val="center"/>
            </w:pPr>
            <w:r>
              <w:t>6.4%</w:t>
            </w:r>
          </w:p>
        </w:tc>
        <w:tc>
          <w:tcPr>
            <w:tcW w:w="1561" w:type="dxa"/>
          </w:tcPr>
          <w:p w14:paraId="3CDDC3D8" w14:textId="77777777" w:rsidR="0088487E" w:rsidRDefault="0088487E" w:rsidP="0088487E">
            <w:pPr>
              <w:spacing w:line="480" w:lineRule="auto"/>
              <w:ind w:firstLine="28"/>
              <w:jc w:val="center"/>
            </w:pPr>
            <w:r>
              <w:t>5</w:t>
            </w:r>
          </w:p>
        </w:tc>
        <w:tc>
          <w:tcPr>
            <w:tcW w:w="1699" w:type="dxa"/>
          </w:tcPr>
          <w:p w14:paraId="22AF18AD" w14:textId="77777777" w:rsidR="0088487E" w:rsidRDefault="0088487E" w:rsidP="0088487E">
            <w:pPr>
              <w:spacing w:line="480" w:lineRule="auto"/>
              <w:ind w:firstLine="28"/>
              <w:jc w:val="center"/>
            </w:pPr>
            <w:r>
              <w:t>17.9%</w:t>
            </w:r>
          </w:p>
        </w:tc>
      </w:tr>
      <w:tr w:rsidR="0088487E" w:rsidRPr="00772366" w14:paraId="3BE141D6" w14:textId="77777777" w:rsidTr="000D69E9">
        <w:tc>
          <w:tcPr>
            <w:tcW w:w="1101" w:type="dxa"/>
            <w:vMerge/>
            <w:tcBorders>
              <w:bottom w:val="single" w:sz="4" w:space="0" w:color="auto"/>
            </w:tcBorders>
          </w:tcPr>
          <w:p w14:paraId="1EE7993D" w14:textId="77777777" w:rsidR="0088487E" w:rsidRPr="00772366" w:rsidRDefault="0088487E" w:rsidP="0088487E">
            <w:pPr>
              <w:spacing w:line="480" w:lineRule="auto"/>
            </w:pPr>
          </w:p>
        </w:tc>
        <w:tc>
          <w:tcPr>
            <w:tcW w:w="2533" w:type="dxa"/>
          </w:tcPr>
          <w:p w14:paraId="35EE697D" w14:textId="77777777" w:rsidR="0088487E" w:rsidRPr="00772366" w:rsidRDefault="0088487E" w:rsidP="0088487E">
            <w:pPr>
              <w:spacing w:line="480" w:lineRule="auto"/>
              <w:ind w:firstLine="32"/>
            </w:pPr>
            <w:r w:rsidRPr="00772366">
              <w:t>Hospital staff</w:t>
            </w:r>
          </w:p>
        </w:tc>
        <w:tc>
          <w:tcPr>
            <w:tcW w:w="1476" w:type="dxa"/>
          </w:tcPr>
          <w:p w14:paraId="1651C052" w14:textId="77777777" w:rsidR="0088487E" w:rsidRPr="00772366" w:rsidRDefault="0088487E" w:rsidP="0088487E">
            <w:pPr>
              <w:spacing w:line="480" w:lineRule="auto"/>
              <w:ind w:firstLine="32"/>
              <w:jc w:val="center"/>
            </w:pPr>
            <w:r>
              <w:t>2</w:t>
            </w:r>
          </w:p>
        </w:tc>
        <w:tc>
          <w:tcPr>
            <w:tcW w:w="1377" w:type="dxa"/>
          </w:tcPr>
          <w:p w14:paraId="594BD072" w14:textId="77777777" w:rsidR="0088487E" w:rsidRDefault="0088487E" w:rsidP="0088487E">
            <w:pPr>
              <w:spacing w:line="480" w:lineRule="auto"/>
              <w:ind w:firstLine="28"/>
              <w:jc w:val="center"/>
            </w:pPr>
            <w:r>
              <w:t>3.2%</w:t>
            </w:r>
          </w:p>
        </w:tc>
        <w:tc>
          <w:tcPr>
            <w:tcW w:w="1561" w:type="dxa"/>
          </w:tcPr>
          <w:p w14:paraId="4C888A44" w14:textId="77777777" w:rsidR="0088487E" w:rsidRDefault="0088487E" w:rsidP="0088487E">
            <w:pPr>
              <w:spacing w:line="480" w:lineRule="auto"/>
              <w:ind w:firstLine="28"/>
              <w:jc w:val="center"/>
            </w:pPr>
            <w:r>
              <w:t>1</w:t>
            </w:r>
          </w:p>
        </w:tc>
        <w:tc>
          <w:tcPr>
            <w:tcW w:w="1699" w:type="dxa"/>
          </w:tcPr>
          <w:p w14:paraId="2D2D3F47" w14:textId="77777777" w:rsidR="0088487E" w:rsidRDefault="0088487E" w:rsidP="0088487E">
            <w:pPr>
              <w:spacing w:line="480" w:lineRule="auto"/>
              <w:ind w:firstLine="28"/>
              <w:jc w:val="center"/>
            </w:pPr>
            <w:r>
              <w:t>3.6%</w:t>
            </w:r>
          </w:p>
        </w:tc>
      </w:tr>
      <w:tr w:rsidR="0088487E" w:rsidRPr="00772366" w14:paraId="1460C981" w14:textId="77777777" w:rsidTr="000D69E9">
        <w:tc>
          <w:tcPr>
            <w:tcW w:w="1101" w:type="dxa"/>
            <w:vMerge/>
            <w:tcBorders>
              <w:bottom w:val="single" w:sz="4" w:space="0" w:color="auto"/>
            </w:tcBorders>
          </w:tcPr>
          <w:p w14:paraId="4BA78DAD" w14:textId="77777777" w:rsidR="0088487E" w:rsidRPr="00772366" w:rsidRDefault="0088487E" w:rsidP="0088487E">
            <w:pPr>
              <w:spacing w:line="480" w:lineRule="auto"/>
            </w:pPr>
          </w:p>
        </w:tc>
        <w:tc>
          <w:tcPr>
            <w:tcW w:w="2533" w:type="dxa"/>
          </w:tcPr>
          <w:p w14:paraId="75F30501" w14:textId="77777777" w:rsidR="0088487E" w:rsidRPr="00772366" w:rsidRDefault="0088487E" w:rsidP="0088487E">
            <w:pPr>
              <w:spacing w:line="480" w:lineRule="auto"/>
              <w:ind w:firstLine="32"/>
            </w:pPr>
            <w:r w:rsidRPr="00772366">
              <w:t>No one</w:t>
            </w:r>
          </w:p>
        </w:tc>
        <w:tc>
          <w:tcPr>
            <w:tcW w:w="1476" w:type="dxa"/>
          </w:tcPr>
          <w:p w14:paraId="0713EB6E" w14:textId="77777777" w:rsidR="0088487E" w:rsidRPr="00772366" w:rsidRDefault="0088487E" w:rsidP="0088487E">
            <w:pPr>
              <w:spacing w:line="480" w:lineRule="auto"/>
              <w:ind w:firstLine="32"/>
              <w:jc w:val="center"/>
            </w:pPr>
            <w:r>
              <w:t>1</w:t>
            </w:r>
          </w:p>
        </w:tc>
        <w:tc>
          <w:tcPr>
            <w:tcW w:w="1377" w:type="dxa"/>
          </w:tcPr>
          <w:p w14:paraId="223B9C60" w14:textId="77777777" w:rsidR="0088487E" w:rsidRDefault="0088487E" w:rsidP="0088487E">
            <w:pPr>
              <w:spacing w:line="480" w:lineRule="auto"/>
              <w:ind w:firstLine="28"/>
              <w:jc w:val="center"/>
            </w:pPr>
            <w:r>
              <w:t>1.6%</w:t>
            </w:r>
          </w:p>
        </w:tc>
        <w:tc>
          <w:tcPr>
            <w:tcW w:w="1561" w:type="dxa"/>
          </w:tcPr>
          <w:p w14:paraId="63EAD84E" w14:textId="77777777" w:rsidR="0088487E" w:rsidRDefault="0088487E" w:rsidP="0088487E">
            <w:pPr>
              <w:spacing w:line="480" w:lineRule="auto"/>
              <w:ind w:firstLine="28"/>
              <w:jc w:val="center"/>
            </w:pPr>
            <w:r>
              <w:t>2</w:t>
            </w:r>
          </w:p>
        </w:tc>
        <w:tc>
          <w:tcPr>
            <w:tcW w:w="1699" w:type="dxa"/>
          </w:tcPr>
          <w:p w14:paraId="4379027A" w14:textId="77777777" w:rsidR="0088487E" w:rsidRDefault="0088487E" w:rsidP="0088487E">
            <w:pPr>
              <w:spacing w:line="480" w:lineRule="auto"/>
              <w:ind w:firstLine="28"/>
              <w:jc w:val="center"/>
            </w:pPr>
            <w:r>
              <w:t>7.1%</w:t>
            </w:r>
          </w:p>
        </w:tc>
      </w:tr>
      <w:tr w:rsidR="0088487E" w:rsidRPr="00772366" w14:paraId="0D13B1EB" w14:textId="77777777" w:rsidTr="000D69E9">
        <w:tc>
          <w:tcPr>
            <w:tcW w:w="1101" w:type="dxa"/>
            <w:vMerge/>
            <w:tcBorders>
              <w:bottom w:val="single" w:sz="4" w:space="0" w:color="auto"/>
            </w:tcBorders>
          </w:tcPr>
          <w:p w14:paraId="601F22C4" w14:textId="77777777" w:rsidR="0088487E" w:rsidRPr="00772366" w:rsidRDefault="0088487E" w:rsidP="0088487E">
            <w:pPr>
              <w:spacing w:line="480" w:lineRule="auto"/>
            </w:pPr>
          </w:p>
        </w:tc>
        <w:tc>
          <w:tcPr>
            <w:tcW w:w="2533" w:type="dxa"/>
            <w:tcBorders>
              <w:bottom w:val="single" w:sz="4" w:space="0" w:color="auto"/>
            </w:tcBorders>
          </w:tcPr>
          <w:p w14:paraId="2585AF4B" w14:textId="77777777" w:rsidR="0088487E" w:rsidRPr="00772366" w:rsidRDefault="0088487E" w:rsidP="0088487E">
            <w:pPr>
              <w:spacing w:line="480" w:lineRule="auto"/>
              <w:ind w:firstLine="32"/>
            </w:pPr>
            <w:r w:rsidRPr="00772366">
              <w:t>Myself</w:t>
            </w:r>
          </w:p>
        </w:tc>
        <w:tc>
          <w:tcPr>
            <w:tcW w:w="1476" w:type="dxa"/>
            <w:tcBorders>
              <w:bottom w:val="single" w:sz="4" w:space="0" w:color="auto"/>
            </w:tcBorders>
          </w:tcPr>
          <w:p w14:paraId="14A28DEA" w14:textId="77777777" w:rsidR="0088487E" w:rsidRPr="00772366" w:rsidRDefault="0088487E" w:rsidP="0088487E">
            <w:pPr>
              <w:spacing w:line="480" w:lineRule="auto"/>
              <w:ind w:firstLine="32"/>
              <w:jc w:val="center"/>
            </w:pPr>
            <w:r w:rsidRPr="00772366">
              <w:t>1</w:t>
            </w:r>
          </w:p>
        </w:tc>
        <w:tc>
          <w:tcPr>
            <w:tcW w:w="1377" w:type="dxa"/>
            <w:tcBorders>
              <w:bottom w:val="single" w:sz="4" w:space="0" w:color="auto"/>
            </w:tcBorders>
          </w:tcPr>
          <w:p w14:paraId="3B2B104B" w14:textId="77777777" w:rsidR="0088487E" w:rsidRDefault="0088487E" w:rsidP="0088487E">
            <w:pPr>
              <w:spacing w:line="480" w:lineRule="auto"/>
              <w:ind w:firstLine="28"/>
              <w:jc w:val="center"/>
            </w:pPr>
            <w:r>
              <w:t>1.6%</w:t>
            </w:r>
          </w:p>
        </w:tc>
        <w:tc>
          <w:tcPr>
            <w:tcW w:w="1561" w:type="dxa"/>
            <w:tcBorders>
              <w:bottom w:val="single" w:sz="4" w:space="0" w:color="auto"/>
            </w:tcBorders>
          </w:tcPr>
          <w:p w14:paraId="7E1CCF41" w14:textId="77777777" w:rsidR="0088487E" w:rsidRDefault="0088487E" w:rsidP="0088487E">
            <w:pPr>
              <w:spacing w:line="480" w:lineRule="auto"/>
              <w:ind w:firstLine="28"/>
              <w:jc w:val="center"/>
            </w:pPr>
            <w:r w:rsidRPr="00772366">
              <w:t>2</w:t>
            </w:r>
          </w:p>
        </w:tc>
        <w:tc>
          <w:tcPr>
            <w:tcW w:w="1699" w:type="dxa"/>
            <w:tcBorders>
              <w:bottom w:val="single" w:sz="4" w:space="0" w:color="auto"/>
            </w:tcBorders>
          </w:tcPr>
          <w:p w14:paraId="3247F1CA" w14:textId="77777777" w:rsidR="0088487E" w:rsidRDefault="0088487E" w:rsidP="0088487E">
            <w:pPr>
              <w:spacing w:line="480" w:lineRule="auto"/>
              <w:ind w:firstLine="28"/>
              <w:jc w:val="center"/>
            </w:pPr>
            <w:r>
              <w:t>7.1%</w:t>
            </w:r>
          </w:p>
        </w:tc>
      </w:tr>
      <w:tr w:rsidR="0088487E" w:rsidRPr="00772366" w14:paraId="04DA3B51" w14:textId="77777777" w:rsidTr="000D69E9">
        <w:tc>
          <w:tcPr>
            <w:tcW w:w="1101" w:type="dxa"/>
            <w:vMerge w:val="restart"/>
            <w:tcBorders>
              <w:top w:val="single" w:sz="4" w:space="0" w:color="auto"/>
              <w:bottom w:val="single" w:sz="4" w:space="0" w:color="auto"/>
            </w:tcBorders>
            <w:vAlign w:val="center"/>
          </w:tcPr>
          <w:p w14:paraId="479D4E8D" w14:textId="77777777" w:rsidR="0088487E" w:rsidRPr="00772366" w:rsidRDefault="0088487E" w:rsidP="0088487E">
            <w:pPr>
              <w:spacing w:line="480" w:lineRule="auto"/>
              <w:ind w:firstLine="0"/>
              <w:jc w:val="center"/>
            </w:pPr>
            <w:r>
              <w:t>Why</w:t>
            </w:r>
          </w:p>
        </w:tc>
        <w:tc>
          <w:tcPr>
            <w:tcW w:w="2533" w:type="dxa"/>
            <w:tcBorders>
              <w:top w:val="single" w:sz="4" w:space="0" w:color="auto"/>
            </w:tcBorders>
          </w:tcPr>
          <w:p w14:paraId="78DB4A51" w14:textId="77777777" w:rsidR="0088487E" w:rsidRPr="00772366" w:rsidRDefault="0088487E" w:rsidP="0088487E">
            <w:pPr>
              <w:spacing w:line="480" w:lineRule="auto"/>
              <w:ind w:firstLine="32"/>
            </w:pPr>
            <w:r w:rsidRPr="00772366">
              <w:t>Support</w:t>
            </w:r>
          </w:p>
        </w:tc>
        <w:tc>
          <w:tcPr>
            <w:tcW w:w="1476" w:type="dxa"/>
            <w:tcBorders>
              <w:top w:val="single" w:sz="4" w:space="0" w:color="auto"/>
            </w:tcBorders>
          </w:tcPr>
          <w:p w14:paraId="0FBEF020" w14:textId="77777777" w:rsidR="0088487E" w:rsidRPr="00772366" w:rsidRDefault="0088487E" w:rsidP="0088487E">
            <w:pPr>
              <w:spacing w:line="480" w:lineRule="auto"/>
              <w:ind w:firstLine="32"/>
              <w:jc w:val="center"/>
            </w:pPr>
            <w:r w:rsidRPr="00772366">
              <w:t>3</w:t>
            </w:r>
            <w:r>
              <w:t>4</w:t>
            </w:r>
          </w:p>
        </w:tc>
        <w:tc>
          <w:tcPr>
            <w:tcW w:w="1377" w:type="dxa"/>
            <w:tcBorders>
              <w:top w:val="single" w:sz="4" w:space="0" w:color="auto"/>
            </w:tcBorders>
          </w:tcPr>
          <w:p w14:paraId="2B0EC847" w14:textId="77777777" w:rsidR="0088487E" w:rsidRDefault="0088487E" w:rsidP="0088487E">
            <w:pPr>
              <w:spacing w:line="480" w:lineRule="auto"/>
              <w:ind w:firstLine="28"/>
              <w:jc w:val="center"/>
            </w:pPr>
            <w:r>
              <w:t>54.8%</w:t>
            </w:r>
          </w:p>
        </w:tc>
        <w:tc>
          <w:tcPr>
            <w:tcW w:w="1561" w:type="dxa"/>
            <w:tcBorders>
              <w:top w:val="single" w:sz="4" w:space="0" w:color="auto"/>
            </w:tcBorders>
          </w:tcPr>
          <w:p w14:paraId="71261EA9" w14:textId="77777777" w:rsidR="0088487E" w:rsidRPr="00772366" w:rsidRDefault="0088487E" w:rsidP="0088487E">
            <w:pPr>
              <w:spacing w:line="480" w:lineRule="auto"/>
              <w:ind w:firstLine="28"/>
              <w:jc w:val="center"/>
            </w:pPr>
            <w:r>
              <w:t>7</w:t>
            </w:r>
          </w:p>
        </w:tc>
        <w:tc>
          <w:tcPr>
            <w:tcW w:w="1699" w:type="dxa"/>
            <w:tcBorders>
              <w:top w:val="single" w:sz="4" w:space="0" w:color="auto"/>
            </w:tcBorders>
          </w:tcPr>
          <w:p w14:paraId="5E73358D" w14:textId="77777777" w:rsidR="0088487E" w:rsidRDefault="0088487E" w:rsidP="0088487E">
            <w:pPr>
              <w:spacing w:line="480" w:lineRule="auto"/>
              <w:ind w:firstLine="28"/>
              <w:jc w:val="center"/>
            </w:pPr>
            <w:r>
              <w:t>25%</w:t>
            </w:r>
          </w:p>
        </w:tc>
      </w:tr>
      <w:tr w:rsidR="0088487E" w:rsidRPr="00772366" w14:paraId="41C3497D" w14:textId="77777777" w:rsidTr="000D69E9">
        <w:tc>
          <w:tcPr>
            <w:tcW w:w="1101" w:type="dxa"/>
            <w:vMerge/>
            <w:tcBorders>
              <w:bottom w:val="single" w:sz="4" w:space="0" w:color="auto"/>
            </w:tcBorders>
          </w:tcPr>
          <w:p w14:paraId="432244C7" w14:textId="77777777" w:rsidR="0088487E" w:rsidRPr="00772366" w:rsidRDefault="0088487E" w:rsidP="0088487E">
            <w:pPr>
              <w:spacing w:line="480" w:lineRule="auto"/>
              <w:ind w:firstLine="0"/>
            </w:pPr>
          </w:p>
        </w:tc>
        <w:tc>
          <w:tcPr>
            <w:tcW w:w="2533" w:type="dxa"/>
          </w:tcPr>
          <w:p w14:paraId="14B56288" w14:textId="77777777" w:rsidR="0088487E" w:rsidRPr="00772366" w:rsidRDefault="0088487E" w:rsidP="0088487E">
            <w:pPr>
              <w:spacing w:line="480" w:lineRule="auto"/>
              <w:ind w:firstLine="32"/>
            </w:pPr>
            <w:r w:rsidRPr="00772366">
              <w:t>Fun</w:t>
            </w:r>
          </w:p>
        </w:tc>
        <w:tc>
          <w:tcPr>
            <w:tcW w:w="1476" w:type="dxa"/>
          </w:tcPr>
          <w:p w14:paraId="0D91C5E3" w14:textId="77777777" w:rsidR="0088487E" w:rsidRPr="00772366" w:rsidRDefault="0088487E" w:rsidP="0088487E">
            <w:pPr>
              <w:spacing w:line="480" w:lineRule="auto"/>
              <w:ind w:firstLine="32"/>
              <w:jc w:val="center"/>
            </w:pPr>
            <w:r>
              <w:t>9</w:t>
            </w:r>
          </w:p>
        </w:tc>
        <w:tc>
          <w:tcPr>
            <w:tcW w:w="1377" w:type="dxa"/>
          </w:tcPr>
          <w:p w14:paraId="2C615E12" w14:textId="77777777" w:rsidR="0088487E" w:rsidRDefault="0088487E" w:rsidP="0088487E">
            <w:pPr>
              <w:spacing w:line="480" w:lineRule="auto"/>
              <w:ind w:firstLine="28"/>
              <w:jc w:val="center"/>
            </w:pPr>
            <w:r>
              <w:t>14.5%</w:t>
            </w:r>
          </w:p>
        </w:tc>
        <w:tc>
          <w:tcPr>
            <w:tcW w:w="1561" w:type="dxa"/>
          </w:tcPr>
          <w:p w14:paraId="2E62B2C1" w14:textId="77777777" w:rsidR="0088487E" w:rsidRPr="00772366" w:rsidRDefault="0088487E" w:rsidP="0088487E">
            <w:pPr>
              <w:spacing w:line="480" w:lineRule="auto"/>
              <w:ind w:firstLine="28"/>
              <w:jc w:val="center"/>
            </w:pPr>
            <w:r>
              <w:t>1</w:t>
            </w:r>
          </w:p>
        </w:tc>
        <w:tc>
          <w:tcPr>
            <w:tcW w:w="1699" w:type="dxa"/>
          </w:tcPr>
          <w:p w14:paraId="1B706444" w14:textId="77777777" w:rsidR="0088487E" w:rsidRDefault="0088487E" w:rsidP="0088487E">
            <w:pPr>
              <w:spacing w:line="480" w:lineRule="auto"/>
              <w:ind w:firstLine="28"/>
              <w:jc w:val="center"/>
            </w:pPr>
            <w:r>
              <w:t>3.6%</w:t>
            </w:r>
          </w:p>
        </w:tc>
      </w:tr>
      <w:tr w:rsidR="0088487E" w:rsidRPr="00772366" w14:paraId="2D6F046B" w14:textId="77777777" w:rsidTr="000D69E9">
        <w:tc>
          <w:tcPr>
            <w:tcW w:w="1101" w:type="dxa"/>
            <w:vMerge/>
            <w:tcBorders>
              <w:bottom w:val="single" w:sz="4" w:space="0" w:color="auto"/>
            </w:tcBorders>
          </w:tcPr>
          <w:p w14:paraId="7BE71081" w14:textId="77777777" w:rsidR="0088487E" w:rsidRPr="00772366" w:rsidRDefault="0088487E" w:rsidP="0088487E">
            <w:pPr>
              <w:spacing w:line="480" w:lineRule="auto"/>
              <w:ind w:firstLine="0"/>
            </w:pPr>
          </w:p>
        </w:tc>
        <w:tc>
          <w:tcPr>
            <w:tcW w:w="2533" w:type="dxa"/>
          </w:tcPr>
          <w:p w14:paraId="6A712BBB" w14:textId="77777777" w:rsidR="0088487E" w:rsidRDefault="0088487E" w:rsidP="0088487E">
            <w:pPr>
              <w:spacing w:line="480" w:lineRule="auto"/>
              <w:ind w:firstLine="32"/>
            </w:pPr>
            <w:r w:rsidRPr="00772366">
              <w:t>Loyalty</w:t>
            </w:r>
          </w:p>
        </w:tc>
        <w:tc>
          <w:tcPr>
            <w:tcW w:w="1476" w:type="dxa"/>
          </w:tcPr>
          <w:p w14:paraId="12A7A357" w14:textId="77777777" w:rsidR="0088487E" w:rsidRPr="00772366" w:rsidRDefault="0088487E" w:rsidP="0088487E">
            <w:pPr>
              <w:spacing w:line="480" w:lineRule="auto"/>
              <w:ind w:firstLine="32"/>
              <w:jc w:val="center"/>
            </w:pPr>
            <w:r>
              <w:t>3</w:t>
            </w:r>
          </w:p>
        </w:tc>
        <w:tc>
          <w:tcPr>
            <w:tcW w:w="1377" w:type="dxa"/>
          </w:tcPr>
          <w:p w14:paraId="4432047E" w14:textId="77777777" w:rsidR="0088487E" w:rsidRDefault="0088487E" w:rsidP="0088487E">
            <w:pPr>
              <w:spacing w:line="480" w:lineRule="auto"/>
              <w:ind w:firstLine="28"/>
              <w:jc w:val="center"/>
            </w:pPr>
            <w:r>
              <w:t>4.8%</w:t>
            </w:r>
          </w:p>
        </w:tc>
        <w:tc>
          <w:tcPr>
            <w:tcW w:w="1561" w:type="dxa"/>
          </w:tcPr>
          <w:p w14:paraId="4DE31EFA" w14:textId="77777777" w:rsidR="0088487E" w:rsidRPr="00772366" w:rsidRDefault="0088487E" w:rsidP="0088487E">
            <w:pPr>
              <w:spacing w:line="480" w:lineRule="auto"/>
              <w:ind w:firstLine="28"/>
              <w:jc w:val="center"/>
            </w:pPr>
            <w:r>
              <w:t>3</w:t>
            </w:r>
          </w:p>
        </w:tc>
        <w:tc>
          <w:tcPr>
            <w:tcW w:w="1699" w:type="dxa"/>
          </w:tcPr>
          <w:p w14:paraId="1D28486B" w14:textId="77777777" w:rsidR="0088487E" w:rsidRDefault="0088487E" w:rsidP="0088487E">
            <w:pPr>
              <w:spacing w:line="480" w:lineRule="auto"/>
              <w:ind w:firstLine="28"/>
              <w:jc w:val="center"/>
            </w:pPr>
            <w:r>
              <w:t>10.7%</w:t>
            </w:r>
          </w:p>
        </w:tc>
      </w:tr>
      <w:tr w:rsidR="0088487E" w:rsidRPr="00772366" w14:paraId="383B3A89" w14:textId="77777777" w:rsidTr="000D69E9">
        <w:tc>
          <w:tcPr>
            <w:tcW w:w="1101" w:type="dxa"/>
            <w:vMerge/>
            <w:tcBorders>
              <w:bottom w:val="single" w:sz="4" w:space="0" w:color="auto"/>
            </w:tcBorders>
          </w:tcPr>
          <w:p w14:paraId="170944A8" w14:textId="77777777" w:rsidR="0088487E" w:rsidRPr="00772366" w:rsidRDefault="0088487E" w:rsidP="0088487E">
            <w:pPr>
              <w:spacing w:line="480" w:lineRule="auto"/>
              <w:ind w:firstLine="0"/>
            </w:pPr>
          </w:p>
        </w:tc>
        <w:tc>
          <w:tcPr>
            <w:tcW w:w="2533" w:type="dxa"/>
          </w:tcPr>
          <w:p w14:paraId="599B94F5" w14:textId="77777777" w:rsidR="0088487E" w:rsidRDefault="0088487E" w:rsidP="0088487E">
            <w:pPr>
              <w:spacing w:line="480" w:lineRule="auto"/>
              <w:ind w:firstLine="32"/>
            </w:pPr>
            <w:r w:rsidRPr="00772366">
              <w:t>Keep in contact</w:t>
            </w:r>
          </w:p>
        </w:tc>
        <w:tc>
          <w:tcPr>
            <w:tcW w:w="1476" w:type="dxa"/>
          </w:tcPr>
          <w:p w14:paraId="40AE501F" w14:textId="77777777" w:rsidR="0088487E" w:rsidRPr="00772366" w:rsidRDefault="0088487E" w:rsidP="0088487E">
            <w:pPr>
              <w:spacing w:line="480" w:lineRule="auto"/>
              <w:ind w:firstLine="32"/>
              <w:jc w:val="center"/>
            </w:pPr>
            <w:r>
              <w:t>5</w:t>
            </w:r>
          </w:p>
        </w:tc>
        <w:tc>
          <w:tcPr>
            <w:tcW w:w="1377" w:type="dxa"/>
          </w:tcPr>
          <w:p w14:paraId="7A449C49" w14:textId="77777777" w:rsidR="0088487E" w:rsidRDefault="0088487E" w:rsidP="0088487E">
            <w:pPr>
              <w:spacing w:line="480" w:lineRule="auto"/>
              <w:ind w:firstLine="28"/>
              <w:jc w:val="center"/>
            </w:pPr>
            <w:r>
              <w:t>8.1%</w:t>
            </w:r>
          </w:p>
        </w:tc>
        <w:tc>
          <w:tcPr>
            <w:tcW w:w="1561" w:type="dxa"/>
          </w:tcPr>
          <w:p w14:paraId="352C935B" w14:textId="77777777" w:rsidR="0088487E" w:rsidRPr="00772366" w:rsidRDefault="0088487E" w:rsidP="0088487E">
            <w:pPr>
              <w:spacing w:line="480" w:lineRule="auto"/>
              <w:ind w:firstLine="28"/>
              <w:jc w:val="center"/>
            </w:pPr>
            <w:r>
              <w:t>6</w:t>
            </w:r>
          </w:p>
        </w:tc>
        <w:tc>
          <w:tcPr>
            <w:tcW w:w="1699" w:type="dxa"/>
          </w:tcPr>
          <w:p w14:paraId="0A1DE733" w14:textId="77777777" w:rsidR="0088487E" w:rsidRDefault="0088487E" w:rsidP="0088487E">
            <w:pPr>
              <w:spacing w:line="480" w:lineRule="auto"/>
              <w:ind w:firstLine="28"/>
              <w:jc w:val="center"/>
            </w:pPr>
            <w:r>
              <w:t>21.4%</w:t>
            </w:r>
          </w:p>
        </w:tc>
      </w:tr>
      <w:tr w:rsidR="0088487E" w:rsidRPr="00772366" w14:paraId="4811870C" w14:textId="77777777" w:rsidTr="000D69E9">
        <w:tc>
          <w:tcPr>
            <w:tcW w:w="1101" w:type="dxa"/>
            <w:vMerge/>
            <w:tcBorders>
              <w:bottom w:val="single" w:sz="4" w:space="0" w:color="auto"/>
            </w:tcBorders>
          </w:tcPr>
          <w:p w14:paraId="53417DA6" w14:textId="77777777" w:rsidR="0088487E" w:rsidRPr="00772366" w:rsidRDefault="0088487E" w:rsidP="0088487E">
            <w:pPr>
              <w:spacing w:line="480" w:lineRule="auto"/>
              <w:ind w:firstLine="0"/>
            </w:pPr>
          </w:p>
        </w:tc>
        <w:tc>
          <w:tcPr>
            <w:tcW w:w="2533" w:type="dxa"/>
          </w:tcPr>
          <w:p w14:paraId="127E2804" w14:textId="77777777" w:rsidR="0088487E" w:rsidRDefault="0088487E" w:rsidP="0088487E">
            <w:pPr>
              <w:spacing w:line="480" w:lineRule="auto"/>
              <w:ind w:firstLine="32"/>
            </w:pPr>
            <w:r w:rsidRPr="00772366">
              <w:t>Love</w:t>
            </w:r>
          </w:p>
        </w:tc>
        <w:tc>
          <w:tcPr>
            <w:tcW w:w="1476" w:type="dxa"/>
          </w:tcPr>
          <w:p w14:paraId="0CD1EBB6" w14:textId="77777777" w:rsidR="0088487E" w:rsidRPr="00772366" w:rsidRDefault="0088487E" w:rsidP="0088487E">
            <w:pPr>
              <w:spacing w:line="480" w:lineRule="auto"/>
              <w:ind w:firstLine="32"/>
              <w:jc w:val="center"/>
            </w:pPr>
            <w:r>
              <w:t>8</w:t>
            </w:r>
          </w:p>
        </w:tc>
        <w:tc>
          <w:tcPr>
            <w:tcW w:w="1377" w:type="dxa"/>
          </w:tcPr>
          <w:p w14:paraId="6C4C58D1" w14:textId="77777777" w:rsidR="0088487E" w:rsidRDefault="0088487E" w:rsidP="0088487E">
            <w:pPr>
              <w:spacing w:line="480" w:lineRule="auto"/>
              <w:ind w:firstLine="28"/>
              <w:jc w:val="center"/>
            </w:pPr>
            <w:r>
              <w:t>12.9%</w:t>
            </w:r>
          </w:p>
        </w:tc>
        <w:tc>
          <w:tcPr>
            <w:tcW w:w="1561" w:type="dxa"/>
          </w:tcPr>
          <w:p w14:paraId="47F83081" w14:textId="77777777" w:rsidR="0088487E" w:rsidRPr="00772366" w:rsidRDefault="0088487E" w:rsidP="0088487E">
            <w:pPr>
              <w:spacing w:line="480" w:lineRule="auto"/>
              <w:ind w:firstLine="28"/>
              <w:jc w:val="center"/>
            </w:pPr>
            <w:r>
              <w:t>8</w:t>
            </w:r>
          </w:p>
        </w:tc>
        <w:tc>
          <w:tcPr>
            <w:tcW w:w="1699" w:type="dxa"/>
          </w:tcPr>
          <w:p w14:paraId="176991F8" w14:textId="77777777" w:rsidR="0088487E" w:rsidRDefault="0088487E" w:rsidP="0088487E">
            <w:pPr>
              <w:spacing w:line="480" w:lineRule="auto"/>
              <w:ind w:firstLine="28"/>
              <w:jc w:val="center"/>
            </w:pPr>
            <w:r>
              <w:t>28.6%</w:t>
            </w:r>
          </w:p>
        </w:tc>
      </w:tr>
      <w:tr w:rsidR="0088487E" w:rsidRPr="00772366" w14:paraId="1042DA26" w14:textId="77777777" w:rsidTr="000D69E9">
        <w:tc>
          <w:tcPr>
            <w:tcW w:w="1101" w:type="dxa"/>
            <w:vMerge/>
            <w:tcBorders>
              <w:bottom w:val="single" w:sz="4" w:space="0" w:color="auto"/>
            </w:tcBorders>
          </w:tcPr>
          <w:p w14:paraId="6376BACA" w14:textId="77777777" w:rsidR="0088487E" w:rsidRPr="00772366" w:rsidRDefault="0088487E" w:rsidP="0088487E">
            <w:pPr>
              <w:spacing w:line="480" w:lineRule="auto"/>
              <w:ind w:firstLine="0"/>
            </w:pPr>
          </w:p>
        </w:tc>
        <w:tc>
          <w:tcPr>
            <w:tcW w:w="2533" w:type="dxa"/>
          </w:tcPr>
          <w:p w14:paraId="5CE8B2A5" w14:textId="77777777" w:rsidR="0088487E" w:rsidRDefault="0088487E" w:rsidP="0088487E">
            <w:pPr>
              <w:spacing w:line="480" w:lineRule="auto"/>
              <w:ind w:firstLine="32"/>
            </w:pPr>
            <w:r w:rsidRPr="00772366">
              <w:t>History</w:t>
            </w:r>
          </w:p>
        </w:tc>
        <w:tc>
          <w:tcPr>
            <w:tcW w:w="1476" w:type="dxa"/>
          </w:tcPr>
          <w:p w14:paraId="661A46EB" w14:textId="77777777" w:rsidR="0088487E" w:rsidRPr="00772366" w:rsidRDefault="0088487E" w:rsidP="0088487E">
            <w:pPr>
              <w:spacing w:line="480" w:lineRule="auto"/>
              <w:ind w:firstLine="32"/>
              <w:jc w:val="center"/>
            </w:pPr>
            <w:r>
              <w:t>8</w:t>
            </w:r>
          </w:p>
        </w:tc>
        <w:tc>
          <w:tcPr>
            <w:tcW w:w="1377" w:type="dxa"/>
          </w:tcPr>
          <w:p w14:paraId="191FA38E" w14:textId="77777777" w:rsidR="0088487E" w:rsidRDefault="0088487E" w:rsidP="0088487E">
            <w:pPr>
              <w:spacing w:line="480" w:lineRule="auto"/>
              <w:ind w:firstLine="28"/>
              <w:jc w:val="center"/>
            </w:pPr>
            <w:r>
              <w:t>12.9%</w:t>
            </w:r>
          </w:p>
        </w:tc>
        <w:tc>
          <w:tcPr>
            <w:tcW w:w="1561" w:type="dxa"/>
          </w:tcPr>
          <w:p w14:paraId="6DD22D90" w14:textId="77777777" w:rsidR="0088487E" w:rsidRPr="00772366" w:rsidRDefault="0088487E" w:rsidP="0088487E">
            <w:pPr>
              <w:spacing w:line="480" w:lineRule="auto"/>
              <w:ind w:firstLine="28"/>
              <w:jc w:val="center"/>
            </w:pPr>
            <w:r>
              <w:t>0</w:t>
            </w:r>
          </w:p>
        </w:tc>
        <w:tc>
          <w:tcPr>
            <w:tcW w:w="1699" w:type="dxa"/>
          </w:tcPr>
          <w:p w14:paraId="332AE93F" w14:textId="77777777" w:rsidR="0088487E" w:rsidRDefault="0088487E" w:rsidP="0088487E">
            <w:pPr>
              <w:spacing w:line="480" w:lineRule="auto"/>
              <w:ind w:firstLine="28"/>
              <w:jc w:val="center"/>
            </w:pPr>
            <w:r>
              <w:t>0%</w:t>
            </w:r>
          </w:p>
        </w:tc>
      </w:tr>
      <w:tr w:rsidR="0088487E" w:rsidRPr="00772366" w14:paraId="16B2DB62" w14:textId="77777777" w:rsidTr="000D69E9">
        <w:tc>
          <w:tcPr>
            <w:tcW w:w="1101" w:type="dxa"/>
            <w:vMerge/>
            <w:tcBorders>
              <w:bottom w:val="single" w:sz="4" w:space="0" w:color="auto"/>
            </w:tcBorders>
          </w:tcPr>
          <w:p w14:paraId="6FB7A97C" w14:textId="77777777" w:rsidR="0088487E" w:rsidRPr="00772366" w:rsidRDefault="0088487E" w:rsidP="0088487E">
            <w:pPr>
              <w:spacing w:line="480" w:lineRule="auto"/>
              <w:ind w:firstLine="0"/>
            </w:pPr>
          </w:p>
        </w:tc>
        <w:tc>
          <w:tcPr>
            <w:tcW w:w="2533" w:type="dxa"/>
          </w:tcPr>
          <w:p w14:paraId="73EDF766" w14:textId="77777777" w:rsidR="0088487E" w:rsidRDefault="0088487E" w:rsidP="0088487E">
            <w:pPr>
              <w:spacing w:line="480" w:lineRule="auto"/>
              <w:ind w:firstLine="32"/>
            </w:pPr>
            <w:r w:rsidRPr="00772366">
              <w:t>Time together</w:t>
            </w:r>
          </w:p>
        </w:tc>
        <w:tc>
          <w:tcPr>
            <w:tcW w:w="1476" w:type="dxa"/>
          </w:tcPr>
          <w:p w14:paraId="0B38FFEA" w14:textId="77777777" w:rsidR="0088487E" w:rsidRPr="00772366" w:rsidRDefault="0088487E" w:rsidP="0088487E">
            <w:pPr>
              <w:spacing w:line="480" w:lineRule="auto"/>
              <w:ind w:firstLine="32"/>
              <w:jc w:val="center"/>
            </w:pPr>
            <w:r w:rsidRPr="00772366">
              <w:t>7</w:t>
            </w:r>
          </w:p>
        </w:tc>
        <w:tc>
          <w:tcPr>
            <w:tcW w:w="1377" w:type="dxa"/>
          </w:tcPr>
          <w:p w14:paraId="24BE713A" w14:textId="77777777" w:rsidR="0088487E" w:rsidRDefault="0088487E" w:rsidP="0088487E">
            <w:pPr>
              <w:spacing w:line="480" w:lineRule="auto"/>
              <w:ind w:firstLine="28"/>
              <w:jc w:val="center"/>
            </w:pPr>
            <w:r>
              <w:t>11.3%</w:t>
            </w:r>
          </w:p>
        </w:tc>
        <w:tc>
          <w:tcPr>
            <w:tcW w:w="1561" w:type="dxa"/>
          </w:tcPr>
          <w:p w14:paraId="390A80E8" w14:textId="77777777" w:rsidR="0088487E" w:rsidRPr="00772366" w:rsidRDefault="0088487E" w:rsidP="0088487E">
            <w:pPr>
              <w:spacing w:line="480" w:lineRule="auto"/>
              <w:ind w:firstLine="28"/>
              <w:jc w:val="center"/>
            </w:pPr>
            <w:r w:rsidRPr="00772366">
              <w:t>0</w:t>
            </w:r>
          </w:p>
        </w:tc>
        <w:tc>
          <w:tcPr>
            <w:tcW w:w="1699" w:type="dxa"/>
          </w:tcPr>
          <w:p w14:paraId="63001F05" w14:textId="77777777" w:rsidR="0088487E" w:rsidRDefault="0088487E" w:rsidP="0088487E">
            <w:pPr>
              <w:spacing w:line="480" w:lineRule="auto"/>
              <w:ind w:firstLine="28"/>
              <w:jc w:val="center"/>
            </w:pPr>
            <w:r>
              <w:t>0%</w:t>
            </w:r>
          </w:p>
        </w:tc>
      </w:tr>
      <w:tr w:rsidR="0088487E" w:rsidRPr="00772366" w14:paraId="28A9A37F" w14:textId="77777777" w:rsidTr="000D69E9">
        <w:tc>
          <w:tcPr>
            <w:tcW w:w="1101" w:type="dxa"/>
            <w:vMerge/>
            <w:tcBorders>
              <w:bottom w:val="single" w:sz="4" w:space="0" w:color="auto"/>
            </w:tcBorders>
          </w:tcPr>
          <w:p w14:paraId="66970CE6" w14:textId="77777777" w:rsidR="0088487E" w:rsidRPr="00772366" w:rsidRDefault="0088487E" w:rsidP="0088487E">
            <w:pPr>
              <w:spacing w:line="480" w:lineRule="auto"/>
              <w:ind w:firstLine="0"/>
            </w:pPr>
          </w:p>
        </w:tc>
        <w:tc>
          <w:tcPr>
            <w:tcW w:w="2533" w:type="dxa"/>
          </w:tcPr>
          <w:p w14:paraId="4BD6CCA3" w14:textId="77777777" w:rsidR="0088487E" w:rsidRPr="00772366" w:rsidRDefault="0088487E" w:rsidP="0088487E">
            <w:pPr>
              <w:spacing w:line="480" w:lineRule="auto"/>
              <w:ind w:firstLine="32"/>
            </w:pPr>
            <w:r w:rsidRPr="00772366">
              <w:t>Stability</w:t>
            </w:r>
          </w:p>
        </w:tc>
        <w:tc>
          <w:tcPr>
            <w:tcW w:w="1476" w:type="dxa"/>
          </w:tcPr>
          <w:p w14:paraId="0A757770" w14:textId="77777777" w:rsidR="0088487E" w:rsidRPr="00772366" w:rsidRDefault="0088487E" w:rsidP="0088487E">
            <w:pPr>
              <w:spacing w:line="480" w:lineRule="auto"/>
              <w:ind w:firstLine="32"/>
              <w:jc w:val="center"/>
            </w:pPr>
            <w:r w:rsidRPr="00772366">
              <w:t>1</w:t>
            </w:r>
            <w:r>
              <w:t>4</w:t>
            </w:r>
          </w:p>
        </w:tc>
        <w:tc>
          <w:tcPr>
            <w:tcW w:w="1377" w:type="dxa"/>
          </w:tcPr>
          <w:p w14:paraId="5773BE94" w14:textId="77777777" w:rsidR="0088487E" w:rsidRPr="00772366" w:rsidRDefault="0088487E" w:rsidP="0088487E">
            <w:pPr>
              <w:spacing w:line="480" w:lineRule="auto"/>
              <w:ind w:firstLine="28"/>
              <w:jc w:val="center"/>
            </w:pPr>
            <w:r>
              <w:t>22.6%</w:t>
            </w:r>
          </w:p>
        </w:tc>
        <w:tc>
          <w:tcPr>
            <w:tcW w:w="1561" w:type="dxa"/>
          </w:tcPr>
          <w:p w14:paraId="0E632B21" w14:textId="77777777" w:rsidR="0088487E" w:rsidRPr="00772366" w:rsidRDefault="0088487E" w:rsidP="0088487E">
            <w:pPr>
              <w:spacing w:line="480" w:lineRule="auto"/>
              <w:ind w:firstLine="28"/>
              <w:jc w:val="center"/>
            </w:pPr>
            <w:r>
              <w:t>1</w:t>
            </w:r>
          </w:p>
        </w:tc>
        <w:tc>
          <w:tcPr>
            <w:tcW w:w="1699" w:type="dxa"/>
          </w:tcPr>
          <w:p w14:paraId="0D7A5208" w14:textId="77777777" w:rsidR="0088487E" w:rsidRPr="00772366" w:rsidRDefault="0088487E" w:rsidP="0088487E">
            <w:pPr>
              <w:spacing w:line="480" w:lineRule="auto"/>
              <w:ind w:firstLine="28"/>
              <w:jc w:val="center"/>
            </w:pPr>
            <w:r>
              <w:t>3.6%</w:t>
            </w:r>
          </w:p>
        </w:tc>
      </w:tr>
      <w:tr w:rsidR="0088487E" w:rsidRPr="00772366" w14:paraId="70081E8F" w14:textId="77777777" w:rsidTr="000D69E9">
        <w:tc>
          <w:tcPr>
            <w:tcW w:w="1101" w:type="dxa"/>
            <w:vMerge/>
            <w:tcBorders>
              <w:bottom w:val="single" w:sz="4" w:space="0" w:color="auto"/>
            </w:tcBorders>
          </w:tcPr>
          <w:p w14:paraId="0EF20785" w14:textId="77777777" w:rsidR="0088487E" w:rsidRPr="00772366" w:rsidRDefault="0088487E" w:rsidP="0088487E">
            <w:pPr>
              <w:spacing w:line="480" w:lineRule="auto"/>
              <w:ind w:firstLine="0"/>
            </w:pPr>
          </w:p>
        </w:tc>
        <w:tc>
          <w:tcPr>
            <w:tcW w:w="2533" w:type="dxa"/>
          </w:tcPr>
          <w:p w14:paraId="76173E9F" w14:textId="77777777" w:rsidR="0088487E" w:rsidRPr="00772366" w:rsidRDefault="0088487E" w:rsidP="0088487E">
            <w:pPr>
              <w:spacing w:line="480" w:lineRule="auto"/>
              <w:ind w:firstLine="32"/>
            </w:pPr>
            <w:r w:rsidRPr="00772366">
              <w:t>Trust</w:t>
            </w:r>
          </w:p>
        </w:tc>
        <w:tc>
          <w:tcPr>
            <w:tcW w:w="1476" w:type="dxa"/>
          </w:tcPr>
          <w:p w14:paraId="74CA5AA3" w14:textId="77777777" w:rsidR="0088487E" w:rsidRPr="00772366" w:rsidRDefault="0088487E" w:rsidP="0088487E">
            <w:pPr>
              <w:spacing w:line="480" w:lineRule="auto"/>
              <w:ind w:firstLine="32"/>
              <w:jc w:val="center"/>
            </w:pPr>
            <w:r w:rsidRPr="00772366">
              <w:t>6</w:t>
            </w:r>
          </w:p>
        </w:tc>
        <w:tc>
          <w:tcPr>
            <w:tcW w:w="1377" w:type="dxa"/>
          </w:tcPr>
          <w:p w14:paraId="1204093E" w14:textId="77777777" w:rsidR="0088487E" w:rsidRDefault="0088487E" w:rsidP="0088487E">
            <w:pPr>
              <w:spacing w:line="480" w:lineRule="auto"/>
              <w:ind w:firstLine="28"/>
              <w:jc w:val="center"/>
            </w:pPr>
            <w:r>
              <w:t>9.7%</w:t>
            </w:r>
          </w:p>
        </w:tc>
        <w:tc>
          <w:tcPr>
            <w:tcW w:w="1561" w:type="dxa"/>
          </w:tcPr>
          <w:p w14:paraId="3FE343E6" w14:textId="77777777" w:rsidR="0088487E" w:rsidRPr="00772366" w:rsidRDefault="0088487E" w:rsidP="0088487E">
            <w:pPr>
              <w:spacing w:line="480" w:lineRule="auto"/>
              <w:ind w:firstLine="28"/>
              <w:jc w:val="center"/>
            </w:pPr>
            <w:r w:rsidRPr="00772366">
              <w:t>0</w:t>
            </w:r>
          </w:p>
        </w:tc>
        <w:tc>
          <w:tcPr>
            <w:tcW w:w="1699" w:type="dxa"/>
          </w:tcPr>
          <w:p w14:paraId="0CB0A720" w14:textId="77777777" w:rsidR="0088487E" w:rsidRDefault="0088487E" w:rsidP="0088487E">
            <w:pPr>
              <w:spacing w:line="480" w:lineRule="auto"/>
              <w:ind w:firstLine="28"/>
              <w:jc w:val="center"/>
            </w:pPr>
            <w:r>
              <w:t>0%</w:t>
            </w:r>
          </w:p>
        </w:tc>
      </w:tr>
      <w:tr w:rsidR="0088487E" w:rsidRPr="00772366" w14:paraId="13AFCFA2" w14:textId="77777777" w:rsidTr="000D69E9">
        <w:tc>
          <w:tcPr>
            <w:tcW w:w="1101" w:type="dxa"/>
            <w:vMerge/>
            <w:tcBorders>
              <w:bottom w:val="single" w:sz="4" w:space="0" w:color="auto"/>
            </w:tcBorders>
          </w:tcPr>
          <w:p w14:paraId="02894D0A" w14:textId="77777777" w:rsidR="0088487E" w:rsidRPr="00772366" w:rsidRDefault="0088487E" w:rsidP="0088487E">
            <w:pPr>
              <w:spacing w:line="480" w:lineRule="auto"/>
              <w:ind w:firstLine="0"/>
            </w:pPr>
          </w:p>
        </w:tc>
        <w:tc>
          <w:tcPr>
            <w:tcW w:w="2533" w:type="dxa"/>
          </w:tcPr>
          <w:p w14:paraId="685D1A20" w14:textId="77777777" w:rsidR="0088487E" w:rsidRPr="00772366" w:rsidRDefault="0088487E" w:rsidP="0088487E">
            <w:pPr>
              <w:spacing w:line="480" w:lineRule="auto"/>
              <w:ind w:firstLine="32"/>
            </w:pPr>
            <w:r w:rsidRPr="00772366">
              <w:t>Connection</w:t>
            </w:r>
          </w:p>
        </w:tc>
        <w:tc>
          <w:tcPr>
            <w:tcW w:w="1476" w:type="dxa"/>
          </w:tcPr>
          <w:p w14:paraId="56C01EE2" w14:textId="77777777" w:rsidR="0088487E" w:rsidRPr="00772366" w:rsidRDefault="0088487E" w:rsidP="0088487E">
            <w:pPr>
              <w:spacing w:line="480" w:lineRule="auto"/>
              <w:ind w:firstLine="32"/>
              <w:jc w:val="center"/>
            </w:pPr>
            <w:r w:rsidRPr="00772366">
              <w:t>4</w:t>
            </w:r>
          </w:p>
        </w:tc>
        <w:tc>
          <w:tcPr>
            <w:tcW w:w="1377" w:type="dxa"/>
          </w:tcPr>
          <w:p w14:paraId="236DAC1B" w14:textId="77777777" w:rsidR="0088487E" w:rsidRPr="00772366" w:rsidRDefault="0088487E" w:rsidP="0088487E">
            <w:pPr>
              <w:spacing w:line="480" w:lineRule="auto"/>
              <w:ind w:firstLine="28"/>
              <w:jc w:val="center"/>
            </w:pPr>
            <w:r>
              <w:t>6.4%</w:t>
            </w:r>
          </w:p>
        </w:tc>
        <w:tc>
          <w:tcPr>
            <w:tcW w:w="1561" w:type="dxa"/>
          </w:tcPr>
          <w:p w14:paraId="41703FC8" w14:textId="77777777" w:rsidR="0088487E" w:rsidRPr="00772366" w:rsidRDefault="0088487E" w:rsidP="0088487E">
            <w:pPr>
              <w:spacing w:line="480" w:lineRule="auto"/>
              <w:ind w:firstLine="28"/>
              <w:jc w:val="center"/>
            </w:pPr>
            <w:r w:rsidRPr="00772366">
              <w:t>0</w:t>
            </w:r>
          </w:p>
        </w:tc>
        <w:tc>
          <w:tcPr>
            <w:tcW w:w="1699" w:type="dxa"/>
          </w:tcPr>
          <w:p w14:paraId="0A4BA96F" w14:textId="77777777" w:rsidR="0088487E" w:rsidRPr="00772366" w:rsidRDefault="0088487E" w:rsidP="0088487E">
            <w:pPr>
              <w:spacing w:line="480" w:lineRule="auto"/>
              <w:ind w:firstLine="28"/>
              <w:jc w:val="center"/>
            </w:pPr>
            <w:r>
              <w:t>0%</w:t>
            </w:r>
          </w:p>
        </w:tc>
      </w:tr>
      <w:tr w:rsidR="0088487E" w:rsidRPr="00772366" w14:paraId="70858BD8" w14:textId="77777777" w:rsidTr="000D69E9">
        <w:tc>
          <w:tcPr>
            <w:tcW w:w="1101" w:type="dxa"/>
            <w:vMerge/>
            <w:tcBorders>
              <w:bottom w:val="single" w:sz="4" w:space="0" w:color="auto"/>
            </w:tcBorders>
          </w:tcPr>
          <w:p w14:paraId="5ABD3831" w14:textId="77777777" w:rsidR="0088487E" w:rsidRPr="00772366" w:rsidRDefault="0088487E" w:rsidP="0088487E">
            <w:pPr>
              <w:spacing w:line="480" w:lineRule="auto"/>
              <w:ind w:firstLine="0"/>
            </w:pPr>
          </w:p>
        </w:tc>
        <w:tc>
          <w:tcPr>
            <w:tcW w:w="2533" w:type="dxa"/>
            <w:tcBorders>
              <w:bottom w:val="single" w:sz="4" w:space="0" w:color="auto"/>
            </w:tcBorders>
          </w:tcPr>
          <w:p w14:paraId="28218E70" w14:textId="77777777" w:rsidR="0088487E" w:rsidRPr="00772366" w:rsidRDefault="0088487E" w:rsidP="0088487E">
            <w:pPr>
              <w:spacing w:line="480" w:lineRule="auto"/>
              <w:ind w:firstLine="32"/>
            </w:pPr>
            <w:r w:rsidRPr="00772366">
              <w:t>All I have</w:t>
            </w:r>
          </w:p>
        </w:tc>
        <w:tc>
          <w:tcPr>
            <w:tcW w:w="1476" w:type="dxa"/>
            <w:tcBorders>
              <w:bottom w:val="single" w:sz="4" w:space="0" w:color="auto"/>
            </w:tcBorders>
          </w:tcPr>
          <w:p w14:paraId="2A6221FA" w14:textId="77777777" w:rsidR="0088487E" w:rsidRPr="00772366" w:rsidRDefault="0088487E" w:rsidP="0088487E">
            <w:pPr>
              <w:spacing w:line="480" w:lineRule="auto"/>
              <w:ind w:firstLine="32"/>
              <w:jc w:val="center"/>
            </w:pPr>
            <w:r>
              <w:t>1</w:t>
            </w:r>
          </w:p>
        </w:tc>
        <w:tc>
          <w:tcPr>
            <w:tcW w:w="1377" w:type="dxa"/>
            <w:tcBorders>
              <w:bottom w:val="single" w:sz="4" w:space="0" w:color="auto"/>
            </w:tcBorders>
          </w:tcPr>
          <w:p w14:paraId="11BE2BA5" w14:textId="77777777" w:rsidR="0088487E" w:rsidRPr="00772366" w:rsidRDefault="0088487E" w:rsidP="0088487E">
            <w:pPr>
              <w:spacing w:line="480" w:lineRule="auto"/>
              <w:ind w:firstLine="28"/>
              <w:jc w:val="center"/>
            </w:pPr>
            <w:r>
              <w:t>1.6%</w:t>
            </w:r>
          </w:p>
        </w:tc>
        <w:tc>
          <w:tcPr>
            <w:tcW w:w="1561" w:type="dxa"/>
            <w:tcBorders>
              <w:bottom w:val="single" w:sz="4" w:space="0" w:color="auto"/>
            </w:tcBorders>
          </w:tcPr>
          <w:p w14:paraId="479D18C8" w14:textId="77777777" w:rsidR="0088487E" w:rsidRPr="00772366" w:rsidRDefault="0088487E" w:rsidP="0088487E">
            <w:pPr>
              <w:spacing w:line="480" w:lineRule="auto"/>
              <w:ind w:firstLine="28"/>
              <w:jc w:val="center"/>
            </w:pPr>
            <w:r>
              <w:t>4</w:t>
            </w:r>
          </w:p>
        </w:tc>
        <w:tc>
          <w:tcPr>
            <w:tcW w:w="1699" w:type="dxa"/>
            <w:tcBorders>
              <w:bottom w:val="single" w:sz="4" w:space="0" w:color="auto"/>
            </w:tcBorders>
          </w:tcPr>
          <w:p w14:paraId="70CC8134" w14:textId="77777777" w:rsidR="0088487E" w:rsidRPr="00772366" w:rsidRDefault="0088487E" w:rsidP="0088487E">
            <w:pPr>
              <w:spacing w:line="480" w:lineRule="auto"/>
              <w:ind w:firstLine="28"/>
              <w:jc w:val="center"/>
            </w:pPr>
            <w:r>
              <w:t>14.3%</w:t>
            </w:r>
          </w:p>
        </w:tc>
      </w:tr>
    </w:tbl>
    <w:p w14:paraId="2DEC4A14" w14:textId="1DC79E55" w:rsidR="00B14183" w:rsidRDefault="0088487E" w:rsidP="00945B6D">
      <w:pPr>
        <w:autoSpaceDE w:val="0"/>
        <w:autoSpaceDN w:val="0"/>
        <w:adjustRightInd w:val="0"/>
        <w:spacing w:after="0" w:line="240" w:lineRule="auto"/>
        <w:jc w:val="both"/>
        <w:rPr>
          <w:sz w:val="24"/>
          <w:szCs w:val="24"/>
        </w:rPr>
      </w:pPr>
      <w:r w:rsidRPr="002F5FA6">
        <w:rPr>
          <w:rFonts w:ascii="Times New Roman" w:eastAsiaTheme="minorHAnsi" w:hAnsi="Times New Roman" w:cs="Times New Roman"/>
          <w:i/>
          <w:sz w:val="20"/>
          <w:szCs w:val="24"/>
        </w:rPr>
        <w:t>Note.</w:t>
      </w:r>
      <w:r w:rsidRPr="002F5FA6">
        <w:rPr>
          <w:rFonts w:ascii="Times New Roman" w:eastAsiaTheme="minorHAnsi" w:hAnsi="Times New Roman" w:cs="Times New Roman"/>
          <w:sz w:val="20"/>
          <w:szCs w:val="24"/>
        </w:rPr>
        <w:t xml:space="preserve"> These </w:t>
      </w:r>
      <w:r>
        <w:rPr>
          <w:rFonts w:ascii="Times New Roman" w:eastAsiaTheme="minorHAnsi" w:hAnsi="Times New Roman" w:cs="Times New Roman"/>
          <w:sz w:val="20"/>
          <w:szCs w:val="24"/>
        </w:rPr>
        <w:t xml:space="preserve">ACL </w:t>
      </w:r>
      <w:r w:rsidRPr="002F5FA6">
        <w:rPr>
          <w:rFonts w:ascii="Times New Roman" w:eastAsiaTheme="minorHAnsi" w:hAnsi="Times New Roman" w:cs="Times New Roman"/>
          <w:sz w:val="20"/>
          <w:szCs w:val="24"/>
        </w:rPr>
        <w:t>questions are grouped together because some of the same descriptors appeared in both sets of responses (e.g. ‘support’ being mentioned in responses to both questions)</w:t>
      </w:r>
      <w:r w:rsidR="006120E3">
        <w:rPr>
          <w:rFonts w:ascii="Times New Roman" w:eastAsiaTheme="minorHAnsi" w:hAnsi="Times New Roman" w:cs="Times New Roman"/>
          <w:sz w:val="20"/>
          <w:szCs w:val="24"/>
        </w:rPr>
        <w:t xml:space="preserve">; </w:t>
      </w:r>
      <w:proofErr w:type="spellStart"/>
      <w:r w:rsidR="006120E3" w:rsidRPr="006120E3">
        <w:rPr>
          <w:rFonts w:ascii="Times New Roman" w:eastAsiaTheme="minorHAnsi" w:hAnsi="Times New Roman" w:cs="Times New Roman"/>
          <w:sz w:val="20"/>
          <w:szCs w:val="24"/>
          <w:vertAlign w:val="superscript"/>
        </w:rPr>
        <w:t>a</w:t>
      </w:r>
      <w:r w:rsidR="006120E3" w:rsidRPr="006305F2">
        <w:t>Some</w:t>
      </w:r>
      <w:proofErr w:type="spellEnd"/>
      <w:r w:rsidR="006120E3" w:rsidRPr="006305F2">
        <w:t xml:space="preserve"> participants made reference to the same descriptor in their responses to both questions. Therefore, ‘frequency’ does not indicate how many participants made reference to the descriptor, but rather how many times it was mentioned overall. Likewise, ‘percentage’ may not represent the percentage of the group who made reference to the descriptor</w:t>
      </w:r>
      <w:r w:rsidRPr="002F5FA6">
        <w:rPr>
          <w:rFonts w:ascii="Times New Roman" w:eastAsiaTheme="minorHAnsi" w:hAnsi="Times New Roman" w:cs="Times New Roman"/>
          <w:sz w:val="20"/>
          <w:szCs w:val="24"/>
        </w:rPr>
        <w:t>.</w:t>
      </w:r>
    </w:p>
    <w:bookmarkEnd w:id="7"/>
    <w:p w14:paraId="59A4C150" w14:textId="789A993C" w:rsidR="00B97D72" w:rsidRPr="00786D87" w:rsidRDefault="00B97D72" w:rsidP="00B14183">
      <w:pPr>
        <w:rPr>
          <w:sz w:val="24"/>
          <w:szCs w:val="24"/>
        </w:rPr>
      </w:pPr>
    </w:p>
    <w:sectPr w:rsidR="00B97D72" w:rsidRPr="00786D87" w:rsidSect="00B14183">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6BEED" w14:textId="77777777" w:rsidR="00D4694D" w:rsidRDefault="00D4694D" w:rsidP="00893CB1">
      <w:pPr>
        <w:spacing w:after="0" w:line="240" w:lineRule="auto"/>
      </w:pPr>
      <w:r>
        <w:separator/>
      </w:r>
    </w:p>
  </w:endnote>
  <w:endnote w:type="continuationSeparator" w:id="0">
    <w:p w14:paraId="222E381A" w14:textId="77777777" w:rsidR="00D4694D" w:rsidRDefault="00D4694D" w:rsidP="008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80354"/>
      <w:docPartObj>
        <w:docPartGallery w:val="Page Numbers (Bottom of Page)"/>
        <w:docPartUnique/>
      </w:docPartObj>
    </w:sdtPr>
    <w:sdtEndPr>
      <w:rPr>
        <w:noProof/>
      </w:rPr>
    </w:sdtEndPr>
    <w:sdtContent>
      <w:p w14:paraId="2431E461" w14:textId="18A62176" w:rsidR="00F42121" w:rsidRDefault="00F42121">
        <w:pPr>
          <w:pStyle w:val="Footer"/>
          <w:jc w:val="right"/>
        </w:pPr>
        <w:r>
          <w:fldChar w:fldCharType="begin"/>
        </w:r>
        <w:r>
          <w:instrText xml:space="preserve"> PAGE   \* MERGEFORMAT </w:instrText>
        </w:r>
        <w:r>
          <w:fldChar w:fldCharType="separate"/>
        </w:r>
        <w:r w:rsidR="00945B6D">
          <w:rPr>
            <w:noProof/>
          </w:rPr>
          <w:t>3</w:t>
        </w:r>
        <w:r>
          <w:rPr>
            <w:noProof/>
          </w:rPr>
          <w:fldChar w:fldCharType="end"/>
        </w:r>
      </w:p>
    </w:sdtContent>
  </w:sdt>
  <w:p w14:paraId="50A60106" w14:textId="77777777" w:rsidR="00F42121" w:rsidRDefault="00F421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3EB73" w14:textId="77777777" w:rsidR="00D4694D" w:rsidRDefault="00D4694D" w:rsidP="00893CB1">
      <w:pPr>
        <w:spacing w:after="0" w:line="240" w:lineRule="auto"/>
      </w:pPr>
      <w:r>
        <w:separator/>
      </w:r>
    </w:p>
  </w:footnote>
  <w:footnote w:type="continuationSeparator" w:id="0">
    <w:p w14:paraId="2C2B7272" w14:textId="77777777" w:rsidR="00D4694D" w:rsidRDefault="00D4694D" w:rsidP="00893CB1">
      <w:pPr>
        <w:spacing w:after="0" w:line="240" w:lineRule="auto"/>
      </w:pPr>
      <w:r>
        <w:continuationSeparator/>
      </w:r>
    </w:p>
  </w:footnote>
  <w:footnote w:id="1">
    <w:p w14:paraId="4FFFE6E7" w14:textId="77777777" w:rsidR="00D4694D" w:rsidRDefault="00D4694D" w:rsidP="00D4694D">
      <w:pPr>
        <w:pStyle w:val="FootnoteText"/>
      </w:pPr>
      <w:r>
        <w:rPr>
          <w:rStyle w:val="FootnoteReference"/>
        </w:rPr>
        <w:footnoteRef/>
      </w:r>
      <w:r>
        <w:t xml:space="preserve"> Corresponding author.  Email: </w:t>
      </w:r>
      <w:hyperlink r:id="rId1" w:history="1">
        <w:r w:rsidRPr="00820072">
          <w:rPr>
            <w:rStyle w:val="Hyperlink"/>
          </w:rPr>
          <w:t>JLIreland1@uclan.ac.uk</w:t>
        </w:r>
      </w:hyperlink>
      <w:r>
        <w:t>; University of Central Lancashire, Preston, UK, PR1 2HE; Tel: +44 1772 201201.</w:t>
      </w:r>
    </w:p>
  </w:footnote>
  <w:footnote w:id="2">
    <w:p w14:paraId="0C91F665" w14:textId="7CDFA00E" w:rsidR="00D4694D" w:rsidRDefault="00D4694D">
      <w:pPr>
        <w:pStyle w:val="FootnoteText"/>
      </w:pPr>
      <w:r>
        <w:rPr>
          <w:rStyle w:val="FootnoteReference"/>
        </w:rPr>
        <w:footnoteRef/>
      </w:r>
      <w:r>
        <w:t xml:space="preserve"> Ireland et al.,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D927" w14:textId="618D3EC1" w:rsidR="00D4694D" w:rsidRPr="00E770DD" w:rsidRDefault="00D4694D" w:rsidP="00E770DD">
    <w:pPr>
      <w:pStyle w:val="Header"/>
      <w:tabs>
        <w:tab w:val="left" w:pos="6408"/>
      </w:tabs>
      <w:rPr>
        <w:sz w:val="24"/>
        <w:szCs w:val="24"/>
      </w:rPr>
    </w:pPr>
    <w:r w:rsidRPr="00E770DD">
      <w:rPr>
        <w:sz w:val="24"/>
        <w:szCs w:val="24"/>
      </w:rPr>
      <w:t>RELATIONSHIPS AND PSYCHOPATHY</w:t>
    </w:r>
    <w:r w:rsidRPr="00E770DD">
      <w:rPr>
        <w:sz w:val="24"/>
        <w:szCs w:val="24"/>
      </w:rPr>
      <w:tab/>
    </w:r>
    <w:r w:rsidRPr="00E770DD">
      <w:rPr>
        <w:sz w:val="24"/>
        <w:szCs w:val="24"/>
      </w:rPr>
      <w:tab/>
    </w:r>
    <w:r>
      <w:rPr>
        <w:sz w:val="24"/>
        <w:szCs w:val="24"/>
      </w:rPr>
      <w:tab/>
      <w:t>2</w:t>
    </w:r>
    <w:r w:rsidRPr="00E770DD">
      <w:rPr>
        <w:sz w:val="24"/>
        <w:szCs w:val="24"/>
      </w:rPr>
      <w:tab/>
    </w:r>
    <w:r w:rsidRPr="00E770DD">
      <w:rPr>
        <w:sz w:val="24"/>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7DC1" w14:textId="772009BC" w:rsidR="00D4694D" w:rsidRPr="00E770DD" w:rsidRDefault="00D4694D">
    <w:pPr>
      <w:pStyle w:val="Header"/>
      <w:jc w:val="right"/>
      <w:rPr>
        <w:sz w:val="24"/>
        <w:szCs w:val="24"/>
      </w:rPr>
    </w:pPr>
    <w:r w:rsidRPr="00E770DD">
      <w:rPr>
        <w:sz w:val="24"/>
        <w:szCs w:val="24"/>
      </w:rPr>
      <w:t>Running head: RELATIONSHIPS</w:t>
    </w:r>
    <w:r>
      <w:rPr>
        <w:sz w:val="24"/>
        <w:szCs w:val="24"/>
      </w:rPr>
      <w:t xml:space="preserve"> AND PSYCHOPATHY</w:t>
    </w:r>
    <w:r w:rsidRPr="00E770DD">
      <w:rPr>
        <w:sz w:val="24"/>
        <w:szCs w:val="24"/>
      </w:rPr>
      <w:tab/>
    </w:r>
    <w:sdt>
      <w:sdtPr>
        <w:rPr>
          <w:sz w:val="24"/>
          <w:szCs w:val="24"/>
        </w:rPr>
        <w:id w:val="1508720809"/>
        <w:docPartObj>
          <w:docPartGallery w:val="Page Numbers (Top of Page)"/>
          <w:docPartUnique/>
        </w:docPartObj>
      </w:sdtPr>
      <w:sdtEndPr>
        <w:rPr>
          <w:noProof/>
        </w:rPr>
      </w:sdtEndPr>
      <w:sdtContent>
        <w:r w:rsidRPr="00E770DD">
          <w:rPr>
            <w:sz w:val="24"/>
            <w:szCs w:val="24"/>
          </w:rPr>
          <w:fldChar w:fldCharType="begin"/>
        </w:r>
        <w:r w:rsidRPr="00E770DD">
          <w:rPr>
            <w:sz w:val="24"/>
            <w:szCs w:val="24"/>
          </w:rPr>
          <w:instrText xml:space="preserve"> PAGE   \* MERGEFORMAT </w:instrText>
        </w:r>
        <w:r w:rsidRPr="00E770DD">
          <w:rPr>
            <w:sz w:val="24"/>
            <w:szCs w:val="24"/>
          </w:rPr>
          <w:fldChar w:fldCharType="separate"/>
        </w:r>
        <w:r w:rsidR="00945B6D">
          <w:rPr>
            <w:noProof/>
            <w:sz w:val="24"/>
            <w:szCs w:val="24"/>
          </w:rPr>
          <w:t>1</w:t>
        </w:r>
        <w:r w:rsidRPr="00E770DD">
          <w:rPr>
            <w:noProof/>
            <w:sz w:val="24"/>
            <w:szCs w:val="24"/>
          </w:rPr>
          <w:fldChar w:fldCharType="end"/>
        </w:r>
      </w:sdtContent>
    </w:sdt>
  </w:p>
  <w:p w14:paraId="31BA5CD5" w14:textId="1F9794D3" w:rsidR="00D4694D" w:rsidRPr="00893CB1" w:rsidRDefault="00D4694D">
    <w:pPr>
      <w:pStyle w:val="Head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2203"/>
      <w:docPartObj>
        <w:docPartGallery w:val="Page Numbers (Top of Page)"/>
        <w:docPartUnique/>
      </w:docPartObj>
    </w:sdtPr>
    <w:sdtEndPr>
      <w:rPr>
        <w:noProof/>
        <w:sz w:val="24"/>
        <w:szCs w:val="24"/>
      </w:rPr>
    </w:sdtEndPr>
    <w:sdtContent>
      <w:p w14:paraId="5F7CF653" w14:textId="1F95933F" w:rsidR="00D4694D" w:rsidRPr="00893CB1" w:rsidRDefault="00D4694D">
        <w:pPr>
          <w:pStyle w:val="Header"/>
          <w:jc w:val="right"/>
          <w:rPr>
            <w:sz w:val="24"/>
            <w:szCs w:val="24"/>
          </w:rPr>
        </w:pPr>
        <w:r w:rsidRPr="00E770DD">
          <w:rPr>
            <w:sz w:val="24"/>
            <w:szCs w:val="24"/>
          </w:rPr>
          <w:t>RELATIONSHIPS</w:t>
        </w:r>
        <w:r>
          <w:rPr>
            <w:sz w:val="24"/>
            <w:szCs w:val="24"/>
          </w:rPr>
          <w:t xml:space="preserve"> AND PSYCHOPATHY</w:t>
        </w:r>
        <w:r w:rsidRPr="00E770DD">
          <w:rPr>
            <w:sz w:val="24"/>
            <w:szCs w:val="24"/>
          </w:rPr>
          <w:tab/>
        </w:r>
        <w:r w:rsidRPr="00E770DD">
          <w:rPr>
            <w:sz w:val="24"/>
            <w:szCs w:val="24"/>
          </w:rPr>
          <w:tab/>
        </w:r>
        <w:r>
          <w:rPr>
            <w:sz w:val="24"/>
            <w:szCs w:val="24"/>
          </w:rPr>
          <w:t>3</w:t>
        </w:r>
      </w:p>
    </w:sdtContent>
  </w:sdt>
  <w:p w14:paraId="5802CA4F" w14:textId="77777777" w:rsidR="00D4694D" w:rsidRPr="00893CB1" w:rsidRDefault="00D4694D">
    <w:pPr>
      <w:pStyle w:val="Header"/>
      <w:rPr>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1F50" w14:textId="77777777" w:rsidR="00D4694D" w:rsidRPr="006668EA" w:rsidRDefault="00D4694D">
    <w:pPr>
      <w:pStyle w:val="Header"/>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5EC"/>
    <w:multiLevelType w:val="hybridMultilevel"/>
    <w:tmpl w:val="C122B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59709D"/>
    <w:multiLevelType w:val="hybridMultilevel"/>
    <w:tmpl w:val="F84E93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72863"/>
    <w:multiLevelType w:val="hybridMultilevel"/>
    <w:tmpl w:val="34B80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7D5F64"/>
    <w:multiLevelType w:val="hybridMultilevel"/>
    <w:tmpl w:val="4CF6CD50"/>
    <w:lvl w:ilvl="0" w:tplc="10090001">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start w:val="1"/>
      <w:numFmt w:val="bullet"/>
      <w:lvlText w:val=""/>
      <w:lvlJc w:val="left"/>
      <w:pPr>
        <w:ind w:left="2727" w:hanging="360"/>
      </w:pPr>
      <w:rPr>
        <w:rFonts w:ascii="Wingdings" w:hAnsi="Wingdings" w:hint="default"/>
      </w:rPr>
    </w:lvl>
    <w:lvl w:ilvl="3" w:tplc="1009000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09E41453"/>
    <w:multiLevelType w:val="hybridMultilevel"/>
    <w:tmpl w:val="A11E8D5C"/>
    <w:lvl w:ilvl="0" w:tplc="6B344460">
      <w:start w:val="1"/>
      <w:numFmt w:val="decimal"/>
      <w:lvlText w:val="%1.)"/>
      <w:lvlJc w:val="left"/>
      <w:pPr>
        <w:ind w:left="1080" w:hanging="360"/>
      </w:pPr>
      <w:rPr>
        <w:rFonts w:asciiTheme="minorHAnsi" w:eastAsiaTheme="minorEastAsia"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7C5B47"/>
    <w:multiLevelType w:val="hybridMultilevel"/>
    <w:tmpl w:val="0E32F21C"/>
    <w:lvl w:ilvl="0" w:tplc="68FC0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593907"/>
    <w:multiLevelType w:val="hybridMultilevel"/>
    <w:tmpl w:val="FF7CF7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6D167F"/>
    <w:multiLevelType w:val="hybridMultilevel"/>
    <w:tmpl w:val="7EB8E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2D"/>
    <w:rsid w:val="00010E06"/>
    <w:rsid w:val="0001373C"/>
    <w:rsid w:val="000174C7"/>
    <w:rsid w:val="00017D22"/>
    <w:rsid w:val="000305A5"/>
    <w:rsid w:val="000325F6"/>
    <w:rsid w:val="00035988"/>
    <w:rsid w:val="0004108A"/>
    <w:rsid w:val="00045452"/>
    <w:rsid w:val="000478B5"/>
    <w:rsid w:val="00054C21"/>
    <w:rsid w:val="00061B3B"/>
    <w:rsid w:val="000705F2"/>
    <w:rsid w:val="00084A3D"/>
    <w:rsid w:val="00084EC3"/>
    <w:rsid w:val="0008517C"/>
    <w:rsid w:val="00090197"/>
    <w:rsid w:val="000905E0"/>
    <w:rsid w:val="00092637"/>
    <w:rsid w:val="000A077E"/>
    <w:rsid w:val="000B2653"/>
    <w:rsid w:val="000B60E8"/>
    <w:rsid w:val="000B74A2"/>
    <w:rsid w:val="000D19AE"/>
    <w:rsid w:val="000E16BC"/>
    <w:rsid w:val="000F0BE0"/>
    <w:rsid w:val="00100F9E"/>
    <w:rsid w:val="00101ABB"/>
    <w:rsid w:val="00103D81"/>
    <w:rsid w:val="001118B0"/>
    <w:rsid w:val="00112048"/>
    <w:rsid w:val="00113D0D"/>
    <w:rsid w:val="00117930"/>
    <w:rsid w:val="00117B47"/>
    <w:rsid w:val="001320E9"/>
    <w:rsid w:val="00150ACB"/>
    <w:rsid w:val="0015211A"/>
    <w:rsid w:val="001557EA"/>
    <w:rsid w:val="00157305"/>
    <w:rsid w:val="001636FE"/>
    <w:rsid w:val="00176302"/>
    <w:rsid w:val="00182390"/>
    <w:rsid w:val="00182FF9"/>
    <w:rsid w:val="001833B2"/>
    <w:rsid w:val="001865DC"/>
    <w:rsid w:val="00187019"/>
    <w:rsid w:val="001873D7"/>
    <w:rsid w:val="00190B16"/>
    <w:rsid w:val="0019149B"/>
    <w:rsid w:val="00192DF4"/>
    <w:rsid w:val="001A0310"/>
    <w:rsid w:val="001A15A5"/>
    <w:rsid w:val="001B53DE"/>
    <w:rsid w:val="001C6360"/>
    <w:rsid w:val="001D1D76"/>
    <w:rsid w:val="001D6BB2"/>
    <w:rsid w:val="001E0DD7"/>
    <w:rsid w:val="001E4567"/>
    <w:rsid w:val="001F0576"/>
    <w:rsid w:val="001F1E21"/>
    <w:rsid w:val="00201D55"/>
    <w:rsid w:val="00211A08"/>
    <w:rsid w:val="00215ABB"/>
    <w:rsid w:val="002175CD"/>
    <w:rsid w:val="00222B5A"/>
    <w:rsid w:val="00223725"/>
    <w:rsid w:val="00224C32"/>
    <w:rsid w:val="00233A34"/>
    <w:rsid w:val="002529D8"/>
    <w:rsid w:val="002557DB"/>
    <w:rsid w:val="00260AB9"/>
    <w:rsid w:val="002623D1"/>
    <w:rsid w:val="00263EAF"/>
    <w:rsid w:val="00264A2B"/>
    <w:rsid w:val="00265CD7"/>
    <w:rsid w:val="002774D0"/>
    <w:rsid w:val="00281C75"/>
    <w:rsid w:val="00285193"/>
    <w:rsid w:val="00286EFA"/>
    <w:rsid w:val="002A0688"/>
    <w:rsid w:val="002A1B63"/>
    <w:rsid w:val="002A53F2"/>
    <w:rsid w:val="002B0EBC"/>
    <w:rsid w:val="002C6A91"/>
    <w:rsid w:val="002C731B"/>
    <w:rsid w:val="002D382B"/>
    <w:rsid w:val="002D6711"/>
    <w:rsid w:val="002E0A95"/>
    <w:rsid w:val="002E3361"/>
    <w:rsid w:val="002E3B02"/>
    <w:rsid w:val="002E444E"/>
    <w:rsid w:val="002F2D5D"/>
    <w:rsid w:val="002F30A8"/>
    <w:rsid w:val="002F377D"/>
    <w:rsid w:val="002F5FA6"/>
    <w:rsid w:val="002F7C9E"/>
    <w:rsid w:val="003004C9"/>
    <w:rsid w:val="00303162"/>
    <w:rsid w:val="0030646D"/>
    <w:rsid w:val="003071F7"/>
    <w:rsid w:val="0031116E"/>
    <w:rsid w:val="00311CA6"/>
    <w:rsid w:val="00312755"/>
    <w:rsid w:val="00314A40"/>
    <w:rsid w:val="00325577"/>
    <w:rsid w:val="003268DD"/>
    <w:rsid w:val="00331D25"/>
    <w:rsid w:val="00333C5F"/>
    <w:rsid w:val="00344E2D"/>
    <w:rsid w:val="00346A4E"/>
    <w:rsid w:val="00347FDE"/>
    <w:rsid w:val="00365A32"/>
    <w:rsid w:val="0037532B"/>
    <w:rsid w:val="00376119"/>
    <w:rsid w:val="00376E06"/>
    <w:rsid w:val="0038042F"/>
    <w:rsid w:val="003804B1"/>
    <w:rsid w:val="00384FEA"/>
    <w:rsid w:val="0039729B"/>
    <w:rsid w:val="003A28A9"/>
    <w:rsid w:val="003A3D2C"/>
    <w:rsid w:val="003A7BC8"/>
    <w:rsid w:val="003B0CE9"/>
    <w:rsid w:val="003B1036"/>
    <w:rsid w:val="003B634C"/>
    <w:rsid w:val="003C0C7F"/>
    <w:rsid w:val="003C290C"/>
    <w:rsid w:val="003C325A"/>
    <w:rsid w:val="003C67CB"/>
    <w:rsid w:val="003E4FA8"/>
    <w:rsid w:val="003E50D4"/>
    <w:rsid w:val="003E531A"/>
    <w:rsid w:val="003E74FF"/>
    <w:rsid w:val="003F253E"/>
    <w:rsid w:val="00401066"/>
    <w:rsid w:val="00405346"/>
    <w:rsid w:val="0040590E"/>
    <w:rsid w:val="00411095"/>
    <w:rsid w:val="00411E83"/>
    <w:rsid w:val="00422427"/>
    <w:rsid w:val="004271C7"/>
    <w:rsid w:val="0043001A"/>
    <w:rsid w:val="00431415"/>
    <w:rsid w:val="00432F58"/>
    <w:rsid w:val="00434FEB"/>
    <w:rsid w:val="004351CA"/>
    <w:rsid w:val="00435D47"/>
    <w:rsid w:val="0044730C"/>
    <w:rsid w:val="00450FB2"/>
    <w:rsid w:val="00460760"/>
    <w:rsid w:val="004677B5"/>
    <w:rsid w:val="004701A5"/>
    <w:rsid w:val="004701AC"/>
    <w:rsid w:val="004766B7"/>
    <w:rsid w:val="00480A1A"/>
    <w:rsid w:val="00481C22"/>
    <w:rsid w:val="004872AF"/>
    <w:rsid w:val="004A0657"/>
    <w:rsid w:val="004B472C"/>
    <w:rsid w:val="004B4F7A"/>
    <w:rsid w:val="004B58BD"/>
    <w:rsid w:val="004B794E"/>
    <w:rsid w:val="004C0293"/>
    <w:rsid w:val="004D04C8"/>
    <w:rsid w:val="004D0506"/>
    <w:rsid w:val="004D4760"/>
    <w:rsid w:val="004D5FD8"/>
    <w:rsid w:val="004D6938"/>
    <w:rsid w:val="004D766F"/>
    <w:rsid w:val="004D7812"/>
    <w:rsid w:val="004E5DC0"/>
    <w:rsid w:val="004F3958"/>
    <w:rsid w:val="004F7769"/>
    <w:rsid w:val="00502FFD"/>
    <w:rsid w:val="0050654C"/>
    <w:rsid w:val="005072F2"/>
    <w:rsid w:val="0051339C"/>
    <w:rsid w:val="00515129"/>
    <w:rsid w:val="00522A17"/>
    <w:rsid w:val="00523381"/>
    <w:rsid w:val="00524C75"/>
    <w:rsid w:val="00525098"/>
    <w:rsid w:val="00526527"/>
    <w:rsid w:val="00537252"/>
    <w:rsid w:val="005427B1"/>
    <w:rsid w:val="005504FD"/>
    <w:rsid w:val="0055721C"/>
    <w:rsid w:val="00585587"/>
    <w:rsid w:val="00591B23"/>
    <w:rsid w:val="005B02FF"/>
    <w:rsid w:val="005C4A0C"/>
    <w:rsid w:val="005D5E50"/>
    <w:rsid w:val="005E48F4"/>
    <w:rsid w:val="005F3286"/>
    <w:rsid w:val="005F4336"/>
    <w:rsid w:val="005F75FC"/>
    <w:rsid w:val="00604E67"/>
    <w:rsid w:val="006079CE"/>
    <w:rsid w:val="006120E3"/>
    <w:rsid w:val="00612141"/>
    <w:rsid w:val="006174E8"/>
    <w:rsid w:val="006278E5"/>
    <w:rsid w:val="00630519"/>
    <w:rsid w:val="006305F2"/>
    <w:rsid w:val="00630C33"/>
    <w:rsid w:val="00632D3F"/>
    <w:rsid w:val="0063625B"/>
    <w:rsid w:val="006425E7"/>
    <w:rsid w:val="00642A6D"/>
    <w:rsid w:val="006449C9"/>
    <w:rsid w:val="00646120"/>
    <w:rsid w:val="006513D5"/>
    <w:rsid w:val="00652523"/>
    <w:rsid w:val="00652F02"/>
    <w:rsid w:val="00661C4F"/>
    <w:rsid w:val="00664217"/>
    <w:rsid w:val="00665ECB"/>
    <w:rsid w:val="00666741"/>
    <w:rsid w:val="006668EA"/>
    <w:rsid w:val="0069154D"/>
    <w:rsid w:val="00692314"/>
    <w:rsid w:val="00693FB5"/>
    <w:rsid w:val="006C3ABD"/>
    <w:rsid w:val="006C6574"/>
    <w:rsid w:val="006D396F"/>
    <w:rsid w:val="006D4DE1"/>
    <w:rsid w:val="006E1960"/>
    <w:rsid w:val="006E3187"/>
    <w:rsid w:val="006E5A73"/>
    <w:rsid w:val="006E62A4"/>
    <w:rsid w:val="006E6EDA"/>
    <w:rsid w:val="006F2F52"/>
    <w:rsid w:val="006F3D2C"/>
    <w:rsid w:val="006F4ED7"/>
    <w:rsid w:val="00705A6D"/>
    <w:rsid w:val="00705EBE"/>
    <w:rsid w:val="007130A3"/>
    <w:rsid w:val="00714246"/>
    <w:rsid w:val="00715987"/>
    <w:rsid w:val="0071650A"/>
    <w:rsid w:val="007221AD"/>
    <w:rsid w:val="00727A3F"/>
    <w:rsid w:val="00734C90"/>
    <w:rsid w:val="007458BF"/>
    <w:rsid w:val="00752465"/>
    <w:rsid w:val="00757B8E"/>
    <w:rsid w:val="00761DA7"/>
    <w:rsid w:val="0076242B"/>
    <w:rsid w:val="0077180E"/>
    <w:rsid w:val="00772233"/>
    <w:rsid w:val="00772366"/>
    <w:rsid w:val="007763D9"/>
    <w:rsid w:val="007771E8"/>
    <w:rsid w:val="0078213C"/>
    <w:rsid w:val="00783043"/>
    <w:rsid w:val="00786D87"/>
    <w:rsid w:val="007A54B4"/>
    <w:rsid w:val="007A7D31"/>
    <w:rsid w:val="007B5208"/>
    <w:rsid w:val="007C389D"/>
    <w:rsid w:val="007C3DE5"/>
    <w:rsid w:val="007C6061"/>
    <w:rsid w:val="007D2D4D"/>
    <w:rsid w:val="007D6375"/>
    <w:rsid w:val="007D7338"/>
    <w:rsid w:val="007F4292"/>
    <w:rsid w:val="007F499E"/>
    <w:rsid w:val="007F7FC1"/>
    <w:rsid w:val="00802266"/>
    <w:rsid w:val="008031AE"/>
    <w:rsid w:val="008049EE"/>
    <w:rsid w:val="00813430"/>
    <w:rsid w:val="008172F5"/>
    <w:rsid w:val="008177AA"/>
    <w:rsid w:val="00830212"/>
    <w:rsid w:val="00831A14"/>
    <w:rsid w:val="00834040"/>
    <w:rsid w:val="0083478F"/>
    <w:rsid w:val="00841362"/>
    <w:rsid w:val="00847958"/>
    <w:rsid w:val="00851795"/>
    <w:rsid w:val="00853413"/>
    <w:rsid w:val="00865D4A"/>
    <w:rsid w:val="008668F5"/>
    <w:rsid w:val="008670EE"/>
    <w:rsid w:val="00867C14"/>
    <w:rsid w:val="00877247"/>
    <w:rsid w:val="0088274F"/>
    <w:rsid w:val="0088487E"/>
    <w:rsid w:val="00886084"/>
    <w:rsid w:val="00893CB1"/>
    <w:rsid w:val="008A67FD"/>
    <w:rsid w:val="008B1C91"/>
    <w:rsid w:val="008B5273"/>
    <w:rsid w:val="008C580E"/>
    <w:rsid w:val="008D1810"/>
    <w:rsid w:val="008E756E"/>
    <w:rsid w:val="008F0344"/>
    <w:rsid w:val="008F25AB"/>
    <w:rsid w:val="008F5D79"/>
    <w:rsid w:val="008F6139"/>
    <w:rsid w:val="008F72DE"/>
    <w:rsid w:val="00902383"/>
    <w:rsid w:val="00902A3B"/>
    <w:rsid w:val="00907654"/>
    <w:rsid w:val="00912D65"/>
    <w:rsid w:val="00913E5A"/>
    <w:rsid w:val="00914464"/>
    <w:rsid w:val="009210B0"/>
    <w:rsid w:val="00921626"/>
    <w:rsid w:val="00927154"/>
    <w:rsid w:val="009317E8"/>
    <w:rsid w:val="00932A11"/>
    <w:rsid w:val="00935C99"/>
    <w:rsid w:val="00936F07"/>
    <w:rsid w:val="00945B6D"/>
    <w:rsid w:val="00945CAA"/>
    <w:rsid w:val="009468E6"/>
    <w:rsid w:val="00947B9D"/>
    <w:rsid w:val="009559C8"/>
    <w:rsid w:val="0096460B"/>
    <w:rsid w:val="0096720A"/>
    <w:rsid w:val="00971F21"/>
    <w:rsid w:val="00982077"/>
    <w:rsid w:val="009910F0"/>
    <w:rsid w:val="00994DDB"/>
    <w:rsid w:val="00995296"/>
    <w:rsid w:val="0099788D"/>
    <w:rsid w:val="009A5CB7"/>
    <w:rsid w:val="009C1ED3"/>
    <w:rsid w:val="009C6C3E"/>
    <w:rsid w:val="009C7502"/>
    <w:rsid w:val="009D500F"/>
    <w:rsid w:val="009D52C0"/>
    <w:rsid w:val="009E4680"/>
    <w:rsid w:val="009E4F60"/>
    <w:rsid w:val="009E75A5"/>
    <w:rsid w:val="009E7923"/>
    <w:rsid w:val="009F3314"/>
    <w:rsid w:val="009F43D8"/>
    <w:rsid w:val="009F6B0C"/>
    <w:rsid w:val="009F6B10"/>
    <w:rsid w:val="00A021BE"/>
    <w:rsid w:val="00A12286"/>
    <w:rsid w:val="00A13F04"/>
    <w:rsid w:val="00A22005"/>
    <w:rsid w:val="00A2407D"/>
    <w:rsid w:val="00A307D3"/>
    <w:rsid w:val="00A3377F"/>
    <w:rsid w:val="00A43679"/>
    <w:rsid w:val="00A52E9F"/>
    <w:rsid w:val="00A57B1B"/>
    <w:rsid w:val="00A6299D"/>
    <w:rsid w:val="00A65A40"/>
    <w:rsid w:val="00A80CB8"/>
    <w:rsid w:val="00A8310B"/>
    <w:rsid w:val="00A93F3B"/>
    <w:rsid w:val="00AA6C9F"/>
    <w:rsid w:val="00AA6ECE"/>
    <w:rsid w:val="00AB1743"/>
    <w:rsid w:val="00AB2DCC"/>
    <w:rsid w:val="00AC0B43"/>
    <w:rsid w:val="00AD19FE"/>
    <w:rsid w:val="00AD3415"/>
    <w:rsid w:val="00AD34A7"/>
    <w:rsid w:val="00AE3514"/>
    <w:rsid w:val="00AF1E0B"/>
    <w:rsid w:val="00AF77A4"/>
    <w:rsid w:val="00B04280"/>
    <w:rsid w:val="00B11F85"/>
    <w:rsid w:val="00B12BED"/>
    <w:rsid w:val="00B14183"/>
    <w:rsid w:val="00B161F9"/>
    <w:rsid w:val="00B25793"/>
    <w:rsid w:val="00B25A68"/>
    <w:rsid w:val="00B3130B"/>
    <w:rsid w:val="00B32820"/>
    <w:rsid w:val="00B34EF7"/>
    <w:rsid w:val="00B41532"/>
    <w:rsid w:val="00B42C9D"/>
    <w:rsid w:val="00B47E6D"/>
    <w:rsid w:val="00B47E92"/>
    <w:rsid w:val="00B53C31"/>
    <w:rsid w:val="00B71E76"/>
    <w:rsid w:val="00B770C4"/>
    <w:rsid w:val="00B80DBD"/>
    <w:rsid w:val="00B812E5"/>
    <w:rsid w:val="00B82D24"/>
    <w:rsid w:val="00B90FBD"/>
    <w:rsid w:val="00B91111"/>
    <w:rsid w:val="00B962BD"/>
    <w:rsid w:val="00B97D72"/>
    <w:rsid w:val="00BA2224"/>
    <w:rsid w:val="00BB089D"/>
    <w:rsid w:val="00BB67FC"/>
    <w:rsid w:val="00BB71AE"/>
    <w:rsid w:val="00BB7E00"/>
    <w:rsid w:val="00BC5499"/>
    <w:rsid w:val="00BD0FD2"/>
    <w:rsid w:val="00BD373A"/>
    <w:rsid w:val="00BF4695"/>
    <w:rsid w:val="00C02600"/>
    <w:rsid w:val="00C04534"/>
    <w:rsid w:val="00C0476A"/>
    <w:rsid w:val="00C05101"/>
    <w:rsid w:val="00C068E1"/>
    <w:rsid w:val="00C072C8"/>
    <w:rsid w:val="00C13638"/>
    <w:rsid w:val="00C1686C"/>
    <w:rsid w:val="00C17B71"/>
    <w:rsid w:val="00C2186B"/>
    <w:rsid w:val="00C2747E"/>
    <w:rsid w:val="00C3204E"/>
    <w:rsid w:val="00C34837"/>
    <w:rsid w:val="00C463D5"/>
    <w:rsid w:val="00C507AE"/>
    <w:rsid w:val="00C50E40"/>
    <w:rsid w:val="00C53467"/>
    <w:rsid w:val="00C535D1"/>
    <w:rsid w:val="00C62C9C"/>
    <w:rsid w:val="00C73F08"/>
    <w:rsid w:val="00C7509D"/>
    <w:rsid w:val="00C76C9A"/>
    <w:rsid w:val="00C8720E"/>
    <w:rsid w:val="00C874B3"/>
    <w:rsid w:val="00C9108E"/>
    <w:rsid w:val="00C918C6"/>
    <w:rsid w:val="00C91F7E"/>
    <w:rsid w:val="00C9579C"/>
    <w:rsid w:val="00CA7A8A"/>
    <w:rsid w:val="00CB027C"/>
    <w:rsid w:val="00CB1526"/>
    <w:rsid w:val="00CB2E45"/>
    <w:rsid w:val="00CB360C"/>
    <w:rsid w:val="00CB437E"/>
    <w:rsid w:val="00CB45C6"/>
    <w:rsid w:val="00CC239F"/>
    <w:rsid w:val="00CC7077"/>
    <w:rsid w:val="00CC75EE"/>
    <w:rsid w:val="00CE0B02"/>
    <w:rsid w:val="00CE4BFC"/>
    <w:rsid w:val="00CF4A36"/>
    <w:rsid w:val="00D05524"/>
    <w:rsid w:val="00D06074"/>
    <w:rsid w:val="00D07925"/>
    <w:rsid w:val="00D14842"/>
    <w:rsid w:val="00D14954"/>
    <w:rsid w:val="00D23F13"/>
    <w:rsid w:val="00D4694D"/>
    <w:rsid w:val="00D50261"/>
    <w:rsid w:val="00D50A09"/>
    <w:rsid w:val="00D54AA3"/>
    <w:rsid w:val="00D56779"/>
    <w:rsid w:val="00D567D6"/>
    <w:rsid w:val="00D577F2"/>
    <w:rsid w:val="00D63977"/>
    <w:rsid w:val="00D648A6"/>
    <w:rsid w:val="00D650F4"/>
    <w:rsid w:val="00D75DF1"/>
    <w:rsid w:val="00D773D7"/>
    <w:rsid w:val="00D82F61"/>
    <w:rsid w:val="00D8405D"/>
    <w:rsid w:val="00D84D7F"/>
    <w:rsid w:val="00D872E7"/>
    <w:rsid w:val="00D91DD7"/>
    <w:rsid w:val="00DA2221"/>
    <w:rsid w:val="00DA29A7"/>
    <w:rsid w:val="00DA38FD"/>
    <w:rsid w:val="00DB12D5"/>
    <w:rsid w:val="00DC26B6"/>
    <w:rsid w:val="00DC4391"/>
    <w:rsid w:val="00DC48D5"/>
    <w:rsid w:val="00DC6DAD"/>
    <w:rsid w:val="00DC73E4"/>
    <w:rsid w:val="00DD0F11"/>
    <w:rsid w:val="00DD4D3D"/>
    <w:rsid w:val="00DD6BB9"/>
    <w:rsid w:val="00DE1651"/>
    <w:rsid w:val="00DE35C7"/>
    <w:rsid w:val="00DE460F"/>
    <w:rsid w:val="00E06DE5"/>
    <w:rsid w:val="00E10F77"/>
    <w:rsid w:val="00E2723E"/>
    <w:rsid w:val="00E402F6"/>
    <w:rsid w:val="00E4311A"/>
    <w:rsid w:val="00E62617"/>
    <w:rsid w:val="00E62AD9"/>
    <w:rsid w:val="00E63D49"/>
    <w:rsid w:val="00E73465"/>
    <w:rsid w:val="00E770DD"/>
    <w:rsid w:val="00E80DB5"/>
    <w:rsid w:val="00E87D49"/>
    <w:rsid w:val="00E91A92"/>
    <w:rsid w:val="00EA48BA"/>
    <w:rsid w:val="00EA57A7"/>
    <w:rsid w:val="00EE0110"/>
    <w:rsid w:val="00EE2929"/>
    <w:rsid w:val="00EE44A7"/>
    <w:rsid w:val="00EE7C15"/>
    <w:rsid w:val="00EF2278"/>
    <w:rsid w:val="00EF4FC5"/>
    <w:rsid w:val="00EF5442"/>
    <w:rsid w:val="00EF769D"/>
    <w:rsid w:val="00F0544C"/>
    <w:rsid w:val="00F0703A"/>
    <w:rsid w:val="00F07668"/>
    <w:rsid w:val="00F1584D"/>
    <w:rsid w:val="00F17EF1"/>
    <w:rsid w:val="00F22355"/>
    <w:rsid w:val="00F31C2D"/>
    <w:rsid w:val="00F33F01"/>
    <w:rsid w:val="00F36F5D"/>
    <w:rsid w:val="00F42121"/>
    <w:rsid w:val="00F54780"/>
    <w:rsid w:val="00F60EAB"/>
    <w:rsid w:val="00F6663D"/>
    <w:rsid w:val="00F72598"/>
    <w:rsid w:val="00F82CBC"/>
    <w:rsid w:val="00F8380C"/>
    <w:rsid w:val="00F94847"/>
    <w:rsid w:val="00FA3320"/>
    <w:rsid w:val="00FA5AAE"/>
    <w:rsid w:val="00FA7646"/>
    <w:rsid w:val="00FB11A0"/>
    <w:rsid w:val="00FB137A"/>
    <w:rsid w:val="00FB2962"/>
    <w:rsid w:val="00FB4A2D"/>
    <w:rsid w:val="00FB5967"/>
    <w:rsid w:val="00FC3A35"/>
    <w:rsid w:val="00FC3E6D"/>
    <w:rsid w:val="00FC4968"/>
    <w:rsid w:val="00FD70BB"/>
    <w:rsid w:val="00FE11F9"/>
    <w:rsid w:val="00FE1822"/>
    <w:rsid w:val="00FF0764"/>
    <w:rsid w:val="00FF193A"/>
    <w:rsid w:val="00FF4C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EE9B2"/>
  <w15:docId w15:val="{2A66DFE6-C86C-4883-A6C5-EB51ECCF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D8"/>
  </w:style>
  <w:style w:type="paragraph" w:styleId="Heading1">
    <w:name w:val="heading 1"/>
    <w:basedOn w:val="Normal"/>
    <w:next w:val="Normal"/>
    <w:link w:val="Heading1Char"/>
    <w:uiPriority w:val="9"/>
    <w:qFormat/>
    <w:rsid w:val="00E62AD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9"/>
    <w:unhideWhenUsed/>
    <w:qFormat/>
    <w:rsid w:val="00E62AD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9"/>
    <w:unhideWhenUsed/>
    <w:qFormat/>
    <w:rsid w:val="00E62AD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E62AD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E62AD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62AD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E62AD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E62AD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62AD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D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9"/>
    <w:rsid w:val="00E62AD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9"/>
    <w:rsid w:val="00E62AD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E62AD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E62AD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E62AD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E62AD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E62AD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62AD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E62AD9"/>
    <w:pPr>
      <w:spacing w:line="240" w:lineRule="auto"/>
    </w:pPr>
    <w:rPr>
      <w:b/>
      <w:bCs/>
      <w:smallCaps/>
      <w:color w:val="595959" w:themeColor="text1" w:themeTint="A6"/>
    </w:rPr>
  </w:style>
  <w:style w:type="paragraph" w:styleId="Title">
    <w:name w:val="Title"/>
    <w:basedOn w:val="Normal"/>
    <w:next w:val="Normal"/>
    <w:link w:val="TitleChar"/>
    <w:uiPriority w:val="10"/>
    <w:qFormat/>
    <w:rsid w:val="00E62AD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62AD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62AD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62AD9"/>
    <w:rPr>
      <w:rFonts w:asciiTheme="majorHAnsi" w:eastAsiaTheme="majorEastAsia" w:hAnsiTheme="majorHAnsi" w:cstheme="majorBidi"/>
      <w:sz w:val="30"/>
      <w:szCs w:val="30"/>
    </w:rPr>
  </w:style>
  <w:style w:type="character" w:styleId="Strong">
    <w:name w:val="Strong"/>
    <w:basedOn w:val="DefaultParagraphFont"/>
    <w:uiPriority w:val="22"/>
    <w:qFormat/>
    <w:rsid w:val="00E62AD9"/>
    <w:rPr>
      <w:b/>
      <w:bCs/>
    </w:rPr>
  </w:style>
  <w:style w:type="character" w:styleId="Emphasis">
    <w:name w:val="Emphasis"/>
    <w:basedOn w:val="DefaultParagraphFont"/>
    <w:uiPriority w:val="20"/>
    <w:qFormat/>
    <w:rsid w:val="00E62AD9"/>
    <w:rPr>
      <w:i/>
      <w:iCs/>
      <w:color w:val="70AD47" w:themeColor="accent6"/>
    </w:rPr>
  </w:style>
  <w:style w:type="paragraph" w:styleId="NoSpacing">
    <w:name w:val="No Spacing"/>
    <w:uiPriority w:val="1"/>
    <w:qFormat/>
    <w:rsid w:val="00E62AD9"/>
    <w:pPr>
      <w:spacing w:after="0" w:line="240" w:lineRule="auto"/>
    </w:pPr>
  </w:style>
  <w:style w:type="paragraph" w:styleId="Quote">
    <w:name w:val="Quote"/>
    <w:basedOn w:val="Normal"/>
    <w:next w:val="Normal"/>
    <w:link w:val="QuoteChar"/>
    <w:uiPriority w:val="29"/>
    <w:qFormat/>
    <w:rsid w:val="00E62AD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62AD9"/>
    <w:rPr>
      <w:i/>
      <w:iCs/>
      <w:color w:val="262626" w:themeColor="text1" w:themeTint="D9"/>
    </w:rPr>
  </w:style>
  <w:style w:type="paragraph" w:styleId="IntenseQuote">
    <w:name w:val="Intense Quote"/>
    <w:basedOn w:val="Normal"/>
    <w:next w:val="Normal"/>
    <w:link w:val="IntenseQuoteChar"/>
    <w:uiPriority w:val="30"/>
    <w:qFormat/>
    <w:rsid w:val="00E62AD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62AD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62AD9"/>
    <w:rPr>
      <w:i/>
      <w:iCs/>
    </w:rPr>
  </w:style>
  <w:style w:type="character" w:styleId="IntenseEmphasis">
    <w:name w:val="Intense Emphasis"/>
    <w:basedOn w:val="DefaultParagraphFont"/>
    <w:uiPriority w:val="21"/>
    <w:qFormat/>
    <w:rsid w:val="00E62AD9"/>
    <w:rPr>
      <w:b/>
      <w:bCs/>
      <w:i/>
      <w:iCs/>
    </w:rPr>
  </w:style>
  <w:style w:type="character" w:styleId="SubtleReference">
    <w:name w:val="Subtle Reference"/>
    <w:basedOn w:val="DefaultParagraphFont"/>
    <w:uiPriority w:val="31"/>
    <w:qFormat/>
    <w:rsid w:val="00E62AD9"/>
    <w:rPr>
      <w:smallCaps/>
      <w:color w:val="595959" w:themeColor="text1" w:themeTint="A6"/>
    </w:rPr>
  </w:style>
  <w:style w:type="character" w:styleId="IntenseReference">
    <w:name w:val="Intense Reference"/>
    <w:basedOn w:val="DefaultParagraphFont"/>
    <w:uiPriority w:val="32"/>
    <w:qFormat/>
    <w:rsid w:val="00E62AD9"/>
    <w:rPr>
      <w:b/>
      <w:bCs/>
      <w:smallCaps/>
      <w:color w:val="70AD47" w:themeColor="accent6"/>
    </w:rPr>
  </w:style>
  <w:style w:type="character" w:styleId="BookTitle">
    <w:name w:val="Book Title"/>
    <w:basedOn w:val="DefaultParagraphFont"/>
    <w:uiPriority w:val="33"/>
    <w:qFormat/>
    <w:rsid w:val="00E62AD9"/>
    <w:rPr>
      <w:b/>
      <w:bCs/>
      <w:caps w:val="0"/>
      <w:smallCaps/>
      <w:spacing w:val="7"/>
      <w:sz w:val="21"/>
      <w:szCs w:val="21"/>
    </w:rPr>
  </w:style>
  <w:style w:type="paragraph" w:styleId="TOCHeading">
    <w:name w:val="TOC Heading"/>
    <w:basedOn w:val="Heading1"/>
    <w:next w:val="Normal"/>
    <w:link w:val="TOCHeadingChar"/>
    <w:uiPriority w:val="39"/>
    <w:unhideWhenUsed/>
    <w:qFormat/>
    <w:rsid w:val="00E62AD9"/>
    <w:pPr>
      <w:outlineLvl w:val="9"/>
    </w:pPr>
  </w:style>
  <w:style w:type="paragraph" w:customStyle="1" w:styleId="Default">
    <w:name w:val="Default"/>
    <w:rsid w:val="00FB4A2D"/>
    <w:pPr>
      <w:autoSpaceDE w:val="0"/>
      <w:autoSpaceDN w:val="0"/>
      <w:adjustRightInd w:val="0"/>
    </w:pPr>
    <w:rPr>
      <w:rFonts w:ascii="Times New Roman" w:hAnsi="Times New Roman" w:cs="Times New Roman"/>
      <w:color w:val="000000"/>
    </w:rPr>
  </w:style>
  <w:style w:type="paragraph" w:styleId="TOC2">
    <w:name w:val="toc 2"/>
    <w:basedOn w:val="Normal"/>
    <w:next w:val="Normal"/>
    <w:autoRedefine/>
    <w:uiPriority w:val="39"/>
    <w:unhideWhenUsed/>
    <w:rsid w:val="00E62AD9"/>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E62AD9"/>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E62AD9"/>
    <w:pPr>
      <w:spacing w:after="100" w:line="259" w:lineRule="auto"/>
      <w:ind w:left="440"/>
    </w:pPr>
    <w:rPr>
      <w:rFonts w:cs="Times New Roman"/>
      <w:sz w:val="22"/>
      <w:szCs w:val="22"/>
      <w:lang w:val="en-US"/>
    </w:rPr>
  </w:style>
  <w:style w:type="character" w:styleId="CommentReference">
    <w:name w:val="annotation reference"/>
    <w:basedOn w:val="DefaultParagraphFont"/>
    <w:uiPriority w:val="99"/>
    <w:semiHidden/>
    <w:unhideWhenUsed/>
    <w:rsid w:val="00346A4E"/>
    <w:rPr>
      <w:sz w:val="16"/>
      <w:szCs w:val="16"/>
    </w:rPr>
  </w:style>
  <w:style w:type="paragraph" w:styleId="CommentText">
    <w:name w:val="annotation text"/>
    <w:basedOn w:val="Normal"/>
    <w:link w:val="CommentTextChar"/>
    <w:uiPriority w:val="99"/>
    <w:semiHidden/>
    <w:unhideWhenUsed/>
    <w:rsid w:val="00346A4E"/>
    <w:pPr>
      <w:spacing w:line="240" w:lineRule="auto"/>
    </w:pPr>
    <w:rPr>
      <w:sz w:val="20"/>
      <w:szCs w:val="20"/>
    </w:rPr>
  </w:style>
  <w:style w:type="character" w:customStyle="1" w:styleId="CommentTextChar">
    <w:name w:val="Comment Text Char"/>
    <w:basedOn w:val="DefaultParagraphFont"/>
    <w:link w:val="CommentText"/>
    <w:uiPriority w:val="99"/>
    <w:semiHidden/>
    <w:rsid w:val="00346A4E"/>
    <w:rPr>
      <w:sz w:val="20"/>
      <w:szCs w:val="20"/>
    </w:rPr>
  </w:style>
  <w:style w:type="paragraph" w:styleId="CommentSubject">
    <w:name w:val="annotation subject"/>
    <w:basedOn w:val="CommentText"/>
    <w:next w:val="CommentText"/>
    <w:link w:val="CommentSubjectChar"/>
    <w:uiPriority w:val="99"/>
    <w:semiHidden/>
    <w:unhideWhenUsed/>
    <w:rsid w:val="00346A4E"/>
    <w:rPr>
      <w:b/>
      <w:bCs/>
    </w:rPr>
  </w:style>
  <w:style w:type="character" w:customStyle="1" w:styleId="CommentSubjectChar">
    <w:name w:val="Comment Subject Char"/>
    <w:basedOn w:val="CommentTextChar"/>
    <w:link w:val="CommentSubject"/>
    <w:uiPriority w:val="99"/>
    <w:semiHidden/>
    <w:rsid w:val="00346A4E"/>
    <w:rPr>
      <w:b/>
      <w:bCs/>
      <w:sz w:val="20"/>
      <w:szCs w:val="20"/>
    </w:rPr>
  </w:style>
  <w:style w:type="paragraph" w:styleId="BalloonText">
    <w:name w:val="Balloon Text"/>
    <w:basedOn w:val="Normal"/>
    <w:link w:val="BalloonTextChar"/>
    <w:uiPriority w:val="99"/>
    <w:semiHidden/>
    <w:unhideWhenUsed/>
    <w:rsid w:val="00346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4E"/>
    <w:rPr>
      <w:rFonts w:ascii="Segoe UI" w:hAnsi="Segoe UI" w:cs="Segoe UI"/>
      <w:sz w:val="18"/>
      <w:szCs w:val="18"/>
    </w:rPr>
  </w:style>
  <w:style w:type="paragraph" w:styleId="Header">
    <w:name w:val="header"/>
    <w:basedOn w:val="Normal"/>
    <w:link w:val="HeaderChar"/>
    <w:uiPriority w:val="99"/>
    <w:unhideWhenUsed/>
    <w:rsid w:val="008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CB1"/>
  </w:style>
  <w:style w:type="paragraph" w:styleId="Footer">
    <w:name w:val="footer"/>
    <w:basedOn w:val="Normal"/>
    <w:link w:val="FooterChar"/>
    <w:uiPriority w:val="99"/>
    <w:unhideWhenUsed/>
    <w:rsid w:val="008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B1"/>
  </w:style>
  <w:style w:type="paragraph" w:styleId="ListParagraph">
    <w:name w:val="List Paragraph"/>
    <w:basedOn w:val="Normal"/>
    <w:uiPriority w:val="34"/>
    <w:qFormat/>
    <w:rsid w:val="00331D25"/>
    <w:pPr>
      <w:ind w:left="720"/>
      <w:contextualSpacing/>
    </w:pPr>
  </w:style>
  <w:style w:type="table" w:styleId="TableGrid">
    <w:name w:val="Table Grid"/>
    <w:basedOn w:val="TableNormal"/>
    <w:uiPriority w:val="39"/>
    <w:rsid w:val="00C2747E"/>
    <w:pPr>
      <w:spacing w:after="0" w:line="240" w:lineRule="auto"/>
      <w:ind w:firstLine="567"/>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0B60E8"/>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DE35C7"/>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A1">
    <w:name w:val="APA1"/>
    <w:basedOn w:val="TOCHeading"/>
    <w:link w:val="APA1Char"/>
    <w:qFormat/>
    <w:rsid w:val="00460760"/>
    <w:pPr>
      <w:spacing w:line="480" w:lineRule="auto"/>
      <w:jc w:val="center"/>
    </w:pPr>
    <w:rPr>
      <w:b/>
      <w:color w:val="auto"/>
      <w:sz w:val="24"/>
    </w:rPr>
  </w:style>
  <w:style w:type="paragraph" w:customStyle="1" w:styleId="APA2">
    <w:name w:val="APA2"/>
    <w:basedOn w:val="APA1"/>
    <w:link w:val="APA2Char"/>
    <w:qFormat/>
    <w:rsid w:val="00460760"/>
    <w:pPr>
      <w:jc w:val="left"/>
    </w:pPr>
  </w:style>
  <w:style w:type="character" w:customStyle="1" w:styleId="TOCHeadingChar">
    <w:name w:val="TOC Heading Char"/>
    <w:basedOn w:val="Heading1Char"/>
    <w:link w:val="TOCHeading"/>
    <w:uiPriority w:val="39"/>
    <w:rsid w:val="00460760"/>
    <w:rPr>
      <w:rFonts w:asciiTheme="majorHAnsi" w:eastAsiaTheme="majorEastAsia" w:hAnsiTheme="majorHAnsi" w:cstheme="majorBidi"/>
      <w:color w:val="538135" w:themeColor="accent6" w:themeShade="BF"/>
      <w:sz w:val="40"/>
      <w:szCs w:val="40"/>
    </w:rPr>
  </w:style>
  <w:style w:type="character" w:customStyle="1" w:styleId="APA1Char">
    <w:name w:val="APA1 Char"/>
    <w:basedOn w:val="TOCHeadingChar"/>
    <w:link w:val="APA1"/>
    <w:rsid w:val="00460760"/>
    <w:rPr>
      <w:rFonts w:asciiTheme="majorHAnsi" w:eastAsiaTheme="majorEastAsia" w:hAnsiTheme="majorHAnsi" w:cstheme="majorBidi"/>
      <w:b/>
      <w:color w:val="538135" w:themeColor="accent6" w:themeShade="BF"/>
      <w:sz w:val="24"/>
      <w:szCs w:val="40"/>
    </w:rPr>
  </w:style>
  <w:style w:type="paragraph" w:customStyle="1" w:styleId="APA3">
    <w:name w:val="APA3"/>
    <w:basedOn w:val="APA2"/>
    <w:link w:val="APA3Char"/>
    <w:qFormat/>
    <w:rsid w:val="00460760"/>
    <w:pPr>
      <w:ind w:left="720"/>
    </w:pPr>
  </w:style>
  <w:style w:type="character" w:customStyle="1" w:styleId="APA2Char">
    <w:name w:val="APA2 Char"/>
    <w:basedOn w:val="APA1Char"/>
    <w:link w:val="APA2"/>
    <w:rsid w:val="00460760"/>
    <w:rPr>
      <w:rFonts w:asciiTheme="majorHAnsi" w:eastAsiaTheme="majorEastAsia" w:hAnsiTheme="majorHAnsi" w:cstheme="majorBidi"/>
      <w:b/>
      <w:color w:val="538135" w:themeColor="accent6" w:themeShade="BF"/>
      <w:sz w:val="24"/>
      <w:szCs w:val="40"/>
    </w:rPr>
  </w:style>
  <w:style w:type="paragraph" w:customStyle="1" w:styleId="APA4">
    <w:name w:val="APA4"/>
    <w:basedOn w:val="APA3"/>
    <w:link w:val="APA4Char"/>
    <w:qFormat/>
    <w:rsid w:val="00460760"/>
    <w:rPr>
      <w:i/>
    </w:rPr>
  </w:style>
  <w:style w:type="character" w:customStyle="1" w:styleId="APA3Char">
    <w:name w:val="APA3 Char"/>
    <w:basedOn w:val="APA2Char"/>
    <w:link w:val="APA3"/>
    <w:rsid w:val="00460760"/>
    <w:rPr>
      <w:rFonts w:asciiTheme="majorHAnsi" w:eastAsiaTheme="majorEastAsia" w:hAnsiTheme="majorHAnsi" w:cstheme="majorBidi"/>
      <w:b/>
      <w:color w:val="538135" w:themeColor="accent6" w:themeShade="BF"/>
      <w:sz w:val="24"/>
      <w:szCs w:val="40"/>
    </w:rPr>
  </w:style>
  <w:style w:type="paragraph" w:customStyle="1" w:styleId="APA5">
    <w:name w:val="APA5"/>
    <w:basedOn w:val="APA4"/>
    <w:link w:val="APA5Char"/>
    <w:qFormat/>
    <w:rsid w:val="00460760"/>
    <w:rPr>
      <w:b w:val="0"/>
    </w:rPr>
  </w:style>
  <w:style w:type="character" w:customStyle="1" w:styleId="APA4Char">
    <w:name w:val="APA4 Char"/>
    <w:basedOn w:val="APA3Char"/>
    <w:link w:val="APA4"/>
    <w:rsid w:val="00460760"/>
    <w:rPr>
      <w:rFonts w:asciiTheme="majorHAnsi" w:eastAsiaTheme="majorEastAsia" w:hAnsiTheme="majorHAnsi" w:cstheme="majorBidi"/>
      <w:b/>
      <w:i/>
      <w:color w:val="538135" w:themeColor="accent6" w:themeShade="BF"/>
      <w:sz w:val="24"/>
      <w:szCs w:val="40"/>
    </w:rPr>
  </w:style>
  <w:style w:type="character" w:customStyle="1" w:styleId="APA5Char">
    <w:name w:val="APA5 Char"/>
    <w:basedOn w:val="APA4Char"/>
    <w:link w:val="APA5"/>
    <w:rsid w:val="00460760"/>
    <w:rPr>
      <w:rFonts w:asciiTheme="majorHAnsi" w:eastAsiaTheme="majorEastAsia" w:hAnsiTheme="majorHAnsi" w:cstheme="majorBidi"/>
      <w:b w:val="0"/>
      <w:i/>
      <w:color w:val="538135" w:themeColor="accent6" w:themeShade="BF"/>
      <w:sz w:val="24"/>
      <w:szCs w:val="40"/>
    </w:rPr>
  </w:style>
  <w:style w:type="character" w:styleId="Hyperlink">
    <w:name w:val="Hyperlink"/>
    <w:basedOn w:val="DefaultParagraphFont"/>
    <w:uiPriority w:val="99"/>
    <w:unhideWhenUsed/>
    <w:rsid w:val="00665ECB"/>
    <w:rPr>
      <w:color w:val="0563C1" w:themeColor="hyperlink"/>
      <w:u w:val="single"/>
    </w:rPr>
  </w:style>
  <w:style w:type="character" w:customStyle="1" w:styleId="UnresolvedMention">
    <w:name w:val="Unresolved Mention"/>
    <w:basedOn w:val="DefaultParagraphFont"/>
    <w:uiPriority w:val="99"/>
    <w:semiHidden/>
    <w:unhideWhenUsed/>
    <w:rsid w:val="00665ECB"/>
    <w:rPr>
      <w:color w:val="605E5C"/>
      <w:shd w:val="clear" w:color="auto" w:fill="E1DFDD"/>
    </w:rPr>
  </w:style>
  <w:style w:type="paragraph" w:styleId="FootnoteText">
    <w:name w:val="footnote text"/>
    <w:basedOn w:val="Normal"/>
    <w:link w:val="FootnoteTextChar"/>
    <w:semiHidden/>
    <w:unhideWhenUsed/>
    <w:rsid w:val="00847958"/>
    <w:pPr>
      <w:spacing w:after="0" w:line="240" w:lineRule="auto"/>
    </w:pPr>
    <w:rPr>
      <w:sz w:val="20"/>
      <w:szCs w:val="20"/>
    </w:rPr>
  </w:style>
  <w:style w:type="character" w:customStyle="1" w:styleId="FootnoteTextChar">
    <w:name w:val="Footnote Text Char"/>
    <w:basedOn w:val="DefaultParagraphFont"/>
    <w:link w:val="FootnoteText"/>
    <w:semiHidden/>
    <w:rsid w:val="00847958"/>
    <w:rPr>
      <w:sz w:val="20"/>
      <w:szCs w:val="20"/>
    </w:rPr>
  </w:style>
  <w:style w:type="character" w:styleId="FootnoteReference">
    <w:name w:val="footnote reference"/>
    <w:basedOn w:val="DefaultParagraphFont"/>
    <w:semiHidden/>
    <w:unhideWhenUsed/>
    <w:rsid w:val="00847958"/>
    <w:rPr>
      <w:vertAlign w:val="superscript"/>
    </w:rPr>
  </w:style>
  <w:style w:type="numbering" w:customStyle="1" w:styleId="NoList1">
    <w:name w:val="No List1"/>
    <w:next w:val="NoList"/>
    <w:uiPriority w:val="99"/>
    <w:semiHidden/>
    <w:unhideWhenUsed/>
    <w:rsid w:val="002F377D"/>
  </w:style>
  <w:style w:type="paragraph" w:customStyle="1" w:styleId="CommentText1">
    <w:name w:val="Comment Text1"/>
    <w:basedOn w:val="Normal"/>
    <w:next w:val="CommentText"/>
    <w:uiPriority w:val="99"/>
    <w:semiHidden/>
    <w:unhideWhenUsed/>
    <w:rsid w:val="002F377D"/>
    <w:pPr>
      <w:spacing w:line="240" w:lineRule="auto"/>
    </w:pPr>
    <w:rPr>
      <w:rFonts w:ascii="Calibri" w:eastAsiaTheme="minorHAnsi" w:hAnsi="Calibri" w:cs="Times New Roman"/>
      <w:sz w:val="20"/>
      <w:szCs w:val="20"/>
    </w:rPr>
  </w:style>
  <w:style w:type="character" w:customStyle="1" w:styleId="CommentTextChar1">
    <w:name w:val="Comment Text Char1"/>
    <w:basedOn w:val="DefaultParagraphFont"/>
    <w:uiPriority w:val="99"/>
    <w:semiHidden/>
    <w:rsid w:val="002F377D"/>
    <w:rPr>
      <w:sz w:val="20"/>
      <w:szCs w:val="20"/>
    </w:rPr>
  </w:style>
  <w:style w:type="numbering" w:customStyle="1" w:styleId="NoList11">
    <w:name w:val="No List11"/>
    <w:next w:val="NoList"/>
    <w:uiPriority w:val="99"/>
    <w:semiHidden/>
    <w:unhideWhenUsed/>
    <w:rsid w:val="002F377D"/>
  </w:style>
  <w:style w:type="numbering" w:customStyle="1" w:styleId="NoList2">
    <w:name w:val="No List2"/>
    <w:next w:val="NoList"/>
    <w:uiPriority w:val="99"/>
    <w:semiHidden/>
    <w:unhideWhenUsed/>
    <w:rsid w:val="003B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4922">
      <w:bodyDiv w:val="1"/>
      <w:marLeft w:val="0"/>
      <w:marRight w:val="0"/>
      <w:marTop w:val="0"/>
      <w:marBottom w:val="0"/>
      <w:divBdr>
        <w:top w:val="none" w:sz="0" w:space="0" w:color="auto"/>
        <w:left w:val="none" w:sz="0" w:space="0" w:color="auto"/>
        <w:bottom w:val="none" w:sz="0" w:space="0" w:color="auto"/>
        <w:right w:val="none" w:sz="0" w:space="0" w:color="auto"/>
      </w:divBdr>
    </w:div>
    <w:div w:id="1349020275">
      <w:bodyDiv w:val="1"/>
      <w:marLeft w:val="0"/>
      <w:marRight w:val="0"/>
      <w:marTop w:val="0"/>
      <w:marBottom w:val="0"/>
      <w:divBdr>
        <w:top w:val="none" w:sz="0" w:space="0" w:color="auto"/>
        <w:left w:val="none" w:sz="0" w:space="0" w:color="auto"/>
        <w:bottom w:val="none" w:sz="0" w:space="0" w:color="auto"/>
        <w:right w:val="none" w:sz="0" w:space="0" w:color="auto"/>
      </w:divBdr>
      <w:divsChild>
        <w:div w:id="1600527277">
          <w:marLeft w:val="0"/>
          <w:marRight w:val="0"/>
          <w:marTop w:val="0"/>
          <w:marBottom w:val="0"/>
          <w:divBdr>
            <w:top w:val="none" w:sz="0" w:space="0" w:color="auto"/>
            <w:left w:val="none" w:sz="0" w:space="0" w:color="auto"/>
            <w:bottom w:val="none" w:sz="0" w:space="0" w:color="auto"/>
            <w:right w:val="none" w:sz="0" w:space="0" w:color="auto"/>
          </w:divBdr>
        </w:div>
      </w:divsChild>
    </w:div>
    <w:div w:id="1470594021">
      <w:bodyDiv w:val="1"/>
      <w:marLeft w:val="0"/>
      <w:marRight w:val="0"/>
      <w:marTop w:val="0"/>
      <w:marBottom w:val="0"/>
      <w:divBdr>
        <w:top w:val="none" w:sz="0" w:space="0" w:color="auto"/>
        <w:left w:val="none" w:sz="0" w:space="0" w:color="auto"/>
        <w:bottom w:val="none" w:sz="0" w:space="0" w:color="auto"/>
        <w:right w:val="none" w:sz="0" w:space="0" w:color="auto"/>
      </w:divBdr>
    </w:div>
    <w:div w:id="1599756052">
      <w:bodyDiv w:val="1"/>
      <w:marLeft w:val="0"/>
      <w:marRight w:val="0"/>
      <w:marTop w:val="0"/>
      <w:marBottom w:val="0"/>
      <w:divBdr>
        <w:top w:val="none" w:sz="0" w:space="0" w:color="auto"/>
        <w:left w:val="none" w:sz="0" w:space="0" w:color="auto"/>
        <w:bottom w:val="none" w:sz="0" w:space="0" w:color="auto"/>
        <w:right w:val="none" w:sz="0" w:space="0" w:color="auto"/>
      </w:divBdr>
    </w:div>
    <w:div w:id="16242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LIreland1@ucl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Custom)">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D8DF-2A21-46FA-B750-455CC65D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3B0C0076</Template>
  <TotalTime>228</TotalTime>
  <Pages>41</Pages>
  <Words>10524</Words>
  <Characters>59989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Mooney</dc:creator>
  <cp:keywords/>
  <dc:description/>
  <cp:lastModifiedBy>Jane Louise Ireland</cp:lastModifiedBy>
  <cp:revision>14</cp:revision>
  <dcterms:created xsi:type="dcterms:W3CDTF">2018-08-07T10:21:00Z</dcterms:created>
  <dcterms:modified xsi:type="dcterms:W3CDTF">2018-08-07T14:09:00Z</dcterms:modified>
</cp:coreProperties>
</file>