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08BC7" w14:textId="77777777" w:rsidR="000E4E3D" w:rsidRPr="00D6214B" w:rsidRDefault="00C23EF4" w:rsidP="00B77BB0">
      <w:pPr>
        <w:pStyle w:val="ListParagraph"/>
        <w:numPr>
          <w:ilvl w:val="0"/>
          <w:numId w:val="8"/>
        </w:numPr>
        <w:spacing w:line="276" w:lineRule="auto"/>
        <w:jc w:val="both"/>
        <w:rPr>
          <w:rFonts w:ascii="Bell MT" w:hAnsi="Bell MT"/>
          <w:i/>
          <w:sz w:val="24"/>
          <w:szCs w:val="24"/>
        </w:rPr>
      </w:pPr>
      <w:r w:rsidRPr="00D6214B">
        <w:rPr>
          <w:rFonts w:ascii="Bell MT" w:hAnsi="Bell MT"/>
          <w:i/>
          <w:sz w:val="24"/>
          <w:szCs w:val="24"/>
        </w:rPr>
        <w:t xml:space="preserve">Abstract </w:t>
      </w:r>
    </w:p>
    <w:p w14:paraId="5A7F1BD8" w14:textId="77777777" w:rsidR="000E4E3D" w:rsidRDefault="00B77BB0" w:rsidP="00B77BB0">
      <w:pPr>
        <w:jc w:val="both"/>
        <w:rPr>
          <w:rFonts w:ascii="Bell MT" w:hAnsi="Bell MT"/>
          <w:sz w:val="24"/>
          <w:szCs w:val="24"/>
        </w:rPr>
      </w:pPr>
      <w:r w:rsidRPr="00D6214B">
        <w:rPr>
          <w:rFonts w:ascii="Bell MT" w:hAnsi="Bell MT"/>
          <w:i/>
          <w:sz w:val="24"/>
          <w:szCs w:val="24"/>
        </w:rPr>
        <w:t xml:space="preserve">Since the end of the colonial era, there has been a wave of ‘Africanisation’ of economic and political activities within the African continent. These moves have largely precipitated a new thinking of ensuring that African domestic affairs and its relationship with the international community must on one hand be African led, and also supports the sovereignty of African States. Within the sphere of international investment law, this novel thinking has always resonated strongly in the determination of African states to enshrine an International investment law regime that positively supports and preserves its internal economic and sovereignty aspirations. </w:t>
      </w:r>
      <w:r w:rsidR="000313E4" w:rsidRPr="00D6214B">
        <w:rPr>
          <w:rFonts w:ascii="Bell MT" w:hAnsi="Bell MT"/>
          <w:i/>
          <w:sz w:val="24"/>
          <w:szCs w:val="24"/>
        </w:rPr>
        <w:t>In the emerging wave of progressive reform measures across a broad spectrum of global investment community, Africa states have mostly engaged in piecemeal initiatives, thereby display a docility that may not properly serve its inter</w:t>
      </w:r>
      <w:r w:rsidR="006811A2" w:rsidRPr="00D6214B">
        <w:rPr>
          <w:rFonts w:ascii="Bell MT" w:hAnsi="Bell MT"/>
          <w:i/>
          <w:sz w:val="24"/>
          <w:szCs w:val="24"/>
        </w:rPr>
        <w:t>ests and people. Apart</w:t>
      </w:r>
      <w:r w:rsidR="000313E4" w:rsidRPr="00D6214B">
        <w:rPr>
          <w:rFonts w:ascii="Bell MT" w:hAnsi="Bell MT"/>
          <w:i/>
          <w:sz w:val="24"/>
          <w:szCs w:val="24"/>
        </w:rPr>
        <w:t xml:space="preserve"> from South Africa’s </w:t>
      </w:r>
      <w:r w:rsidR="00127260" w:rsidRPr="00D6214B">
        <w:rPr>
          <w:rFonts w:ascii="Bell MT" w:hAnsi="Bell MT"/>
          <w:i/>
          <w:sz w:val="24"/>
          <w:szCs w:val="24"/>
        </w:rPr>
        <w:t xml:space="preserve">Protection of Investment Act, no. 22 of 2015, African states have not </w:t>
      </w:r>
      <w:r w:rsidR="00293034">
        <w:rPr>
          <w:rFonts w:ascii="Bell MT" w:hAnsi="Bell MT"/>
          <w:i/>
          <w:sz w:val="24"/>
          <w:szCs w:val="24"/>
        </w:rPr>
        <w:t>been proactive</w:t>
      </w:r>
      <w:r w:rsidR="00127260" w:rsidRPr="00D6214B">
        <w:rPr>
          <w:rFonts w:ascii="Bell MT" w:hAnsi="Bell MT"/>
          <w:i/>
          <w:sz w:val="24"/>
          <w:szCs w:val="24"/>
        </w:rPr>
        <w:t xml:space="preserve"> players in the march towards enthroning a new international investment law framework that balances the rights of foreign investors and host states. Irrespective of this however, African states have evidenced the willingness to deviate from being peripheral figures in this investment law reform agenda through some regional economic alliances</w:t>
      </w:r>
      <w:r w:rsidR="00F9218B" w:rsidRPr="00D6214B">
        <w:rPr>
          <w:rFonts w:ascii="Bell MT" w:hAnsi="Bell MT"/>
          <w:i/>
          <w:sz w:val="24"/>
          <w:szCs w:val="24"/>
        </w:rPr>
        <w:t xml:space="preserve"> which seeks to create greater economic co-operation and harmonisation </w:t>
      </w:r>
      <w:r w:rsidR="00293034">
        <w:rPr>
          <w:rFonts w:ascii="Bell MT" w:hAnsi="Bell MT"/>
          <w:i/>
          <w:sz w:val="24"/>
          <w:szCs w:val="24"/>
        </w:rPr>
        <w:t>within</w:t>
      </w:r>
      <w:r w:rsidR="00F9218B" w:rsidRPr="00D6214B">
        <w:rPr>
          <w:rFonts w:ascii="Bell MT" w:hAnsi="Bell MT"/>
          <w:i/>
          <w:sz w:val="24"/>
          <w:szCs w:val="24"/>
        </w:rPr>
        <w:t xml:space="preserve"> the various regions of the continent. In addition, there are</w:t>
      </w:r>
      <w:r w:rsidR="00127260" w:rsidRPr="00D6214B">
        <w:rPr>
          <w:rFonts w:ascii="Bell MT" w:hAnsi="Bell MT"/>
          <w:i/>
          <w:sz w:val="24"/>
          <w:szCs w:val="24"/>
        </w:rPr>
        <w:t xml:space="preserve"> plans for a Continental Free Trade Area (CFTA)</w:t>
      </w:r>
      <w:r w:rsidR="00BD6EA6" w:rsidRPr="00D6214B">
        <w:rPr>
          <w:rFonts w:ascii="Bell MT" w:hAnsi="Bell MT"/>
          <w:i/>
          <w:sz w:val="24"/>
          <w:szCs w:val="24"/>
        </w:rPr>
        <w:t xml:space="preserve"> by the </w:t>
      </w:r>
      <w:r w:rsidR="00127260" w:rsidRPr="00D6214B">
        <w:rPr>
          <w:rFonts w:ascii="Bell MT" w:hAnsi="Bell MT"/>
          <w:i/>
          <w:sz w:val="24"/>
          <w:szCs w:val="24"/>
        </w:rPr>
        <w:t>fifty-five member</w:t>
      </w:r>
      <w:r w:rsidR="00BD6EA6" w:rsidRPr="00D6214B">
        <w:rPr>
          <w:rFonts w:ascii="Bell MT" w:hAnsi="Bell MT"/>
          <w:i/>
          <w:sz w:val="24"/>
          <w:szCs w:val="24"/>
        </w:rPr>
        <w:t>s</w:t>
      </w:r>
      <w:r w:rsidR="00F9218B" w:rsidRPr="00D6214B">
        <w:rPr>
          <w:rFonts w:ascii="Bell MT" w:hAnsi="Bell MT"/>
          <w:i/>
          <w:sz w:val="24"/>
          <w:szCs w:val="24"/>
        </w:rPr>
        <w:t xml:space="preserve"> of the African Union (AU) that will harmonise the various African investment regulations and transform the continent into a single continental investment powerhouse that supports the continuous attraction of foreign direct investments (FDIs) and </w:t>
      </w:r>
      <w:r w:rsidR="00293034">
        <w:rPr>
          <w:rFonts w:ascii="Bell MT" w:hAnsi="Bell MT"/>
          <w:i/>
          <w:sz w:val="24"/>
          <w:szCs w:val="24"/>
        </w:rPr>
        <w:t>the preservation of</w:t>
      </w:r>
      <w:r w:rsidR="00F9218B" w:rsidRPr="00D6214B">
        <w:rPr>
          <w:rFonts w:ascii="Bell MT" w:hAnsi="Bell MT"/>
          <w:i/>
          <w:sz w:val="24"/>
          <w:szCs w:val="24"/>
        </w:rPr>
        <w:t xml:space="preserve"> the regulatory space of </w:t>
      </w:r>
      <w:r w:rsidR="00293034">
        <w:rPr>
          <w:rFonts w:ascii="Bell MT" w:hAnsi="Bell MT"/>
          <w:i/>
          <w:sz w:val="24"/>
          <w:szCs w:val="24"/>
        </w:rPr>
        <w:t>its</w:t>
      </w:r>
      <w:r w:rsidR="00F9218B" w:rsidRPr="00D6214B">
        <w:rPr>
          <w:rFonts w:ascii="Bell MT" w:hAnsi="Bell MT"/>
          <w:i/>
          <w:sz w:val="24"/>
          <w:szCs w:val="24"/>
        </w:rPr>
        <w:t xml:space="preserve"> states. </w:t>
      </w:r>
      <w:r w:rsidR="00293034">
        <w:rPr>
          <w:rFonts w:ascii="Bell MT" w:hAnsi="Bell MT"/>
          <w:i/>
          <w:sz w:val="24"/>
          <w:szCs w:val="24"/>
        </w:rPr>
        <w:t>In view of these</w:t>
      </w:r>
      <w:r w:rsidR="00270650" w:rsidRPr="00D6214B">
        <w:rPr>
          <w:rFonts w:ascii="Bell MT" w:hAnsi="Bell MT"/>
          <w:i/>
          <w:sz w:val="24"/>
          <w:szCs w:val="24"/>
        </w:rPr>
        <w:t xml:space="preserve"> developments, it is argued in this pap</w:t>
      </w:r>
      <w:r w:rsidR="00535DBD">
        <w:rPr>
          <w:rFonts w:ascii="Bell MT" w:hAnsi="Bell MT"/>
          <w:i/>
          <w:sz w:val="24"/>
          <w:szCs w:val="24"/>
        </w:rPr>
        <w:t>er that such</w:t>
      </w:r>
      <w:r w:rsidR="00270650" w:rsidRPr="00D6214B">
        <w:rPr>
          <w:rFonts w:ascii="Bell MT" w:hAnsi="Bell MT"/>
          <w:i/>
          <w:sz w:val="24"/>
          <w:szCs w:val="24"/>
        </w:rPr>
        <w:t xml:space="preserve"> </w:t>
      </w:r>
      <w:r w:rsidR="00535DBD" w:rsidRPr="00D6214B">
        <w:rPr>
          <w:rFonts w:ascii="Bell MT" w:hAnsi="Bell MT"/>
          <w:i/>
          <w:sz w:val="24"/>
          <w:szCs w:val="24"/>
        </w:rPr>
        <w:t>larger</w:t>
      </w:r>
      <w:r w:rsidR="00535DBD">
        <w:rPr>
          <w:rFonts w:ascii="Bell MT" w:hAnsi="Bell MT"/>
          <w:i/>
          <w:sz w:val="24"/>
          <w:szCs w:val="24"/>
        </w:rPr>
        <w:t xml:space="preserve"> </w:t>
      </w:r>
      <w:r w:rsidR="00535DBD" w:rsidRPr="00D6214B">
        <w:rPr>
          <w:rFonts w:ascii="Bell MT" w:hAnsi="Bell MT"/>
          <w:i/>
          <w:sz w:val="24"/>
          <w:szCs w:val="24"/>
        </w:rPr>
        <w:t>continental</w:t>
      </w:r>
      <w:r w:rsidR="00535DBD">
        <w:rPr>
          <w:rFonts w:ascii="Bell MT" w:hAnsi="Bell MT"/>
          <w:i/>
          <w:sz w:val="24"/>
          <w:szCs w:val="24"/>
        </w:rPr>
        <w:t xml:space="preserve"> economic</w:t>
      </w:r>
      <w:r w:rsidR="00270650" w:rsidRPr="00D6214B">
        <w:rPr>
          <w:rFonts w:ascii="Bell MT" w:hAnsi="Bell MT"/>
          <w:i/>
          <w:sz w:val="24"/>
          <w:szCs w:val="24"/>
        </w:rPr>
        <w:t xml:space="preserve"> integration, transformation and growth</w:t>
      </w:r>
      <w:r w:rsidR="00733819">
        <w:rPr>
          <w:rFonts w:ascii="Bell MT" w:hAnsi="Bell MT"/>
          <w:i/>
          <w:sz w:val="24"/>
          <w:szCs w:val="24"/>
        </w:rPr>
        <w:t xml:space="preserve"> ambition</w:t>
      </w:r>
      <w:r w:rsidR="00270650" w:rsidRPr="00D6214B">
        <w:rPr>
          <w:rFonts w:ascii="Bell MT" w:hAnsi="Bell MT"/>
          <w:i/>
          <w:sz w:val="24"/>
          <w:szCs w:val="24"/>
        </w:rPr>
        <w:t xml:space="preserve"> cannot be successively achieved if African states do not fashion and own the adjudicatory arm of international investment law. Hence, this paper finds that this regional and continental economic harmonisation and integration processes presents a veritable opportunity for the African economic alliance to be solidified through the creation of a Pan African Investment Court (PAIC).  </w:t>
      </w:r>
      <w:r w:rsidR="00AD13FD">
        <w:rPr>
          <w:rFonts w:ascii="Bell MT" w:hAnsi="Bell MT"/>
          <w:i/>
          <w:sz w:val="24"/>
          <w:szCs w:val="24"/>
        </w:rPr>
        <w:t xml:space="preserve">A PAIC it is argued, will not only argue well for African states through increased attraction of FDIs and economic output, but will also promote and protect the interests of foreign investors and the sovereignty of host states within the continent. </w:t>
      </w:r>
      <w:r w:rsidR="00733819">
        <w:rPr>
          <w:rFonts w:ascii="Bell MT" w:hAnsi="Bell MT"/>
          <w:i/>
          <w:sz w:val="24"/>
          <w:szCs w:val="24"/>
        </w:rPr>
        <w:t xml:space="preserve">Overall, a PAIC with its unique features will have aided in the </w:t>
      </w:r>
      <w:r w:rsidR="00AC0B90">
        <w:rPr>
          <w:rFonts w:ascii="Bell MT" w:hAnsi="Bell MT"/>
          <w:i/>
          <w:sz w:val="24"/>
          <w:szCs w:val="24"/>
        </w:rPr>
        <w:t>reformation</w:t>
      </w:r>
      <w:r w:rsidR="00733819">
        <w:rPr>
          <w:rFonts w:ascii="Bell MT" w:hAnsi="Bell MT"/>
          <w:i/>
          <w:sz w:val="24"/>
          <w:szCs w:val="24"/>
        </w:rPr>
        <w:t xml:space="preserve"> of international investment law from its currently criticised Investor-State Dispute Settlement (ISDS) model into one that balances the rights of both the states and foreign investors. </w:t>
      </w:r>
      <w:r w:rsidR="000E4E3D">
        <w:rPr>
          <w:rFonts w:ascii="Bell MT" w:hAnsi="Bell MT"/>
          <w:sz w:val="24"/>
          <w:szCs w:val="24"/>
        </w:rPr>
        <w:br w:type="page"/>
      </w:r>
    </w:p>
    <w:p w14:paraId="595C2368" w14:textId="77777777" w:rsidR="00B97918" w:rsidRPr="00C23EF4" w:rsidRDefault="00BD5002" w:rsidP="00C23EF4">
      <w:pPr>
        <w:pStyle w:val="ListParagraph"/>
        <w:numPr>
          <w:ilvl w:val="0"/>
          <w:numId w:val="8"/>
        </w:numPr>
        <w:spacing w:line="276" w:lineRule="auto"/>
        <w:jc w:val="both"/>
        <w:rPr>
          <w:rFonts w:ascii="Bell MT" w:hAnsi="Bell MT"/>
          <w:sz w:val="24"/>
          <w:szCs w:val="24"/>
        </w:rPr>
      </w:pPr>
      <w:r>
        <w:rPr>
          <w:rFonts w:ascii="Bell MT" w:hAnsi="Bell MT"/>
          <w:sz w:val="24"/>
          <w:szCs w:val="24"/>
        </w:rPr>
        <w:lastRenderedPageBreak/>
        <w:t xml:space="preserve">Introduction </w:t>
      </w:r>
    </w:p>
    <w:p w14:paraId="3EC722E0" w14:textId="77777777" w:rsidR="000949A5" w:rsidRDefault="00C765AB" w:rsidP="00E23D81">
      <w:pPr>
        <w:autoSpaceDE w:val="0"/>
        <w:autoSpaceDN w:val="0"/>
        <w:adjustRightInd w:val="0"/>
        <w:spacing w:after="0" w:line="276" w:lineRule="auto"/>
        <w:jc w:val="both"/>
        <w:rPr>
          <w:rFonts w:ascii="Bell MT" w:eastAsia="Times New Roman" w:hAnsi="Bell MT" w:cs="Times New Roman"/>
          <w:sz w:val="24"/>
          <w:szCs w:val="24"/>
          <w:lang w:eastAsia="en-GB"/>
        </w:rPr>
      </w:pPr>
      <w:r w:rsidRPr="002353AB">
        <w:rPr>
          <w:rFonts w:ascii="Bell MT" w:hAnsi="Bell MT"/>
          <w:sz w:val="24"/>
          <w:szCs w:val="24"/>
        </w:rPr>
        <w:t>In past</w:t>
      </w:r>
      <w:r w:rsidR="00B97918">
        <w:rPr>
          <w:rFonts w:ascii="Bell MT" w:hAnsi="Bell MT"/>
          <w:sz w:val="24"/>
          <w:szCs w:val="24"/>
        </w:rPr>
        <w:t xml:space="preserve"> three years</w:t>
      </w:r>
      <w:r w:rsidRPr="002353AB">
        <w:rPr>
          <w:rFonts w:ascii="Bell MT" w:hAnsi="Bell MT"/>
          <w:sz w:val="24"/>
          <w:szCs w:val="24"/>
        </w:rPr>
        <w:t xml:space="preserve">, the </w:t>
      </w:r>
      <w:r w:rsidRPr="002353AB">
        <w:rPr>
          <w:rFonts w:ascii="Bell MT" w:eastAsia="Times New Roman" w:hAnsi="Bell MT" w:cs="Times New Roman"/>
          <w:sz w:val="24"/>
          <w:szCs w:val="24"/>
          <w:lang w:eastAsia="en-GB"/>
        </w:rPr>
        <w:t>idea</w:t>
      </w:r>
      <w:r>
        <w:rPr>
          <w:rFonts w:ascii="Bell MT" w:eastAsia="Times New Roman" w:hAnsi="Bell MT" w:cs="Times New Roman"/>
          <w:sz w:val="24"/>
          <w:szCs w:val="24"/>
          <w:lang w:eastAsia="en-GB"/>
        </w:rPr>
        <w:t xml:space="preserve"> of an investment court</w:t>
      </w:r>
      <w:r w:rsidRPr="002353AB">
        <w:rPr>
          <w:rFonts w:ascii="Bell MT" w:eastAsia="Times New Roman" w:hAnsi="Bell MT" w:cs="Times New Roman"/>
          <w:sz w:val="24"/>
          <w:szCs w:val="24"/>
          <w:lang w:eastAsia="en-GB"/>
        </w:rPr>
        <w:t xml:space="preserve"> </w:t>
      </w:r>
      <w:r w:rsidRPr="002353AB">
        <w:rPr>
          <w:rFonts w:ascii="Bell MT" w:eastAsiaTheme="minorEastAsia" w:hAnsi="Bell MT" w:cs="Times New Roman"/>
          <w:sz w:val="24"/>
          <w:szCs w:val="24"/>
          <w:lang w:eastAsia="en-GB"/>
        </w:rPr>
        <w:t xml:space="preserve">has started to manifest in the EU reform of international investment law. </w:t>
      </w:r>
      <w:r w:rsidR="00B97918" w:rsidRPr="002353AB">
        <w:rPr>
          <w:rFonts w:ascii="Bell MT" w:eastAsia="Times New Roman" w:hAnsi="Bell MT" w:cs="Times New Roman"/>
          <w:sz w:val="24"/>
          <w:szCs w:val="24"/>
          <w:lang w:eastAsia="en-GB"/>
        </w:rPr>
        <w:t>The proposal rests on the premise that private arbitration is not appropriate for handling matters involving national public policy.</w:t>
      </w:r>
      <w:r w:rsidR="00B97918" w:rsidRPr="002353AB">
        <w:rPr>
          <w:rFonts w:ascii="Bell MT" w:eastAsia="Times New Roman" w:hAnsi="Bell MT" w:cs="Times New Roman"/>
          <w:sz w:val="24"/>
          <w:szCs w:val="24"/>
          <w:vertAlign w:val="superscript"/>
          <w:lang w:eastAsia="en-GB"/>
        </w:rPr>
        <w:footnoteReference w:id="1"/>
      </w:r>
      <w:r w:rsidR="00B97918" w:rsidRPr="002353AB">
        <w:rPr>
          <w:rFonts w:ascii="Bell MT" w:eastAsia="Times New Roman" w:hAnsi="Bell MT" w:cs="Times New Roman"/>
          <w:sz w:val="24"/>
          <w:szCs w:val="24"/>
          <w:lang w:eastAsia="en-GB"/>
        </w:rPr>
        <w:t xml:space="preserve"> </w:t>
      </w:r>
      <w:r w:rsidR="00B97918">
        <w:rPr>
          <w:rFonts w:ascii="Bell MT" w:eastAsia="Times New Roman" w:hAnsi="Bell MT" w:cs="Times New Roman"/>
          <w:sz w:val="24"/>
          <w:szCs w:val="24"/>
          <w:lang w:eastAsia="en-GB"/>
        </w:rPr>
        <w:t>As a result, i</w:t>
      </w:r>
      <w:r w:rsidRPr="002353AB">
        <w:rPr>
          <w:rFonts w:ascii="Bell MT" w:eastAsia="Times New Roman" w:hAnsi="Bell MT" w:cs="Times New Roman"/>
          <w:sz w:val="24"/>
          <w:szCs w:val="24"/>
          <w:lang w:eastAsia="en-GB"/>
        </w:rPr>
        <w:t>n May 2015, the European Commission announced plans to replace international investment tribunals with a traditional court system.</w:t>
      </w:r>
      <w:r w:rsidRPr="002353AB">
        <w:rPr>
          <w:rFonts w:ascii="Bell MT" w:eastAsia="Times New Roman" w:hAnsi="Bell MT" w:cs="Times New Roman"/>
          <w:sz w:val="24"/>
          <w:szCs w:val="24"/>
          <w:vertAlign w:val="superscript"/>
          <w:lang w:eastAsia="en-GB"/>
        </w:rPr>
        <w:footnoteReference w:id="2"/>
      </w:r>
      <w:r w:rsidRPr="002353AB">
        <w:rPr>
          <w:rFonts w:ascii="Bell MT" w:eastAsia="Times New Roman" w:hAnsi="Bell MT" w:cs="Times New Roman"/>
          <w:sz w:val="24"/>
          <w:szCs w:val="24"/>
          <w:lang w:eastAsia="en-GB"/>
        </w:rPr>
        <w:t xml:space="preserve"> This includes plans for a public investment court system with an appellate mechanism, composed of publicly appointed judges with qualifications comparable to those of members of the Wo</w:t>
      </w:r>
      <w:r>
        <w:rPr>
          <w:rFonts w:ascii="Bell MT" w:eastAsia="Times New Roman" w:hAnsi="Bell MT" w:cs="Times New Roman"/>
          <w:sz w:val="24"/>
          <w:szCs w:val="24"/>
          <w:lang w:eastAsia="en-GB"/>
        </w:rPr>
        <w:t>rld Trade Organisation’s (WTO) Appellant B</w:t>
      </w:r>
      <w:r w:rsidRPr="002353AB">
        <w:rPr>
          <w:rFonts w:ascii="Bell MT" w:eastAsia="Times New Roman" w:hAnsi="Bell MT" w:cs="Times New Roman"/>
          <w:sz w:val="24"/>
          <w:szCs w:val="24"/>
          <w:lang w:eastAsia="en-GB"/>
        </w:rPr>
        <w:t>ody or judges of the International Court of Justice (ICJ). In fact, chapter 2, section 3, Article 9(2) of the T</w:t>
      </w:r>
      <w:r>
        <w:rPr>
          <w:rFonts w:ascii="Bell MT" w:eastAsia="Times New Roman" w:hAnsi="Bell MT" w:cs="Times New Roman"/>
          <w:sz w:val="24"/>
          <w:szCs w:val="24"/>
          <w:lang w:eastAsia="en-GB"/>
        </w:rPr>
        <w:t>ransatlantic Trade and Investment Partnership (TTIP)</w:t>
      </w:r>
      <w:r w:rsidRPr="002353AB">
        <w:rPr>
          <w:rFonts w:ascii="Bell MT" w:eastAsia="Times New Roman" w:hAnsi="Bell MT" w:cs="Times New Roman"/>
          <w:sz w:val="24"/>
          <w:szCs w:val="24"/>
          <w:lang w:eastAsia="en-GB"/>
        </w:rPr>
        <w:t xml:space="preserve"> Draft Investment Chapter (2015) provides that: “[t]he […] Committee shall, upon the entry into force of this Agreement, appoint fifteen Judges to the Tribunal.</w:t>
      </w:r>
      <w:r>
        <w:rPr>
          <w:rStyle w:val="FootnoteReference"/>
          <w:rFonts w:ascii="Bell MT" w:eastAsia="Times New Roman" w:hAnsi="Bell MT" w:cs="Times New Roman"/>
          <w:sz w:val="24"/>
          <w:szCs w:val="24"/>
          <w:lang w:eastAsia="en-GB"/>
        </w:rPr>
        <w:footnoteReference w:id="3"/>
      </w:r>
      <w:r w:rsidRPr="002353AB">
        <w:rPr>
          <w:rFonts w:ascii="Bell MT" w:eastAsia="Times New Roman" w:hAnsi="Bell MT" w:cs="Times New Roman"/>
          <w:sz w:val="24"/>
          <w:szCs w:val="24"/>
          <w:lang w:eastAsia="en-GB"/>
        </w:rPr>
        <w:t xml:space="preserve"> Five of the Judges shall be nationals of a Member State of the European Union, five shall be nationals of the United States and five shall be nationals of third countries.” </w:t>
      </w:r>
      <w:r w:rsidRPr="002353AB">
        <w:rPr>
          <w:rFonts w:ascii="Bell MT" w:hAnsi="Bell MT"/>
          <w:sz w:val="24"/>
          <w:szCs w:val="24"/>
          <w:shd w:val="clear" w:color="auto" w:fill="FFFFFF"/>
        </w:rPr>
        <w:t xml:space="preserve">This mechanism </w:t>
      </w:r>
      <w:r w:rsidRPr="002353AB">
        <w:rPr>
          <w:rFonts w:ascii="Bell MT" w:hAnsi="Bell MT"/>
          <w:sz w:val="24"/>
          <w:szCs w:val="24"/>
        </w:rPr>
        <w:t xml:space="preserve">has already been incorporated in the </w:t>
      </w:r>
      <w:r w:rsidRPr="002353AB">
        <w:rPr>
          <w:rFonts w:ascii="Bell MT" w:eastAsia="Times New Roman" w:hAnsi="Bell MT" w:cs="Times New Roman"/>
          <w:sz w:val="24"/>
          <w:szCs w:val="24"/>
          <w:lang w:eastAsia="en-GB"/>
        </w:rPr>
        <w:t>EU–Vietnam Draft F</w:t>
      </w:r>
      <w:r>
        <w:rPr>
          <w:rFonts w:ascii="Bell MT" w:eastAsia="Times New Roman" w:hAnsi="Bell MT" w:cs="Times New Roman"/>
          <w:sz w:val="24"/>
          <w:szCs w:val="24"/>
          <w:lang w:eastAsia="en-GB"/>
        </w:rPr>
        <w:t xml:space="preserve">ree </w:t>
      </w:r>
      <w:r w:rsidRPr="002353AB">
        <w:rPr>
          <w:rFonts w:ascii="Bell MT" w:eastAsia="Times New Roman" w:hAnsi="Bell MT" w:cs="Times New Roman"/>
          <w:sz w:val="24"/>
          <w:szCs w:val="24"/>
          <w:lang w:eastAsia="en-GB"/>
        </w:rPr>
        <w:t>T</w:t>
      </w:r>
      <w:r>
        <w:rPr>
          <w:rFonts w:ascii="Bell MT" w:eastAsia="Times New Roman" w:hAnsi="Bell MT" w:cs="Times New Roman"/>
          <w:sz w:val="24"/>
          <w:szCs w:val="24"/>
          <w:lang w:eastAsia="en-GB"/>
        </w:rPr>
        <w:t xml:space="preserve">rade </w:t>
      </w:r>
      <w:r w:rsidRPr="002353AB">
        <w:rPr>
          <w:rFonts w:ascii="Bell MT" w:eastAsia="Times New Roman" w:hAnsi="Bell MT" w:cs="Times New Roman"/>
          <w:sz w:val="24"/>
          <w:szCs w:val="24"/>
          <w:lang w:eastAsia="en-GB"/>
        </w:rPr>
        <w:t>A</w:t>
      </w:r>
      <w:r>
        <w:rPr>
          <w:rFonts w:ascii="Bell MT" w:eastAsia="Times New Roman" w:hAnsi="Bell MT" w:cs="Times New Roman"/>
          <w:sz w:val="24"/>
          <w:szCs w:val="24"/>
          <w:lang w:eastAsia="en-GB"/>
        </w:rPr>
        <w:t>greement</w:t>
      </w:r>
      <w:r w:rsidRPr="002353AB">
        <w:rPr>
          <w:rFonts w:ascii="Bell MT" w:eastAsia="Times New Roman" w:hAnsi="Bell MT" w:cs="Times New Roman"/>
          <w:sz w:val="24"/>
          <w:szCs w:val="24"/>
          <w:lang w:eastAsia="en-GB"/>
        </w:rPr>
        <w:t xml:space="preserve"> (2016)</w:t>
      </w:r>
      <w:r>
        <w:rPr>
          <w:rStyle w:val="FootnoteReference"/>
          <w:rFonts w:ascii="Bell MT" w:eastAsia="Times New Roman" w:hAnsi="Bell MT" w:cs="Times New Roman"/>
          <w:sz w:val="24"/>
          <w:szCs w:val="24"/>
          <w:lang w:eastAsia="en-GB"/>
        </w:rPr>
        <w:footnoteReference w:id="4"/>
      </w:r>
      <w:r w:rsidRPr="002353AB">
        <w:rPr>
          <w:rFonts w:ascii="Bell MT" w:eastAsia="Times New Roman" w:hAnsi="Bell MT" w:cs="Times New Roman"/>
          <w:sz w:val="24"/>
          <w:szCs w:val="24"/>
          <w:lang w:eastAsia="en-GB"/>
        </w:rPr>
        <w:t xml:space="preserve"> </w:t>
      </w:r>
      <w:r w:rsidRPr="002353AB">
        <w:rPr>
          <w:rFonts w:ascii="Bell MT" w:hAnsi="Bell MT"/>
          <w:sz w:val="24"/>
          <w:szCs w:val="24"/>
          <w:shd w:val="clear" w:color="auto" w:fill="FFFFFF"/>
        </w:rPr>
        <w:t xml:space="preserve">and the </w:t>
      </w:r>
      <w:r w:rsidRPr="002353AB">
        <w:rPr>
          <w:rFonts w:ascii="Bell MT" w:eastAsia="Times New Roman" w:hAnsi="Bell MT" w:cs="Times New Roman"/>
          <w:sz w:val="24"/>
          <w:szCs w:val="24"/>
          <w:lang w:eastAsia="en-GB"/>
        </w:rPr>
        <w:t>C</w:t>
      </w:r>
      <w:r>
        <w:rPr>
          <w:rFonts w:ascii="Bell MT" w:eastAsia="Times New Roman" w:hAnsi="Bell MT" w:cs="Times New Roman"/>
          <w:sz w:val="24"/>
          <w:szCs w:val="24"/>
          <w:lang w:eastAsia="en-GB"/>
        </w:rPr>
        <w:t xml:space="preserve">omprehensive </w:t>
      </w:r>
      <w:r w:rsidRPr="002353AB">
        <w:rPr>
          <w:rFonts w:ascii="Bell MT" w:eastAsia="Times New Roman" w:hAnsi="Bell MT" w:cs="Times New Roman"/>
          <w:sz w:val="24"/>
          <w:szCs w:val="24"/>
          <w:lang w:eastAsia="en-GB"/>
        </w:rPr>
        <w:t>E</w:t>
      </w:r>
      <w:r>
        <w:rPr>
          <w:rFonts w:ascii="Bell MT" w:eastAsia="Times New Roman" w:hAnsi="Bell MT" w:cs="Times New Roman"/>
          <w:sz w:val="24"/>
          <w:szCs w:val="24"/>
          <w:lang w:eastAsia="en-GB"/>
        </w:rPr>
        <w:t xml:space="preserve">conomic and Trade </w:t>
      </w:r>
      <w:r w:rsidRPr="002353AB">
        <w:rPr>
          <w:rFonts w:ascii="Bell MT" w:eastAsia="Times New Roman" w:hAnsi="Bell MT" w:cs="Times New Roman"/>
          <w:sz w:val="24"/>
          <w:szCs w:val="24"/>
          <w:lang w:eastAsia="en-GB"/>
        </w:rPr>
        <w:t>A</w:t>
      </w:r>
      <w:r>
        <w:rPr>
          <w:rFonts w:ascii="Bell MT" w:eastAsia="Times New Roman" w:hAnsi="Bell MT" w:cs="Times New Roman"/>
          <w:sz w:val="24"/>
          <w:szCs w:val="24"/>
          <w:lang w:eastAsia="en-GB"/>
        </w:rPr>
        <w:t xml:space="preserve">greement (CETA) </w:t>
      </w:r>
      <w:r w:rsidRPr="002353AB">
        <w:rPr>
          <w:rFonts w:ascii="Bell MT" w:eastAsia="Times New Roman" w:hAnsi="Bell MT" w:cs="Times New Roman"/>
          <w:sz w:val="24"/>
          <w:szCs w:val="24"/>
          <w:lang w:eastAsia="en-GB"/>
        </w:rPr>
        <w:t>Finalised Draft (2016)</w:t>
      </w:r>
      <w:r>
        <w:rPr>
          <w:rFonts w:ascii="Bell MT" w:eastAsia="Times New Roman" w:hAnsi="Bell MT" w:cs="Times New Roman"/>
          <w:sz w:val="24"/>
          <w:szCs w:val="24"/>
          <w:lang w:eastAsia="en-GB"/>
        </w:rPr>
        <w:t>.</w:t>
      </w:r>
      <w:r>
        <w:rPr>
          <w:rStyle w:val="FootnoteReference"/>
          <w:rFonts w:ascii="Bell MT" w:eastAsia="Times New Roman" w:hAnsi="Bell MT" w:cs="Times New Roman"/>
          <w:sz w:val="24"/>
          <w:szCs w:val="24"/>
          <w:lang w:eastAsia="en-GB"/>
        </w:rPr>
        <w:footnoteReference w:id="5"/>
      </w:r>
      <w:r w:rsidRPr="002353AB">
        <w:rPr>
          <w:rFonts w:ascii="Bell MT" w:eastAsia="Times New Roman" w:hAnsi="Bell MT" w:cs="Times New Roman"/>
          <w:sz w:val="24"/>
          <w:szCs w:val="24"/>
          <w:lang w:eastAsia="en-GB"/>
        </w:rPr>
        <w:t xml:space="preserve"> </w:t>
      </w:r>
      <w:r w:rsidR="00B97918" w:rsidRPr="002353AB">
        <w:rPr>
          <w:rFonts w:ascii="Bell MT" w:eastAsia="Times New Roman" w:hAnsi="Bell MT" w:cs="Times New Roman"/>
          <w:sz w:val="24"/>
          <w:szCs w:val="24"/>
          <w:lang w:eastAsia="en-GB"/>
        </w:rPr>
        <w:t xml:space="preserve">. However, the idea </w:t>
      </w:r>
      <w:r w:rsidR="00B97918">
        <w:rPr>
          <w:rFonts w:ascii="Bell MT" w:eastAsia="Times New Roman" w:hAnsi="Bell MT" w:cs="Times New Roman"/>
          <w:sz w:val="24"/>
          <w:szCs w:val="24"/>
          <w:lang w:eastAsia="en-GB"/>
        </w:rPr>
        <w:t xml:space="preserve">is </w:t>
      </w:r>
      <w:r w:rsidR="00B97918" w:rsidRPr="002353AB">
        <w:rPr>
          <w:rFonts w:ascii="Bell MT" w:eastAsiaTheme="minorEastAsia" w:hAnsi="Bell MT" w:cs="Times New Roman"/>
          <w:sz w:val="24"/>
          <w:szCs w:val="24"/>
          <w:lang w:eastAsia="en-GB"/>
        </w:rPr>
        <w:t xml:space="preserve">not new and lessons should be </w:t>
      </w:r>
      <w:r w:rsidR="00B97918">
        <w:rPr>
          <w:rFonts w:ascii="Bell MT" w:eastAsiaTheme="minorEastAsia" w:hAnsi="Bell MT" w:cs="Times New Roman"/>
          <w:sz w:val="24"/>
          <w:szCs w:val="24"/>
          <w:lang w:eastAsia="en-GB"/>
        </w:rPr>
        <w:t xml:space="preserve">taken </w:t>
      </w:r>
      <w:r w:rsidR="00B97918" w:rsidRPr="002353AB">
        <w:rPr>
          <w:rFonts w:ascii="Bell MT" w:eastAsiaTheme="minorEastAsia" w:hAnsi="Bell MT" w:cs="Times New Roman"/>
          <w:sz w:val="24"/>
          <w:szCs w:val="24"/>
          <w:lang w:eastAsia="en-GB"/>
        </w:rPr>
        <w:t>from standing initiatives.</w:t>
      </w:r>
      <w:r w:rsidR="00B97918">
        <w:rPr>
          <w:rFonts w:ascii="Bell MT" w:hAnsi="Bell MT"/>
          <w:sz w:val="24"/>
          <w:szCs w:val="24"/>
        </w:rPr>
        <w:t xml:space="preserve"> For example, t</w:t>
      </w:r>
      <w:r w:rsidR="00B97918" w:rsidRPr="002353AB">
        <w:rPr>
          <w:rFonts w:ascii="Bell MT" w:hAnsi="Bell MT"/>
          <w:sz w:val="24"/>
          <w:szCs w:val="24"/>
        </w:rPr>
        <w:t>he Arab Investment Court, created under the Unified Agreement for the Investment of Arab Capital in the Arab States, bolsters over thirty years of jurisprudence.</w:t>
      </w:r>
      <w:r w:rsidR="00B97918" w:rsidRPr="002353AB">
        <w:rPr>
          <w:rFonts w:ascii="Bell MT" w:hAnsi="Bell MT"/>
          <w:sz w:val="24"/>
          <w:szCs w:val="24"/>
          <w:vertAlign w:val="superscript"/>
        </w:rPr>
        <w:footnoteReference w:id="6"/>
      </w:r>
    </w:p>
    <w:p w14:paraId="7891B9E6" w14:textId="77777777" w:rsidR="00B97918" w:rsidRPr="00B97918" w:rsidRDefault="00B97918" w:rsidP="00E23D81">
      <w:pPr>
        <w:autoSpaceDE w:val="0"/>
        <w:autoSpaceDN w:val="0"/>
        <w:adjustRightInd w:val="0"/>
        <w:spacing w:after="0" w:line="276" w:lineRule="auto"/>
        <w:jc w:val="both"/>
        <w:rPr>
          <w:rFonts w:ascii="Bell MT" w:eastAsia="Times New Roman" w:hAnsi="Bell MT" w:cs="Times New Roman"/>
          <w:sz w:val="24"/>
          <w:szCs w:val="24"/>
          <w:lang w:eastAsia="en-GB"/>
        </w:rPr>
      </w:pPr>
    </w:p>
    <w:p w14:paraId="0995942F" w14:textId="77777777" w:rsidR="0082737A" w:rsidRDefault="009B39A3" w:rsidP="00E23D81">
      <w:pPr>
        <w:spacing w:line="276" w:lineRule="auto"/>
        <w:jc w:val="both"/>
        <w:rPr>
          <w:rFonts w:ascii="Bell MT" w:hAnsi="Bell MT"/>
          <w:sz w:val="24"/>
          <w:szCs w:val="24"/>
        </w:rPr>
      </w:pPr>
      <w:r w:rsidRPr="000949A5">
        <w:rPr>
          <w:rFonts w:ascii="Bell MT" w:hAnsi="Bell MT"/>
          <w:sz w:val="24"/>
          <w:szCs w:val="24"/>
        </w:rPr>
        <w:t>These</w:t>
      </w:r>
      <w:r w:rsidR="00F82EE7" w:rsidRPr="000949A5">
        <w:rPr>
          <w:rFonts w:ascii="Bell MT" w:hAnsi="Bell MT"/>
          <w:sz w:val="24"/>
          <w:szCs w:val="24"/>
        </w:rPr>
        <w:t xml:space="preserve"> </w:t>
      </w:r>
      <w:r w:rsidR="00B97918">
        <w:rPr>
          <w:rFonts w:ascii="Bell MT" w:hAnsi="Bell MT"/>
          <w:sz w:val="24"/>
          <w:szCs w:val="24"/>
        </w:rPr>
        <w:t xml:space="preserve">reforms </w:t>
      </w:r>
      <w:r w:rsidRPr="000949A5">
        <w:rPr>
          <w:rFonts w:ascii="Bell MT" w:hAnsi="Bell MT"/>
          <w:sz w:val="24"/>
          <w:szCs w:val="24"/>
        </w:rPr>
        <w:t>are</w:t>
      </w:r>
      <w:r w:rsidR="00F82EE7" w:rsidRPr="000949A5">
        <w:rPr>
          <w:rFonts w:ascii="Bell MT" w:hAnsi="Bell MT"/>
          <w:sz w:val="24"/>
          <w:szCs w:val="24"/>
        </w:rPr>
        <w:t xml:space="preserve"> a reflection of the criticisms</w:t>
      </w:r>
      <w:r w:rsidR="00B97918">
        <w:rPr>
          <w:rFonts w:ascii="Bell MT" w:hAnsi="Bell MT"/>
          <w:sz w:val="24"/>
          <w:szCs w:val="24"/>
        </w:rPr>
        <w:t>, led by the international community,</w:t>
      </w:r>
      <w:r w:rsidR="00F82EE7" w:rsidRPr="000949A5">
        <w:rPr>
          <w:rFonts w:ascii="Bell MT" w:hAnsi="Bell MT"/>
          <w:sz w:val="24"/>
          <w:szCs w:val="24"/>
        </w:rPr>
        <w:t xml:space="preserve"> that have attended the international arbitration </w:t>
      </w:r>
      <w:r w:rsidR="00B97918">
        <w:rPr>
          <w:rFonts w:ascii="Bell MT" w:hAnsi="Bell MT"/>
          <w:sz w:val="24"/>
          <w:szCs w:val="24"/>
        </w:rPr>
        <w:t>system</w:t>
      </w:r>
      <w:r w:rsidR="00F82EE7" w:rsidRPr="000949A5">
        <w:rPr>
          <w:rFonts w:ascii="Bell MT" w:hAnsi="Bell MT"/>
          <w:sz w:val="24"/>
          <w:szCs w:val="24"/>
        </w:rPr>
        <w:t>.</w:t>
      </w:r>
      <w:r w:rsidR="00B97918">
        <w:rPr>
          <w:rFonts w:ascii="Bell MT" w:hAnsi="Bell MT"/>
          <w:sz w:val="24"/>
          <w:szCs w:val="24"/>
        </w:rPr>
        <w:t xml:space="preserve"> </w:t>
      </w:r>
      <w:r w:rsidR="00361F83" w:rsidRPr="002353AB">
        <w:rPr>
          <w:rFonts w:ascii="Bell MT" w:hAnsi="Bell MT"/>
          <w:sz w:val="24"/>
          <w:szCs w:val="24"/>
        </w:rPr>
        <w:t>Gus Van Harten has expressed c</w:t>
      </w:r>
      <w:r w:rsidR="00361F83">
        <w:rPr>
          <w:rFonts w:ascii="Bell MT" w:hAnsi="Bell MT"/>
          <w:sz w:val="24"/>
          <w:szCs w:val="24"/>
        </w:rPr>
        <w:t>oncern over investment tribunal</w:t>
      </w:r>
      <w:r w:rsidR="00361F83" w:rsidRPr="002353AB">
        <w:rPr>
          <w:rFonts w:ascii="Bell MT" w:hAnsi="Bell MT"/>
          <w:sz w:val="24"/>
          <w:szCs w:val="24"/>
        </w:rPr>
        <w:t xml:space="preserve">s </w:t>
      </w:r>
      <w:r w:rsidR="00361F83">
        <w:rPr>
          <w:rFonts w:ascii="Bell MT" w:hAnsi="Bell MT"/>
          <w:sz w:val="24"/>
          <w:szCs w:val="24"/>
        </w:rPr>
        <w:t>by arguing that they “undermine</w:t>
      </w:r>
      <w:r w:rsidR="00361F83" w:rsidRPr="002353AB">
        <w:rPr>
          <w:rFonts w:ascii="Bell MT" w:hAnsi="Bell MT"/>
          <w:sz w:val="24"/>
          <w:szCs w:val="24"/>
        </w:rPr>
        <w:t xml:space="preserve"> basic principles of democratic representation and accountability”</w:t>
      </w:r>
      <w:r w:rsidR="00361F83">
        <w:rPr>
          <w:rFonts w:ascii="Bell MT" w:hAnsi="Bell MT"/>
          <w:sz w:val="24"/>
          <w:szCs w:val="24"/>
        </w:rPr>
        <w:t xml:space="preserve"> and they are</w:t>
      </w:r>
      <w:r w:rsidR="00361F83" w:rsidRPr="002353AB">
        <w:rPr>
          <w:rFonts w:ascii="Bell MT" w:hAnsi="Bell MT"/>
          <w:sz w:val="24"/>
          <w:szCs w:val="24"/>
        </w:rPr>
        <w:t xml:space="preserve"> not built to accommodate the quality of review necessary for public law adjudication.</w:t>
      </w:r>
      <w:r w:rsidR="00361F83" w:rsidRPr="002353AB">
        <w:rPr>
          <w:rStyle w:val="FootnoteReference"/>
          <w:rFonts w:ascii="Bell MT" w:hAnsi="Bell MT"/>
          <w:sz w:val="24"/>
          <w:szCs w:val="24"/>
        </w:rPr>
        <w:footnoteReference w:id="7"/>
      </w:r>
      <w:r w:rsidR="00361F83" w:rsidRPr="002353AB">
        <w:rPr>
          <w:rFonts w:ascii="Bell MT" w:hAnsi="Bell MT"/>
          <w:sz w:val="24"/>
          <w:szCs w:val="24"/>
        </w:rPr>
        <w:t xml:space="preserve"> Furthermore, the decisions of investment tribunals have a broader impact beyond the parties to the dispute. In reality, Surya Subedi argues that “the pronouncements that these tribunals make as to the existence or non-existence of an alleged rule of international foreign investment law or the meaning and scope of a rule have wider ramificati</w:t>
      </w:r>
      <w:r w:rsidR="00361F83">
        <w:rPr>
          <w:rFonts w:ascii="Bell MT" w:hAnsi="Bell MT"/>
          <w:sz w:val="24"/>
          <w:szCs w:val="24"/>
        </w:rPr>
        <w:t>ons and implications for other S</w:t>
      </w:r>
      <w:r w:rsidR="00361F83" w:rsidRPr="002353AB">
        <w:rPr>
          <w:rFonts w:ascii="Bell MT" w:hAnsi="Bell MT"/>
          <w:sz w:val="24"/>
          <w:szCs w:val="24"/>
        </w:rPr>
        <w:t>tates as well as for international law as a whole.”</w:t>
      </w:r>
      <w:r w:rsidR="00361F83" w:rsidRPr="002353AB">
        <w:rPr>
          <w:rStyle w:val="FootnoteReference"/>
          <w:rFonts w:ascii="Bell MT" w:hAnsi="Bell MT"/>
          <w:sz w:val="24"/>
          <w:szCs w:val="24"/>
        </w:rPr>
        <w:footnoteReference w:id="8"/>
      </w:r>
      <w:r w:rsidR="00361F83" w:rsidRPr="002353AB">
        <w:rPr>
          <w:rFonts w:ascii="Bell MT" w:hAnsi="Bell MT"/>
          <w:sz w:val="24"/>
          <w:szCs w:val="24"/>
        </w:rPr>
        <w:t xml:space="preserve"> In fact, investment tribunals regularly choose the rules that would apply to the dispute and often choose to ignore public international law. </w:t>
      </w:r>
      <w:r w:rsidR="00361F83">
        <w:rPr>
          <w:rFonts w:ascii="Bell MT" w:hAnsi="Bell MT"/>
          <w:sz w:val="24"/>
          <w:szCs w:val="24"/>
        </w:rPr>
        <w:t xml:space="preserve"> </w:t>
      </w:r>
      <w:r w:rsidR="00361F83" w:rsidRPr="002353AB">
        <w:rPr>
          <w:rFonts w:ascii="Bell MT" w:hAnsi="Bell MT"/>
          <w:sz w:val="24"/>
          <w:szCs w:val="24"/>
        </w:rPr>
        <w:t xml:space="preserve">Fundamentally, investment tribunals operate in a hybrid world consisting of private and public law, with broad discretion </w:t>
      </w:r>
      <w:r w:rsidR="00361F83" w:rsidRPr="002353AB">
        <w:rPr>
          <w:rFonts w:ascii="Bell MT" w:hAnsi="Bell MT"/>
          <w:sz w:val="24"/>
          <w:szCs w:val="24"/>
        </w:rPr>
        <w:lastRenderedPageBreak/>
        <w:t>on the choice of rules.</w:t>
      </w:r>
      <w:r w:rsidR="00361F83" w:rsidRPr="002353AB">
        <w:rPr>
          <w:rFonts w:ascii="Bell MT" w:hAnsi="Bell MT"/>
          <w:sz w:val="24"/>
          <w:szCs w:val="24"/>
          <w:vertAlign w:val="superscript"/>
        </w:rPr>
        <w:footnoteReference w:id="9"/>
      </w:r>
      <w:r w:rsidR="00361F83" w:rsidRPr="002353AB">
        <w:rPr>
          <w:rFonts w:ascii="Bell MT" w:hAnsi="Bell MT"/>
          <w:sz w:val="24"/>
          <w:szCs w:val="24"/>
        </w:rPr>
        <w:t xml:space="preserve"> This is why academic commentators such as Garcia-Bolivar argue that “[t]he interpretation of concepts and principles that are peculiar to States and public international law cannot be left to the view of ever changing arbitrators.” Although the enforcement mechanisms and procedural rules were developed in the context </w:t>
      </w:r>
      <w:r w:rsidR="00361F83">
        <w:rPr>
          <w:rFonts w:ascii="Bell MT" w:hAnsi="Bell MT"/>
          <w:sz w:val="24"/>
          <w:szCs w:val="24"/>
        </w:rPr>
        <w:t xml:space="preserve">of </w:t>
      </w:r>
      <w:r w:rsidR="00361F83" w:rsidRPr="002353AB">
        <w:rPr>
          <w:rFonts w:ascii="Bell MT" w:hAnsi="Bell MT"/>
          <w:sz w:val="24"/>
          <w:szCs w:val="24"/>
        </w:rPr>
        <w:t xml:space="preserve">private commercial arbitration, scholars such as Anthea Roberts classify </w:t>
      </w:r>
      <w:r w:rsidR="00361F83">
        <w:rPr>
          <w:rFonts w:ascii="Bell MT" w:hAnsi="Bell MT"/>
          <w:sz w:val="24"/>
          <w:szCs w:val="24"/>
        </w:rPr>
        <w:t>investment arbitration</w:t>
      </w:r>
      <w:r w:rsidR="00361F83" w:rsidRPr="002353AB">
        <w:rPr>
          <w:rFonts w:ascii="Bell MT" w:hAnsi="Bell MT"/>
          <w:sz w:val="24"/>
          <w:szCs w:val="24"/>
        </w:rPr>
        <w:t xml:space="preserve"> as a public </w:t>
      </w:r>
      <w:r w:rsidR="00361F83">
        <w:rPr>
          <w:rFonts w:ascii="Bell MT" w:hAnsi="Bell MT"/>
          <w:sz w:val="24"/>
          <w:szCs w:val="24"/>
        </w:rPr>
        <w:t>law system.</w:t>
      </w:r>
      <w:r w:rsidR="00361F83">
        <w:rPr>
          <w:rStyle w:val="FootnoteReference"/>
          <w:rFonts w:ascii="Bell MT" w:hAnsi="Bell MT"/>
          <w:sz w:val="24"/>
          <w:szCs w:val="24"/>
        </w:rPr>
        <w:footnoteReference w:id="10"/>
      </w:r>
      <w:r w:rsidR="00361F83">
        <w:rPr>
          <w:rFonts w:ascii="Bell MT" w:hAnsi="Bell MT"/>
          <w:sz w:val="24"/>
          <w:szCs w:val="24"/>
        </w:rPr>
        <w:t xml:space="preserve">  </w:t>
      </w:r>
      <w:r w:rsidR="0082737A">
        <w:rPr>
          <w:rFonts w:ascii="Bell MT" w:hAnsi="Bell MT"/>
          <w:sz w:val="24"/>
          <w:szCs w:val="24"/>
        </w:rPr>
        <w:t xml:space="preserve"> </w:t>
      </w:r>
      <w:r w:rsidR="00361F83">
        <w:rPr>
          <w:rFonts w:ascii="Bell MT" w:hAnsi="Bell MT"/>
          <w:sz w:val="24"/>
          <w:szCs w:val="24"/>
        </w:rPr>
        <w:t xml:space="preserve">The discontent is </w:t>
      </w:r>
      <w:r w:rsidR="00E8399D" w:rsidRPr="000949A5">
        <w:rPr>
          <w:rFonts w:ascii="Bell MT" w:hAnsi="Bell MT"/>
          <w:sz w:val="24"/>
          <w:szCs w:val="24"/>
        </w:rPr>
        <w:t xml:space="preserve">anchored on several </w:t>
      </w:r>
      <w:r w:rsidRPr="000949A5">
        <w:rPr>
          <w:rFonts w:ascii="Bell MT" w:hAnsi="Bell MT"/>
          <w:sz w:val="24"/>
          <w:szCs w:val="24"/>
        </w:rPr>
        <w:t>fronts</w:t>
      </w:r>
      <w:r w:rsidR="00E8399D" w:rsidRPr="000949A5">
        <w:rPr>
          <w:rFonts w:ascii="Bell MT" w:hAnsi="Bell MT"/>
          <w:sz w:val="24"/>
          <w:szCs w:val="24"/>
        </w:rPr>
        <w:t>, especially the inability of host s</w:t>
      </w:r>
      <w:r w:rsidR="00467487" w:rsidRPr="000949A5">
        <w:rPr>
          <w:rFonts w:ascii="Bell MT" w:hAnsi="Bell MT"/>
          <w:sz w:val="24"/>
          <w:szCs w:val="24"/>
        </w:rPr>
        <w:t xml:space="preserve">tates to effectively regulate and administer </w:t>
      </w:r>
      <w:r w:rsidR="00E8399D" w:rsidRPr="000949A5">
        <w:rPr>
          <w:rFonts w:ascii="Bell MT" w:hAnsi="Bell MT"/>
          <w:sz w:val="24"/>
          <w:szCs w:val="24"/>
        </w:rPr>
        <w:t>their countries because of the requirement to balance internal democratic decisions with the right of investors.</w:t>
      </w:r>
      <w:r w:rsidR="0071459A" w:rsidRPr="000949A5">
        <w:rPr>
          <w:rStyle w:val="FootnoteReference"/>
          <w:rFonts w:ascii="Bell MT" w:hAnsi="Bell MT"/>
          <w:sz w:val="24"/>
          <w:szCs w:val="24"/>
        </w:rPr>
        <w:footnoteReference w:id="11"/>
      </w:r>
      <w:r w:rsidR="00E8399D" w:rsidRPr="000949A5">
        <w:rPr>
          <w:rFonts w:ascii="Bell MT" w:hAnsi="Bell MT"/>
          <w:sz w:val="24"/>
          <w:szCs w:val="24"/>
        </w:rPr>
        <w:t xml:space="preserve"> </w:t>
      </w:r>
      <w:r w:rsidR="008402FD" w:rsidRPr="000949A5">
        <w:rPr>
          <w:rFonts w:ascii="Bell MT" w:hAnsi="Bell MT"/>
          <w:sz w:val="24"/>
          <w:szCs w:val="24"/>
        </w:rPr>
        <w:t>Hence, the formulation of an investment court system through the many progressive policy reform proposals</w:t>
      </w:r>
      <w:r w:rsidR="00DD629D" w:rsidRPr="000949A5">
        <w:rPr>
          <w:rFonts w:ascii="Bell MT" w:hAnsi="Bell MT"/>
          <w:sz w:val="24"/>
          <w:szCs w:val="24"/>
        </w:rPr>
        <w:t>,</w:t>
      </w:r>
      <w:r w:rsidR="008402FD" w:rsidRPr="000949A5">
        <w:rPr>
          <w:rFonts w:ascii="Bell MT" w:hAnsi="Bell MT"/>
          <w:sz w:val="24"/>
          <w:szCs w:val="24"/>
        </w:rPr>
        <w:t xml:space="preserve"> are aimed at rebalancing the international investment climate between host states and investors.</w:t>
      </w:r>
    </w:p>
    <w:p w14:paraId="4A628AA4" w14:textId="77777777" w:rsidR="007B1253" w:rsidRDefault="0082737A" w:rsidP="00E23D81">
      <w:pPr>
        <w:spacing w:line="276" w:lineRule="auto"/>
        <w:jc w:val="both"/>
        <w:rPr>
          <w:rFonts w:ascii="Bell MT" w:hAnsi="Bell MT"/>
          <w:sz w:val="24"/>
          <w:szCs w:val="24"/>
        </w:rPr>
      </w:pPr>
      <w:r>
        <w:rPr>
          <w:rFonts w:ascii="Bell MT" w:hAnsi="Bell MT"/>
          <w:sz w:val="24"/>
          <w:szCs w:val="24"/>
        </w:rPr>
        <w:t>African c</w:t>
      </w:r>
      <w:r w:rsidR="00EE2E94">
        <w:rPr>
          <w:rFonts w:ascii="Bell MT" w:hAnsi="Bell MT"/>
          <w:sz w:val="24"/>
          <w:szCs w:val="24"/>
        </w:rPr>
        <w:t>ountries have also begun to reform their investment laws to reflect the reform agenda across the world. Since the first intra-</w:t>
      </w:r>
      <w:r w:rsidR="00AF7E3C" w:rsidRPr="000949A5">
        <w:rPr>
          <w:rFonts w:ascii="Bell MT" w:hAnsi="Bell MT"/>
          <w:sz w:val="24"/>
          <w:szCs w:val="24"/>
        </w:rPr>
        <w:t>Africa Bilateral Investment Treaty (BIT) between Egypt and Somalia was signed in 1982, there have been an astronomical rise in such agreements between African countries and with other countries of the world.</w:t>
      </w:r>
      <w:r w:rsidR="0074034A" w:rsidRPr="000949A5">
        <w:rPr>
          <w:rStyle w:val="FootnoteReference"/>
          <w:rFonts w:ascii="Bell MT" w:hAnsi="Bell MT"/>
          <w:sz w:val="24"/>
          <w:szCs w:val="24"/>
        </w:rPr>
        <w:footnoteReference w:id="12"/>
      </w:r>
      <w:r w:rsidR="00AF7E3C" w:rsidRPr="000949A5">
        <w:rPr>
          <w:rFonts w:ascii="Bell MT" w:hAnsi="Bell MT"/>
          <w:sz w:val="24"/>
          <w:szCs w:val="24"/>
        </w:rPr>
        <w:t xml:space="preserve"> </w:t>
      </w:r>
      <w:r w:rsidR="007B1253">
        <w:rPr>
          <w:rFonts w:ascii="Bell MT" w:hAnsi="Bell MT"/>
          <w:sz w:val="24"/>
          <w:szCs w:val="24"/>
        </w:rPr>
        <w:t>African countries have begun to</w:t>
      </w:r>
      <w:r w:rsidR="00263585">
        <w:rPr>
          <w:rFonts w:ascii="Bell MT" w:hAnsi="Bell MT"/>
          <w:sz w:val="24"/>
          <w:szCs w:val="24"/>
        </w:rPr>
        <w:t xml:space="preserve"> charter a new course for four reasons.</w:t>
      </w:r>
    </w:p>
    <w:p w14:paraId="416D9EED" w14:textId="77777777" w:rsidR="007B1253" w:rsidRPr="007B1253" w:rsidRDefault="007B1253" w:rsidP="00E23D81">
      <w:pPr>
        <w:pStyle w:val="ListParagraph"/>
        <w:numPr>
          <w:ilvl w:val="1"/>
          <w:numId w:val="4"/>
        </w:numPr>
        <w:spacing w:line="276" w:lineRule="auto"/>
        <w:jc w:val="both"/>
        <w:rPr>
          <w:rFonts w:ascii="Bell MT" w:hAnsi="Bell MT"/>
          <w:sz w:val="24"/>
          <w:szCs w:val="24"/>
        </w:rPr>
      </w:pPr>
      <w:r w:rsidRPr="007B1253">
        <w:rPr>
          <w:rFonts w:ascii="Bell MT" w:hAnsi="Bell MT"/>
          <w:sz w:val="24"/>
          <w:szCs w:val="24"/>
        </w:rPr>
        <w:t xml:space="preserve">Foreign Direct Investment </w:t>
      </w:r>
      <w:r w:rsidR="00263585">
        <w:rPr>
          <w:rFonts w:ascii="Bell MT" w:hAnsi="Bell MT"/>
          <w:sz w:val="24"/>
          <w:szCs w:val="24"/>
        </w:rPr>
        <w:t xml:space="preserve">in Africa </w:t>
      </w:r>
    </w:p>
    <w:p w14:paraId="2576D2C6" w14:textId="77777777" w:rsidR="007B1253" w:rsidRDefault="007B1253" w:rsidP="00E23D81">
      <w:pPr>
        <w:spacing w:line="276" w:lineRule="auto"/>
        <w:jc w:val="both"/>
        <w:rPr>
          <w:rFonts w:ascii="Bell MT" w:hAnsi="Bell MT"/>
          <w:sz w:val="24"/>
          <w:szCs w:val="24"/>
        </w:rPr>
      </w:pPr>
      <w:r>
        <w:rPr>
          <w:rFonts w:ascii="Bell MT" w:hAnsi="Bell MT"/>
          <w:sz w:val="24"/>
          <w:szCs w:val="24"/>
        </w:rPr>
        <w:t>T</w:t>
      </w:r>
      <w:r w:rsidR="00EE2E94" w:rsidRPr="002353AB">
        <w:rPr>
          <w:rFonts w:ascii="Bell MT" w:hAnsi="Bell MT"/>
          <w:sz w:val="24"/>
          <w:szCs w:val="24"/>
        </w:rPr>
        <w:t xml:space="preserve">he growing number of IIAs somewhat explains the </w:t>
      </w:r>
      <w:r w:rsidR="00EE2E94">
        <w:rPr>
          <w:rFonts w:ascii="Bell MT" w:hAnsi="Bell MT"/>
          <w:sz w:val="24"/>
          <w:szCs w:val="24"/>
        </w:rPr>
        <w:t>surge in ISDS claims, which has</w:t>
      </w:r>
      <w:r w:rsidR="00EE2E94" w:rsidRPr="002353AB">
        <w:rPr>
          <w:rFonts w:ascii="Bell MT" w:hAnsi="Bell MT"/>
          <w:sz w:val="24"/>
          <w:szCs w:val="24"/>
        </w:rPr>
        <w:t xml:space="preserve"> generated much of the dissatisfaction</w:t>
      </w:r>
      <w:r w:rsidR="00EE2E94">
        <w:rPr>
          <w:rFonts w:ascii="Bell MT" w:hAnsi="Bell MT"/>
          <w:sz w:val="24"/>
          <w:szCs w:val="24"/>
        </w:rPr>
        <w:t xml:space="preserve"> with international investment order</w:t>
      </w:r>
      <w:r w:rsidR="00EE2E94" w:rsidRPr="002353AB">
        <w:rPr>
          <w:rFonts w:ascii="Bell MT" w:hAnsi="Bell MT"/>
          <w:sz w:val="24"/>
          <w:szCs w:val="24"/>
        </w:rPr>
        <w:t>. The total number of global ISDS claims crossed the 690 mark in 2015</w:t>
      </w:r>
      <w:r w:rsidR="00EE2E94">
        <w:rPr>
          <w:rFonts w:ascii="Bell MT" w:hAnsi="Bell MT"/>
          <w:sz w:val="24"/>
          <w:szCs w:val="24"/>
        </w:rPr>
        <w:t>,</w:t>
      </w:r>
      <w:r w:rsidR="00EE2E94" w:rsidRPr="002353AB">
        <w:rPr>
          <w:rFonts w:ascii="Bell MT" w:hAnsi="Bell MT"/>
          <w:sz w:val="24"/>
          <w:szCs w:val="24"/>
          <w:vertAlign w:val="superscript"/>
        </w:rPr>
        <w:footnoteReference w:id="13"/>
      </w:r>
      <w:r w:rsidR="00EE2E94" w:rsidRPr="002353AB">
        <w:rPr>
          <w:rFonts w:ascii="Bell MT" w:hAnsi="Bell MT"/>
          <w:sz w:val="24"/>
          <w:szCs w:val="24"/>
        </w:rPr>
        <w:t xml:space="preserve"> with a majority of new cases brought under BITs pursuant to investment protection standards such as Fair and Equitable Treatment (FET) and expropriation.</w:t>
      </w:r>
      <w:r w:rsidR="00EE2E94" w:rsidRPr="002353AB">
        <w:rPr>
          <w:rFonts w:ascii="Bell MT" w:hAnsi="Bell MT"/>
          <w:sz w:val="24"/>
          <w:szCs w:val="24"/>
          <w:vertAlign w:val="superscript"/>
        </w:rPr>
        <w:footnoteReference w:id="14"/>
      </w:r>
      <w:r w:rsidR="00EE2E94" w:rsidRPr="002353AB">
        <w:rPr>
          <w:rFonts w:ascii="Bell MT" w:hAnsi="Bell MT"/>
          <w:sz w:val="24"/>
          <w:szCs w:val="24"/>
        </w:rPr>
        <w:t xml:space="preserve"> However, the historical disparity in investment policy between developed and developing countries continues. </w:t>
      </w:r>
      <w:r w:rsidRPr="000949A5">
        <w:rPr>
          <w:rFonts w:ascii="Bell MT" w:hAnsi="Bell MT"/>
          <w:sz w:val="24"/>
          <w:szCs w:val="24"/>
        </w:rPr>
        <w:t>Notwithstanding the surge in the contraction of much IIAs, especially BITs, the expected increase of FDI inflow into the continent remains at an abysmal level of fifty-four billion dollars in the year 2015.</w:t>
      </w:r>
      <w:r w:rsidRPr="000949A5">
        <w:rPr>
          <w:rStyle w:val="FootnoteReference"/>
          <w:rFonts w:ascii="Bell MT" w:hAnsi="Bell MT"/>
          <w:sz w:val="24"/>
          <w:szCs w:val="24"/>
        </w:rPr>
        <w:footnoteReference w:id="15"/>
      </w:r>
      <w:r w:rsidRPr="000949A5">
        <w:rPr>
          <w:rFonts w:ascii="Bell MT" w:hAnsi="Bell MT"/>
          <w:sz w:val="24"/>
          <w:szCs w:val="24"/>
        </w:rPr>
        <w:t xml:space="preserve"> This represents a 3.1% share and a 4.6% decrease from the 2014 report of the world investment </w:t>
      </w:r>
      <w:r w:rsidRPr="000949A5">
        <w:rPr>
          <w:rFonts w:ascii="Bell MT" w:hAnsi="Bell MT"/>
          <w:sz w:val="24"/>
          <w:szCs w:val="24"/>
        </w:rPr>
        <w:lastRenderedPageBreak/>
        <w:t>flow chart.</w:t>
      </w:r>
      <w:r w:rsidRPr="000949A5">
        <w:rPr>
          <w:rStyle w:val="FootnoteReference"/>
          <w:rFonts w:ascii="Bell MT" w:hAnsi="Bell MT"/>
          <w:sz w:val="24"/>
          <w:szCs w:val="24"/>
        </w:rPr>
        <w:footnoteReference w:id="16"/>
      </w:r>
      <w:r w:rsidRPr="000949A5">
        <w:rPr>
          <w:rFonts w:ascii="Bell MT" w:hAnsi="Bell MT"/>
          <w:sz w:val="24"/>
          <w:szCs w:val="24"/>
        </w:rPr>
        <w:t xml:space="preserve"> In comparisons with the 541 billion dollars for Asia and 504 billion dollars for Europe with much lower investment agreements, then it can be argued that Africa have not fully realised the potentials inherent in the high number of IIAs within its domain. Consequently, the extent to which the many IIAs have enhanced and increased FDI inflow remains an intense subject of academic and expert opinion, eliciting different views and opinions.</w:t>
      </w:r>
      <w:r w:rsidRPr="000949A5">
        <w:rPr>
          <w:rStyle w:val="FootnoteReference"/>
          <w:rFonts w:ascii="Bell MT" w:hAnsi="Bell MT"/>
          <w:sz w:val="24"/>
          <w:szCs w:val="24"/>
        </w:rPr>
        <w:footnoteReference w:id="17"/>
      </w:r>
      <w:r w:rsidRPr="000949A5">
        <w:rPr>
          <w:rFonts w:ascii="Bell MT" w:hAnsi="Bell MT"/>
          <w:sz w:val="24"/>
          <w:szCs w:val="24"/>
        </w:rPr>
        <w:t xml:space="preserve"> </w:t>
      </w:r>
    </w:p>
    <w:p w14:paraId="5A80C640" w14:textId="77777777" w:rsidR="007B1253" w:rsidRPr="00A826DA" w:rsidRDefault="00A826DA" w:rsidP="00E23D81">
      <w:pPr>
        <w:pStyle w:val="ListParagraph"/>
        <w:numPr>
          <w:ilvl w:val="1"/>
          <w:numId w:val="4"/>
        </w:numPr>
        <w:spacing w:line="276" w:lineRule="auto"/>
        <w:jc w:val="both"/>
        <w:rPr>
          <w:rFonts w:ascii="Bell MT" w:hAnsi="Bell MT"/>
          <w:sz w:val="24"/>
          <w:szCs w:val="24"/>
        </w:rPr>
      </w:pPr>
      <w:r>
        <w:rPr>
          <w:rFonts w:ascii="Bell MT" w:hAnsi="Bell MT"/>
          <w:sz w:val="24"/>
          <w:szCs w:val="24"/>
        </w:rPr>
        <w:t>Inves</w:t>
      </w:r>
      <w:r w:rsidR="00E95778">
        <w:rPr>
          <w:rFonts w:ascii="Bell MT" w:hAnsi="Bell MT"/>
          <w:sz w:val="24"/>
          <w:szCs w:val="24"/>
        </w:rPr>
        <w:t>tor-S</w:t>
      </w:r>
      <w:r>
        <w:rPr>
          <w:rFonts w:ascii="Bell MT" w:hAnsi="Bell MT"/>
          <w:sz w:val="24"/>
          <w:szCs w:val="24"/>
        </w:rPr>
        <w:t xml:space="preserve">tate caseload </w:t>
      </w:r>
    </w:p>
    <w:p w14:paraId="19427AAA" w14:textId="77777777" w:rsidR="00EE2E94" w:rsidRPr="002353AB" w:rsidRDefault="00EE2E94" w:rsidP="00E23D81">
      <w:pPr>
        <w:spacing w:line="276" w:lineRule="auto"/>
        <w:jc w:val="both"/>
        <w:rPr>
          <w:rFonts w:ascii="Bell MT" w:hAnsi="Bell MT"/>
          <w:sz w:val="24"/>
          <w:szCs w:val="24"/>
        </w:rPr>
      </w:pPr>
      <w:r w:rsidRPr="002353AB">
        <w:rPr>
          <w:rFonts w:ascii="Bell MT" w:hAnsi="Bell MT"/>
          <w:sz w:val="24"/>
          <w:szCs w:val="24"/>
        </w:rPr>
        <w:t>The UNCTAD reports that a record 70 ISDS cases were registered in 2015, compared to 11 registered cases in 1999, thus bringing the cumulative number of known ISDS claims to 696 by the end of 2015.</w:t>
      </w:r>
      <w:r w:rsidRPr="002353AB">
        <w:rPr>
          <w:rFonts w:ascii="Bell MT" w:hAnsi="Bell MT"/>
          <w:sz w:val="24"/>
          <w:szCs w:val="24"/>
          <w:vertAlign w:val="superscript"/>
        </w:rPr>
        <w:footnoteReference w:id="18"/>
      </w:r>
      <w:r w:rsidRPr="002353AB">
        <w:rPr>
          <w:rFonts w:ascii="Bell MT" w:hAnsi="Bell MT"/>
          <w:sz w:val="24"/>
          <w:szCs w:val="24"/>
        </w:rPr>
        <w:t xml:space="preserve"> However, the actual number of cases could be higher, as many remain unpublished, due to the wishes of the parties. Of the concluded ISDS proceedings in 2015, 36 per c</w:t>
      </w:r>
      <w:r>
        <w:rPr>
          <w:rFonts w:ascii="Bell MT" w:hAnsi="Bell MT"/>
          <w:sz w:val="24"/>
          <w:szCs w:val="24"/>
        </w:rPr>
        <w:t>ent went in favour of the host S</w:t>
      </w:r>
      <w:r w:rsidRPr="002353AB">
        <w:rPr>
          <w:rFonts w:ascii="Bell MT" w:hAnsi="Bell MT"/>
          <w:sz w:val="24"/>
          <w:szCs w:val="24"/>
        </w:rPr>
        <w:t>tate, 26 per cent in favour of the investor and 26 per cent were settled.</w:t>
      </w:r>
      <w:r>
        <w:rPr>
          <w:rStyle w:val="FootnoteReference"/>
          <w:rFonts w:ascii="Bell MT" w:hAnsi="Bell MT"/>
          <w:sz w:val="24"/>
          <w:szCs w:val="24"/>
        </w:rPr>
        <w:footnoteReference w:id="19"/>
      </w:r>
      <w:r>
        <w:rPr>
          <w:rFonts w:ascii="Bell MT" w:hAnsi="Bell MT"/>
          <w:sz w:val="24"/>
          <w:szCs w:val="24"/>
        </w:rPr>
        <w:t xml:space="preserve"> Moreover</w:t>
      </w:r>
      <w:r w:rsidRPr="002353AB">
        <w:rPr>
          <w:rFonts w:ascii="Bell MT" w:hAnsi="Bell MT"/>
          <w:sz w:val="24"/>
          <w:szCs w:val="24"/>
        </w:rPr>
        <w:t>, excluding cases that were settled or otherwise discontinued, dismissed at the jurisdictional stage or where the tribunal found liability without awarding any damages, 60 per cent of the cases were decided in favour of the investor as opposed to 40 per cent of the host State.</w:t>
      </w:r>
      <w:r w:rsidRPr="002353AB">
        <w:rPr>
          <w:rFonts w:ascii="Bell MT" w:hAnsi="Bell MT"/>
          <w:sz w:val="24"/>
          <w:szCs w:val="24"/>
          <w:vertAlign w:val="superscript"/>
        </w:rPr>
        <w:footnoteReference w:id="20"/>
      </w:r>
      <w:r w:rsidRPr="002353AB">
        <w:rPr>
          <w:rFonts w:ascii="Bell MT" w:hAnsi="Bell MT"/>
          <w:sz w:val="24"/>
          <w:szCs w:val="24"/>
        </w:rPr>
        <w:t xml:space="preserve"> This puts the dis</w:t>
      </w:r>
      <w:r>
        <w:rPr>
          <w:rFonts w:ascii="Bell MT" w:hAnsi="Bell MT"/>
          <w:sz w:val="24"/>
          <w:szCs w:val="24"/>
        </w:rPr>
        <w:t>satisfaction</w:t>
      </w:r>
      <w:r w:rsidRPr="002353AB">
        <w:rPr>
          <w:rFonts w:ascii="Bell MT" w:hAnsi="Bell MT"/>
          <w:sz w:val="24"/>
          <w:szCs w:val="24"/>
        </w:rPr>
        <w:t xml:space="preserve"> into context, especially since 60 per cent o</w:t>
      </w:r>
      <w:r>
        <w:rPr>
          <w:rFonts w:ascii="Bell MT" w:hAnsi="Bell MT"/>
          <w:sz w:val="24"/>
          <w:szCs w:val="24"/>
        </w:rPr>
        <w:t>f cases commenced between 2013 -2015 were against developing States with the most frequent home S</w:t>
      </w:r>
      <w:r w:rsidRPr="002353AB">
        <w:rPr>
          <w:rFonts w:ascii="Bell MT" w:hAnsi="Bell MT"/>
          <w:sz w:val="24"/>
          <w:szCs w:val="24"/>
        </w:rPr>
        <w:t>tate of the claimants being a developing country.</w:t>
      </w:r>
      <w:r w:rsidRPr="002353AB">
        <w:rPr>
          <w:rFonts w:ascii="Bell MT" w:hAnsi="Bell MT"/>
          <w:sz w:val="24"/>
          <w:szCs w:val="24"/>
          <w:vertAlign w:val="superscript"/>
        </w:rPr>
        <w:footnoteReference w:id="21"/>
      </w:r>
      <w:r w:rsidRPr="002353AB">
        <w:rPr>
          <w:rFonts w:ascii="Bell MT" w:hAnsi="Bell MT"/>
          <w:sz w:val="24"/>
          <w:szCs w:val="24"/>
        </w:rPr>
        <w:t xml:space="preserve"> </w:t>
      </w:r>
    </w:p>
    <w:p w14:paraId="26689770" w14:textId="77777777" w:rsidR="00EE2E94" w:rsidRDefault="007B1253" w:rsidP="00E23D81">
      <w:pPr>
        <w:autoSpaceDE w:val="0"/>
        <w:autoSpaceDN w:val="0"/>
        <w:adjustRightInd w:val="0"/>
        <w:spacing w:after="0" w:line="276" w:lineRule="auto"/>
        <w:jc w:val="both"/>
        <w:rPr>
          <w:rFonts w:ascii="Bell MT" w:hAnsi="Bell MT"/>
          <w:sz w:val="24"/>
          <w:szCs w:val="24"/>
        </w:rPr>
      </w:pPr>
      <w:r>
        <w:rPr>
          <w:rFonts w:ascii="Bell MT" w:hAnsi="Bell MT"/>
          <w:sz w:val="24"/>
          <w:szCs w:val="24"/>
        </w:rPr>
        <w:t>B</w:t>
      </w:r>
      <w:r w:rsidR="00EE2E94" w:rsidRPr="002353AB">
        <w:rPr>
          <w:rFonts w:ascii="Bell MT" w:hAnsi="Bell MT"/>
          <w:sz w:val="24"/>
          <w:szCs w:val="24"/>
        </w:rPr>
        <w:t>etween 1972 and 2014, 111 cases accounting for a fifth of all documented investment-treaty based cases were against African countries.</w:t>
      </w:r>
      <w:r w:rsidR="00EE2E94" w:rsidRPr="002353AB">
        <w:rPr>
          <w:rStyle w:val="FootnoteReference"/>
          <w:rFonts w:ascii="Bell MT" w:hAnsi="Bell MT"/>
          <w:sz w:val="24"/>
          <w:szCs w:val="24"/>
        </w:rPr>
        <w:footnoteReference w:id="22"/>
      </w:r>
      <w:r w:rsidR="00EE2E94" w:rsidRPr="002353AB">
        <w:rPr>
          <w:rFonts w:ascii="Bell MT" w:hAnsi="Bell MT"/>
          <w:sz w:val="24"/>
          <w:szCs w:val="24"/>
        </w:rPr>
        <w:t xml:space="preserve"> In terms of caseload, among African countries, Egypt has been a respondent in the m</w:t>
      </w:r>
      <w:r w:rsidR="00EE2E94">
        <w:rPr>
          <w:rFonts w:ascii="Bell MT" w:hAnsi="Bell MT"/>
          <w:sz w:val="24"/>
          <w:szCs w:val="24"/>
        </w:rPr>
        <w:t>ost number of cases (26</w:t>
      </w:r>
      <w:r w:rsidR="00EE2E94" w:rsidRPr="002353AB">
        <w:rPr>
          <w:rFonts w:ascii="Bell MT" w:hAnsi="Bell MT"/>
          <w:sz w:val="24"/>
          <w:szCs w:val="24"/>
        </w:rPr>
        <w:t>, ranking third globally), followed by the Democratic Republic of Congo (eight cases).  ICSID has been at the centre of these disputes by handling 107 of the 111 cases. Most of the disputes arose from eco</w:t>
      </w:r>
      <w:r w:rsidR="00EE2E94">
        <w:rPr>
          <w:rFonts w:ascii="Bell MT" w:hAnsi="Bell MT"/>
          <w:sz w:val="24"/>
          <w:szCs w:val="24"/>
        </w:rPr>
        <w:t xml:space="preserve">nomic sectors such as Oil, Gas, Mining, </w:t>
      </w:r>
      <w:r w:rsidR="00EE2E94" w:rsidRPr="002353AB">
        <w:rPr>
          <w:rFonts w:ascii="Bell MT" w:hAnsi="Bell MT"/>
          <w:sz w:val="24"/>
          <w:szCs w:val="24"/>
        </w:rPr>
        <w:t>Electric Power &amp; Other Energy, which attract the most F</w:t>
      </w:r>
      <w:r w:rsidR="00EE2E94">
        <w:rPr>
          <w:rFonts w:ascii="Bell MT" w:hAnsi="Bell MT"/>
          <w:sz w:val="24"/>
          <w:szCs w:val="24"/>
        </w:rPr>
        <w:t xml:space="preserve">oreign </w:t>
      </w:r>
      <w:r w:rsidR="00EE2E94" w:rsidRPr="002353AB">
        <w:rPr>
          <w:rFonts w:ascii="Bell MT" w:hAnsi="Bell MT"/>
          <w:sz w:val="24"/>
          <w:szCs w:val="24"/>
        </w:rPr>
        <w:t>D</w:t>
      </w:r>
      <w:r w:rsidR="00EE2E94">
        <w:rPr>
          <w:rFonts w:ascii="Bell MT" w:hAnsi="Bell MT"/>
          <w:sz w:val="24"/>
          <w:szCs w:val="24"/>
        </w:rPr>
        <w:t xml:space="preserve">irect </w:t>
      </w:r>
      <w:r w:rsidR="00EE2E94" w:rsidRPr="002353AB">
        <w:rPr>
          <w:rFonts w:ascii="Bell MT" w:hAnsi="Bell MT"/>
          <w:sz w:val="24"/>
          <w:szCs w:val="24"/>
        </w:rPr>
        <w:t>I</w:t>
      </w:r>
      <w:r w:rsidR="00EE2E94">
        <w:rPr>
          <w:rFonts w:ascii="Bell MT" w:hAnsi="Bell MT"/>
          <w:sz w:val="24"/>
          <w:szCs w:val="24"/>
        </w:rPr>
        <w:t>nvestment (FDI)</w:t>
      </w:r>
      <w:r w:rsidR="00EE2E94" w:rsidRPr="002353AB">
        <w:rPr>
          <w:rFonts w:ascii="Bell MT" w:hAnsi="Bell MT"/>
          <w:sz w:val="24"/>
          <w:szCs w:val="24"/>
        </w:rPr>
        <w:t xml:space="preserve"> in Africa.</w:t>
      </w:r>
      <w:r w:rsidR="00EE2E94" w:rsidRPr="002353AB">
        <w:rPr>
          <w:rStyle w:val="FootnoteReference"/>
          <w:rFonts w:ascii="Bell MT" w:hAnsi="Bell MT"/>
          <w:sz w:val="24"/>
          <w:szCs w:val="24"/>
        </w:rPr>
        <w:footnoteReference w:id="23"/>
      </w:r>
      <w:r w:rsidR="00EE2E94" w:rsidRPr="002353AB">
        <w:rPr>
          <w:rFonts w:ascii="Bell MT" w:hAnsi="Bell MT"/>
          <w:sz w:val="24"/>
          <w:szCs w:val="24"/>
        </w:rPr>
        <w:t xml:space="preserve"> Furthermore, only two per cent of arbitrators, conciliators and </w:t>
      </w:r>
      <w:r w:rsidR="00EE2E94" w:rsidRPr="002353AB">
        <w:rPr>
          <w:rFonts w:ascii="Bell MT" w:hAnsi="Bell MT"/>
          <w:i/>
          <w:sz w:val="24"/>
          <w:szCs w:val="24"/>
        </w:rPr>
        <w:t>ad hoc</w:t>
      </w:r>
      <w:r w:rsidR="00EE2E94" w:rsidRPr="002353AB">
        <w:rPr>
          <w:rFonts w:ascii="Bell MT" w:hAnsi="Bell MT"/>
          <w:sz w:val="24"/>
          <w:szCs w:val="24"/>
        </w:rPr>
        <w:t xml:space="preserve"> Committee Members appointed in ICSID and Additional Facility held cases are African</w:t>
      </w:r>
      <w:r w:rsidR="00EE2E94">
        <w:rPr>
          <w:rFonts w:ascii="Bell MT" w:hAnsi="Bell MT"/>
          <w:sz w:val="24"/>
          <w:szCs w:val="24"/>
        </w:rPr>
        <w:t>,</w:t>
      </w:r>
      <w:r w:rsidR="00EE2E94" w:rsidRPr="002353AB">
        <w:rPr>
          <w:rFonts w:ascii="Bell MT" w:hAnsi="Bell MT"/>
          <w:sz w:val="24"/>
          <w:szCs w:val="24"/>
        </w:rPr>
        <w:t xml:space="preserve"> neither have African countries as respondents been particularly </w:t>
      </w:r>
      <w:r w:rsidR="00EE2E94">
        <w:rPr>
          <w:rFonts w:ascii="Bell MT" w:hAnsi="Bell MT"/>
          <w:sz w:val="24"/>
          <w:szCs w:val="24"/>
        </w:rPr>
        <w:t xml:space="preserve">keen on </w:t>
      </w:r>
      <w:r w:rsidR="00EE2E94" w:rsidRPr="002353AB">
        <w:rPr>
          <w:rFonts w:ascii="Bell MT" w:hAnsi="Bell MT"/>
          <w:sz w:val="24"/>
          <w:szCs w:val="24"/>
        </w:rPr>
        <w:lastRenderedPageBreak/>
        <w:t>choosing Africans as arbitrators.</w:t>
      </w:r>
      <w:r w:rsidR="00EE2E94" w:rsidRPr="002353AB">
        <w:rPr>
          <w:rStyle w:val="FootnoteReference"/>
          <w:rFonts w:ascii="Bell MT" w:hAnsi="Bell MT"/>
          <w:sz w:val="24"/>
          <w:szCs w:val="24"/>
        </w:rPr>
        <w:footnoteReference w:id="24"/>
      </w:r>
      <w:r w:rsidR="00EE2E94" w:rsidRPr="002353AB">
        <w:rPr>
          <w:rFonts w:ascii="Bell MT" w:hAnsi="Bell MT"/>
          <w:sz w:val="24"/>
          <w:szCs w:val="24"/>
        </w:rPr>
        <w:t xml:space="preserve"> Both the high number of ISDS claims and poor participation in investment arbitration offer support for a new dispute settlement</w:t>
      </w:r>
      <w:r w:rsidR="00EE2E94">
        <w:rPr>
          <w:rFonts w:ascii="Bell MT" w:hAnsi="Bell MT"/>
          <w:sz w:val="24"/>
          <w:szCs w:val="24"/>
        </w:rPr>
        <w:t xml:space="preserve"> direction</w:t>
      </w:r>
      <w:r w:rsidR="00EE2E94" w:rsidRPr="002353AB">
        <w:rPr>
          <w:rFonts w:ascii="Bell MT" w:hAnsi="Bell MT"/>
          <w:sz w:val="24"/>
          <w:szCs w:val="24"/>
        </w:rPr>
        <w:t xml:space="preserve">.  </w:t>
      </w:r>
    </w:p>
    <w:p w14:paraId="158668B3" w14:textId="77777777" w:rsidR="003464FE" w:rsidRDefault="003464FE" w:rsidP="00E23D81">
      <w:pPr>
        <w:autoSpaceDE w:val="0"/>
        <w:autoSpaceDN w:val="0"/>
        <w:adjustRightInd w:val="0"/>
        <w:spacing w:after="0" w:line="276" w:lineRule="auto"/>
        <w:jc w:val="both"/>
        <w:rPr>
          <w:rFonts w:ascii="Bell MT" w:hAnsi="Bell MT"/>
          <w:sz w:val="24"/>
          <w:szCs w:val="24"/>
        </w:rPr>
      </w:pPr>
    </w:p>
    <w:p w14:paraId="606B59AA" w14:textId="77777777" w:rsidR="001E7B37" w:rsidRDefault="001E7B37" w:rsidP="00E23D81">
      <w:pPr>
        <w:autoSpaceDE w:val="0"/>
        <w:autoSpaceDN w:val="0"/>
        <w:adjustRightInd w:val="0"/>
        <w:spacing w:after="0" w:line="276" w:lineRule="auto"/>
        <w:jc w:val="both"/>
        <w:rPr>
          <w:rFonts w:ascii="Bell MT" w:hAnsi="Bell MT"/>
          <w:sz w:val="24"/>
          <w:szCs w:val="24"/>
        </w:rPr>
      </w:pPr>
      <w:r>
        <w:rPr>
          <w:rFonts w:ascii="Bell MT" w:hAnsi="Bell MT"/>
          <w:sz w:val="24"/>
          <w:szCs w:val="24"/>
        </w:rPr>
        <w:t xml:space="preserve">Secondly, African states are also concerned with the plight of other states in their reform agendas, exemplifying that IIAs, especially BITs, prohibits to a large extent the powers and rights of governments to sufficiently discharge their regulatory responsibilities and obligations or reverse decisions that could engender serious damages to in their countries. </w:t>
      </w:r>
      <w:r w:rsidR="00C72D2E">
        <w:rPr>
          <w:rFonts w:ascii="Bell MT" w:hAnsi="Bell MT"/>
          <w:sz w:val="24"/>
          <w:szCs w:val="24"/>
        </w:rPr>
        <w:t>This concerns of decision reversal and investor reprisal is cogently evidenced in the aftermath of the peoples led political transitions, popularly known as the Arab spring in North Africa.</w:t>
      </w:r>
      <w:r w:rsidR="00C72D2E">
        <w:rPr>
          <w:rStyle w:val="FootnoteReference"/>
          <w:rFonts w:ascii="Bell MT" w:hAnsi="Bell MT"/>
          <w:sz w:val="24"/>
          <w:szCs w:val="24"/>
        </w:rPr>
        <w:footnoteReference w:id="25"/>
      </w:r>
      <w:r w:rsidR="00C72D2E">
        <w:rPr>
          <w:rFonts w:ascii="Bell MT" w:hAnsi="Bell MT"/>
          <w:sz w:val="24"/>
          <w:szCs w:val="24"/>
        </w:rPr>
        <w:t xml:space="preserve"> In the wake of the transition in Egypt, a foreign investors had made a claim, which was however challenged by Egypt,</w:t>
      </w:r>
      <w:r w:rsidR="00CA2BE4">
        <w:rPr>
          <w:rStyle w:val="FootnoteReference"/>
          <w:rFonts w:ascii="Bell MT" w:hAnsi="Bell MT"/>
          <w:sz w:val="24"/>
          <w:szCs w:val="24"/>
        </w:rPr>
        <w:footnoteReference w:id="26"/>
      </w:r>
      <w:r w:rsidR="00C72D2E">
        <w:rPr>
          <w:rFonts w:ascii="Bell MT" w:hAnsi="Bell MT"/>
          <w:sz w:val="24"/>
          <w:szCs w:val="24"/>
        </w:rPr>
        <w:t xml:space="preserve"> accusing the new government of Morsi that a </w:t>
      </w:r>
      <w:r w:rsidR="00C72D2E" w:rsidRPr="00C72D2E">
        <w:rPr>
          <w:rFonts w:ascii="Bell MT" w:eastAsiaTheme="minorEastAsia" w:hAnsi="Bell MT"/>
          <w:sz w:val="24"/>
          <w:szCs w:val="24"/>
          <w:lang w:eastAsia="en-GB"/>
        </w:rPr>
        <w:t>concession contract</w:t>
      </w:r>
      <w:r w:rsidR="00C72D2E" w:rsidRPr="00C72D2E">
        <w:rPr>
          <w:rFonts w:ascii="Bell MT" w:hAnsi="Bell MT"/>
          <w:sz w:val="24"/>
          <w:szCs w:val="24"/>
        </w:rPr>
        <w:t xml:space="preserve"> </w:t>
      </w:r>
      <w:r w:rsidR="00C72D2E">
        <w:rPr>
          <w:rFonts w:ascii="Bell MT" w:hAnsi="Bell MT"/>
          <w:sz w:val="24"/>
          <w:szCs w:val="24"/>
        </w:rPr>
        <w:t xml:space="preserve">which was consummated under the previous regime of Mubarak breached its investment law provisions of mandatory compensation to the investors for increasing the minimum wage.  </w:t>
      </w:r>
    </w:p>
    <w:p w14:paraId="115BC945" w14:textId="77777777" w:rsidR="002F099C" w:rsidRDefault="002F099C" w:rsidP="00E23D81">
      <w:pPr>
        <w:autoSpaceDE w:val="0"/>
        <w:autoSpaceDN w:val="0"/>
        <w:adjustRightInd w:val="0"/>
        <w:spacing w:after="0" w:line="276" w:lineRule="auto"/>
        <w:jc w:val="both"/>
        <w:rPr>
          <w:rFonts w:ascii="Bell MT" w:hAnsi="Bell MT"/>
          <w:sz w:val="24"/>
          <w:szCs w:val="24"/>
        </w:rPr>
      </w:pPr>
    </w:p>
    <w:p w14:paraId="09450EDF" w14:textId="77777777" w:rsidR="002F099C" w:rsidRDefault="002F099C" w:rsidP="00E23D81">
      <w:pPr>
        <w:autoSpaceDE w:val="0"/>
        <w:autoSpaceDN w:val="0"/>
        <w:adjustRightInd w:val="0"/>
        <w:spacing w:after="0" w:line="276" w:lineRule="auto"/>
        <w:jc w:val="both"/>
        <w:rPr>
          <w:rFonts w:ascii="Bell MT" w:hAnsi="Bell MT"/>
          <w:sz w:val="24"/>
          <w:szCs w:val="24"/>
        </w:rPr>
      </w:pPr>
      <w:r>
        <w:rPr>
          <w:rFonts w:ascii="Bell MT" w:hAnsi="Bell MT"/>
          <w:sz w:val="24"/>
          <w:szCs w:val="24"/>
        </w:rPr>
        <w:t xml:space="preserve">Furthermore, the past decade have been accompanied with a litany of investor claims for a breach of some substantive investment protection standards because of several armed and civil conflicts and issues within the African continent. The armed conflicts and civil unrests have been the reasons underpinning the bringing of claims by investors of breaches of this investment protection standards which Africa is one of the active signatories and participants, especially in the </w:t>
      </w:r>
    </w:p>
    <w:p w14:paraId="39583A55" w14:textId="77777777" w:rsidR="00C077A5" w:rsidRDefault="00C077A5" w:rsidP="00E23D81">
      <w:pPr>
        <w:autoSpaceDE w:val="0"/>
        <w:autoSpaceDN w:val="0"/>
        <w:adjustRightInd w:val="0"/>
        <w:spacing w:after="0" w:line="276" w:lineRule="auto"/>
        <w:jc w:val="both"/>
        <w:rPr>
          <w:rFonts w:ascii="Bell MT" w:hAnsi="Bell MT"/>
          <w:color w:val="FF0000"/>
          <w:sz w:val="24"/>
          <w:szCs w:val="24"/>
        </w:rPr>
      </w:pPr>
    </w:p>
    <w:p w14:paraId="08C2A700" w14:textId="77777777" w:rsidR="002F099C" w:rsidRDefault="002F099C" w:rsidP="00E23D81">
      <w:pPr>
        <w:autoSpaceDE w:val="0"/>
        <w:autoSpaceDN w:val="0"/>
        <w:adjustRightInd w:val="0"/>
        <w:spacing w:after="0" w:line="276" w:lineRule="auto"/>
        <w:jc w:val="both"/>
        <w:rPr>
          <w:rFonts w:ascii="Bell MT" w:hAnsi="Bell MT"/>
          <w:color w:val="FF0000"/>
          <w:sz w:val="24"/>
          <w:szCs w:val="24"/>
        </w:rPr>
      </w:pPr>
    </w:p>
    <w:p w14:paraId="2E8D4F7E" w14:textId="77777777" w:rsidR="002F099C" w:rsidRPr="00CC46E3" w:rsidRDefault="002F099C" w:rsidP="00E23D81">
      <w:pPr>
        <w:autoSpaceDE w:val="0"/>
        <w:autoSpaceDN w:val="0"/>
        <w:adjustRightInd w:val="0"/>
        <w:spacing w:after="0" w:line="276" w:lineRule="auto"/>
        <w:jc w:val="both"/>
        <w:rPr>
          <w:rFonts w:ascii="Bell MT" w:eastAsiaTheme="minorEastAsia" w:hAnsi="Bell MT"/>
          <w:color w:val="FF0000"/>
          <w:sz w:val="24"/>
          <w:szCs w:val="24"/>
          <w:lang w:eastAsia="en-GB"/>
        </w:rPr>
      </w:pPr>
    </w:p>
    <w:p w14:paraId="7E2F59DB" w14:textId="77777777" w:rsidR="00C077A5" w:rsidRPr="00CC46E3" w:rsidRDefault="00C077A5" w:rsidP="00E23D81">
      <w:pPr>
        <w:autoSpaceDE w:val="0"/>
        <w:autoSpaceDN w:val="0"/>
        <w:adjustRightInd w:val="0"/>
        <w:spacing w:after="0" w:line="276" w:lineRule="auto"/>
        <w:jc w:val="both"/>
        <w:rPr>
          <w:rFonts w:ascii="Bell MT" w:eastAsiaTheme="minorEastAsia" w:hAnsi="Bell MT"/>
          <w:color w:val="FF0000"/>
          <w:sz w:val="24"/>
          <w:szCs w:val="24"/>
          <w:lang w:eastAsia="en-GB"/>
        </w:rPr>
      </w:pPr>
      <w:r w:rsidRPr="00CC46E3">
        <w:rPr>
          <w:rFonts w:ascii="Bell MT" w:eastAsiaTheme="minorEastAsia" w:hAnsi="Bell MT"/>
          <w:color w:val="FF0000"/>
          <w:sz w:val="24"/>
          <w:szCs w:val="24"/>
          <w:lang w:eastAsia="en-GB"/>
        </w:rPr>
        <w:t>Furthermore, armed conflicts and civil upheavals on the African continent over the past decades have been greeted by several foreign investor claims for breach of a range of substantive investment protection standards. The FET standard is a key component of the international investment architecture, in which African States have a vested interest. Since a number of African states have been confronted with civil strife and armed conflict in the past decades, the full protection and security clause in the FET standard, has had an important role to play in the claims brought by foreign investors against African States.</w:t>
      </w:r>
      <w:r w:rsidRPr="00CC46E3">
        <w:rPr>
          <w:rStyle w:val="FootnoteReference"/>
          <w:rFonts w:ascii="Bell MT" w:eastAsiaTheme="minorEastAsia" w:hAnsi="Bell MT"/>
          <w:color w:val="FF0000"/>
          <w:sz w:val="24"/>
          <w:szCs w:val="24"/>
          <w:lang w:eastAsia="en-GB"/>
        </w:rPr>
        <w:footnoteReference w:id="27"/>
      </w:r>
      <w:r w:rsidRPr="00CC46E3">
        <w:rPr>
          <w:rFonts w:ascii="Bell MT" w:eastAsiaTheme="minorEastAsia" w:hAnsi="Bell MT"/>
          <w:color w:val="FF0000"/>
          <w:sz w:val="24"/>
          <w:szCs w:val="24"/>
          <w:lang w:eastAsia="en-GB"/>
        </w:rPr>
        <w:t xml:space="preserve"> For example, the physical protection and security component of full protection security was invoked in American </w:t>
      </w:r>
      <w:r w:rsidRPr="00CC46E3">
        <w:rPr>
          <w:rFonts w:ascii="Bell MT" w:eastAsiaTheme="minorEastAsia" w:hAnsi="Bell MT"/>
          <w:i/>
          <w:color w:val="FF0000"/>
          <w:sz w:val="24"/>
          <w:szCs w:val="24"/>
          <w:lang w:eastAsia="en-GB"/>
        </w:rPr>
        <w:t>Manufacturing &amp; Trading, Inc</w:t>
      </w:r>
      <w:r w:rsidRPr="00CC46E3">
        <w:rPr>
          <w:rFonts w:ascii="Bell MT" w:eastAsiaTheme="minorEastAsia" w:hAnsi="Bell MT"/>
          <w:color w:val="FF0000"/>
          <w:sz w:val="24"/>
          <w:szCs w:val="24"/>
          <w:lang w:eastAsia="en-GB"/>
        </w:rPr>
        <w:t xml:space="preserve"> v. </w:t>
      </w:r>
      <w:r w:rsidRPr="00CC46E3">
        <w:rPr>
          <w:rFonts w:ascii="Bell MT" w:eastAsiaTheme="minorEastAsia" w:hAnsi="Bell MT"/>
          <w:i/>
          <w:color w:val="FF0000"/>
          <w:sz w:val="24"/>
          <w:szCs w:val="24"/>
          <w:lang w:eastAsia="en-GB"/>
        </w:rPr>
        <w:t>Republic of Zaire</w:t>
      </w:r>
      <w:r w:rsidRPr="00CC46E3">
        <w:rPr>
          <w:rFonts w:ascii="Bell MT" w:eastAsiaTheme="minorEastAsia" w:hAnsi="Bell MT"/>
          <w:color w:val="FF0000"/>
          <w:sz w:val="24"/>
          <w:szCs w:val="24"/>
          <w:lang w:eastAsia="en-GB"/>
        </w:rPr>
        <w:t xml:space="preserve"> (1997) following armed conflict and in </w:t>
      </w:r>
      <w:r w:rsidRPr="00CC46E3">
        <w:rPr>
          <w:rFonts w:ascii="Bell MT" w:eastAsiaTheme="minorEastAsia" w:hAnsi="Bell MT"/>
          <w:i/>
          <w:color w:val="FF0000"/>
          <w:sz w:val="24"/>
          <w:szCs w:val="24"/>
          <w:lang w:eastAsia="en-GB"/>
        </w:rPr>
        <w:t>Wena Hotels Ltd</w:t>
      </w:r>
      <w:r w:rsidRPr="00CC46E3">
        <w:rPr>
          <w:rFonts w:ascii="Bell MT" w:eastAsiaTheme="minorEastAsia" w:hAnsi="Bell MT"/>
          <w:color w:val="FF0000"/>
          <w:sz w:val="24"/>
          <w:szCs w:val="24"/>
          <w:lang w:eastAsia="en-GB"/>
        </w:rPr>
        <w:t xml:space="preserve"> v. </w:t>
      </w:r>
      <w:r w:rsidRPr="00CC46E3">
        <w:rPr>
          <w:rFonts w:ascii="Bell MT" w:eastAsiaTheme="minorEastAsia" w:hAnsi="Bell MT"/>
          <w:i/>
          <w:color w:val="FF0000"/>
          <w:sz w:val="24"/>
          <w:szCs w:val="24"/>
          <w:lang w:eastAsia="en-GB"/>
        </w:rPr>
        <w:t>Arab Republic of Egypt</w:t>
      </w:r>
      <w:r w:rsidRPr="00CC46E3">
        <w:rPr>
          <w:rFonts w:ascii="Bell MT" w:eastAsiaTheme="minorEastAsia" w:hAnsi="Bell MT"/>
          <w:color w:val="FF0000"/>
          <w:sz w:val="24"/>
          <w:szCs w:val="24"/>
          <w:lang w:eastAsia="en-GB"/>
        </w:rPr>
        <w:t xml:space="preserve"> (2000) following civil strife.</w:t>
      </w:r>
      <w:r w:rsidRPr="00CC46E3">
        <w:rPr>
          <w:rStyle w:val="FootnoteReference"/>
          <w:rFonts w:ascii="Bell MT" w:eastAsiaTheme="minorEastAsia" w:hAnsi="Bell MT"/>
          <w:color w:val="FF0000"/>
          <w:sz w:val="24"/>
          <w:szCs w:val="24"/>
          <w:lang w:eastAsia="en-GB"/>
        </w:rPr>
        <w:footnoteReference w:id="28"/>
      </w:r>
      <w:r w:rsidRPr="00CC46E3">
        <w:rPr>
          <w:rFonts w:ascii="Bell MT" w:eastAsiaTheme="minorEastAsia" w:hAnsi="Bell MT"/>
          <w:color w:val="FF0000"/>
          <w:sz w:val="24"/>
          <w:szCs w:val="24"/>
          <w:lang w:eastAsia="en-GB"/>
        </w:rPr>
        <w:t xml:space="preserve"> Several African </w:t>
      </w:r>
      <w:r w:rsidRPr="00CC46E3">
        <w:rPr>
          <w:rFonts w:ascii="Bell MT" w:eastAsiaTheme="minorEastAsia" w:hAnsi="Bell MT"/>
          <w:color w:val="FF0000"/>
          <w:sz w:val="24"/>
          <w:szCs w:val="24"/>
          <w:lang w:eastAsia="en-GB"/>
        </w:rPr>
        <w:lastRenderedPageBreak/>
        <w:t>States recovering from years of conflict have been confronted with claims for physical damage caused to investment and non-violent actions that have impacted on the economic value of the investments. For example, Tunisia and Algeria have faced guerrilla warfare in parts of their territory since the 2000s, and a result, foreign investors have been able to invoke the full protection and security clause against these countries.</w:t>
      </w:r>
      <w:r w:rsidRPr="00CC46E3">
        <w:rPr>
          <w:rStyle w:val="FootnoteReference"/>
          <w:rFonts w:ascii="Bell MT" w:eastAsiaTheme="minorEastAsia" w:hAnsi="Bell MT"/>
          <w:color w:val="FF0000"/>
          <w:sz w:val="24"/>
          <w:szCs w:val="24"/>
          <w:lang w:eastAsia="en-GB"/>
        </w:rPr>
        <w:footnoteReference w:id="29"/>
      </w:r>
      <w:r w:rsidRPr="00CC46E3">
        <w:rPr>
          <w:rFonts w:ascii="Bell MT" w:eastAsiaTheme="minorEastAsia" w:hAnsi="Bell MT"/>
          <w:color w:val="FF0000"/>
          <w:sz w:val="24"/>
          <w:szCs w:val="24"/>
          <w:lang w:eastAsia="en-GB"/>
        </w:rPr>
        <w:t xml:space="preserve"> </w:t>
      </w:r>
    </w:p>
    <w:p w14:paraId="79971287" w14:textId="77777777" w:rsidR="00C077A5" w:rsidRPr="00CC46E3" w:rsidRDefault="00C077A5" w:rsidP="00E23D81">
      <w:pPr>
        <w:autoSpaceDE w:val="0"/>
        <w:autoSpaceDN w:val="0"/>
        <w:adjustRightInd w:val="0"/>
        <w:spacing w:after="0" w:line="276" w:lineRule="auto"/>
        <w:jc w:val="both"/>
        <w:rPr>
          <w:rFonts w:ascii="Bell MT" w:eastAsiaTheme="minorEastAsia" w:hAnsi="Bell MT"/>
          <w:color w:val="FF0000"/>
          <w:sz w:val="24"/>
          <w:szCs w:val="24"/>
          <w:lang w:eastAsia="en-GB"/>
        </w:rPr>
      </w:pPr>
    </w:p>
    <w:p w14:paraId="33AEBB81" w14:textId="77777777" w:rsidR="00C077A5" w:rsidRPr="00CC46E3" w:rsidRDefault="00C077A5" w:rsidP="00E23D81">
      <w:pPr>
        <w:autoSpaceDE w:val="0"/>
        <w:autoSpaceDN w:val="0"/>
        <w:adjustRightInd w:val="0"/>
        <w:spacing w:after="0" w:line="276" w:lineRule="auto"/>
        <w:jc w:val="both"/>
        <w:rPr>
          <w:rFonts w:ascii="Bell MT" w:hAnsi="Bell MT"/>
          <w:color w:val="FF0000"/>
          <w:sz w:val="24"/>
          <w:szCs w:val="24"/>
        </w:rPr>
      </w:pPr>
      <w:r w:rsidRPr="00CC46E3">
        <w:rPr>
          <w:rFonts w:ascii="Bell MT" w:eastAsiaTheme="minorEastAsia" w:hAnsi="Bell MT"/>
          <w:color w:val="FF0000"/>
          <w:sz w:val="24"/>
          <w:szCs w:val="24"/>
          <w:lang w:eastAsia="en-GB"/>
        </w:rPr>
        <w:t>In essence, these claims could operate as a hindrance to social, economic and political recovery following conflict by not only subjecting African States to financially damaging claims but also producing a ‘chilling effect’ to governmental action designed to stabilise the country in fear that it could impede any of the treaty obligations. Thus, substantive provisions such as FET and full protection and security have formed the basis of several decisions against African States, in the process limiting the progressive policies of countries such as Egypt, which faced nine cases by foreign investors following the civil unrest in the country.</w:t>
      </w:r>
      <w:r w:rsidRPr="00CC46E3">
        <w:rPr>
          <w:rStyle w:val="FootnoteReference"/>
          <w:rFonts w:ascii="Bell MT" w:eastAsiaTheme="minorEastAsia" w:hAnsi="Bell MT"/>
          <w:color w:val="FF0000"/>
          <w:sz w:val="24"/>
          <w:szCs w:val="24"/>
          <w:lang w:eastAsia="en-GB"/>
        </w:rPr>
        <w:footnoteReference w:id="30"/>
      </w:r>
      <w:r w:rsidRPr="00CC46E3">
        <w:rPr>
          <w:rFonts w:ascii="Bell MT" w:eastAsiaTheme="minorEastAsia" w:hAnsi="Bell MT"/>
          <w:color w:val="FF0000"/>
          <w:sz w:val="24"/>
          <w:szCs w:val="24"/>
          <w:lang w:eastAsia="en-GB"/>
        </w:rPr>
        <w:t xml:space="preserve"> </w:t>
      </w:r>
    </w:p>
    <w:p w14:paraId="515C2472" w14:textId="77777777" w:rsidR="00C077A5" w:rsidRPr="00CC46E3" w:rsidRDefault="00C077A5" w:rsidP="00E23D81">
      <w:pPr>
        <w:autoSpaceDE w:val="0"/>
        <w:autoSpaceDN w:val="0"/>
        <w:adjustRightInd w:val="0"/>
        <w:spacing w:after="0" w:line="276" w:lineRule="auto"/>
        <w:jc w:val="both"/>
        <w:rPr>
          <w:rFonts w:ascii="Bell MT" w:eastAsiaTheme="minorEastAsia" w:hAnsi="Bell MT"/>
          <w:color w:val="FF0000"/>
          <w:sz w:val="24"/>
          <w:szCs w:val="24"/>
          <w:lang w:eastAsia="en-GB"/>
        </w:rPr>
      </w:pPr>
    </w:p>
    <w:p w14:paraId="56EF086C" w14:textId="77777777" w:rsidR="00C077A5" w:rsidRPr="00CC46E3" w:rsidRDefault="00C077A5" w:rsidP="00E23D81">
      <w:pPr>
        <w:spacing w:line="276" w:lineRule="auto"/>
        <w:jc w:val="both"/>
        <w:rPr>
          <w:rFonts w:ascii="Bell MT" w:eastAsiaTheme="minorEastAsia" w:hAnsi="Bell MT"/>
          <w:color w:val="FF0000"/>
          <w:sz w:val="24"/>
          <w:szCs w:val="24"/>
          <w:lang w:eastAsia="en-GB"/>
        </w:rPr>
      </w:pPr>
      <w:r w:rsidRPr="00CC46E3">
        <w:rPr>
          <w:rFonts w:ascii="Bell MT" w:eastAsiaTheme="minorEastAsia" w:hAnsi="Bell MT"/>
          <w:color w:val="FF0000"/>
          <w:sz w:val="24"/>
          <w:szCs w:val="24"/>
          <w:lang w:eastAsia="en-GB"/>
        </w:rPr>
        <w:t>However, despite its impact on national regulatory space, the FET standard is the most commonly invoked investment treaty provision making it a key component of international investment law on safeguarding foreign investors’ economic interests.</w:t>
      </w:r>
      <w:r w:rsidRPr="00CC46E3">
        <w:rPr>
          <w:rStyle w:val="FootnoteReference"/>
          <w:rFonts w:ascii="Bell MT" w:eastAsiaTheme="minorEastAsia" w:hAnsi="Bell MT"/>
          <w:color w:val="FF0000"/>
          <w:sz w:val="24"/>
          <w:szCs w:val="24"/>
          <w:lang w:eastAsia="en-GB"/>
        </w:rPr>
        <w:footnoteReference w:id="31"/>
      </w:r>
      <w:r w:rsidRPr="00CC46E3">
        <w:rPr>
          <w:rFonts w:ascii="Bell MT" w:eastAsiaTheme="minorEastAsia" w:hAnsi="Bell MT"/>
          <w:color w:val="FF0000"/>
          <w:sz w:val="24"/>
          <w:szCs w:val="24"/>
          <w:lang w:eastAsia="en-GB"/>
        </w:rPr>
        <w:t xml:space="preserve"> This is exemplified by the case of </w:t>
      </w:r>
      <w:r w:rsidRPr="00CC46E3">
        <w:rPr>
          <w:rFonts w:ascii="Bell MT" w:eastAsiaTheme="minorEastAsia" w:hAnsi="Bell MT"/>
          <w:i/>
          <w:color w:val="FF0000"/>
          <w:sz w:val="24"/>
          <w:szCs w:val="24"/>
          <w:lang w:eastAsia="en-GB"/>
        </w:rPr>
        <w:t xml:space="preserve">Waguih Elie George </w:t>
      </w:r>
      <w:proofErr w:type="spellStart"/>
      <w:r w:rsidRPr="00CC46E3">
        <w:rPr>
          <w:rFonts w:ascii="Bell MT" w:eastAsiaTheme="minorEastAsia" w:hAnsi="Bell MT"/>
          <w:i/>
          <w:color w:val="FF0000"/>
          <w:sz w:val="24"/>
          <w:szCs w:val="24"/>
          <w:lang w:eastAsia="en-GB"/>
        </w:rPr>
        <w:t>Siag</w:t>
      </w:r>
      <w:proofErr w:type="spellEnd"/>
      <w:r w:rsidRPr="00CC46E3">
        <w:rPr>
          <w:rFonts w:ascii="Bell MT" w:eastAsiaTheme="minorEastAsia" w:hAnsi="Bell MT"/>
          <w:i/>
          <w:color w:val="FF0000"/>
          <w:sz w:val="24"/>
          <w:szCs w:val="24"/>
          <w:lang w:eastAsia="en-GB"/>
        </w:rPr>
        <w:t xml:space="preserve"> and Clorinda Vecchi</w:t>
      </w:r>
      <w:r w:rsidRPr="00CC46E3">
        <w:rPr>
          <w:rFonts w:ascii="Bell MT" w:eastAsiaTheme="minorEastAsia" w:hAnsi="Bell MT"/>
          <w:color w:val="FF0000"/>
          <w:sz w:val="24"/>
          <w:szCs w:val="24"/>
          <w:lang w:eastAsia="en-GB"/>
        </w:rPr>
        <w:t xml:space="preserve"> v. </w:t>
      </w:r>
      <w:r w:rsidRPr="00CC46E3">
        <w:rPr>
          <w:rFonts w:ascii="Bell MT" w:eastAsiaTheme="minorEastAsia" w:hAnsi="Bell MT"/>
          <w:i/>
          <w:color w:val="FF0000"/>
          <w:sz w:val="24"/>
          <w:szCs w:val="24"/>
          <w:lang w:eastAsia="en-GB"/>
        </w:rPr>
        <w:t>Arab Republic of</w:t>
      </w:r>
      <w:r w:rsidRPr="00CC46E3">
        <w:rPr>
          <w:rFonts w:ascii="Bell MT" w:eastAsiaTheme="minorEastAsia" w:hAnsi="Bell MT"/>
          <w:color w:val="FF0000"/>
          <w:sz w:val="24"/>
          <w:szCs w:val="24"/>
          <w:lang w:eastAsia="en-GB"/>
        </w:rPr>
        <w:t xml:space="preserve"> </w:t>
      </w:r>
      <w:r w:rsidRPr="00CC46E3">
        <w:rPr>
          <w:rFonts w:ascii="Bell MT" w:eastAsiaTheme="minorEastAsia" w:hAnsi="Bell MT"/>
          <w:i/>
          <w:color w:val="FF0000"/>
          <w:sz w:val="24"/>
          <w:szCs w:val="24"/>
          <w:lang w:eastAsia="en-GB"/>
        </w:rPr>
        <w:t>Egypt</w:t>
      </w:r>
      <w:r w:rsidRPr="00CC46E3">
        <w:rPr>
          <w:rFonts w:ascii="Bell MT" w:eastAsiaTheme="minorEastAsia" w:hAnsi="Bell MT"/>
          <w:color w:val="FF0000"/>
          <w:sz w:val="24"/>
          <w:szCs w:val="24"/>
          <w:lang w:eastAsia="en-GB"/>
        </w:rPr>
        <w:t xml:space="preserve">, where the claimants, after learning that their investment was to be seized, sought protection of their investment from the </w:t>
      </w:r>
      <w:proofErr w:type="spellStart"/>
      <w:r w:rsidRPr="00CC46E3">
        <w:rPr>
          <w:rFonts w:ascii="Bell MT" w:eastAsiaTheme="minorEastAsia" w:hAnsi="Bell MT"/>
          <w:color w:val="FF0000"/>
          <w:sz w:val="24"/>
          <w:szCs w:val="24"/>
          <w:lang w:eastAsia="en-GB"/>
        </w:rPr>
        <w:t>Nuweiba</w:t>
      </w:r>
      <w:proofErr w:type="spellEnd"/>
      <w:r w:rsidRPr="00CC46E3">
        <w:rPr>
          <w:rFonts w:ascii="Bell MT" w:eastAsiaTheme="minorEastAsia" w:hAnsi="Bell MT"/>
          <w:color w:val="FF0000"/>
          <w:sz w:val="24"/>
          <w:szCs w:val="24"/>
          <w:lang w:eastAsia="en-GB"/>
        </w:rPr>
        <w:t xml:space="preserve"> Police. The tribunal decided that the expropriated investment should be returned to </w:t>
      </w:r>
      <w:proofErr w:type="spellStart"/>
      <w:r w:rsidRPr="00CC46E3">
        <w:rPr>
          <w:rFonts w:ascii="Bell MT" w:eastAsiaTheme="minorEastAsia" w:hAnsi="Bell MT"/>
          <w:color w:val="FF0000"/>
          <w:sz w:val="24"/>
          <w:szCs w:val="24"/>
          <w:lang w:eastAsia="en-GB"/>
        </w:rPr>
        <w:t>Siag</w:t>
      </w:r>
      <w:proofErr w:type="spellEnd"/>
      <w:r w:rsidRPr="00CC46E3">
        <w:rPr>
          <w:rFonts w:ascii="Bell MT" w:eastAsiaTheme="minorEastAsia" w:hAnsi="Bell MT"/>
          <w:color w:val="FF0000"/>
          <w:sz w:val="24"/>
          <w:szCs w:val="24"/>
          <w:lang w:eastAsia="en-GB"/>
        </w:rPr>
        <w:t xml:space="preserve"> &amp; Vecchi because of the illegality of the expropriation and since the respondent had violated its obligations under the full protection standard.</w:t>
      </w:r>
      <w:r w:rsidRPr="00CC46E3">
        <w:rPr>
          <w:rStyle w:val="FootnoteReference"/>
          <w:rFonts w:ascii="Bell MT" w:eastAsiaTheme="minorEastAsia" w:hAnsi="Bell MT"/>
          <w:color w:val="FF0000"/>
          <w:sz w:val="24"/>
          <w:szCs w:val="24"/>
          <w:lang w:eastAsia="en-GB"/>
        </w:rPr>
        <w:footnoteReference w:id="32"/>
      </w:r>
      <w:r w:rsidRPr="00CC46E3">
        <w:rPr>
          <w:rFonts w:ascii="Bell MT" w:eastAsiaTheme="minorEastAsia" w:hAnsi="Bell MT"/>
          <w:color w:val="FF0000"/>
          <w:sz w:val="24"/>
          <w:szCs w:val="24"/>
          <w:lang w:eastAsia="en-GB"/>
        </w:rPr>
        <w:t xml:space="preserve"> However, some States have resorted to innovative treaty drafting practices as a means of limiting their exposure to FET-based claims.</w:t>
      </w:r>
      <w:r w:rsidRPr="00CC46E3">
        <w:rPr>
          <w:rStyle w:val="FootnoteReference"/>
          <w:rFonts w:ascii="Bell MT" w:eastAsiaTheme="minorEastAsia" w:hAnsi="Bell MT"/>
          <w:color w:val="FF0000"/>
          <w:sz w:val="24"/>
          <w:szCs w:val="24"/>
          <w:lang w:eastAsia="en-GB"/>
        </w:rPr>
        <w:footnoteReference w:id="33"/>
      </w:r>
      <w:r w:rsidRPr="00CC46E3">
        <w:rPr>
          <w:rFonts w:ascii="Bell MT" w:eastAsiaTheme="minorEastAsia" w:hAnsi="Bell MT"/>
          <w:color w:val="FF0000"/>
          <w:sz w:val="24"/>
          <w:szCs w:val="24"/>
          <w:lang w:eastAsia="en-GB"/>
        </w:rPr>
        <w:t xml:space="preserve"> Despite that, Eric De </w:t>
      </w:r>
      <w:proofErr w:type="spellStart"/>
      <w:r w:rsidRPr="00CC46E3">
        <w:rPr>
          <w:rFonts w:ascii="Bell MT" w:eastAsiaTheme="minorEastAsia" w:hAnsi="Bell MT"/>
          <w:color w:val="FF0000"/>
          <w:sz w:val="24"/>
          <w:szCs w:val="24"/>
          <w:lang w:eastAsia="en-GB"/>
        </w:rPr>
        <w:t>Brabandere</w:t>
      </w:r>
      <w:proofErr w:type="spellEnd"/>
      <w:r w:rsidRPr="00CC46E3">
        <w:rPr>
          <w:rFonts w:ascii="Bell MT" w:eastAsiaTheme="minorEastAsia" w:hAnsi="Bell MT"/>
          <w:color w:val="FF0000"/>
          <w:sz w:val="24"/>
          <w:szCs w:val="24"/>
          <w:lang w:eastAsia="en-GB"/>
        </w:rPr>
        <w:t xml:space="preserve"> finds that African States “do not generally deviate from existing conceptions of FET and [full protection and security], in the sense that there does not seem to be any Africa-specific conception of the FET and [full protection and security], standards of treatment.” He argues that there is a general unwillingness to steer away from the traditional formulation of these standards, which as a result limits African State’s ability to reduce their exposure to claims deriving from those standards. Thus, African countries have a vested interest in the reform of ISDS, to ensure that claims are brought to bodies that recognise the public international element of these claims (see the discussion on public international law below). </w:t>
      </w:r>
    </w:p>
    <w:p w14:paraId="2B22FD5D" w14:textId="77777777" w:rsidR="00C077A5" w:rsidRPr="00CC46E3" w:rsidRDefault="00C077A5" w:rsidP="00E23D81">
      <w:pPr>
        <w:spacing w:line="276" w:lineRule="auto"/>
        <w:jc w:val="both"/>
        <w:rPr>
          <w:rFonts w:ascii="Bell MT" w:hAnsi="Bell MT" w:cstheme="majorBidi"/>
          <w:color w:val="FF0000"/>
          <w:sz w:val="24"/>
          <w:szCs w:val="24"/>
        </w:rPr>
      </w:pPr>
      <w:r w:rsidRPr="00CC46E3">
        <w:rPr>
          <w:rFonts w:ascii="Bell MT" w:hAnsi="Bell MT"/>
          <w:color w:val="FF0000"/>
          <w:sz w:val="24"/>
          <w:szCs w:val="24"/>
        </w:rPr>
        <w:t xml:space="preserve">Thirdly, in the </w:t>
      </w:r>
      <w:r w:rsidRPr="00CC46E3">
        <w:rPr>
          <w:rFonts w:ascii="Bell MT" w:hAnsi="Bell MT"/>
          <w:i/>
          <w:color w:val="FF0000"/>
          <w:sz w:val="24"/>
          <w:szCs w:val="24"/>
        </w:rPr>
        <w:t xml:space="preserve">ad hoc </w:t>
      </w:r>
      <w:r w:rsidRPr="00CC46E3">
        <w:rPr>
          <w:rFonts w:ascii="Bell MT" w:hAnsi="Bell MT"/>
          <w:color w:val="FF0000"/>
          <w:sz w:val="24"/>
          <w:szCs w:val="24"/>
        </w:rPr>
        <w:t>ISDS</w:t>
      </w:r>
      <w:r w:rsidRPr="00CC46E3">
        <w:rPr>
          <w:rFonts w:ascii="Bell MT" w:hAnsi="Bell MT"/>
          <w:i/>
          <w:color w:val="FF0000"/>
          <w:sz w:val="24"/>
          <w:szCs w:val="24"/>
        </w:rPr>
        <w:t xml:space="preserve"> </w:t>
      </w:r>
      <w:r w:rsidRPr="00CC46E3">
        <w:rPr>
          <w:rFonts w:ascii="Bell MT" w:hAnsi="Bell MT"/>
          <w:color w:val="FF0000"/>
          <w:sz w:val="24"/>
          <w:szCs w:val="24"/>
        </w:rPr>
        <w:t xml:space="preserve">system, cases are decided </w:t>
      </w:r>
      <w:r w:rsidRPr="00CC46E3">
        <w:rPr>
          <w:rFonts w:ascii="Bell MT" w:hAnsi="Bell MT" w:cstheme="majorBidi"/>
          <w:color w:val="FF0000"/>
          <w:sz w:val="24"/>
          <w:szCs w:val="24"/>
        </w:rPr>
        <w:t xml:space="preserve">upon the language of the applicable treaty guided by the Vienna Convention on the Law of Treaties (VCLT) which requires interpreting a specific treaty provision to include consideration of the “ordinary meaning” of </w:t>
      </w:r>
      <w:r w:rsidRPr="00CC46E3">
        <w:rPr>
          <w:rFonts w:ascii="Bell MT" w:hAnsi="Bell MT" w:cstheme="majorBidi"/>
          <w:color w:val="FF0000"/>
          <w:sz w:val="24"/>
          <w:szCs w:val="24"/>
        </w:rPr>
        <w:lastRenderedPageBreak/>
        <w:t xml:space="preserve">the text, subsequent agreements between the State parties, the </w:t>
      </w:r>
      <w:r w:rsidRPr="00CC46E3">
        <w:rPr>
          <w:rFonts w:ascii="Bell MT" w:hAnsi="Bell MT" w:cstheme="majorBidi"/>
          <w:i/>
          <w:iCs/>
          <w:color w:val="FF0000"/>
          <w:sz w:val="24"/>
          <w:szCs w:val="24"/>
        </w:rPr>
        <w:t xml:space="preserve">travaux </w:t>
      </w:r>
      <w:proofErr w:type="spellStart"/>
      <w:r w:rsidRPr="00CC46E3">
        <w:rPr>
          <w:rFonts w:ascii="Bell MT" w:hAnsi="Bell MT" w:cstheme="majorBidi"/>
          <w:i/>
          <w:iCs/>
          <w:color w:val="FF0000"/>
          <w:sz w:val="24"/>
          <w:szCs w:val="24"/>
        </w:rPr>
        <w:t>preparatoire</w:t>
      </w:r>
      <w:proofErr w:type="spellEnd"/>
      <w:r w:rsidRPr="00CC46E3">
        <w:rPr>
          <w:rFonts w:ascii="Bell MT" w:hAnsi="Bell MT" w:cstheme="majorBidi"/>
          <w:color w:val="FF0000"/>
          <w:sz w:val="24"/>
          <w:szCs w:val="24"/>
        </w:rPr>
        <w:t>, and the circumstances surrounding the treaty’s conclusion.</w:t>
      </w:r>
      <w:r w:rsidRPr="00CC46E3">
        <w:rPr>
          <w:rStyle w:val="FootnoteReference"/>
          <w:rFonts w:ascii="Bell MT" w:hAnsi="Bell MT" w:cstheme="majorBidi"/>
          <w:color w:val="FF0000"/>
          <w:sz w:val="24"/>
          <w:szCs w:val="24"/>
        </w:rPr>
        <w:footnoteReference w:id="34"/>
      </w:r>
      <w:r w:rsidRPr="00CC46E3">
        <w:rPr>
          <w:rFonts w:ascii="Bell MT" w:hAnsi="Bell MT" w:cstheme="majorBidi"/>
          <w:color w:val="FF0000"/>
          <w:sz w:val="24"/>
          <w:szCs w:val="24"/>
        </w:rPr>
        <w:t xml:space="preserve"> However, with over 3000 IIAs, containing differing provisions and between different parties, these principles of interpretation leave plenty of scope for conflicting interpretation of similar or even identical phrases. </w:t>
      </w:r>
      <w:r w:rsidRPr="00CC46E3">
        <w:rPr>
          <w:rFonts w:ascii="Bell MT" w:hAnsi="Bell MT" w:cs="Times New Roman"/>
          <w:color w:val="FF0000"/>
          <w:sz w:val="24"/>
          <w:szCs w:val="24"/>
        </w:rPr>
        <w:t xml:space="preserve">This can be exemplified by the decisions in </w:t>
      </w:r>
      <w:r w:rsidRPr="00CC46E3">
        <w:rPr>
          <w:rFonts w:ascii="Bell MT" w:hAnsi="Bell MT"/>
          <w:bCs/>
          <w:i/>
          <w:color w:val="FF0000"/>
          <w:sz w:val="24"/>
          <w:szCs w:val="24"/>
          <w:lang w:val="en"/>
        </w:rPr>
        <w:t>CME v. Czech Republic</w:t>
      </w:r>
      <w:r w:rsidRPr="00CC46E3">
        <w:rPr>
          <w:rFonts w:ascii="Bell MT" w:hAnsi="Bell MT"/>
          <w:color w:val="FF0000"/>
          <w:sz w:val="24"/>
          <w:szCs w:val="24"/>
          <w:lang w:val="en"/>
        </w:rPr>
        <w:t xml:space="preserve"> and </w:t>
      </w:r>
      <w:r w:rsidRPr="00CC46E3">
        <w:rPr>
          <w:rFonts w:ascii="Bell MT" w:hAnsi="Bell MT"/>
          <w:bCs/>
          <w:i/>
          <w:color w:val="FF0000"/>
          <w:sz w:val="24"/>
          <w:szCs w:val="24"/>
          <w:lang w:val="en"/>
        </w:rPr>
        <w:t xml:space="preserve">Lauder </w:t>
      </w:r>
      <w:r w:rsidRPr="00CC46E3">
        <w:rPr>
          <w:rFonts w:ascii="Bell MT" w:hAnsi="Bell MT"/>
          <w:bCs/>
          <w:color w:val="FF0000"/>
          <w:sz w:val="24"/>
          <w:szCs w:val="24"/>
          <w:lang w:val="en"/>
        </w:rPr>
        <w:t>v.</w:t>
      </w:r>
      <w:r w:rsidRPr="00CC46E3">
        <w:rPr>
          <w:rFonts w:ascii="Bell MT" w:hAnsi="Bell MT"/>
          <w:bCs/>
          <w:i/>
          <w:color w:val="FF0000"/>
          <w:sz w:val="24"/>
          <w:szCs w:val="24"/>
          <w:lang w:val="en"/>
        </w:rPr>
        <w:t xml:space="preserve"> Czech Republic</w:t>
      </w:r>
      <w:r w:rsidRPr="00CC46E3">
        <w:rPr>
          <w:rFonts w:ascii="Bell MT" w:hAnsi="Bell MT"/>
          <w:color w:val="FF0000"/>
          <w:sz w:val="24"/>
          <w:szCs w:val="24"/>
          <w:lang w:val="en"/>
        </w:rPr>
        <w:t>; parallel cases handled by two different arbitral tribunals in what has been described as “</w:t>
      </w:r>
      <w:r w:rsidRPr="00CC46E3">
        <w:rPr>
          <w:rFonts w:ascii="Bell MT" w:hAnsi="Bell MT"/>
          <w:iCs/>
          <w:color w:val="FF0000"/>
          <w:sz w:val="24"/>
          <w:szCs w:val="24"/>
          <w:lang w:val="en"/>
        </w:rPr>
        <w:t>the ultimate fiasco in investment arbitration.”</w:t>
      </w:r>
      <w:r w:rsidRPr="00CC46E3">
        <w:rPr>
          <w:rFonts w:ascii="Bell MT" w:hAnsi="Bell MT"/>
          <w:iCs/>
          <w:color w:val="FF0000"/>
          <w:sz w:val="24"/>
          <w:szCs w:val="24"/>
          <w:vertAlign w:val="superscript"/>
          <w:lang w:val="en"/>
        </w:rPr>
        <w:footnoteReference w:id="35"/>
      </w:r>
      <w:r w:rsidRPr="00CC46E3">
        <w:rPr>
          <w:rFonts w:ascii="Bell MT" w:hAnsi="Bell MT" w:cs="Times New Roman"/>
          <w:color w:val="FF0000"/>
          <w:sz w:val="24"/>
          <w:szCs w:val="24"/>
        </w:rPr>
        <w:t xml:space="preserve"> </w:t>
      </w:r>
      <w:r w:rsidRPr="00CC46E3">
        <w:rPr>
          <w:rFonts w:ascii="Bell MT" w:hAnsi="Bell MT" w:cs="Aaux ProLight"/>
          <w:color w:val="FF0000"/>
          <w:sz w:val="24"/>
          <w:szCs w:val="24"/>
        </w:rPr>
        <w:t xml:space="preserve">An American businessman Ronald Lauder brought an investor-state claim against the Czech Republic under the US-Czech Republic BIT (1991) via the </w:t>
      </w:r>
      <w:r w:rsidRPr="00CC46E3">
        <w:rPr>
          <w:rFonts w:ascii="Bell MT" w:eastAsia="Times New Roman" w:hAnsi="Bell MT" w:cs="Times New Roman"/>
          <w:color w:val="FF0000"/>
          <w:sz w:val="24"/>
          <w:szCs w:val="24"/>
          <w:lang w:eastAsia="en-GB"/>
        </w:rPr>
        <w:t>United Nations Commission on International Trade Law UNCITRAL)</w:t>
      </w:r>
      <w:r w:rsidRPr="00CC46E3">
        <w:rPr>
          <w:rFonts w:ascii="Bell MT" w:hAnsi="Bell MT" w:cs="Aaux ProLight"/>
          <w:color w:val="FF0000"/>
          <w:sz w:val="24"/>
          <w:szCs w:val="24"/>
        </w:rPr>
        <w:t xml:space="preserve"> route.</w:t>
      </w:r>
      <w:r w:rsidRPr="00CC46E3">
        <w:rPr>
          <w:rFonts w:ascii="Bell MT" w:eastAsia="Times New Roman" w:hAnsi="Bell MT" w:cs="Times New Roman"/>
          <w:color w:val="FF0000"/>
          <w:sz w:val="24"/>
          <w:szCs w:val="24"/>
          <w:vertAlign w:val="superscript"/>
          <w:lang w:eastAsia="en-GB"/>
        </w:rPr>
        <w:footnoteReference w:id="36"/>
      </w:r>
      <w:r w:rsidRPr="00CC46E3">
        <w:rPr>
          <w:rFonts w:ascii="Bell MT" w:hAnsi="Bell MT" w:cs="Aaux ProLight"/>
          <w:color w:val="FF0000"/>
          <w:sz w:val="24"/>
          <w:szCs w:val="24"/>
        </w:rPr>
        <w:t xml:space="preserve"> However, having structured his investment in TV Nova (a broadcasting firm), through a Dutch investment vehicle, the investor made another claim against the Czech Republic under the Netherlands-Czech Republic BIT (1991) via the ICSID route. Within days of each other, the Czech Republic was ordered by an ICSID tribunal to pay 270 million US dollars plus interest while the UNCITRAL tribunal dismissed the case on merit.</w:t>
      </w:r>
      <w:r w:rsidRPr="00CC46E3">
        <w:rPr>
          <w:rFonts w:ascii="Bell MT" w:hAnsi="Bell MT" w:cs="Aaux ProLight"/>
          <w:color w:val="FF0000"/>
          <w:sz w:val="24"/>
          <w:szCs w:val="24"/>
          <w:vertAlign w:val="superscript"/>
        </w:rPr>
        <w:footnoteReference w:id="37"/>
      </w:r>
      <w:r w:rsidRPr="00CC46E3">
        <w:rPr>
          <w:rFonts w:ascii="Bell MT" w:hAnsi="Bell MT" w:cs="Aaux ProLight"/>
          <w:color w:val="FF0000"/>
          <w:sz w:val="24"/>
          <w:szCs w:val="24"/>
        </w:rPr>
        <w:t xml:space="preserve"> This is compounded by the fact that </w:t>
      </w:r>
      <w:r w:rsidRPr="00CC46E3">
        <w:rPr>
          <w:rFonts w:ascii="Bell MT" w:hAnsi="Bell MT" w:cstheme="majorBidi"/>
          <w:color w:val="FF0000"/>
          <w:sz w:val="24"/>
          <w:szCs w:val="24"/>
        </w:rPr>
        <w:t xml:space="preserve">each case is decided upon the language of the applicable treaty and the unique facts before the tribunal; cases interpreting similar circumstances or even applying the same treaty are merely persuasive authority.  </w:t>
      </w:r>
    </w:p>
    <w:p w14:paraId="785EA25D" w14:textId="77777777" w:rsidR="00C077A5" w:rsidRPr="00CC46E3" w:rsidRDefault="00C077A5" w:rsidP="00E23D81">
      <w:pPr>
        <w:spacing w:line="276" w:lineRule="auto"/>
        <w:jc w:val="both"/>
        <w:rPr>
          <w:rFonts w:ascii="Bell MT" w:hAnsi="Bell MT"/>
          <w:color w:val="FF0000"/>
          <w:sz w:val="24"/>
          <w:szCs w:val="24"/>
          <w:u w:val="single"/>
        </w:rPr>
      </w:pPr>
      <w:r w:rsidRPr="00CC46E3">
        <w:rPr>
          <w:rFonts w:ascii="Bell MT" w:hAnsi="Bell MT" w:cstheme="majorBidi"/>
          <w:color w:val="FF0000"/>
          <w:sz w:val="24"/>
          <w:szCs w:val="24"/>
        </w:rPr>
        <w:t xml:space="preserve">Fourthly, </w:t>
      </w:r>
      <w:r w:rsidRPr="00CC46E3">
        <w:rPr>
          <w:rFonts w:ascii="Bell MT" w:eastAsia="Times New Roman" w:hAnsi="Bell MT" w:cstheme="majorBidi"/>
          <w:color w:val="FF0000"/>
          <w:sz w:val="24"/>
          <w:szCs w:val="24"/>
          <w:lang w:eastAsia="en-GB"/>
        </w:rPr>
        <w:t>the current ISDS system provides only limited scope for appeal due to a well-established principle that an arbitration award should be final. For instance, the ICSID rules permit annulment proceedings on specific grounds, none of which permit review of the tribunal’s findings of fact and only permit review of the determinations of law if it can be proved that the tribunal “manifestly exceed[ed] its powers.”</w:t>
      </w:r>
      <w:r w:rsidRPr="00CC46E3">
        <w:rPr>
          <w:rStyle w:val="FootnoteReference"/>
          <w:rFonts w:ascii="Bell MT" w:eastAsia="Times New Roman" w:hAnsi="Bell MT" w:cstheme="majorBidi"/>
          <w:color w:val="FF0000"/>
          <w:sz w:val="24"/>
          <w:szCs w:val="24"/>
          <w:lang w:eastAsia="en-GB"/>
        </w:rPr>
        <w:footnoteReference w:id="38"/>
      </w:r>
      <w:r w:rsidRPr="00CC46E3">
        <w:rPr>
          <w:rFonts w:ascii="Bell MT" w:eastAsia="Times New Roman" w:hAnsi="Bell MT" w:cstheme="majorBidi"/>
          <w:color w:val="FF0000"/>
          <w:sz w:val="24"/>
          <w:szCs w:val="24"/>
          <w:lang w:eastAsia="en-GB"/>
        </w:rPr>
        <w:t xml:space="preserve"> While the nature of those proceedings is based upon local law, many jurisdictions apply grounds similar to those found in the UNCITRAL Model Law, which do not generally permit the domestic court to review the tribunal’s findings of fact or determinations of law.</w:t>
      </w:r>
      <w:r w:rsidRPr="00CC46E3">
        <w:rPr>
          <w:rStyle w:val="FootnoteReference"/>
          <w:rFonts w:ascii="Bell MT" w:eastAsia="Times New Roman" w:hAnsi="Bell MT" w:cstheme="majorBidi"/>
          <w:color w:val="FF0000"/>
          <w:sz w:val="24"/>
          <w:szCs w:val="24"/>
          <w:lang w:eastAsia="en-GB"/>
        </w:rPr>
        <w:footnoteReference w:id="39"/>
      </w:r>
      <w:r w:rsidRPr="00CC46E3">
        <w:rPr>
          <w:rFonts w:ascii="Bell MT" w:eastAsia="Times New Roman" w:hAnsi="Bell MT" w:cstheme="majorBidi"/>
          <w:color w:val="FF0000"/>
          <w:sz w:val="24"/>
          <w:szCs w:val="24"/>
          <w:lang w:eastAsia="en-GB"/>
        </w:rPr>
        <w:t xml:space="preserve"> The absence of an appeals mechanism to review factual errors has fed the campaign against tribunals in the </w:t>
      </w:r>
      <w:r w:rsidRPr="00CC46E3">
        <w:rPr>
          <w:rFonts w:ascii="Bell MT" w:eastAsia="Times New Roman" w:hAnsi="Bell MT" w:cstheme="majorBidi"/>
          <w:i/>
          <w:iCs/>
          <w:color w:val="FF0000"/>
          <w:sz w:val="24"/>
          <w:szCs w:val="24"/>
          <w:lang w:eastAsia="en-GB"/>
        </w:rPr>
        <w:t xml:space="preserve">ad hoc </w:t>
      </w:r>
      <w:r w:rsidRPr="00CC46E3">
        <w:rPr>
          <w:rFonts w:ascii="Bell MT" w:eastAsia="Times New Roman" w:hAnsi="Bell MT" w:cstheme="majorBidi"/>
          <w:color w:val="FF0000"/>
          <w:sz w:val="24"/>
          <w:szCs w:val="24"/>
          <w:lang w:eastAsia="en-GB"/>
        </w:rPr>
        <w:t>system as biased against States. This bias occurs because, even though both parties generally pick at least one member of the tribunal and both parties are jointly responsible for arbitrator fees until a final award is issued, only investors can initiate cases in the ISDS system.</w:t>
      </w:r>
      <w:r w:rsidRPr="00CC46E3">
        <w:rPr>
          <w:rStyle w:val="FootnoteReference"/>
          <w:rFonts w:ascii="Bell MT" w:eastAsia="Times New Roman" w:hAnsi="Bell MT" w:cstheme="majorBidi"/>
          <w:color w:val="FF0000"/>
          <w:sz w:val="24"/>
          <w:szCs w:val="24"/>
          <w:lang w:eastAsia="en-GB"/>
        </w:rPr>
        <w:footnoteReference w:id="40"/>
      </w:r>
      <w:r w:rsidRPr="00CC46E3">
        <w:rPr>
          <w:rFonts w:ascii="Bell MT" w:eastAsia="Times New Roman" w:hAnsi="Bell MT" w:cstheme="majorBidi"/>
          <w:color w:val="FF0000"/>
          <w:sz w:val="24"/>
          <w:szCs w:val="24"/>
          <w:lang w:eastAsia="en-GB"/>
        </w:rPr>
        <w:t xml:space="preserve"> As a result, tribunal members whose salary depends on the number of cases they adjudicate supposedly are incentivised to make sure investors see the system as helpful and legitimate, leading them to </w:t>
      </w:r>
      <w:r w:rsidRPr="00CC46E3">
        <w:rPr>
          <w:rFonts w:ascii="Bell MT" w:eastAsia="Times New Roman" w:hAnsi="Bell MT" w:cstheme="majorBidi"/>
          <w:color w:val="FF0000"/>
          <w:sz w:val="24"/>
          <w:szCs w:val="24"/>
          <w:lang w:eastAsia="en-GB"/>
        </w:rPr>
        <w:lastRenderedPageBreak/>
        <w:t>rule in the investors’ favour.</w:t>
      </w:r>
      <w:r w:rsidRPr="00CC46E3">
        <w:rPr>
          <w:rStyle w:val="FootnoteReference"/>
          <w:rFonts w:ascii="Bell MT" w:eastAsia="Times New Roman" w:hAnsi="Bell MT" w:cstheme="majorBidi"/>
          <w:color w:val="FF0000"/>
          <w:sz w:val="24"/>
          <w:szCs w:val="24"/>
          <w:lang w:eastAsia="en-GB"/>
        </w:rPr>
        <w:footnoteReference w:id="41"/>
      </w:r>
      <w:r w:rsidRPr="00CC46E3">
        <w:rPr>
          <w:rFonts w:ascii="Bell MT" w:eastAsia="Times New Roman" w:hAnsi="Bell MT" w:cstheme="majorBidi"/>
          <w:color w:val="FF0000"/>
          <w:sz w:val="24"/>
          <w:szCs w:val="24"/>
          <w:lang w:eastAsia="en-GB"/>
        </w:rPr>
        <w:t xml:space="preserve">  This is compounded by the small, interrelated pool from which most parties select their counsel and arbitrators, with an arbitrator in one case often serving as counsel in another.</w:t>
      </w:r>
      <w:r w:rsidRPr="00CC46E3">
        <w:rPr>
          <w:rStyle w:val="FootnoteReference"/>
          <w:rFonts w:ascii="Bell MT" w:eastAsia="Times New Roman" w:hAnsi="Bell MT" w:cstheme="majorBidi"/>
          <w:color w:val="FF0000"/>
          <w:sz w:val="24"/>
          <w:szCs w:val="24"/>
          <w:lang w:eastAsia="en-GB"/>
        </w:rPr>
        <w:footnoteReference w:id="42"/>
      </w:r>
      <w:r w:rsidRPr="00CC46E3">
        <w:rPr>
          <w:rFonts w:ascii="Bell MT" w:eastAsia="Times New Roman" w:hAnsi="Bell MT" w:cstheme="majorBidi"/>
          <w:color w:val="FF0000"/>
          <w:sz w:val="24"/>
          <w:szCs w:val="24"/>
          <w:lang w:eastAsia="en-GB"/>
        </w:rPr>
        <w:t xml:space="preserve"> In fact, the </w:t>
      </w:r>
      <w:r w:rsidRPr="00CC46E3">
        <w:rPr>
          <w:rFonts w:ascii="Bell MT" w:hAnsi="Bell MT"/>
          <w:color w:val="FF0000"/>
          <w:sz w:val="24"/>
          <w:szCs w:val="24"/>
        </w:rPr>
        <w:t>former Singaporean Attorney General and current Chief Justice Sundaresh Menon in his keynote speech at the International Council for Commercial Arbitration in 2012 questioned the independence of investment arbitrators</w:t>
      </w:r>
      <w:r w:rsidRPr="00CC46E3">
        <w:rPr>
          <w:rStyle w:val="FootnoteReference"/>
          <w:rFonts w:ascii="Bell MT" w:hAnsi="Bell MT"/>
          <w:color w:val="FF0000"/>
          <w:sz w:val="24"/>
          <w:szCs w:val="24"/>
        </w:rPr>
        <w:footnoteReference w:id="43"/>
      </w:r>
      <w:r w:rsidRPr="00CC46E3">
        <w:rPr>
          <w:rFonts w:ascii="Bell MT" w:hAnsi="Bell MT"/>
          <w:color w:val="FF0000"/>
          <w:sz w:val="24"/>
          <w:szCs w:val="24"/>
        </w:rPr>
        <w:t xml:space="preserve"> and argued that many investment tribunals have interpreted the substantive laws beyond the original intention of the parties.</w:t>
      </w:r>
      <w:r w:rsidRPr="00CC46E3">
        <w:rPr>
          <w:rFonts w:ascii="Bell MT" w:hAnsi="Bell MT"/>
          <w:color w:val="FF0000"/>
          <w:sz w:val="24"/>
          <w:szCs w:val="24"/>
          <w:vertAlign w:val="superscript"/>
        </w:rPr>
        <w:footnoteReference w:id="44"/>
      </w:r>
      <w:r w:rsidRPr="00CC46E3">
        <w:rPr>
          <w:rFonts w:ascii="Bell MT" w:hAnsi="Bell MT"/>
          <w:color w:val="FF0000"/>
          <w:sz w:val="24"/>
          <w:szCs w:val="24"/>
        </w:rPr>
        <w:t xml:space="preserve"> This is compounded by the inadequate representation of developing countries amongst panellists, which is hardly surprising given that investment arbitrators are normally highly qualified counsel opting for adjudication, traditionally from developed States. </w:t>
      </w:r>
    </w:p>
    <w:p w14:paraId="6187B1DC" w14:textId="77777777" w:rsidR="003464FE" w:rsidRPr="00C077A5" w:rsidRDefault="00C077A5" w:rsidP="00E23D81">
      <w:pPr>
        <w:spacing w:line="276" w:lineRule="auto"/>
        <w:jc w:val="both"/>
        <w:rPr>
          <w:rFonts w:ascii="Bell MT" w:hAnsi="Bell MT" w:cstheme="majorBidi"/>
          <w:color w:val="FF0000"/>
          <w:sz w:val="24"/>
          <w:szCs w:val="24"/>
        </w:rPr>
      </w:pPr>
      <w:r w:rsidRPr="00CC46E3">
        <w:rPr>
          <w:rFonts w:ascii="Bell MT" w:eastAsia="Times New Roman" w:hAnsi="Bell MT" w:cstheme="majorBidi"/>
          <w:color w:val="FF0000"/>
          <w:sz w:val="24"/>
          <w:szCs w:val="24"/>
          <w:lang w:eastAsia="en-GB"/>
        </w:rPr>
        <w:t xml:space="preserve">Last but not least, </w:t>
      </w:r>
      <w:r w:rsidRPr="00CC46E3">
        <w:rPr>
          <w:rFonts w:ascii="Bell MT" w:hAnsi="Bell MT" w:cstheme="majorBidi"/>
          <w:color w:val="FF0000"/>
          <w:sz w:val="24"/>
          <w:szCs w:val="24"/>
        </w:rPr>
        <w:t xml:space="preserve">through investor-state arbitration, foreign investors enjoy a unique right to access a completely separate legal system which is not available to domestic investors and </w:t>
      </w:r>
      <w:r w:rsidRPr="00CC46E3">
        <w:rPr>
          <w:rFonts w:ascii="Bell MT" w:eastAsia="Times New Roman" w:hAnsi="Bell MT" w:cstheme="majorBidi"/>
          <w:bCs/>
          <w:color w:val="FF0000"/>
          <w:sz w:val="24"/>
          <w:szCs w:val="24"/>
          <w:lang w:eastAsia="en-GB"/>
        </w:rPr>
        <w:t>without any matching obligations under domestic public policy</w:t>
      </w:r>
      <w:r w:rsidRPr="00CC46E3">
        <w:rPr>
          <w:rFonts w:ascii="Bell MT" w:hAnsi="Bell MT" w:cstheme="majorBidi"/>
          <w:color w:val="FF0000"/>
          <w:sz w:val="24"/>
          <w:szCs w:val="24"/>
        </w:rPr>
        <w:t>.</w:t>
      </w:r>
      <w:r w:rsidRPr="00CC46E3">
        <w:rPr>
          <w:rStyle w:val="FootnoteReference"/>
          <w:rFonts w:ascii="Bell MT" w:hAnsi="Bell MT" w:cstheme="majorBidi"/>
          <w:color w:val="FF0000"/>
          <w:sz w:val="24"/>
          <w:szCs w:val="24"/>
        </w:rPr>
        <w:footnoteReference w:id="45"/>
      </w:r>
      <w:r w:rsidRPr="00CC46E3">
        <w:rPr>
          <w:rFonts w:ascii="Bell MT" w:hAnsi="Bell MT" w:cstheme="majorBidi"/>
          <w:color w:val="FF0000"/>
          <w:sz w:val="24"/>
          <w:szCs w:val="24"/>
        </w:rPr>
        <w:t xml:space="preserve"> </w:t>
      </w:r>
      <w:r w:rsidRPr="00CC46E3">
        <w:rPr>
          <w:rFonts w:ascii="Bell MT" w:eastAsia="Times New Roman" w:hAnsi="Bell MT" w:cstheme="majorBidi"/>
          <w:bCs/>
          <w:color w:val="FF0000"/>
          <w:sz w:val="24"/>
          <w:szCs w:val="24"/>
          <w:lang w:eastAsia="en-GB"/>
        </w:rPr>
        <w:t xml:space="preserve">This leaves local communities or entities that are negatively impacted on by the company’s activities, excluded from such favourable treatment. This has contributed to the campaign against </w:t>
      </w:r>
      <w:r w:rsidRPr="00CC46E3">
        <w:rPr>
          <w:rFonts w:ascii="Bell MT" w:hAnsi="Bell MT" w:cstheme="majorBidi"/>
          <w:color w:val="FF0000"/>
          <w:sz w:val="24"/>
          <w:szCs w:val="24"/>
        </w:rPr>
        <w:t>the ISDS system for its encroachment on State sovereignty, particularly a State’s right to regulate.</w:t>
      </w:r>
      <w:r w:rsidRPr="00CC46E3">
        <w:rPr>
          <w:rStyle w:val="FootnoteReference"/>
          <w:rFonts w:ascii="Bell MT" w:hAnsi="Bell MT" w:cstheme="majorBidi"/>
          <w:color w:val="FF0000"/>
          <w:sz w:val="24"/>
          <w:szCs w:val="24"/>
        </w:rPr>
        <w:footnoteReference w:id="46"/>
      </w:r>
      <w:r w:rsidRPr="00CC46E3">
        <w:rPr>
          <w:rFonts w:ascii="Bell MT" w:hAnsi="Bell MT" w:cstheme="majorBidi"/>
          <w:color w:val="FF0000"/>
          <w:sz w:val="24"/>
          <w:szCs w:val="24"/>
        </w:rPr>
        <w:t xml:space="preserve"> In particular, critics argue that investment tribunals are not sufficiently equipped to deal with national public policy concerns such as environmental protection, public health and financial stability.</w:t>
      </w:r>
      <w:r w:rsidRPr="00CC46E3">
        <w:rPr>
          <w:rStyle w:val="FootnoteReference"/>
          <w:rFonts w:ascii="Bell MT" w:hAnsi="Bell MT" w:cstheme="majorBidi"/>
          <w:color w:val="FF0000"/>
          <w:sz w:val="24"/>
          <w:szCs w:val="24"/>
        </w:rPr>
        <w:footnoteReference w:id="47"/>
      </w:r>
      <w:r w:rsidRPr="00CC46E3">
        <w:rPr>
          <w:rFonts w:ascii="Bell MT" w:hAnsi="Bell MT" w:cstheme="majorBidi"/>
          <w:color w:val="FF0000"/>
          <w:sz w:val="24"/>
          <w:szCs w:val="24"/>
        </w:rPr>
        <w:t xml:space="preserve"> For example, the Italian investors’ case against the Republic of South Africa’s over policy changes in the mining industry provides a good example of the uneasy relationship between private interests and national public policy.</w:t>
      </w:r>
      <w:r w:rsidRPr="00CC46E3">
        <w:rPr>
          <w:rStyle w:val="FootnoteReference"/>
          <w:rFonts w:ascii="Bell MT" w:hAnsi="Bell MT" w:cstheme="majorBidi"/>
          <w:color w:val="FF0000"/>
          <w:sz w:val="24"/>
          <w:szCs w:val="24"/>
        </w:rPr>
        <w:footnoteReference w:id="48"/>
      </w:r>
      <w:r w:rsidRPr="00CC46E3">
        <w:rPr>
          <w:rFonts w:ascii="Bell MT" w:hAnsi="Bell MT" w:cstheme="majorBidi"/>
          <w:color w:val="FF0000"/>
          <w:sz w:val="24"/>
          <w:szCs w:val="24"/>
        </w:rPr>
        <w:t xml:space="preserve"> In 2004, South Africa enacted a Mineral and Petroleum Resources Development Act (MPRDA) with the goal of redressing historical apartheid-centric inequalities in the mining industry.  The new system terminated previously held mining rights and required companies to reapply for licences, and instituted a mandatory 26 per cent ownership stake in the industry for black South Africans. Subsequently, a group of Italian investors brought an investor-state claim against South Africa arguing that they had unlawfully expropriated their investment and treated them unfairly. Four years later, the Italian investors dropped their claim and were ordered to pay £290,000 towards South Africa’s legal costs. In the end, South Africa was left with over £3 million in legal fees to pay and the pressure of the case forced the government to allow the Italian investors’ companies </w:t>
      </w:r>
      <w:r w:rsidRPr="00CC46E3">
        <w:rPr>
          <w:rFonts w:ascii="Bell MT" w:hAnsi="Bell MT" w:cstheme="majorBidi"/>
          <w:color w:val="FF0000"/>
          <w:sz w:val="24"/>
          <w:szCs w:val="24"/>
        </w:rPr>
        <w:lastRenderedPageBreak/>
        <w:t>to transfer only five per cent of ownership to black South Africans. Subsequently, South Africa pushed forward plans to terminate a large number of old BITs.</w:t>
      </w:r>
      <w:r w:rsidRPr="00CC46E3">
        <w:rPr>
          <w:rStyle w:val="FootnoteReference"/>
          <w:rFonts w:ascii="Bell MT" w:hAnsi="Bell MT" w:cstheme="majorBidi"/>
          <w:color w:val="FF0000"/>
          <w:sz w:val="24"/>
          <w:szCs w:val="24"/>
        </w:rPr>
        <w:footnoteReference w:id="49"/>
      </w:r>
      <w:r w:rsidRPr="00CC46E3">
        <w:rPr>
          <w:rFonts w:ascii="Bell MT" w:hAnsi="Bell MT" w:cstheme="majorBidi"/>
          <w:color w:val="FF0000"/>
          <w:sz w:val="24"/>
          <w:szCs w:val="24"/>
        </w:rPr>
        <w:t xml:space="preserve"> Thus, these five reasons support the view that Africa faces the same concerns and challenges, as other reform active States in Latin America, Asia and even the EU, over ISDS. </w:t>
      </w:r>
    </w:p>
    <w:p w14:paraId="2DBF2A4D" w14:textId="77777777" w:rsidR="00263585" w:rsidRDefault="00263585" w:rsidP="00E23D81">
      <w:pPr>
        <w:autoSpaceDE w:val="0"/>
        <w:autoSpaceDN w:val="0"/>
        <w:adjustRightInd w:val="0"/>
        <w:spacing w:after="0" w:line="276" w:lineRule="auto"/>
        <w:jc w:val="both"/>
        <w:rPr>
          <w:rFonts w:ascii="Bell MT" w:hAnsi="Bell MT"/>
          <w:sz w:val="24"/>
          <w:szCs w:val="24"/>
        </w:rPr>
      </w:pPr>
    </w:p>
    <w:p w14:paraId="19C69C99" w14:textId="77777777" w:rsidR="00263585" w:rsidRDefault="00263585" w:rsidP="00E23D81">
      <w:pPr>
        <w:pStyle w:val="ListParagraph"/>
        <w:numPr>
          <w:ilvl w:val="1"/>
          <w:numId w:val="4"/>
        </w:numPr>
        <w:autoSpaceDE w:val="0"/>
        <w:autoSpaceDN w:val="0"/>
        <w:adjustRightInd w:val="0"/>
        <w:spacing w:after="0" w:line="276" w:lineRule="auto"/>
        <w:jc w:val="both"/>
        <w:rPr>
          <w:rFonts w:ascii="Bell MT" w:hAnsi="Bell MT"/>
          <w:sz w:val="24"/>
          <w:szCs w:val="24"/>
        </w:rPr>
      </w:pPr>
      <w:r>
        <w:rPr>
          <w:rFonts w:ascii="Bell MT" w:hAnsi="Bell MT"/>
          <w:sz w:val="24"/>
          <w:szCs w:val="24"/>
        </w:rPr>
        <w:t xml:space="preserve">Innovative treaty-making practices </w:t>
      </w:r>
    </w:p>
    <w:p w14:paraId="73725E23" w14:textId="77777777" w:rsidR="00263585" w:rsidRDefault="00263585" w:rsidP="00E23D81">
      <w:pPr>
        <w:autoSpaceDE w:val="0"/>
        <w:autoSpaceDN w:val="0"/>
        <w:adjustRightInd w:val="0"/>
        <w:spacing w:after="0" w:line="276" w:lineRule="auto"/>
        <w:jc w:val="both"/>
        <w:rPr>
          <w:rFonts w:ascii="Bell MT" w:hAnsi="Bell MT"/>
          <w:sz w:val="24"/>
          <w:szCs w:val="24"/>
        </w:rPr>
      </w:pPr>
    </w:p>
    <w:p w14:paraId="05926CA3" w14:textId="77777777" w:rsidR="00263585" w:rsidRDefault="00263585" w:rsidP="00E23D81">
      <w:pPr>
        <w:spacing w:line="276" w:lineRule="auto"/>
        <w:jc w:val="both"/>
        <w:rPr>
          <w:rFonts w:ascii="Bell MT" w:hAnsi="Bell MT"/>
          <w:sz w:val="24"/>
          <w:szCs w:val="24"/>
        </w:rPr>
      </w:pPr>
      <w:r w:rsidRPr="002353AB">
        <w:rPr>
          <w:rFonts w:ascii="Bell MT" w:eastAsiaTheme="minorEastAsia" w:hAnsi="Bell MT"/>
          <w:sz w:val="24"/>
          <w:szCs w:val="24"/>
          <w:lang w:eastAsia="en-GB"/>
        </w:rPr>
        <w:t xml:space="preserve">African </w:t>
      </w:r>
      <w:r>
        <w:rPr>
          <w:rFonts w:ascii="Bell MT" w:eastAsiaTheme="minorEastAsia" w:hAnsi="Bell MT"/>
          <w:sz w:val="24"/>
          <w:szCs w:val="24"/>
          <w:lang w:eastAsia="en-GB"/>
        </w:rPr>
        <w:t xml:space="preserve">countries </w:t>
      </w:r>
      <w:r w:rsidRPr="002353AB">
        <w:rPr>
          <w:rFonts w:ascii="Bell MT" w:eastAsiaTheme="minorEastAsia" w:hAnsi="Bell MT"/>
          <w:sz w:val="24"/>
          <w:szCs w:val="24"/>
          <w:lang w:eastAsia="en-GB"/>
        </w:rPr>
        <w:t xml:space="preserve">have started to embrace the new generation of investment treaties espoused around the world and are slowly moving away from the European-style lean model </w:t>
      </w:r>
      <w:r>
        <w:rPr>
          <w:rFonts w:ascii="Bell MT" w:eastAsiaTheme="minorEastAsia" w:hAnsi="Bell MT"/>
          <w:sz w:val="24"/>
          <w:szCs w:val="24"/>
          <w:lang w:eastAsia="en-GB"/>
        </w:rPr>
        <w:t>BIT</w:t>
      </w:r>
      <w:r w:rsidRPr="002353AB">
        <w:rPr>
          <w:rFonts w:ascii="Bell MT" w:eastAsiaTheme="minorEastAsia" w:hAnsi="Bell MT"/>
          <w:sz w:val="24"/>
          <w:szCs w:val="24"/>
          <w:lang w:eastAsia="en-GB"/>
        </w:rPr>
        <w:t>s</w:t>
      </w:r>
      <w:r>
        <w:rPr>
          <w:rFonts w:ascii="Bell MT" w:eastAsiaTheme="minorEastAsia" w:hAnsi="Bell MT"/>
          <w:sz w:val="24"/>
          <w:szCs w:val="24"/>
          <w:lang w:eastAsia="en-GB"/>
        </w:rPr>
        <w:t xml:space="preserve">, as exemplified by </w:t>
      </w:r>
      <w:r w:rsidRPr="000949A5">
        <w:rPr>
          <w:rFonts w:ascii="Bell MT" w:hAnsi="Bell MT"/>
          <w:sz w:val="24"/>
          <w:szCs w:val="24"/>
        </w:rPr>
        <w:t>the Reciprocal Investment Promotion and Protection Agreement between Nigeria and Morocco</w:t>
      </w:r>
      <w:r>
        <w:rPr>
          <w:rFonts w:ascii="Bell MT" w:hAnsi="Bell MT"/>
          <w:sz w:val="24"/>
          <w:szCs w:val="24"/>
        </w:rPr>
        <w:t xml:space="preserve"> (2016)</w:t>
      </w:r>
      <w:r w:rsidRPr="000949A5">
        <w:rPr>
          <w:rFonts w:ascii="Bell MT" w:hAnsi="Bell MT"/>
          <w:sz w:val="24"/>
          <w:szCs w:val="24"/>
        </w:rPr>
        <w:t>.</w:t>
      </w:r>
      <w:r w:rsidRPr="000949A5">
        <w:rPr>
          <w:rStyle w:val="FootnoteReference"/>
          <w:rFonts w:ascii="Bell MT" w:hAnsi="Bell MT"/>
          <w:sz w:val="24"/>
          <w:szCs w:val="24"/>
        </w:rPr>
        <w:footnoteReference w:id="50"/>
      </w:r>
      <w:r w:rsidRPr="000949A5">
        <w:rPr>
          <w:rFonts w:ascii="Bell MT" w:hAnsi="Bell MT"/>
          <w:sz w:val="24"/>
          <w:szCs w:val="24"/>
        </w:rPr>
        <w:t xml:space="preserve"> This bilateral investment treaty between Nigeria and Morocco sought to rebalance investment powers and rights between investors and host states by resolving most of the contentious issues in international investment law. For example, it abolished the most favoured nation (MFN) treatment by stating that treatments to foreign investors and that of citizens of host states must be equal.</w:t>
      </w:r>
      <w:r w:rsidRPr="000949A5">
        <w:rPr>
          <w:rStyle w:val="FootnoteReference"/>
          <w:rFonts w:ascii="Bell MT" w:hAnsi="Bell MT"/>
          <w:sz w:val="24"/>
          <w:szCs w:val="24"/>
        </w:rPr>
        <w:footnoteReference w:id="51"/>
      </w:r>
      <w:r w:rsidRPr="000949A5">
        <w:rPr>
          <w:rFonts w:ascii="Bell MT" w:hAnsi="Bell MT"/>
          <w:sz w:val="24"/>
          <w:szCs w:val="24"/>
        </w:rPr>
        <w:t xml:space="preserve"> Further clarity was provided in determining the meaning of equal treatment and investors of like circumstances as being on a case by case basis, taking into account all the circumstances of a particular issue on its merits.</w:t>
      </w:r>
      <w:r>
        <w:rPr>
          <w:rStyle w:val="FootnoteReference"/>
          <w:rFonts w:ascii="Bell MT" w:hAnsi="Bell MT"/>
          <w:sz w:val="24"/>
          <w:szCs w:val="24"/>
        </w:rPr>
        <w:footnoteReference w:id="52"/>
      </w:r>
      <w:r w:rsidRPr="000949A5">
        <w:rPr>
          <w:rFonts w:ascii="Bell MT" w:hAnsi="Bell MT"/>
          <w:sz w:val="24"/>
          <w:szCs w:val="24"/>
        </w:rPr>
        <w:t xml:space="preserve"> Similarly, the treaty adopted the international customary law standard as the </w:t>
      </w:r>
      <w:proofErr w:type="spellStart"/>
      <w:r w:rsidRPr="000949A5">
        <w:rPr>
          <w:rFonts w:ascii="Bell MT" w:hAnsi="Bell MT"/>
          <w:sz w:val="24"/>
          <w:szCs w:val="24"/>
        </w:rPr>
        <w:t>minium</w:t>
      </w:r>
      <w:proofErr w:type="spellEnd"/>
      <w:r w:rsidRPr="000949A5">
        <w:rPr>
          <w:rFonts w:ascii="Bell MT" w:hAnsi="Bell MT"/>
          <w:sz w:val="24"/>
          <w:szCs w:val="24"/>
        </w:rPr>
        <w:t xml:space="preserve"> standard of treatment that may be afforded to an investor from any of the contracting states.</w:t>
      </w:r>
      <w:r>
        <w:rPr>
          <w:rStyle w:val="FootnoteReference"/>
          <w:rFonts w:ascii="Bell MT" w:hAnsi="Bell MT"/>
          <w:sz w:val="24"/>
          <w:szCs w:val="24"/>
        </w:rPr>
        <w:footnoteReference w:id="53"/>
      </w:r>
      <w:r w:rsidRPr="000949A5">
        <w:rPr>
          <w:rFonts w:ascii="Bell MT" w:hAnsi="Bell MT"/>
          <w:sz w:val="24"/>
          <w:szCs w:val="24"/>
        </w:rPr>
        <w:t xml:space="preserve"> Remarkably and a departure from most BITs, the Nigeria and Morocco clarifies that full security and fair and equitable treatment (FET) does not create and grant substantive rights to investors and also their application</w:t>
      </w:r>
      <w:r w:rsidRPr="000949A5">
        <w:rPr>
          <w:rStyle w:val="FootnoteReference"/>
          <w:rFonts w:ascii="Bell MT" w:hAnsi="Bell MT"/>
          <w:sz w:val="24"/>
          <w:szCs w:val="24"/>
        </w:rPr>
        <w:footnoteReference w:id="54"/>
      </w:r>
      <w:r w:rsidRPr="000949A5">
        <w:rPr>
          <w:rFonts w:ascii="Bell MT" w:hAnsi="Bell MT"/>
          <w:sz w:val="24"/>
          <w:szCs w:val="24"/>
        </w:rPr>
        <w:t xml:space="preserve"> cannot be beyond that which may be reasonably expected from a host state under customary international law standards. Likewise, expropriation is permitted especially for public purposes and followed by compensation of the fair market value. This in effect suggests that the two states are allowed by the treaty to take such measures that may guarantee the interest of their countries. It suggests therefore that the ability of the countries to continually make legitimate internal decisions without the fear of breaching the provisions of the treaty may not arise. Hence, if the Philip Morris and Uruguay case had been argued under this treaty, then Uruguay may not have been in its breach as the action they undertook was for the protection of the health of their citizens which is an important public purpose endeavour. Once more, unlike provisions of most BITs, there is not prompt and adequate provision in this treaty as all claims are to be reviewed subject to the circumstances of each case. Among the most fundamental provisions of the treaty is the requirement for investors, in the course of their operations not to endanger the environment. </w:t>
      </w:r>
      <w:r w:rsidRPr="000949A5">
        <w:rPr>
          <w:rFonts w:ascii="Bell MT" w:hAnsi="Bell MT"/>
          <w:sz w:val="24"/>
          <w:szCs w:val="24"/>
        </w:rPr>
        <w:lastRenderedPageBreak/>
        <w:t xml:space="preserve">It also grants host states the discretion to make necessary measures that will enable them to protect the environment against harmful practises that may arise during the course of investment operations. </w:t>
      </w:r>
    </w:p>
    <w:p w14:paraId="5D5E6FDF" w14:textId="77777777" w:rsidR="00EE2E94" w:rsidRDefault="00263585" w:rsidP="00E23D81">
      <w:pPr>
        <w:pStyle w:val="ListParagraph"/>
        <w:numPr>
          <w:ilvl w:val="1"/>
          <w:numId w:val="4"/>
        </w:numPr>
        <w:autoSpaceDE w:val="0"/>
        <w:autoSpaceDN w:val="0"/>
        <w:adjustRightInd w:val="0"/>
        <w:spacing w:after="0" w:line="276" w:lineRule="auto"/>
        <w:jc w:val="both"/>
        <w:rPr>
          <w:rFonts w:ascii="Bell MT" w:hAnsi="Bell MT"/>
          <w:sz w:val="24"/>
          <w:szCs w:val="24"/>
        </w:rPr>
      </w:pPr>
      <w:r>
        <w:rPr>
          <w:rFonts w:ascii="Bell MT" w:hAnsi="Bell MT"/>
          <w:sz w:val="24"/>
          <w:szCs w:val="24"/>
        </w:rPr>
        <w:t xml:space="preserve">Regionalism in Africa </w:t>
      </w:r>
    </w:p>
    <w:p w14:paraId="0AF6A2DE" w14:textId="77777777" w:rsidR="00263585" w:rsidRDefault="00263585" w:rsidP="00E23D81">
      <w:pPr>
        <w:spacing w:line="276" w:lineRule="auto"/>
        <w:jc w:val="both"/>
        <w:rPr>
          <w:rFonts w:ascii="Bell MT" w:hAnsi="Bell MT"/>
          <w:sz w:val="24"/>
          <w:szCs w:val="24"/>
        </w:rPr>
      </w:pPr>
    </w:p>
    <w:p w14:paraId="32D2E4DB" w14:textId="77777777" w:rsidR="00505774" w:rsidRDefault="00453206" w:rsidP="00E23D81">
      <w:pPr>
        <w:spacing w:line="276" w:lineRule="auto"/>
        <w:jc w:val="both"/>
        <w:rPr>
          <w:rFonts w:ascii="Bell MT" w:hAnsi="Bell MT"/>
          <w:sz w:val="24"/>
          <w:szCs w:val="24"/>
        </w:rPr>
      </w:pPr>
      <w:r w:rsidRPr="000949A5">
        <w:rPr>
          <w:rFonts w:ascii="Bell MT" w:hAnsi="Bell MT"/>
          <w:sz w:val="24"/>
          <w:szCs w:val="24"/>
        </w:rPr>
        <w:t>At</w:t>
      </w:r>
      <w:r w:rsidR="006E440F" w:rsidRPr="000949A5">
        <w:rPr>
          <w:rFonts w:ascii="Bell MT" w:hAnsi="Bell MT"/>
          <w:sz w:val="24"/>
          <w:szCs w:val="24"/>
        </w:rPr>
        <w:t xml:space="preserve"> the continental level, </w:t>
      </w:r>
      <w:r w:rsidR="00246DE0" w:rsidRPr="000949A5">
        <w:rPr>
          <w:rFonts w:ascii="Bell MT" w:hAnsi="Bell MT"/>
          <w:sz w:val="24"/>
          <w:szCs w:val="24"/>
        </w:rPr>
        <w:t>there is a consensus on extending the scope of the TFTA by creating an African wide Continental Free Trade Area (CFTA) by the fifty-four member states of the African Union</w:t>
      </w:r>
      <w:r w:rsidR="00C565B6" w:rsidRPr="000949A5">
        <w:rPr>
          <w:rFonts w:ascii="Bell MT" w:hAnsi="Bell MT"/>
          <w:sz w:val="24"/>
          <w:szCs w:val="24"/>
        </w:rPr>
        <w:t xml:space="preserve"> (AU) by 2017 and an African Economic Community by 2034.</w:t>
      </w:r>
      <w:r w:rsidR="00C565B6" w:rsidRPr="000949A5">
        <w:rPr>
          <w:rStyle w:val="FootnoteReference"/>
          <w:rFonts w:ascii="Bell MT" w:hAnsi="Bell MT"/>
          <w:sz w:val="24"/>
          <w:szCs w:val="24"/>
        </w:rPr>
        <w:footnoteReference w:id="55"/>
      </w:r>
      <w:r w:rsidR="00246DE0" w:rsidRPr="000949A5">
        <w:rPr>
          <w:rFonts w:ascii="Bell MT" w:hAnsi="Bell MT"/>
          <w:sz w:val="24"/>
          <w:szCs w:val="24"/>
        </w:rPr>
        <w:t xml:space="preserve"> </w:t>
      </w:r>
      <w:r w:rsidR="00EE5D29" w:rsidRPr="000949A5">
        <w:rPr>
          <w:rFonts w:ascii="Bell MT" w:hAnsi="Bell MT"/>
          <w:sz w:val="24"/>
          <w:szCs w:val="24"/>
        </w:rPr>
        <w:t>Furthermore, the Pan-African Investment Code (PAIC) which was adopted by Member States of the African Union in 2016 as a non-binding model inve</w:t>
      </w:r>
      <w:r w:rsidR="00DD2FA9" w:rsidRPr="000949A5">
        <w:rPr>
          <w:rFonts w:ascii="Bell MT" w:hAnsi="Bell MT"/>
          <w:sz w:val="24"/>
          <w:szCs w:val="24"/>
        </w:rPr>
        <w:t>stment framework</w:t>
      </w:r>
      <w:r w:rsidR="00EE5D29" w:rsidRPr="000949A5">
        <w:rPr>
          <w:rFonts w:ascii="Bell MT" w:hAnsi="Bell MT"/>
          <w:sz w:val="24"/>
          <w:szCs w:val="24"/>
        </w:rPr>
        <w:t xml:space="preserve"> seeks to ensure that the advancement of investments and sustainable development within the region are mutually inclusive.</w:t>
      </w:r>
      <w:r w:rsidR="00EE5D29" w:rsidRPr="000949A5">
        <w:rPr>
          <w:rStyle w:val="FootnoteReference"/>
          <w:rFonts w:ascii="Bell MT" w:hAnsi="Bell MT"/>
          <w:sz w:val="24"/>
          <w:szCs w:val="24"/>
        </w:rPr>
        <w:footnoteReference w:id="56"/>
      </w:r>
      <w:r w:rsidR="00EE5D29" w:rsidRPr="000949A5">
        <w:rPr>
          <w:rFonts w:ascii="Bell MT" w:hAnsi="Bell MT"/>
          <w:sz w:val="24"/>
          <w:szCs w:val="24"/>
        </w:rPr>
        <w:t xml:space="preserve"> </w:t>
      </w:r>
      <w:r w:rsidR="009C0685" w:rsidRPr="000949A5">
        <w:rPr>
          <w:rFonts w:ascii="Bell MT" w:hAnsi="Bell MT"/>
          <w:sz w:val="24"/>
          <w:szCs w:val="24"/>
        </w:rPr>
        <w:t>All these agreements and alliances are all geared towards enhancing greater economic integration and harmonisation and</w:t>
      </w:r>
      <w:r w:rsidR="00DF3713" w:rsidRPr="000949A5">
        <w:rPr>
          <w:rFonts w:ascii="Bell MT" w:hAnsi="Bell MT"/>
          <w:sz w:val="24"/>
          <w:szCs w:val="24"/>
        </w:rPr>
        <w:t xml:space="preserve"> to</w:t>
      </w:r>
      <w:r w:rsidR="009C0685" w:rsidRPr="000949A5">
        <w:rPr>
          <w:rFonts w:ascii="Bell MT" w:hAnsi="Bell MT"/>
          <w:sz w:val="24"/>
          <w:szCs w:val="24"/>
        </w:rPr>
        <w:t xml:space="preserve"> </w:t>
      </w:r>
      <w:r w:rsidR="00DF3713" w:rsidRPr="000949A5">
        <w:rPr>
          <w:rFonts w:ascii="Bell MT" w:hAnsi="Bell MT"/>
          <w:sz w:val="24"/>
          <w:szCs w:val="24"/>
        </w:rPr>
        <w:t xml:space="preserve">drive more investments </w:t>
      </w:r>
      <w:r w:rsidR="009C0685" w:rsidRPr="000949A5">
        <w:rPr>
          <w:rFonts w:ascii="Bell MT" w:hAnsi="Bell MT"/>
          <w:sz w:val="24"/>
          <w:szCs w:val="24"/>
        </w:rPr>
        <w:t>within the African continent.</w:t>
      </w:r>
      <w:r w:rsidR="00EE5D29" w:rsidRPr="000949A5">
        <w:rPr>
          <w:rFonts w:ascii="Bell MT" w:hAnsi="Bell MT"/>
          <w:sz w:val="24"/>
          <w:szCs w:val="24"/>
        </w:rPr>
        <w:t xml:space="preserve"> </w:t>
      </w:r>
      <w:r w:rsidR="009C0685" w:rsidRPr="000949A5">
        <w:rPr>
          <w:rFonts w:ascii="Bell MT" w:hAnsi="Bell MT"/>
          <w:sz w:val="24"/>
          <w:szCs w:val="24"/>
        </w:rPr>
        <w:t xml:space="preserve"> </w:t>
      </w:r>
    </w:p>
    <w:p w14:paraId="5FA286F7" w14:textId="77777777" w:rsidR="003464FE" w:rsidRDefault="003464FE" w:rsidP="00E23D81">
      <w:pPr>
        <w:spacing w:line="276" w:lineRule="auto"/>
        <w:jc w:val="both"/>
        <w:rPr>
          <w:rFonts w:ascii="Bell MT" w:hAnsi="Bell MT"/>
          <w:sz w:val="24"/>
          <w:szCs w:val="24"/>
        </w:rPr>
      </w:pPr>
      <w:r w:rsidRPr="000949A5">
        <w:rPr>
          <w:rFonts w:ascii="Bell MT" w:hAnsi="Bell MT"/>
          <w:sz w:val="24"/>
          <w:szCs w:val="24"/>
        </w:rPr>
        <w:t>In the context of investment law devolvement and economic integration, African States have evidenced the</w:t>
      </w:r>
      <w:r>
        <w:rPr>
          <w:rFonts w:ascii="Bell MT" w:hAnsi="Bell MT"/>
          <w:sz w:val="24"/>
          <w:szCs w:val="24"/>
        </w:rPr>
        <w:t xml:space="preserve"> willingness to join the communi</w:t>
      </w:r>
      <w:r w:rsidRPr="000949A5">
        <w:rPr>
          <w:rFonts w:ascii="Bell MT" w:hAnsi="Bell MT"/>
          <w:sz w:val="24"/>
          <w:szCs w:val="24"/>
        </w:rPr>
        <w:t>ty of nations in charting a new course for investment policy protection. Although still largely domiciled at the peripheral level, however, there are several piecemeal progressive policy developments which seeks to boast the investment climate as well as balance the right of investors with the ability of host states to effectively regulate their territories. These policy reform proposals are reflected in the various Regional Economic Community (REC) initiatives for economic integration and harmonisation such as the Southern African Development Community (SADC) protocol on Finance and Investment</w:t>
      </w:r>
      <w:r w:rsidRPr="000949A5">
        <w:rPr>
          <w:rStyle w:val="FootnoteReference"/>
          <w:rFonts w:ascii="Bell MT" w:hAnsi="Bell MT"/>
          <w:sz w:val="24"/>
          <w:szCs w:val="24"/>
        </w:rPr>
        <w:footnoteReference w:id="57"/>
      </w:r>
      <w:r w:rsidRPr="000949A5">
        <w:rPr>
          <w:rFonts w:ascii="Bell MT" w:hAnsi="Bell MT"/>
          <w:sz w:val="24"/>
          <w:szCs w:val="24"/>
        </w:rPr>
        <w:t>, East African Community (EAC) Model Investment Code,</w:t>
      </w:r>
      <w:r w:rsidRPr="000949A5">
        <w:rPr>
          <w:rStyle w:val="FootnoteReference"/>
          <w:rFonts w:ascii="Bell MT" w:hAnsi="Bell MT"/>
          <w:sz w:val="24"/>
          <w:szCs w:val="24"/>
        </w:rPr>
        <w:footnoteReference w:id="58"/>
      </w:r>
      <w:r w:rsidRPr="000949A5">
        <w:rPr>
          <w:rFonts w:ascii="Bell MT" w:hAnsi="Bell MT"/>
          <w:sz w:val="24"/>
          <w:szCs w:val="24"/>
        </w:rPr>
        <w:t xml:space="preserve"> Common Market for Eastern and Southern Africa (COMESA)</w:t>
      </w:r>
      <w:r w:rsidRPr="000949A5">
        <w:rPr>
          <w:rStyle w:val="FootnoteReference"/>
          <w:rFonts w:ascii="Bell MT" w:hAnsi="Bell MT"/>
          <w:sz w:val="24"/>
          <w:szCs w:val="24"/>
        </w:rPr>
        <w:footnoteReference w:id="59"/>
      </w:r>
      <w:r w:rsidRPr="000949A5">
        <w:rPr>
          <w:rFonts w:ascii="Bell MT" w:hAnsi="Bell MT"/>
          <w:sz w:val="24"/>
          <w:szCs w:val="24"/>
        </w:rPr>
        <w:t xml:space="preserve"> with its Common Investment Area (CCIA) and the Economic Community of West African States (ECOWAS) Trade Liberalisation Scheme</w:t>
      </w:r>
      <w:r w:rsidRPr="000949A5">
        <w:rPr>
          <w:rStyle w:val="FootnoteReference"/>
          <w:rFonts w:ascii="Bell MT" w:hAnsi="Bell MT"/>
          <w:sz w:val="24"/>
          <w:szCs w:val="24"/>
        </w:rPr>
        <w:footnoteReference w:id="60"/>
      </w:r>
      <w:r w:rsidRPr="000949A5">
        <w:rPr>
          <w:rFonts w:ascii="Bell MT" w:hAnsi="Bell MT"/>
          <w:sz w:val="24"/>
          <w:szCs w:val="24"/>
        </w:rPr>
        <w:t xml:space="preserve"> and Supplementary Act on the Common Investment Rules</w:t>
      </w:r>
      <w:r w:rsidRPr="000949A5">
        <w:rPr>
          <w:rStyle w:val="FootnoteReference"/>
          <w:rFonts w:ascii="Bell MT" w:hAnsi="Bell MT"/>
          <w:sz w:val="24"/>
          <w:szCs w:val="24"/>
        </w:rPr>
        <w:footnoteReference w:id="61"/>
      </w:r>
      <w:r w:rsidRPr="000949A5">
        <w:rPr>
          <w:rFonts w:ascii="Bell MT" w:hAnsi="Bell MT"/>
          <w:sz w:val="24"/>
          <w:szCs w:val="24"/>
        </w:rPr>
        <w:t xml:space="preserve"> which </w:t>
      </w:r>
      <w:r w:rsidRPr="000949A5">
        <w:rPr>
          <w:rFonts w:ascii="Bell MT" w:hAnsi="Bell MT"/>
          <w:sz w:val="24"/>
          <w:szCs w:val="24"/>
        </w:rPr>
        <w:lastRenderedPageBreak/>
        <w:t>establishes a Free Trade Area (FTA) and common customs union within the regions.</w:t>
      </w:r>
      <w:r w:rsidRPr="000949A5">
        <w:rPr>
          <w:rStyle w:val="FootnoteReference"/>
          <w:rFonts w:ascii="Bell MT" w:hAnsi="Bell MT"/>
          <w:sz w:val="24"/>
          <w:szCs w:val="24"/>
        </w:rPr>
        <w:footnoteReference w:id="62"/>
      </w:r>
      <w:r w:rsidRPr="000949A5">
        <w:rPr>
          <w:rFonts w:ascii="Bell MT" w:hAnsi="Bell MT"/>
          <w:sz w:val="24"/>
          <w:szCs w:val="24"/>
        </w:rPr>
        <w:t xml:space="preserve"> In addition, the Arab Maghreb Union (UMA), Sahel-Saharan States (CEN-SAD), Intergovernmental Authority on Development (IGAD) are also advancing towards greater economic harmonisation and corporation. Already, member states of the COMESA, SADC and EAC are at advanced stages towards creating a Tripartite Free Trade Area (TFTA) which will cover and control about fifty-eight per cent of Africa’s total Gross Domestic Product (GDP).</w:t>
      </w:r>
      <w:r w:rsidRPr="000949A5">
        <w:rPr>
          <w:rStyle w:val="FootnoteReference"/>
          <w:rFonts w:ascii="Bell MT" w:hAnsi="Bell MT"/>
          <w:sz w:val="24"/>
          <w:szCs w:val="24"/>
        </w:rPr>
        <w:footnoteReference w:id="63"/>
      </w:r>
      <w:r w:rsidRPr="000949A5">
        <w:rPr>
          <w:rFonts w:ascii="Bell MT" w:hAnsi="Bell MT"/>
          <w:sz w:val="24"/>
          <w:szCs w:val="24"/>
        </w:rPr>
        <w:t xml:space="preserve"> </w:t>
      </w:r>
    </w:p>
    <w:p w14:paraId="792090A9" w14:textId="77777777" w:rsidR="00E95778" w:rsidRDefault="004A6B5D" w:rsidP="00E23D81">
      <w:pPr>
        <w:spacing w:line="276" w:lineRule="auto"/>
        <w:jc w:val="both"/>
        <w:rPr>
          <w:rFonts w:ascii="Bell MT" w:hAnsi="Bell MT"/>
          <w:sz w:val="24"/>
          <w:szCs w:val="24"/>
        </w:rPr>
      </w:pPr>
      <w:r w:rsidRPr="000949A5">
        <w:rPr>
          <w:rFonts w:ascii="Bell MT" w:hAnsi="Bell MT"/>
          <w:sz w:val="24"/>
          <w:szCs w:val="24"/>
        </w:rPr>
        <w:t xml:space="preserve">On the regulatory front, these investment protection frameworks have been used to regulate and drive investments across the African landscape. Remarkably, some of them contains </w:t>
      </w:r>
      <w:r w:rsidR="00C06890" w:rsidRPr="000949A5">
        <w:rPr>
          <w:rFonts w:ascii="Bell MT" w:hAnsi="Bell MT"/>
          <w:sz w:val="24"/>
          <w:szCs w:val="24"/>
        </w:rPr>
        <w:t xml:space="preserve">the </w:t>
      </w:r>
      <w:r w:rsidRPr="000949A5">
        <w:rPr>
          <w:rFonts w:ascii="Bell MT" w:hAnsi="Bell MT"/>
          <w:sz w:val="24"/>
          <w:szCs w:val="24"/>
        </w:rPr>
        <w:t xml:space="preserve">novel </w:t>
      </w:r>
      <w:r w:rsidR="00C06890" w:rsidRPr="000949A5">
        <w:rPr>
          <w:rFonts w:ascii="Bell MT" w:hAnsi="Bell MT"/>
          <w:sz w:val="24"/>
          <w:szCs w:val="24"/>
        </w:rPr>
        <w:t>policy of</w:t>
      </w:r>
      <w:r w:rsidR="007C52D5" w:rsidRPr="000949A5">
        <w:rPr>
          <w:rFonts w:ascii="Bell MT" w:hAnsi="Bell MT"/>
          <w:sz w:val="24"/>
          <w:szCs w:val="24"/>
        </w:rPr>
        <w:t xml:space="preserve"> investme</w:t>
      </w:r>
      <w:r w:rsidR="00090B47" w:rsidRPr="000949A5">
        <w:rPr>
          <w:rFonts w:ascii="Bell MT" w:hAnsi="Bell MT"/>
          <w:sz w:val="24"/>
          <w:szCs w:val="24"/>
        </w:rPr>
        <w:t>nt courts as framework for</w:t>
      </w:r>
      <w:r w:rsidR="00186172" w:rsidRPr="000949A5">
        <w:rPr>
          <w:rFonts w:ascii="Bell MT" w:hAnsi="Bell MT"/>
          <w:sz w:val="24"/>
          <w:szCs w:val="24"/>
        </w:rPr>
        <w:t xml:space="preserve"> ISDS</w:t>
      </w:r>
      <w:r w:rsidR="00B80897" w:rsidRPr="000949A5">
        <w:rPr>
          <w:rFonts w:ascii="Bell MT" w:hAnsi="Bell MT"/>
          <w:sz w:val="24"/>
          <w:szCs w:val="24"/>
        </w:rPr>
        <w:t xml:space="preserve">. </w:t>
      </w:r>
      <w:r w:rsidR="007C6A13" w:rsidRPr="000949A5">
        <w:rPr>
          <w:rFonts w:ascii="Bell MT" w:hAnsi="Bell MT"/>
          <w:sz w:val="24"/>
          <w:szCs w:val="24"/>
        </w:rPr>
        <w:t xml:space="preserve">Leading the departure from the traditional BIT provisions is the COMESA CCIA agreement </w:t>
      </w:r>
      <w:r w:rsidR="00197728" w:rsidRPr="000949A5">
        <w:rPr>
          <w:rFonts w:ascii="Bell MT" w:hAnsi="Bell MT"/>
          <w:sz w:val="24"/>
          <w:szCs w:val="24"/>
        </w:rPr>
        <w:t xml:space="preserve">which explained </w:t>
      </w:r>
      <w:r w:rsidR="007C6A13" w:rsidRPr="000949A5">
        <w:rPr>
          <w:rFonts w:ascii="Bell MT" w:hAnsi="Bell MT"/>
          <w:sz w:val="24"/>
          <w:szCs w:val="24"/>
        </w:rPr>
        <w:t>the scope of Fair and Equitable Treatment (FET)</w:t>
      </w:r>
      <w:r w:rsidR="00197728" w:rsidRPr="000949A5">
        <w:rPr>
          <w:rFonts w:ascii="Bell MT" w:hAnsi="Bell MT"/>
          <w:sz w:val="24"/>
          <w:szCs w:val="24"/>
        </w:rPr>
        <w:t xml:space="preserve"> that</w:t>
      </w:r>
      <w:r w:rsidR="007C6A13" w:rsidRPr="000949A5">
        <w:rPr>
          <w:rFonts w:ascii="Bell MT" w:hAnsi="Bell MT"/>
          <w:sz w:val="24"/>
          <w:szCs w:val="24"/>
        </w:rPr>
        <w:t xml:space="preserve"> is usually the bone of contention in arbitration, balanced the locus standi of both host states and investors to sue for a claim, granted and clarified most </w:t>
      </w:r>
      <w:r w:rsidR="00A92198" w:rsidRPr="000949A5">
        <w:rPr>
          <w:rFonts w:ascii="Bell MT" w:hAnsi="Bell MT"/>
          <w:sz w:val="24"/>
          <w:szCs w:val="24"/>
        </w:rPr>
        <w:t>favoured</w:t>
      </w:r>
      <w:r w:rsidR="007C6A13" w:rsidRPr="000949A5">
        <w:rPr>
          <w:rFonts w:ascii="Bell MT" w:hAnsi="Bell MT"/>
          <w:sz w:val="24"/>
          <w:szCs w:val="24"/>
        </w:rPr>
        <w:t xml:space="preserve"> person substantive protection to COMESA investors and most important</w:t>
      </w:r>
      <w:r w:rsidR="00A92198" w:rsidRPr="000949A5">
        <w:rPr>
          <w:rFonts w:ascii="Bell MT" w:hAnsi="Bell MT"/>
          <w:sz w:val="24"/>
          <w:szCs w:val="24"/>
        </w:rPr>
        <w:t>ly</w:t>
      </w:r>
      <w:r w:rsidR="007C6A13" w:rsidRPr="000949A5">
        <w:rPr>
          <w:rFonts w:ascii="Bell MT" w:hAnsi="Bell MT"/>
          <w:sz w:val="24"/>
          <w:szCs w:val="24"/>
        </w:rPr>
        <w:t>, provided for a court system as an alternative to arbitration.</w:t>
      </w:r>
    </w:p>
    <w:p w14:paraId="715AA8EA" w14:textId="77777777" w:rsidR="0036678D" w:rsidRPr="000949A5" w:rsidRDefault="007C6A13" w:rsidP="00E23D81">
      <w:pPr>
        <w:spacing w:line="276" w:lineRule="auto"/>
        <w:jc w:val="both"/>
        <w:rPr>
          <w:rFonts w:ascii="Bell MT" w:hAnsi="Bell MT"/>
          <w:sz w:val="24"/>
          <w:szCs w:val="24"/>
        </w:rPr>
      </w:pPr>
      <w:r w:rsidRPr="000949A5">
        <w:rPr>
          <w:rFonts w:ascii="Bell MT" w:hAnsi="Bell MT"/>
          <w:sz w:val="24"/>
          <w:szCs w:val="24"/>
        </w:rPr>
        <w:t xml:space="preserve">Similarly, </w:t>
      </w:r>
      <w:r w:rsidR="00805010" w:rsidRPr="000949A5">
        <w:rPr>
          <w:rFonts w:ascii="Bell MT" w:hAnsi="Bell MT"/>
          <w:sz w:val="24"/>
          <w:szCs w:val="24"/>
        </w:rPr>
        <w:t>the SADC Protocol on Finance and Investment</w:t>
      </w:r>
      <w:r w:rsidR="00B51024" w:rsidRPr="000949A5">
        <w:rPr>
          <w:rFonts w:ascii="Bell MT" w:hAnsi="Bell MT"/>
          <w:sz w:val="24"/>
          <w:szCs w:val="24"/>
        </w:rPr>
        <w:t xml:space="preserve"> (Model BIT)</w:t>
      </w:r>
      <w:r w:rsidR="00805010" w:rsidRPr="000949A5">
        <w:rPr>
          <w:rFonts w:ascii="Bell MT" w:hAnsi="Bell MT"/>
          <w:sz w:val="24"/>
          <w:szCs w:val="24"/>
        </w:rPr>
        <w:t xml:space="preserve">, among other things, provided and changed most IIA provisions such as FET and uncompensated expropriation. Furthermore, it departed from BIT provisions by expunging MFN and the right of investors to sue for claim, a demand for the exhaustion of local remedies by investors before approaching arbitration panels and ultimately a rebalancing attempt by providing exceptions in investor rights for national security purposes. </w:t>
      </w:r>
      <w:r w:rsidR="000778D8" w:rsidRPr="000949A5">
        <w:rPr>
          <w:rFonts w:ascii="Bell MT" w:hAnsi="Bell MT"/>
          <w:sz w:val="24"/>
          <w:szCs w:val="24"/>
        </w:rPr>
        <w:t xml:space="preserve">Under this model, compensation has to be 'fair and adequate’ instead of the traditional ‘prompt, adequate and effective’ as contained in BITs. Consequently, the SADC and COMESA propositions attempts to balance the right of investors with the power </w:t>
      </w:r>
      <w:r w:rsidR="0030460A" w:rsidRPr="000949A5">
        <w:rPr>
          <w:rFonts w:ascii="Bell MT" w:hAnsi="Bell MT"/>
          <w:sz w:val="24"/>
          <w:szCs w:val="24"/>
        </w:rPr>
        <w:t>of</w:t>
      </w:r>
      <w:r w:rsidR="000778D8" w:rsidRPr="000949A5">
        <w:rPr>
          <w:rFonts w:ascii="Bell MT" w:hAnsi="Bell MT"/>
          <w:sz w:val="24"/>
          <w:szCs w:val="24"/>
        </w:rPr>
        <w:t xml:space="preserve"> States to regulate their </w:t>
      </w:r>
      <w:r w:rsidR="0030460A" w:rsidRPr="000949A5">
        <w:rPr>
          <w:rFonts w:ascii="Bell MT" w:hAnsi="Bell MT"/>
          <w:sz w:val="24"/>
          <w:szCs w:val="24"/>
        </w:rPr>
        <w:t xml:space="preserve">territorial </w:t>
      </w:r>
      <w:r w:rsidR="000778D8" w:rsidRPr="000949A5">
        <w:rPr>
          <w:rFonts w:ascii="Bell MT" w:hAnsi="Bell MT"/>
          <w:sz w:val="24"/>
          <w:szCs w:val="24"/>
        </w:rPr>
        <w:t xml:space="preserve">space </w:t>
      </w:r>
      <w:r w:rsidR="0030460A" w:rsidRPr="000949A5">
        <w:rPr>
          <w:rFonts w:ascii="Bell MT" w:hAnsi="Bell MT"/>
          <w:sz w:val="24"/>
          <w:szCs w:val="24"/>
        </w:rPr>
        <w:t xml:space="preserve">by </w:t>
      </w:r>
      <w:r w:rsidR="000778D8" w:rsidRPr="000949A5">
        <w:rPr>
          <w:rFonts w:ascii="Bell MT" w:hAnsi="Bell MT"/>
          <w:sz w:val="24"/>
          <w:szCs w:val="24"/>
        </w:rPr>
        <w:t>taking into cognizance the local realities of their region such as their capacities to affectively discharge their obligations to investors.</w:t>
      </w:r>
    </w:p>
    <w:p w14:paraId="3E0F0D39" w14:textId="77777777" w:rsidR="003464FE" w:rsidRDefault="00805010" w:rsidP="00E23D81">
      <w:pPr>
        <w:spacing w:line="276" w:lineRule="auto"/>
        <w:jc w:val="both"/>
        <w:rPr>
          <w:rFonts w:ascii="Bell MT" w:hAnsi="Bell MT"/>
          <w:sz w:val="24"/>
          <w:szCs w:val="24"/>
        </w:rPr>
      </w:pPr>
      <w:r w:rsidRPr="000949A5">
        <w:rPr>
          <w:rFonts w:ascii="Bell MT" w:hAnsi="Bell MT"/>
          <w:sz w:val="24"/>
          <w:szCs w:val="24"/>
        </w:rPr>
        <w:t xml:space="preserve">Likewise, </w:t>
      </w:r>
      <w:r w:rsidR="00CD60BF" w:rsidRPr="000949A5">
        <w:rPr>
          <w:rFonts w:ascii="Bell MT" w:hAnsi="Bell MT"/>
          <w:sz w:val="24"/>
          <w:szCs w:val="24"/>
        </w:rPr>
        <w:t>The ECOWAS models provides for the use of the ECOWAS court o</w:t>
      </w:r>
      <w:r w:rsidR="0030460A" w:rsidRPr="000949A5">
        <w:rPr>
          <w:rFonts w:ascii="Bell MT" w:hAnsi="Bell MT"/>
          <w:sz w:val="24"/>
          <w:szCs w:val="24"/>
        </w:rPr>
        <w:t xml:space="preserve">f justice, </w:t>
      </w:r>
      <w:r w:rsidR="00CD60BF" w:rsidRPr="000949A5">
        <w:rPr>
          <w:rFonts w:ascii="Bell MT" w:hAnsi="Bell MT"/>
          <w:sz w:val="24"/>
          <w:szCs w:val="24"/>
        </w:rPr>
        <w:t xml:space="preserve">national courts and tribunals as arbiters of disputes, </w:t>
      </w:r>
      <w:r w:rsidR="0030460A" w:rsidRPr="000949A5">
        <w:rPr>
          <w:rFonts w:ascii="Bell MT" w:hAnsi="Bell MT"/>
          <w:sz w:val="24"/>
          <w:szCs w:val="24"/>
        </w:rPr>
        <w:t>this</w:t>
      </w:r>
      <w:r w:rsidR="00CD60BF" w:rsidRPr="000949A5">
        <w:rPr>
          <w:rFonts w:ascii="Bell MT" w:hAnsi="Bell MT"/>
          <w:sz w:val="24"/>
          <w:szCs w:val="24"/>
        </w:rPr>
        <w:t xml:space="preserve"> is a clear departure from the international arbitration provisions in most IIAS.</w:t>
      </w:r>
      <w:r w:rsidR="006F1943" w:rsidRPr="000949A5">
        <w:rPr>
          <w:rFonts w:ascii="Bell MT" w:hAnsi="Bell MT"/>
          <w:sz w:val="24"/>
          <w:szCs w:val="24"/>
        </w:rPr>
        <w:t xml:space="preserve"> Furthermore, whilst guaranteeing the transfer of assets regarding investments for its investors, the ECOWAS instrument also imposed obligations on investors</w:t>
      </w:r>
      <w:r w:rsidR="00CD60BF" w:rsidRPr="000949A5">
        <w:rPr>
          <w:rFonts w:ascii="Bell MT" w:hAnsi="Bell MT"/>
          <w:sz w:val="24"/>
          <w:szCs w:val="24"/>
        </w:rPr>
        <w:t xml:space="preserve"> </w:t>
      </w:r>
      <w:r w:rsidR="006F1943" w:rsidRPr="000949A5">
        <w:rPr>
          <w:rFonts w:ascii="Bell MT" w:hAnsi="Bell MT"/>
          <w:sz w:val="24"/>
          <w:szCs w:val="24"/>
        </w:rPr>
        <w:t xml:space="preserve">for the protection of human and labour rights, hence evidencing a departure from traditional BIT routes. </w:t>
      </w:r>
      <w:r w:rsidR="002E29EB" w:rsidRPr="000949A5">
        <w:rPr>
          <w:rFonts w:ascii="Bell MT" w:hAnsi="Bell MT"/>
          <w:sz w:val="24"/>
          <w:szCs w:val="24"/>
        </w:rPr>
        <w:t xml:space="preserve">Correspondingly, </w:t>
      </w:r>
      <w:r w:rsidR="002A4FF0" w:rsidRPr="000949A5">
        <w:rPr>
          <w:rFonts w:ascii="Bell MT" w:hAnsi="Bell MT"/>
          <w:sz w:val="24"/>
          <w:szCs w:val="24"/>
        </w:rPr>
        <w:t xml:space="preserve">the non-legally binding East African Community Model Investment Code provides for the notification of the state </w:t>
      </w:r>
      <w:r w:rsidR="002A4FF0" w:rsidRPr="000949A5">
        <w:rPr>
          <w:rFonts w:ascii="Bell MT" w:hAnsi="Bell MT"/>
          <w:sz w:val="24"/>
          <w:szCs w:val="24"/>
        </w:rPr>
        <w:lastRenderedPageBreak/>
        <w:t xml:space="preserve">through the submission and receipt of an investment dispute certificate from the appropriate national agency and department before proceeding to international arbitration using the rules of ICSID. </w:t>
      </w:r>
      <w:r w:rsidR="009A3970" w:rsidRPr="000949A5">
        <w:rPr>
          <w:rFonts w:ascii="Bell MT" w:hAnsi="Bell MT"/>
          <w:sz w:val="24"/>
          <w:szCs w:val="24"/>
        </w:rPr>
        <w:t xml:space="preserve">Profoundly, South Africa has taken the bull by the horn through its revolutionary approach towards recalibrating the investment law regime in Africa. This is evidenced in its decision to cancel several BITs with </w:t>
      </w:r>
      <w:r w:rsidR="005126BF" w:rsidRPr="000949A5">
        <w:rPr>
          <w:rFonts w:ascii="Bell MT" w:hAnsi="Bell MT"/>
          <w:sz w:val="24"/>
          <w:szCs w:val="24"/>
        </w:rPr>
        <w:t>countries such as Spain, Switzerland and Denmark</w:t>
      </w:r>
      <w:r w:rsidR="009A3970" w:rsidRPr="000949A5">
        <w:rPr>
          <w:rFonts w:ascii="Bell MT" w:hAnsi="Bell MT"/>
          <w:sz w:val="24"/>
          <w:szCs w:val="24"/>
        </w:rPr>
        <w:t xml:space="preserve"> and the enactment of the South African Protection of Investment Act in 2015.</w:t>
      </w:r>
      <w:r w:rsidR="00721D00" w:rsidRPr="000949A5">
        <w:rPr>
          <w:rStyle w:val="FootnoteReference"/>
          <w:rFonts w:ascii="Bell MT" w:hAnsi="Bell MT"/>
          <w:sz w:val="24"/>
          <w:szCs w:val="24"/>
        </w:rPr>
        <w:footnoteReference w:id="64"/>
      </w:r>
      <w:r w:rsidR="009A3970" w:rsidRPr="000949A5">
        <w:rPr>
          <w:rFonts w:ascii="Bell MT" w:hAnsi="Bell MT"/>
          <w:sz w:val="24"/>
          <w:szCs w:val="24"/>
        </w:rPr>
        <w:t xml:space="preserve"> Oncemore, this legislation grants lesser rights and protections as are traditionally contained in BITs, thus leading the transforming of African States as not just takers of investment laws but also reformers and inventors of novel progressive policies aimed at achieving a rebalance between States and investors. </w:t>
      </w:r>
    </w:p>
    <w:p w14:paraId="627B130E" w14:textId="77777777" w:rsidR="00C077A5" w:rsidRPr="00C077A5" w:rsidRDefault="00C077A5" w:rsidP="00E23D81">
      <w:pPr>
        <w:pStyle w:val="ListParagraph"/>
        <w:numPr>
          <w:ilvl w:val="1"/>
          <w:numId w:val="4"/>
        </w:numPr>
        <w:spacing w:after="200" w:line="276" w:lineRule="auto"/>
        <w:jc w:val="both"/>
        <w:rPr>
          <w:rFonts w:ascii="Bell MT" w:hAnsi="Bell MT" w:cstheme="majorBidi"/>
          <w:color w:val="FF0000"/>
          <w:sz w:val="24"/>
          <w:szCs w:val="24"/>
        </w:rPr>
      </w:pPr>
      <w:r w:rsidRPr="00C077A5">
        <w:rPr>
          <w:rFonts w:ascii="Bell MT" w:hAnsi="Bell MT" w:cstheme="majorBidi"/>
          <w:color w:val="FF0000"/>
          <w:sz w:val="24"/>
          <w:szCs w:val="24"/>
        </w:rPr>
        <w:t xml:space="preserve">The publicness of investor-state arbitration </w:t>
      </w:r>
    </w:p>
    <w:p w14:paraId="2696E7A4" w14:textId="77777777" w:rsidR="001C325B"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Lack of transparency</w:t>
      </w:r>
    </w:p>
    <w:p w14:paraId="0641331B" w14:textId="77777777" w:rsidR="00C077A5" w:rsidRPr="00CC46E3"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 xml:space="preserve"> is one of the foremost challenges facing ISDS due to the high level of confidentiality often permitted in investor-state arbitration.</w:t>
      </w:r>
      <w:r w:rsidRPr="00CC46E3">
        <w:rPr>
          <w:rStyle w:val="FootnoteReference"/>
          <w:rFonts w:ascii="Bell MT" w:hAnsi="Bell MT"/>
          <w:color w:val="FF0000"/>
          <w:sz w:val="24"/>
          <w:szCs w:val="24"/>
        </w:rPr>
        <w:footnoteReference w:id="65"/>
      </w:r>
      <w:r w:rsidRPr="00CC46E3">
        <w:rPr>
          <w:rFonts w:ascii="Bell MT" w:hAnsi="Bell MT"/>
          <w:color w:val="FF0000"/>
          <w:sz w:val="24"/>
          <w:szCs w:val="24"/>
        </w:rPr>
        <w:t xml:space="preserve"> This derives from traditional commercial disputes in which a high degree of confidentiality is maintained to ensure that the businesses of the concerned parties </w:t>
      </w:r>
      <w:proofErr w:type="gramStart"/>
      <w:r w:rsidRPr="00CC46E3">
        <w:rPr>
          <w:rFonts w:ascii="Bell MT" w:hAnsi="Bell MT"/>
          <w:color w:val="FF0000"/>
          <w:sz w:val="24"/>
          <w:szCs w:val="24"/>
        </w:rPr>
        <w:t>is</w:t>
      </w:r>
      <w:proofErr w:type="gramEnd"/>
      <w:r w:rsidRPr="00CC46E3">
        <w:rPr>
          <w:rFonts w:ascii="Bell MT" w:hAnsi="Bell MT"/>
          <w:color w:val="FF0000"/>
          <w:sz w:val="24"/>
          <w:szCs w:val="24"/>
        </w:rPr>
        <w:t xml:space="preserve"> not affected or harmed by the proceedings. It also means that related parties, such as suppliers, would not be affected by the proceedings. However, in an investor-state dispute, such a high degree of confidentiality is difficult to justify given the public nature of the dispute and the impact it could have on a country’s resources or policy. Nonetheless, there is a growing shift towards greater transparency of procedure in international arbitration. For example, the UNCITRAL Rules on Transparency in Treaty-based Investor-State Arbitration, which came into effect on 1 April 2014, have incorporated important changes to transparency within the UNCITRAL arbitral rules.</w:t>
      </w:r>
      <w:r w:rsidRPr="00CC46E3">
        <w:rPr>
          <w:rStyle w:val="FootnoteReference"/>
          <w:rFonts w:ascii="Bell MT" w:hAnsi="Bell MT"/>
          <w:color w:val="FF0000"/>
          <w:sz w:val="24"/>
          <w:szCs w:val="24"/>
        </w:rPr>
        <w:footnoteReference w:id="66"/>
      </w:r>
      <w:r w:rsidRPr="00CC46E3">
        <w:rPr>
          <w:rFonts w:ascii="Bell MT" w:hAnsi="Bell MT"/>
          <w:color w:val="FF0000"/>
          <w:sz w:val="24"/>
          <w:szCs w:val="24"/>
        </w:rPr>
        <w:t xml:space="preserve"> They are complemented by the Mauritius Convention on Transparency (‘Mauritius Convention’) 2014.</w:t>
      </w:r>
      <w:r w:rsidRPr="00CC46E3">
        <w:rPr>
          <w:rStyle w:val="FootnoteReference"/>
          <w:rFonts w:ascii="Bell MT" w:hAnsi="Bell MT"/>
          <w:color w:val="FF0000"/>
          <w:sz w:val="24"/>
          <w:szCs w:val="24"/>
        </w:rPr>
        <w:footnoteReference w:id="67"/>
      </w:r>
      <w:r w:rsidRPr="00CC46E3">
        <w:rPr>
          <w:rFonts w:ascii="Bell MT" w:hAnsi="Bell MT"/>
          <w:color w:val="FF0000"/>
          <w:sz w:val="24"/>
          <w:szCs w:val="24"/>
        </w:rPr>
        <w:t xml:space="preserve">  However, given the public international law nature of investor-state claims, transparency should be a mandatory requirement. </w:t>
      </w:r>
    </w:p>
    <w:p w14:paraId="0E5252F3" w14:textId="77777777" w:rsidR="00C077A5" w:rsidRPr="00CC46E3"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Despite its origin in narrow commercial law disputes, investment treaty arbitration is considered to be public in nature because the State is a party to the proceedings which so often involve complex public interest and public policy issues. Although investment tribunals “wield enormous power, displacing local courts and making decisions about the rules that govern major portions of host country economies and, by extension, their societies” the adjudication process is naturally private.</w:t>
      </w:r>
      <w:r w:rsidRPr="00CC46E3">
        <w:rPr>
          <w:rStyle w:val="FootnoteReference"/>
          <w:rFonts w:ascii="Bell MT" w:hAnsi="Bell MT"/>
          <w:color w:val="FF0000"/>
          <w:sz w:val="24"/>
          <w:szCs w:val="24"/>
        </w:rPr>
        <w:footnoteReference w:id="68"/>
      </w:r>
      <w:r w:rsidRPr="00CC46E3">
        <w:rPr>
          <w:rFonts w:ascii="Bell MT" w:hAnsi="Bell MT"/>
          <w:color w:val="FF0000"/>
          <w:sz w:val="24"/>
          <w:szCs w:val="24"/>
        </w:rPr>
        <w:t xml:space="preserve"> Gus Van Harten has expressed concern over investment tribunal’s by arguing that they “undermine basic principles of democratic representation and accountability” and they are not built to accommodate the quality of </w:t>
      </w:r>
      <w:r w:rsidRPr="00CC46E3">
        <w:rPr>
          <w:rFonts w:ascii="Bell MT" w:hAnsi="Bell MT"/>
          <w:color w:val="FF0000"/>
          <w:sz w:val="24"/>
          <w:szCs w:val="24"/>
        </w:rPr>
        <w:lastRenderedPageBreak/>
        <w:t>review necessary for public law adjudication.</w:t>
      </w:r>
      <w:r w:rsidRPr="00CC46E3">
        <w:rPr>
          <w:rStyle w:val="FootnoteReference"/>
          <w:rFonts w:ascii="Bell MT" w:hAnsi="Bell MT"/>
          <w:color w:val="FF0000"/>
          <w:sz w:val="24"/>
          <w:szCs w:val="24"/>
        </w:rPr>
        <w:footnoteReference w:id="69"/>
      </w:r>
      <w:r w:rsidRPr="00CC46E3">
        <w:rPr>
          <w:rFonts w:ascii="Bell MT" w:hAnsi="Bell MT"/>
          <w:color w:val="FF0000"/>
          <w:sz w:val="24"/>
          <w:szCs w:val="24"/>
        </w:rPr>
        <w:t xml:space="preserve"> Furthermore, the decisions of investment tribunals have a broader impact beyond the parties to the dispute. In reality, Surya Subedi argues that “the pronouncements that these tribunals make as to the existence or non-existence of an alleged rule of international foreign investment law or the meaning and scope of a rule have wider ramifications and implications for other States as well as for international law as a whole.”</w:t>
      </w:r>
      <w:r w:rsidRPr="00CC46E3">
        <w:rPr>
          <w:rStyle w:val="FootnoteReference"/>
          <w:rFonts w:ascii="Bell MT" w:hAnsi="Bell MT"/>
          <w:color w:val="FF0000"/>
          <w:sz w:val="24"/>
          <w:szCs w:val="24"/>
        </w:rPr>
        <w:footnoteReference w:id="70"/>
      </w:r>
      <w:r w:rsidRPr="00CC46E3">
        <w:rPr>
          <w:rFonts w:ascii="Bell MT" w:hAnsi="Bell MT"/>
          <w:color w:val="FF0000"/>
          <w:sz w:val="24"/>
          <w:szCs w:val="24"/>
        </w:rPr>
        <w:t xml:space="preserve"> In fact, investment tribunals regularly choose the rules that would apply to the dispute and often choose to ignore public international law. </w:t>
      </w:r>
    </w:p>
    <w:p w14:paraId="0744FA57" w14:textId="77777777" w:rsidR="00C077A5" w:rsidRPr="00CC46E3"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Fundamentally, investment tribunals operate in a hybrid world consisting of private and public law, with broad discretion on the choice of rules.</w:t>
      </w:r>
      <w:r w:rsidRPr="00CC46E3">
        <w:rPr>
          <w:rFonts w:ascii="Bell MT" w:hAnsi="Bell MT"/>
          <w:color w:val="FF0000"/>
          <w:sz w:val="24"/>
          <w:szCs w:val="24"/>
          <w:vertAlign w:val="superscript"/>
        </w:rPr>
        <w:footnoteReference w:id="71"/>
      </w:r>
      <w:r w:rsidRPr="00CC46E3">
        <w:rPr>
          <w:rFonts w:ascii="Bell MT" w:hAnsi="Bell MT"/>
          <w:color w:val="FF0000"/>
          <w:sz w:val="24"/>
          <w:szCs w:val="24"/>
        </w:rPr>
        <w:t xml:space="preserve"> This is why academic commentators such as Garcia-Bolivar argue that “[t]he interpretation of concepts and principles that are peculiar to States and public international law cannot be left to the view of ever changing arbitrators.” Although the enforcement mechanisms and procedural rules were developed in the context of private commercial arbitration, scholars such as Anthea Roberts classify investment arbitration as a public law system.  This is premised on three main reasons.</w:t>
      </w:r>
    </w:p>
    <w:p w14:paraId="7C4488B5" w14:textId="77777777" w:rsidR="00C077A5" w:rsidRPr="00CC46E3"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First and foremost, investment arbitration is premised on a regulatory relationship between foreign investors who are governed by States.</w:t>
      </w:r>
      <w:r w:rsidRPr="00CC46E3">
        <w:rPr>
          <w:rFonts w:ascii="Bell MT" w:hAnsi="Bell MT"/>
          <w:color w:val="FF0000"/>
          <w:sz w:val="24"/>
          <w:szCs w:val="24"/>
          <w:vertAlign w:val="superscript"/>
        </w:rPr>
        <w:footnoteReference w:id="72"/>
      </w:r>
      <w:r w:rsidRPr="00CC46E3">
        <w:rPr>
          <w:rFonts w:ascii="Bell MT" w:hAnsi="Bell MT"/>
          <w:color w:val="FF0000"/>
          <w:sz w:val="24"/>
          <w:szCs w:val="24"/>
        </w:rPr>
        <w:t xml:space="preserve"> The involvement of the State makes public law analogies appropriate for filling gaps in the respective treaty on matters such as public policy considerations, or resolving any interpretive ambiguities. The public law paradigm also reaffirms the essential understanding that States are the architects of the investment treaty regime which justifies the interpretation of the applicable law, where there is doubt, in a manner that sides with maintaining State control over the regime and the arbitrators involved.</w:t>
      </w:r>
      <w:r w:rsidRPr="00CC46E3">
        <w:rPr>
          <w:rFonts w:ascii="Bell MT" w:hAnsi="Bell MT"/>
          <w:color w:val="FF0000"/>
          <w:sz w:val="24"/>
          <w:szCs w:val="24"/>
          <w:vertAlign w:val="superscript"/>
        </w:rPr>
        <w:footnoteReference w:id="73"/>
      </w:r>
      <w:r w:rsidRPr="00CC46E3">
        <w:rPr>
          <w:rFonts w:ascii="Bell MT" w:hAnsi="Bell MT"/>
          <w:color w:val="FF0000"/>
          <w:sz w:val="24"/>
          <w:szCs w:val="24"/>
        </w:rPr>
        <w:t xml:space="preserve"> This means that international arbitration is merely an application of diplomatic espousal, leaving the State with the discretionary power to waive or settle investment claims at any time, use countermeasures or even pursue State-State arbitration instead of investment arbitration.</w:t>
      </w:r>
      <w:r w:rsidRPr="00CC46E3">
        <w:rPr>
          <w:rFonts w:ascii="Bell MT" w:hAnsi="Bell MT"/>
          <w:color w:val="FF0000"/>
          <w:sz w:val="24"/>
          <w:szCs w:val="24"/>
          <w:vertAlign w:val="superscript"/>
        </w:rPr>
        <w:footnoteReference w:id="74"/>
      </w:r>
      <w:r w:rsidRPr="00CC46E3">
        <w:rPr>
          <w:rFonts w:ascii="Bell MT" w:hAnsi="Bell MT"/>
          <w:color w:val="FF0000"/>
          <w:sz w:val="24"/>
          <w:szCs w:val="24"/>
        </w:rPr>
        <w:t xml:space="preserve"> </w:t>
      </w:r>
    </w:p>
    <w:p w14:paraId="6C3D954B" w14:textId="77777777" w:rsidR="00C077A5" w:rsidRPr="00CC46E3"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Secondly, investment arbitration is not merely about contractual disputes between private parties but national public interests are often in the fore.</w:t>
      </w:r>
      <w:r w:rsidRPr="00CC46E3">
        <w:rPr>
          <w:rFonts w:ascii="Bell MT" w:hAnsi="Bell MT"/>
          <w:color w:val="FF0000"/>
          <w:sz w:val="24"/>
          <w:szCs w:val="24"/>
          <w:vertAlign w:val="superscript"/>
        </w:rPr>
        <w:footnoteReference w:id="75"/>
      </w:r>
      <w:r w:rsidRPr="00CC46E3">
        <w:rPr>
          <w:rFonts w:ascii="Bell MT" w:hAnsi="Bell MT"/>
          <w:color w:val="FF0000"/>
          <w:sz w:val="24"/>
          <w:szCs w:val="24"/>
        </w:rPr>
        <w:t xml:space="preserve"> This is compounded by the fact that investor-state arbitrators engage in a form of review over national law that resembles public constitutional or judicial review that is undertaken by Supreme Courts.</w:t>
      </w:r>
      <w:r w:rsidRPr="00CC46E3">
        <w:rPr>
          <w:rFonts w:ascii="Bell MT" w:hAnsi="Bell MT"/>
          <w:color w:val="FF0000"/>
          <w:sz w:val="24"/>
          <w:szCs w:val="24"/>
          <w:vertAlign w:val="superscript"/>
        </w:rPr>
        <w:footnoteReference w:id="76"/>
      </w:r>
      <w:r w:rsidRPr="00CC46E3">
        <w:rPr>
          <w:rFonts w:ascii="Bell MT" w:hAnsi="Bell MT"/>
          <w:color w:val="FF0000"/>
          <w:sz w:val="24"/>
          <w:szCs w:val="24"/>
        </w:rPr>
        <w:t xml:space="preserve"> This supports the public law nature of investment arbitration. However, the public law paradigm permits </w:t>
      </w:r>
      <w:r w:rsidRPr="00CC46E3">
        <w:rPr>
          <w:rFonts w:ascii="Bell MT" w:hAnsi="Bell MT"/>
          <w:color w:val="FF0000"/>
          <w:sz w:val="24"/>
          <w:szCs w:val="24"/>
        </w:rPr>
        <w:lastRenderedPageBreak/>
        <w:t>techniques for limiting the level of intervention in national policy.</w:t>
      </w:r>
      <w:r w:rsidRPr="00CC46E3">
        <w:rPr>
          <w:rFonts w:ascii="Bell MT" w:hAnsi="Bell MT"/>
          <w:color w:val="FF0000"/>
          <w:sz w:val="24"/>
          <w:szCs w:val="24"/>
          <w:vertAlign w:val="superscript"/>
        </w:rPr>
        <w:footnoteReference w:id="77"/>
      </w:r>
      <w:r w:rsidRPr="00CC46E3">
        <w:rPr>
          <w:rFonts w:ascii="Bell MT" w:hAnsi="Bell MT"/>
          <w:color w:val="FF0000"/>
          <w:sz w:val="24"/>
          <w:szCs w:val="24"/>
        </w:rPr>
        <w:t xml:space="preserve"> This is because investment arbitration is not only a form of dispute settlement but functions as a public adjudication body which means it must take into account the broader implications of the decisions on the people in those States, and the knock on effect on other States. It is a recognition that the investment regime is not a self-contained form of public law, which means investment arbitrators may in some instances borrow laws of other public international law regimes, for example, laws on human rights and trade, in order to ensure that the public element is widely considered in their decision.</w:t>
      </w:r>
      <w:r w:rsidRPr="00CC46E3">
        <w:rPr>
          <w:rFonts w:ascii="Bell MT" w:hAnsi="Bell MT"/>
          <w:color w:val="FF0000"/>
          <w:sz w:val="24"/>
          <w:szCs w:val="24"/>
          <w:vertAlign w:val="superscript"/>
        </w:rPr>
        <w:footnoteReference w:id="78"/>
      </w:r>
      <w:r w:rsidRPr="00CC46E3">
        <w:rPr>
          <w:rFonts w:ascii="Bell MT" w:hAnsi="Bell MT"/>
          <w:color w:val="FF0000"/>
          <w:sz w:val="24"/>
          <w:szCs w:val="24"/>
        </w:rPr>
        <w:t xml:space="preserve"> This makes investment arbitration an agent for the defragmentation of public international law, by for example, taking into account human rights norms when interpreting IIAs.</w:t>
      </w:r>
      <w:r w:rsidRPr="00CC46E3">
        <w:rPr>
          <w:rStyle w:val="FootnoteReference"/>
          <w:rFonts w:ascii="Bell MT" w:hAnsi="Bell MT"/>
          <w:color w:val="FF0000"/>
          <w:sz w:val="24"/>
          <w:szCs w:val="24"/>
        </w:rPr>
        <w:footnoteReference w:id="79"/>
      </w:r>
    </w:p>
    <w:p w14:paraId="11953CBC" w14:textId="77777777" w:rsidR="003464FE" w:rsidRPr="00340D65" w:rsidRDefault="00C077A5" w:rsidP="00E23D81">
      <w:pPr>
        <w:spacing w:line="276" w:lineRule="auto"/>
        <w:jc w:val="both"/>
        <w:rPr>
          <w:rFonts w:ascii="Bell MT" w:hAnsi="Bell MT"/>
          <w:color w:val="FF0000"/>
          <w:sz w:val="24"/>
          <w:szCs w:val="24"/>
        </w:rPr>
      </w:pPr>
      <w:r w:rsidRPr="00CC46E3">
        <w:rPr>
          <w:rFonts w:ascii="Bell MT" w:hAnsi="Bell MT"/>
          <w:color w:val="FF0000"/>
          <w:sz w:val="24"/>
          <w:szCs w:val="24"/>
        </w:rPr>
        <w:t>Last but not least, investor-state arbitration is a product of public international law because of the State’s involvement in the agreement and the primary rules generated by the network of IIAs are overseen by secondary rules of public international law such as the Articles of State Responsibility and the customary rules of treaty interpretation.</w:t>
      </w:r>
      <w:r w:rsidRPr="00CC46E3">
        <w:rPr>
          <w:rFonts w:ascii="Bell MT" w:hAnsi="Bell MT"/>
          <w:color w:val="FF0000"/>
          <w:sz w:val="24"/>
          <w:szCs w:val="24"/>
          <w:vertAlign w:val="superscript"/>
        </w:rPr>
        <w:footnoteReference w:id="80"/>
      </w:r>
      <w:r w:rsidRPr="00CC46E3">
        <w:rPr>
          <w:rFonts w:ascii="Bell MT" w:hAnsi="Bell MT"/>
          <w:color w:val="FF0000"/>
          <w:sz w:val="24"/>
          <w:szCs w:val="24"/>
        </w:rPr>
        <w:t xml:space="preserve"> Thus, investment arbitrations do not merely adjudicate over discrete commercial disputes rather they exert a form of global governance that regulates State conduct.</w:t>
      </w:r>
      <w:r w:rsidRPr="00CC46E3">
        <w:rPr>
          <w:rFonts w:ascii="Bell MT" w:hAnsi="Bell MT"/>
          <w:color w:val="FF0000"/>
          <w:sz w:val="24"/>
          <w:szCs w:val="24"/>
          <w:vertAlign w:val="superscript"/>
        </w:rPr>
        <w:footnoteReference w:id="81"/>
      </w:r>
      <w:r w:rsidRPr="00CC46E3">
        <w:rPr>
          <w:rFonts w:ascii="Bell MT" w:hAnsi="Bell MT"/>
          <w:color w:val="FF0000"/>
          <w:sz w:val="24"/>
          <w:szCs w:val="24"/>
        </w:rPr>
        <w:t xml:space="preserve"> Furthermore, the manner in which investor-state claims are structured closely resembles regional and global mechanisms designed to protect human rights because the claims by private investors are directed against State action based on the rights in a given treaty.</w:t>
      </w:r>
      <w:r w:rsidRPr="00CC46E3">
        <w:rPr>
          <w:rFonts w:ascii="Bell MT" w:hAnsi="Bell MT"/>
          <w:color w:val="FF0000"/>
          <w:sz w:val="24"/>
          <w:szCs w:val="24"/>
          <w:vertAlign w:val="superscript"/>
        </w:rPr>
        <w:footnoteReference w:id="82"/>
      </w:r>
      <w:r w:rsidRPr="00CC46E3">
        <w:rPr>
          <w:rFonts w:ascii="Bell MT" w:hAnsi="Bell MT"/>
          <w:color w:val="FF0000"/>
          <w:sz w:val="24"/>
          <w:szCs w:val="24"/>
        </w:rPr>
        <w:t xml:space="preserve"> Thus, investor-state claims resemble other public international law regimes, such as the trade regime, where a balance between economic and non-economic interests of the State has to be struck.</w:t>
      </w:r>
      <w:r w:rsidRPr="00CC46E3">
        <w:rPr>
          <w:rFonts w:ascii="Bell MT" w:hAnsi="Bell MT"/>
          <w:color w:val="FF0000"/>
          <w:sz w:val="24"/>
          <w:szCs w:val="24"/>
          <w:vertAlign w:val="superscript"/>
        </w:rPr>
        <w:footnoteReference w:id="83"/>
      </w:r>
      <w:r w:rsidRPr="00CC46E3">
        <w:rPr>
          <w:rFonts w:ascii="Bell MT" w:hAnsi="Bell MT"/>
          <w:color w:val="FF0000"/>
          <w:sz w:val="24"/>
          <w:szCs w:val="24"/>
        </w:rPr>
        <w:t xml:space="preserve"> Despite their bilateral foundation, the structure, content and remedies provided under BITs are not those of a mere investment agreements because the whole regime produces effects comparable to those made by recognised public international law regimes.</w:t>
      </w:r>
      <w:r w:rsidRPr="00CC46E3">
        <w:rPr>
          <w:rFonts w:ascii="Bell MT" w:hAnsi="Bell MT"/>
          <w:color w:val="FF0000"/>
          <w:sz w:val="24"/>
          <w:szCs w:val="24"/>
          <w:vertAlign w:val="superscript"/>
        </w:rPr>
        <w:footnoteReference w:id="84"/>
      </w:r>
      <w:r w:rsidRPr="00CC46E3">
        <w:rPr>
          <w:rFonts w:ascii="Bell MT" w:hAnsi="Bell MT"/>
          <w:color w:val="FF0000"/>
          <w:sz w:val="24"/>
          <w:szCs w:val="24"/>
        </w:rPr>
        <w:t xml:space="preserve"> This supports de Zayas’s contention that ISDS represents a “major threat” to a “democratic and equitable international order” because the arbitrators “act as if they were above the international human rights regime” even though they are “not natural guardians of the public interest.”</w:t>
      </w:r>
      <w:r w:rsidRPr="00CC46E3">
        <w:rPr>
          <w:rFonts w:ascii="Bell MT" w:hAnsi="Bell MT"/>
          <w:color w:val="FF0000"/>
          <w:sz w:val="24"/>
          <w:szCs w:val="24"/>
          <w:vertAlign w:val="superscript"/>
        </w:rPr>
        <w:footnoteReference w:id="85"/>
      </w:r>
      <w:r w:rsidRPr="00CC46E3">
        <w:rPr>
          <w:rFonts w:ascii="Bell MT" w:hAnsi="Bell MT"/>
          <w:color w:val="FF0000"/>
          <w:sz w:val="24"/>
          <w:szCs w:val="24"/>
        </w:rPr>
        <w:t xml:space="preserve"> Thus, international investment law is classified in some quarters as a form of public international law which supports adjudication through public body that recognises its public international law obligations. </w:t>
      </w:r>
    </w:p>
    <w:p w14:paraId="2547ADB9" w14:textId="77777777" w:rsidR="003464FE" w:rsidRDefault="003464FE" w:rsidP="00E23D81">
      <w:pPr>
        <w:spacing w:line="276" w:lineRule="auto"/>
        <w:jc w:val="both"/>
        <w:rPr>
          <w:rFonts w:ascii="Bell MT" w:hAnsi="Bell MT"/>
          <w:sz w:val="24"/>
          <w:szCs w:val="24"/>
        </w:rPr>
      </w:pPr>
    </w:p>
    <w:p w14:paraId="49E0593D" w14:textId="77777777" w:rsidR="00C765AB" w:rsidRDefault="001C325B" w:rsidP="00E23D81">
      <w:pPr>
        <w:spacing w:line="276" w:lineRule="auto"/>
        <w:jc w:val="both"/>
        <w:rPr>
          <w:rFonts w:ascii="Bell MT" w:hAnsi="Bell MT"/>
          <w:sz w:val="24"/>
          <w:szCs w:val="24"/>
        </w:rPr>
      </w:pPr>
      <w:r>
        <w:rPr>
          <w:rFonts w:ascii="Bell MT" w:hAnsi="Bell MT"/>
          <w:sz w:val="24"/>
          <w:szCs w:val="24"/>
        </w:rPr>
        <w:t xml:space="preserve">BELOW IS A MORE UPDATED ANALYSIS OF THE REFORM PATHS AND PAIC—REWORD IT AND USE </w:t>
      </w:r>
    </w:p>
    <w:p w14:paraId="3ECC5A7E" w14:textId="77777777" w:rsidR="00C765AB" w:rsidRDefault="00C765AB" w:rsidP="00E23D81">
      <w:pPr>
        <w:spacing w:line="276" w:lineRule="auto"/>
        <w:jc w:val="both"/>
        <w:rPr>
          <w:rFonts w:ascii="Bell MT" w:hAnsi="Bell MT"/>
          <w:sz w:val="24"/>
          <w:szCs w:val="24"/>
        </w:rPr>
      </w:pPr>
    </w:p>
    <w:p w14:paraId="40B86BBD" w14:textId="77777777" w:rsidR="001C325B" w:rsidRPr="00031E07" w:rsidRDefault="001C325B" w:rsidP="00E23D81">
      <w:pPr>
        <w:spacing w:line="276" w:lineRule="auto"/>
        <w:jc w:val="both"/>
        <w:rPr>
          <w:rFonts w:ascii="Bell MT" w:eastAsiaTheme="minorEastAsia" w:hAnsi="Bell MT"/>
          <w:color w:val="FF0000"/>
          <w:sz w:val="24"/>
          <w:szCs w:val="24"/>
          <w:lang w:eastAsia="en-GB"/>
        </w:rPr>
      </w:pPr>
      <w:r w:rsidRPr="00031E07">
        <w:rPr>
          <w:rFonts w:ascii="Bell MT" w:eastAsiaTheme="minorEastAsia" w:hAnsi="Bell MT"/>
          <w:color w:val="FF0000"/>
          <w:sz w:val="24"/>
          <w:szCs w:val="24"/>
          <w:lang w:eastAsia="en-GB"/>
        </w:rPr>
        <w:t xml:space="preserve">The global debate has produced two general alternative ways of reforming ISDS: i) keep but reform the ISDS mechanism; ii) dismantle and replace it with a regional or an international court system. Both reform pathways are examined next before reaching a circumspect conclusion on the best way forward. </w:t>
      </w:r>
    </w:p>
    <w:p w14:paraId="7E0A14F0" w14:textId="77777777" w:rsidR="001C325B" w:rsidRPr="00031E07" w:rsidRDefault="001C325B" w:rsidP="00E23D81">
      <w:pPr>
        <w:pStyle w:val="ListParagraph"/>
        <w:numPr>
          <w:ilvl w:val="1"/>
          <w:numId w:val="5"/>
        </w:numPr>
        <w:spacing w:after="200" w:line="276" w:lineRule="auto"/>
        <w:jc w:val="both"/>
        <w:rPr>
          <w:rFonts w:ascii="Bell MT" w:hAnsi="Bell MT"/>
          <w:color w:val="FF0000"/>
          <w:sz w:val="24"/>
          <w:szCs w:val="24"/>
        </w:rPr>
      </w:pPr>
      <w:r w:rsidRPr="00031E07">
        <w:rPr>
          <w:rFonts w:ascii="Bell MT" w:hAnsi="Bell MT"/>
          <w:color w:val="FF0000"/>
          <w:sz w:val="24"/>
          <w:szCs w:val="24"/>
        </w:rPr>
        <w:t>ISDS reform pathways</w:t>
      </w:r>
    </w:p>
    <w:p w14:paraId="63D22EE0" w14:textId="77777777" w:rsidR="001C325B" w:rsidRPr="00031E07" w:rsidRDefault="001C325B" w:rsidP="00E23D81">
      <w:pPr>
        <w:spacing w:line="276" w:lineRule="auto"/>
        <w:jc w:val="both"/>
        <w:rPr>
          <w:rFonts w:ascii="Bell MT" w:eastAsiaTheme="minorEastAsia" w:hAnsi="Bell MT"/>
          <w:color w:val="FF0000"/>
          <w:sz w:val="24"/>
          <w:szCs w:val="24"/>
          <w:lang w:eastAsia="en-GB"/>
        </w:rPr>
      </w:pPr>
      <w:r w:rsidRPr="00031E07">
        <w:rPr>
          <w:rFonts w:ascii="Bell MT" w:hAnsi="Bell MT"/>
          <w:color w:val="FF0000"/>
          <w:sz w:val="24"/>
          <w:szCs w:val="24"/>
        </w:rPr>
        <w:t>Part of the motivations behind international investment law reform is to rebalance international investment agreements in favour of host States. In a bid to attract FDI, States often choose to reconcile their changing environmental, political and economic policies with honouring the promises made to investors under the respective IIA. If the regulatory activities of a State negatively impact on a foreign investor’s investment, the investor would be entitled to initiate international arbitration. Thus, by choosing to limit their regulatory space, out of enlightened self-interest, States leave themselves exposed to international arbitration.</w:t>
      </w:r>
      <w:r w:rsidRPr="00031E07">
        <w:rPr>
          <w:rFonts w:ascii="Bell MT" w:hAnsi="Bell MT"/>
          <w:color w:val="FF0000"/>
          <w:sz w:val="24"/>
          <w:szCs w:val="24"/>
          <w:vertAlign w:val="superscript"/>
        </w:rPr>
        <w:footnoteReference w:id="86"/>
      </w:r>
      <w:r w:rsidRPr="00031E07">
        <w:rPr>
          <w:rFonts w:ascii="Bell MT" w:hAnsi="Bell MT"/>
          <w:color w:val="FF0000"/>
          <w:sz w:val="24"/>
          <w:szCs w:val="24"/>
        </w:rPr>
        <w:t xml:space="preserve"> This has led some academic commentators to question the extent to which IIAs actually promote investment, especially when a State is subject to costly claims in the future.</w:t>
      </w:r>
      <w:r w:rsidRPr="00031E07">
        <w:rPr>
          <w:rStyle w:val="FootnoteReference"/>
          <w:rFonts w:ascii="Bell MT" w:hAnsi="Bell MT"/>
          <w:color w:val="FF0000"/>
          <w:sz w:val="24"/>
          <w:szCs w:val="24"/>
        </w:rPr>
        <w:footnoteReference w:id="87"/>
      </w:r>
      <w:r w:rsidRPr="00031E07">
        <w:rPr>
          <w:rFonts w:ascii="Bell MT" w:hAnsi="Bell MT"/>
          <w:color w:val="FF0000"/>
          <w:sz w:val="24"/>
          <w:szCs w:val="24"/>
        </w:rPr>
        <w:t xml:space="preserve"> It is therefore imperative, that “a delicate balance [is] struck between the regulatory powers of the host state and the need to legally protect the interests of foreign investors.”</w:t>
      </w:r>
      <w:r w:rsidRPr="00031E07">
        <w:rPr>
          <w:rStyle w:val="FootnoteReference"/>
          <w:rFonts w:ascii="Bell MT" w:hAnsi="Bell MT"/>
          <w:color w:val="FF0000"/>
          <w:sz w:val="24"/>
          <w:szCs w:val="24"/>
        </w:rPr>
        <w:footnoteReference w:id="88"/>
      </w:r>
      <w:r w:rsidRPr="00031E07">
        <w:rPr>
          <w:rFonts w:ascii="Bell MT" w:hAnsi="Bell MT"/>
          <w:color w:val="FF0000"/>
          <w:sz w:val="24"/>
          <w:szCs w:val="24"/>
        </w:rPr>
        <w:t xml:space="preserve"> At present, it is evident from the concluded IIAs and investment treaty arbitration cases, that this balance has not been achieved. It is not surprising, therefore, that a </w:t>
      </w:r>
      <w:r w:rsidRPr="00031E07">
        <w:rPr>
          <w:rFonts w:ascii="Bell MT" w:eastAsiaTheme="minorEastAsia" w:hAnsi="Bell MT"/>
          <w:color w:val="FF0000"/>
          <w:sz w:val="24"/>
          <w:szCs w:val="24"/>
          <w:lang w:eastAsia="en-GB"/>
        </w:rPr>
        <w:t>paradigm shift in international investment policy has surfaced through increased demand for restrictive investment policies and a dispute settlement mechanism that supports national public policy.  The challenges facing the ISDS system are slowly influencing policy developments in this area, as exemplified by the PAIC negotiations which saw considerable debate around the issue of dispute settlement, in fact they were the only provisions on which the drafters failed to reach an agreement.</w:t>
      </w:r>
      <w:r w:rsidRPr="00031E07">
        <w:rPr>
          <w:rStyle w:val="FootnoteReference"/>
          <w:rFonts w:ascii="Bell MT" w:eastAsiaTheme="minorEastAsia" w:hAnsi="Bell MT"/>
          <w:color w:val="FF0000"/>
          <w:sz w:val="24"/>
          <w:szCs w:val="24"/>
          <w:lang w:eastAsia="en-GB"/>
        </w:rPr>
        <w:footnoteReference w:id="89"/>
      </w:r>
    </w:p>
    <w:p w14:paraId="115D329A" w14:textId="77777777" w:rsidR="001C325B" w:rsidRPr="00031E07" w:rsidRDefault="001C325B" w:rsidP="00E23D81">
      <w:pPr>
        <w:pStyle w:val="ListParagraph"/>
        <w:numPr>
          <w:ilvl w:val="1"/>
          <w:numId w:val="5"/>
        </w:numPr>
        <w:spacing w:after="200" w:line="276" w:lineRule="auto"/>
        <w:jc w:val="both"/>
        <w:rPr>
          <w:rFonts w:ascii="Bell MT" w:eastAsiaTheme="minorEastAsia" w:hAnsi="Bell MT"/>
          <w:color w:val="FF0000"/>
          <w:sz w:val="24"/>
          <w:szCs w:val="24"/>
          <w:lang w:eastAsia="en-GB"/>
        </w:rPr>
      </w:pPr>
      <w:r w:rsidRPr="00031E07">
        <w:rPr>
          <w:rFonts w:ascii="Bell MT" w:eastAsiaTheme="minorEastAsia" w:hAnsi="Bell MT"/>
          <w:color w:val="FF0000"/>
          <w:sz w:val="24"/>
          <w:szCs w:val="24"/>
          <w:lang w:eastAsia="en-GB"/>
        </w:rPr>
        <w:t>Option 1</w:t>
      </w:r>
    </w:p>
    <w:p w14:paraId="3F6AEEA6" w14:textId="77777777" w:rsidR="001C325B" w:rsidRPr="00031E07" w:rsidRDefault="001C325B" w:rsidP="00E23D81">
      <w:pPr>
        <w:autoSpaceDE w:val="0"/>
        <w:autoSpaceDN w:val="0"/>
        <w:adjustRightInd w:val="0"/>
        <w:spacing w:after="0" w:line="276" w:lineRule="auto"/>
        <w:jc w:val="both"/>
        <w:rPr>
          <w:rFonts w:ascii="Bell MT" w:eastAsia="Times New Roman" w:hAnsi="Bell MT" w:cs="Times New Roman"/>
          <w:color w:val="FF0000"/>
          <w:sz w:val="24"/>
          <w:szCs w:val="24"/>
          <w:lang w:eastAsia="en-GB"/>
        </w:rPr>
      </w:pPr>
      <w:r w:rsidRPr="00031E07">
        <w:rPr>
          <w:rFonts w:ascii="Bell MT" w:eastAsiaTheme="minorEastAsia" w:hAnsi="Bell MT"/>
          <w:color w:val="FF0000"/>
          <w:sz w:val="24"/>
          <w:szCs w:val="24"/>
          <w:lang w:eastAsia="en-GB"/>
        </w:rPr>
        <w:t xml:space="preserve">Option one has already started to take shape in Africa and there is evidence both at sub-regional and domestic level that supports a marked departure from the orthodox BIT </w:t>
      </w:r>
      <w:r w:rsidRPr="00031E07">
        <w:rPr>
          <w:rFonts w:ascii="Bell MT" w:eastAsiaTheme="minorEastAsia" w:hAnsi="Bell MT"/>
          <w:color w:val="FF0000"/>
          <w:sz w:val="24"/>
          <w:szCs w:val="24"/>
          <w:lang w:eastAsia="en-GB"/>
        </w:rPr>
        <w:lastRenderedPageBreak/>
        <w:t>approach to dispute settlement. At continental level, during experts’ meetings, South Africa, together with a number of SADC Member States, argued for the exclusion of ISDS from the PAIC.</w:t>
      </w:r>
      <w:r w:rsidRPr="00031E07">
        <w:rPr>
          <w:rStyle w:val="FootnoteReference"/>
          <w:rFonts w:ascii="Bell MT" w:eastAsiaTheme="minorEastAsia" w:hAnsi="Bell MT"/>
          <w:color w:val="FF0000"/>
          <w:sz w:val="24"/>
          <w:szCs w:val="24"/>
          <w:lang w:eastAsia="en-GB"/>
        </w:rPr>
        <w:footnoteReference w:id="90"/>
      </w:r>
      <w:r w:rsidRPr="00031E07">
        <w:rPr>
          <w:rFonts w:ascii="Bell MT" w:eastAsiaTheme="minorEastAsia" w:hAnsi="Bell MT"/>
          <w:color w:val="FF0000"/>
          <w:sz w:val="24"/>
          <w:szCs w:val="24"/>
          <w:lang w:eastAsia="en-GB"/>
        </w:rPr>
        <w:t xml:space="preserve"> However, the majority of African countries were in support of the inclusion of ISDS in the PAIC as a lever for attracting foreign investment given the lack trust in the Africa’s judicial systems. The countries in favour of ISDS were however in agreement that it needs to be reshaped in such manner that limits State exposure to costly claims. The PAIC provides for ISDS by permitting “dis</w:t>
      </w:r>
      <w:r w:rsidRPr="00031E07">
        <w:rPr>
          <w:rFonts w:ascii="Bell MT" w:eastAsia="Brill-Roman" w:hAnsi="Bell MT" w:cs="Brill-Roman"/>
          <w:color w:val="FF0000"/>
          <w:sz w:val="24"/>
          <w:szCs w:val="24"/>
        </w:rPr>
        <w:t>putes arising between investors and Members States under the specific agreements that govern their relations [to] be resolved under those agreements.”</w:t>
      </w:r>
      <w:r w:rsidRPr="00031E07">
        <w:rPr>
          <w:rStyle w:val="FootnoteReference"/>
          <w:rFonts w:ascii="Bell MT" w:eastAsia="Brill-Roman" w:hAnsi="Bell MT" w:cs="Brill-Roman"/>
          <w:color w:val="FF0000"/>
          <w:sz w:val="24"/>
          <w:szCs w:val="24"/>
        </w:rPr>
        <w:footnoteReference w:id="91"/>
      </w:r>
      <w:r w:rsidRPr="00031E07">
        <w:rPr>
          <w:rFonts w:ascii="Bell MT" w:eastAsia="Brill-Roman" w:hAnsi="Bell MT" w:cs="Brill-Roman"/>
          <w:color w:val="FF0000"/>
          <w:sz w:val="24"/>
          <w:szCs w:val="24"/>
        </w:rPr>
        <w:t xml:space="preserve"> The PAIC also requires the investor and the concerned Member State to seek to resolve the dispute within 6 months at the latest, through consultations and negotiations, which may include the use of non-binding, third-party mediation or other mechanisms.</w:t>
      </w:r>
      <w:r w:rsidRPr="00031E07">
        <w:rPr>
          <w:rStyle w:val="FootnoteReference"/>
          <w:rFonts w:ascii="Bell MT" w:eastAsia="Brill-Roman" w:hAnsi="Bell MT" w:cs="Brill-Roman"/>
          <w:color w:val="FF0000"/>
          <w:sz w:val="24"/>
          <w:szCs w:val="24"/>
        </w:rPr>
        <w:footnoteReference w:id="92"/>
      </w:r>
      <w:r w:rsidRPr="00031E07">
        <w:rPr>
          <w:rFonts w:ascii="Bell MT" w:eastAsia="Brill-Roman" w:hAnsi="Bell MT" w:cs="Brill-Roman"/>
          <w:color w:val="FF0000"/>
          <w:sz w:val="24"/>
          <w:szCs w:val="24"/>
        </w:rPr>
        <w:t xml:space="preserve"> The requirement of exhaustion of local remedies is a rare practice in recent IIAs with the exception of Indian Model BIT (2016). </w:t>
      </w:r>
      <w:r w:rsidRPr="00031E07">
        <w:rPr>
          <w:rFonts w:ascii="Bell MT" w:eastAsia="Times New Roman" w:hAnsi="Bell MT" w:cs="Times New Roman"/>
          <w:color w:val="FF0000"/>
          <w:sz w:val="24"/>
          <w:szCs w:val="24"/>
        </w:rPr>
        <w:t xml:space="preserve">Article 15(1) </w:t>
      </w:r>
      <w:r w:rsidRPr="00031E07">
        <w:rPr>
          <w:rFonts w:ascii="Bell MT" w:eastAsia="Times New Roman" w:hAnsi="Bell MT" w:cs="Times New Roman"/>
          <w:color w:val="FF0000"/>
          <w:sz w:val="24"/>
          <w:szCs w:val="24"/>
          <w:lang w:eastAsia="en-GB"/>
        </w:rPr>
        <w:t>requires that within one year of the measure becoming known, the investor “must first submit its claim before the relevant domestic courts or administrative bodies of the Defending Party for the purpose of pursuing domestic remedies in respect of the same measure or similar factual matters for which a breach of this Treaty is claimed.” The measure applies unless “there are no available domestic legal remedies capable of reasonably providing any relief in respect of the same measure or similar factual matters for which a breach of this Treaty is claimed by the investor” or where five years have elapsed after “exhausting all judicial and administrative remedies” and “no resolution has been reached satisfactory to the investor.”</w:t>
      </w:r>
      <w:r w:rsidRPr="00031E07">
        <w:rPr>
          <w:rFonts w:ascii="Bell MT" w:eastAsia="Times New Roman" w:hAnsi="Bell MT" w:cs="Times New Roman"/>
          <w:color w:val="FF0000"/>
          <w:sz w:val="24"/>
          <w:szCs w:val="24"/>
          <w:vertAlign w:val="superscript"/>
          <w:lang w:eastAsia="en-GB"/>
        </w:rPr>
        <w:footnoteReference w:id="93"/>
      </w:r>
      <w:r w:rsidRPr="00031E07">
        <w:rPr>
          <w:rFonts w:ascii="Bell MT" w:eastAsia="Times New Roman" w:hAnsi="Bell MT" w:cs="Times New Roman"/>
          <w:color w:val="FF0000"/>
          <w:sz w:val="24"/>
          <w:szCs w:val="24"/>
          <w:lang w:eastAsia="en-GB"/>
        </w:rPr>
        <w:t xml:space="preserve"> However, it is likely that the clause would be amended and clarified during treaty negotiation processes in order to ensure that the purpose of the clause is clear as to whether it is an obligation to resort to court or to exhaust all local remedies. </w:t>
      </w:r>
    </w:p>
    <w:p w14:paraId="045232B2" w14:textId="77777777" w:rsidR="001C325B" w:rsidRPr="00031E07" w:rsidRDefault="001C325B" w:rsidP="00E23D81">
      <w:pPr>
        <w:autoSpaceDE w:val="0"/>
        <w:autoSpaceDN w:val="0"/>
        <w:adjustRightInd w:val="0"/>
        <w:spacing w:after="0" w:line="276" w:lineRule="auto"/>
        <w:jc w:val="both"/>
        <w:rPr>
          <w:rFonts w:ascii="Bell MT" w:eastAsia="Times New Roman" w:hAnsi="Bell MT" w:cs="Times New Roman"/>
          <w:color w:val="FF0000"/>
          <w:sz w:val="24"/>
          <w:szCs w:val="24"/>
          <w:lang w:eastAsia="en-GB"/>
        </w:rPr>
      </w:pPr>
    </w:p>
    <w:p w14:paraId="606F88B7" w14:textId="77777777" w:rsidR="001C325B" w:rsidRPr="00031E07" w:rsidRDefault="001C325B" w:rsidP="00E23D81">
      <w:pPr>
        <w:autoSpaceDE w:val="0"/>
        <w:autoSpaceDN w:val="0"/>
        <w:adjustRightInd w:val="0"/>
        <w:spacing w:after="0" w:line="276" w:lineRule="auto"/>
        <w:jc w:val="both"/>
        <w:rPr>
          <w:rFonts w:ascii="Bell MT" w:eastAsia="Brill-Roman" w:hAnsi="Bell MT" w:cs="Brill-Roman"/>
          <w:color w:val="FF0000"/>
          <w:sz w:val="24"/>
          <w:szCs w:val="24"/>
        </w:rPr>
      </w:pPr>
      <w:r w:rsidRPr="00031E07">
        <w:rPr>
          <w:rFonts w:ascii="Bell MT" w:eastAsia="Times New Roman" w:hAnsi="Bell MT" w:cs="Times New Roman"/>
          <w:color w:val="FF0000"/>
          <w:sz w:val="24"/>
          <w:szCs w:val="24"/>
          <w:lang w:eastAsia="en-GB"/>
        </w:rPr>
        <w:t xml:space="preserve">The drafters of the PAIC included a requirement for foreign investors to exhaust local remedies </w:t>
      </w:r>
      <w:r w:rsidRPr="00031E07">
        <w:rPr>
          <w:rFonts w:ascii="Bell MT" w:eastAsia="Brill-Roman" w:hAnsi="Bell MT" w:cs="Brill-Roman"/>
          <w:color w:val="FF0000"/>
          <w:sz w:val="24"/>
          <w:szCs w:val="24"/>
        </w:rPr>
        <w:t>before a request for arbitration could be submitted.</w:t>
      </w:r>
      <w:r w:rsidRPr="00031E07">
        <w:rPr>
          <w:rStyle w:val="FootnoteReference"/>
          <w:rFonts w:ascii="Bell MT" w:eastAsia="Brill-Roman" w:hAnsi="Bell MT" w:cs="Brill-Roman"/>
          <w:color w:val="FF0000"/>
          <w:sz w:val="24"/>
          <w:szCs w:val="24"/>
        </w:rPr>
        <w:footnoteReference w:id="94"/>
      </w:r>
      <w:r w:rsidRPr="00031E07">
        <w:rPr>
          <w:rFonts w:ascii="Bell MT" w:eastAsia="Brill-Roman" w:hAnsi="Bell MT" w:cs="Brill-Roman"/>
          <w:color w:val="FF0000"/>
          <w:sz w:val="24"/>
          <w:szCs w:val="24"/>
        </w:rPr>
        <w:t xml:space="preserve"> This makes investor-state arbitration a remedy of last resort under the PAIC. The PAIC further limits investors’ access to ISDS by putting a requirement that consent to arbitration should be given on a case-by –case basis or based on national law: “[T]he dispute may be resolved through arbitration, subject to the applicable laws of the host State and/or the mutual agreement of the disputing parties.”</w:t>
      </w:r>
      <w:r w:rsidRPr="00031E07">
        <w:rPr>
          <w:rStyle w:val="FootnoteReference"/>
          <w:rFonts w:ascii="Bell MT" w:eastAsia="Brill-Roman" w:hAnsi="Bell MT" w:cs="Brill-Roman"/>
          <w:color w:val="FF0000"/>
          <w:sz w:val="24"/>
          <w:szCs w:val="24"/>
        </w:rPr>
        <w:footnoteReference w:id="95"/>
      </w:r>
      <w:r w:rsidRPr="00031E07">
        <w:rPr>
          <w:rFonts w:ascii="Bell MT" w:eastAsia="Brill-Roman" w:hAnsi="Bell MT" w:cs="Brill-Roman"/>
          <w:color w:val="FF0000"/>
          <w:sz w:val="24"/>
          <w:szCs w:val="24"/>
        </w:rPr>
        <w:t xml:space="preserve"> This means that if the host State’s law does not permit ISDS, as in the case of the South African Investment Bill,</w:t>
      </w:r>
      <w:r w:rsidRPr="00031E07">
        <w:rPr>
          <w:rStyle w:val="FootnoteReference"/>
          <w:rFonts w:ascii="Bell MT" w:eastAsia="Brill-Roman" w:hAnsi="Bell MT" w:cs="Brill-Roman"/>
          <w:color w:val="FF0000"/>
          <w:sz w:val="24"/>
          <w:szCs w:val="24"/>
        </w:rPr>
        <w:footnoteReference w:id="96"/>
      </w:r>
      <w:r w:rsidRPr="00031E07">
        <w:rPr>
          <w:rFonts w:ascii="Bell MT" w:eastAsia="Brill-Roman" w:hAnsi="Bell MT" w:cs="Brill-Roman"/>
          <w:color w:val="FF0000"/>
          <w:sz w:val="24"/>
          <w:szCs w:val="24"/>
        </w:rPr>
        <w:t xml:space="preserve"> then ISDS would not be supported. Even though the host State’s law permits ISDS, the investor would need consent from the host State in order to access ISDS. Even without any provision in the host State’s law on ISDS, the investor would still need a mutual agreement before initiating proceedings. </w:t>
      </w:r>
    </w:p>
    <w:p w14:paraId="31DCBB35" w14:textId="77777777" w:rsidR="001C325B" w:rsidRPr="00031E07" w:rsidRDefault="001C325B" w:rsidP="00E23D81">
      <w:pPr>
        <w:autoSpaceDE w:val="0"/>
        <w:autoSpaceDN w:val="0"/>
        <w:adjustRightInd w:val="0"/>
        <w:spacing w:after="0" w:line="276" w:lineRule="auto"/>
        <w:jc w:val="both"/>
        <w:rPr>
          <w:rFonts w:ascii="Bell MT" w:eastAsia="Brill-Roman" w:hAnsi="Bell MT" w:cs="Brill-Roman"/>
          <w:color w:val="FF0000"/>
          <w:sz w:val="24"/>
          <w:szCs w:val="24"/>
        </w:rPr>
      </w:pPr>
    </w:p>
    <w:p w14:paraId="7C06BB37" w14:textId="77777777" w:rsidR="001C325B" w:rsidRPr="00031E07" w:rsidRDefault="001C325B" w:rsidP="00E23D81">
      <w:pPr>
        <w:autoSpaceDE w:val="0"/>
        <w:autoSpaceDN w:val="0"/>
        <w:adjustRightInd w:val="0"/>
        <w:spacing w:after="0" w:line="276" w:lineRule="auto"/>
        <w:jc w:val="both"/>
        <w:rPr>
          <w:rFonts w:ascii="Bell MT" w:eastAsia="Brill-Roman" w:hAnsi="Bell MT" w:cs="Brill-Roman"/>
          <w:color w:val="FF0000"/>
          <w:sz w:val="24"/>
          <w:szCs w:val="24"/>
        </w:rPr>
      </w:pPr>
      <w:r w:rsidRPr="00031E07">
        <w:rPr>
          <w:rFonts w:ascii="Bell MT" w:eastAsia="Brill-Roman" w:hAnsi="Bell MT" w:cs="Brill-Roman"/>
          <w:color w:val="FF0000"/>
          <w:sz w:val="24"/>
          <w:szCs w:val="24"/>
        </w:rPr>
        <w:lastRenderedPageBreak/>
        <w:t>Furthermore, the PAIC permits States to file claims against investors in investor-state arbitration under article 43.1, as follows: “[w]here an investor or its investment is alleged by a Member State party in a dispute settlement proceeding under this Code to have failed to comply with its obligations under this Code or other relevant rules and principles of domestic and international law, the competent body hearing such a dispute shall consider whether this breach, if proven, is materially relevant to the issues before it, and if so, what mitigating or off-setting effects this may have on the merits of a claim or on any damages awarded in the event of such award.”</w:t>
      </w:r>
      <w:r w:rsidRPr="00031E07">
        <w:rPr>
          <w:rStyle w:val="FootnoteReference"/>
          <w:rFonts w:ascii="Bell MT" w:eastAsia="Brill-Roman" w:hAnsi="Bell MT" w:cs="Brill-Roman"/>
          <w:color w:val="FF0000"/>
          <w:sz w:val="24"/>
          <w:szCs w:val="24"/>
        </w:rPr>
        <w:footnoteReference w:id="97"/>
      </w:r>
      <w:r w:rsidRPr="00031E07">
        <w:rPr>
          <w:rFonts w:ascii="Bell MT" w:eastAsia="Brill-Roman" w:hAnsi="Bell MT" w:cs="Brill-Roman"/>
          <w:color w:val="FF0000"/>
          <w:sz w:val="24"/>
          <w:szCs w:val="24"/>
        </w:rPr>
        <w:t xml:space="preserve"> These counterclaims, are permitted by the ICSID Convention only under certain conditions.</w:t>
      </w:r>
      <w:r w:rsidRPr="00031E07">
        <w:rPr>
          <w:rStyle w:val="FootnoteReference"/>
          <w:rFonts w:ascii="Bell MT" w:eastAsia="Brill-Roman" w:hAnsi="Bell MT" w:cs="Brill-Roman"/>
          <w:color w:val="FF0000"/>
          <w:sz w:val="24"/>
          <w:szCs w:val="24"/>
        </w:rPr>
        <w:footnoteReference w:id="98"/>
      </w:r>
      <w:r w:rsidRPr="00031E07">
        <w:rPr>
          <w:rFonts w:ascii="Bell MT" w:eastAsia="Brill-Roman" w:hAnsi="Bell MT" w:cs="Brill-Roman"/>
          <w:color w:val="FF0000"/>
          <w:sz w:val="24"/>
          <w:szCs w:val="24"/>
        </w:rPr>
        <w:t xml:space="preserve"> However, counterclaims are a rarely in this area with only a handful of treaties such as the COMESA Investment Agreement</w:t>
      </w:r>
      <w:r w:rsidRPr="00031E07">
        <w:rPr>
          <w:rStyle w:val="FootnoteReference"/>
          <w:rFonts w:ascii="Bell MT" w:eastAsia="Brill-Roman" w:hAnsi="Bell MT" w:cs="Brill-Roman"/>
          <w:color w:val="FF0000"/>
          <w:sz w:val="24"/>
          <w:szCs w:val="24"/>
        </w:rPr>
        <w:footnoteReference w:id="99"/>
      </w:r>
      <w:r w:rsidRPr="00031E07">
        <w:rPr>
          <w:rFonts w:ascii="Bell MT" w:eastAsia="Brill-Roman" w:hAnsi="Bell MT" w:cs="Brill-Roman"/>
          <w:color w:val="FF0000"/>
          <w:sz w:val="24"/>
          <w:szCs w:val="24"/>
        </w:rPr>
        <w:t xml:space="preserve"> and the SADC Model BIT.</w:t>
      </w:r>
      <w:r w:rsidRPr="00031E07">
        <w:rPr>
          <w:rStyle w:val="FootnoteReference"/>
          <w:rFonts w:ascii="Bell MT" w:eastAsia="Brill-Roman" w:hAnsi="Bell MT" w:cs="Brill-Roman"/>
          <w:color w:val="FF0000"/>
          <w:sz w:val="24"/>
          <w:szCs w:val="24"/>
        </w:rPr>
        <w:footnoteReference w:id="100"/>
      </w:r>
      <w:r w:rsidRPr="00031E07">
        <w:rPr>
          <w:rFonts w:ascii="Bell MT" w:eastAsia="Brill-Roman" w:hAnsi="Bell MT" w:cs="Brill-Roman"/>
          <w:color w:val="FF0000"/>
          <w:sz w:val="24"/>
          <w:szCs w:val="24"/>
        </w:rPr>
        <w:t xml:space="preserve"> In practice, investment tribunals often deny jurisdiction on counterclaims due to a lack of clear treaty provisions expressly permitting them.</w:t>
      </w:r>
      <w:r w:rsidRPr="00031E07">
        <w:rPr>
          <w:rStyle w:val="FootnoteReference"/>
          <w:rFonts w:ascii="Bell MT" w:eastAsia="Brill-Roman" w:hAnsi="Bell MT" w:cs="Brill-Roman"/>
          <w:color w:val="FF0000"/>
          <w:sz w:val="24"/>
          <w:szCs w:val="24"/>
        </w:rPr>
        <w:footnoteReference w:id="101"/>
      </w:r>
      <w:r w:rsidRPr="00031E07">
        <w:rPr>
          <w:rFonts w:ascii="Bell MT" w:eastAsia="Brill-Roman" w:hAnsi="Bell MT" w:cs="Brill-Roman"/>
          <w:color w:val="FF0000"/>
          <w:sz w:val="24"/>
          <w:szCs w:val="24"/>
        </w:rPr>
        <w:t xml:space="preserve"> Thus, the inclusion of an express reference to counterclaims in the PAIC removes any doubt that investors have consented to counterclaims.  This provision would allow the State to enforce investor obligations contained in the PAIC by challenging any violation of treaty protections such as the environment and human rights through counterclaims. Thus, the dispute settlement provisions of the PAIC aim to overcome the shortcomings of the current ISDS system by using exhaustion of local remedies requirements and counterclaims as a means of limiting State exposure to ISDS. </w:t>
      </w:r>
    </w:p>
    <w:p w14:paraId="29491A74" w14:textId="77777777" w:rsidR="001C325B" w:rsidRPr="00031E07" w:rsidRDefault="001C325B" w:rsidP="00E23D81">
      <w:pPr>
        <w:autoSpaceDE w:val="0"/>
        <w:autoSpaceDN w:val="0"/>
        <w:adjustRightInd w:val="0"/>
        <w:spacing w:after="0" w:line="276" w:lineRule="auto"/>
        <w:jc w:val="both"/>
        <w:rPr>
          <w:rFonts w:ascii="Bell MT" w:eastAsia="Brill-Roman" w:hAnsi="Bell MT" w:cs="Brill-Roman"/>
          <w:color w:val="FF0000"/>
          <w:sz w:val="24"/>
          <w:szCs w:val="24"/>
        </w:rPr>
      </w:pPr>
    </w:p>
    <w:p w14:paraId="74889626" w14:textId="77777777" w:rsidR="001C325B" w:rsidRPr="00031E07" w:rsidRDefault="001C325B" w:rsidP="00E23D81">
      <w:pPr>
        <w:spacing w:line="276" w:lineRule="auto"/>
        <w:jc w:val="both"/>
        <w:rPr>
          <w:rFonts w:ascii="Bell MT" w:eastAsiaTheme="minorEastAsia" w:hAnsi="Bell MT"/>
          <w:color w:val="FF0000"/>
          <w:sz w:val="24"/>
          <w:szCs w:val="24"/>
          <w:lang w:eastAsia="en-GB"/>
        </w:rPr>
      </w:pPr>
      <w:r w:rsidRPr="00031E07">
        <w:rPr>
          <w:rFonts w:ascii="Bell MT" w:eastAsiaTheme="minorEastAsia" w:hAnsi="Bell MT"/>
          <w:color w:val="FF0000"/>
          <w:sz w:val="24"/>
          <w:szCs w:val="24"/>
          <w:lang w:eastAsia="en-GB"/>
        </w:rPr>
        <w:t xml:space="preserve">At sub-regional level, RECs have signed agreements and developed model laws containing investment protection standards and dispute settlement mechanisms with variances to the traditional BIT approach. These RECs </w:t>
      </w:r>
      <w:r w:rsidRPr="00031E07">
        <w:rPr>
          <w:rFonts w:ascii="Bell MT" w:eastAsia="Times New Roman" w:hAnsi="Bell MT" w:cs="Times New Roman"/>
          <w:color w:val="FF0000"/>
          <w:sz w:val="24"/>
          <w:szCs w:val="24"/>
          <w:lang w:eastAsia="en-GB"/>
        </w:rPr>
        <w:t>which have led the regional integration campaign through the establishment of free trade areas and launched programmes for the establishment of regional Customs Unions include the EAC, the Economic Community of Central African States (ECCAS), COMESA, ECOWAS and SADC.</w:t>
      </w:r>
      <w:r w:rsidRPr="00031E07">
        <w:rPr>
          <w:rStyle w:val="FootnoteReference"/>
          <w:rFonts w:ascii="Bell MT" w:eastAsia="Times New Roman" w:hAnsi="Bell MT" w:cs="Times New Roman"/>
          <w:color w:val="FF0000"/>
          <w:sz w:val="24"/>
          <w:szCs w:val="24"/>
          <w:lang w:eastAsia="en-GB"/>
        </w:rPr>
        <w:footnoteReference w:id="102"/>
      </w:r>
      <w:r w:rsidRPr="00031E07">
        <w:rPr>
          <w:rFonts w:ascii="Bell MT" w:eastAsia="Times New Roman" w:hAnsi="Bell MT" w:cs="Times New Roman"/>
          <w:color w:val="FF0000"/>
          <w:sz w:val="24"/>
          <w:szCs w:val="24"/>
          <w:lang w:eastAsia="en-GB"/>
        </w:rPr>
        <w:t xml:space="preserve"> The rest of the RECs, including the </w:t>
      </w:r>
      <w:r w:rsidRPr="00031E07">
        <w:rPr>
          <w:rFonts w:ascii="Bell MT" w:eastAsiaTheme="minorEastAsia" w:hAnsi="Bell MT"/>
          <w:color w:val="FF0000"/>
          <w:sz w:val="24"/>
          <w:szCs w:val="24"/>
          <w:lang w:eastAsia="en-GB"/>
        </w:rPr>
        <w:t xml:space="preserve">Community of Sahel-Saharan States (CEN-SAD), </w:t>
      </w:r>
      <w:r w:rsidRPr="00031E07">
        <w:rPr>
          <w:rFonts w:ascii="Bell MT" w:eastAsia="Times New Roman" w:hAnsi="Bell MT" w:cs="Times New Roman"/>
          <w:color w:val="FF0000"/>
          <w:sz w:val="24"/>
          <w:szCs w:val="24"/>
          <w:lang w:eastAsia="en-GB"/>
        </w:rPr>
        <w:t xml:space="preserve">the </w:t>
      </w:r>
      <w:r w:rsidRPr="00031E07">
        <w:rPr>
          <w:rFonts w:ascii="Bell MT" w:eastAsiaTheme="minorEastAsia" w:hAnsi="Bell MT"/>
          <w:color w:val="FF0000"/>
          <w:sz w:val="24"/>
          <w:szCs w:val="24"/>
          <w:lang w:eastAsia="en-GB"/>
        </w:rPr>
        <w:t xml:space="preserve">Intergovernmental Authority on Development (IGAD) and the Arab Maghreb Union (UMA) are at the stage of coordinating Member State activities towards greater economic cooperation. However, the </w:t>
      </w:r>
      <w:r w:rsidRPr="00031E07">
        <w:rPr>
          <w:rFonts w:ascii="Bell MT" w:eastAsia="Times New Roman" w:hAnsi="Bell MT" w:cs="Times New Roman"/>
          <w:color w:val="FF0000"/>
          <w:sz w:val="24"/>
          <w:szCs w:val="24"/>
          <w:lang w:eastAsia="en-GB"/>
        </w:rPr>
        <w:t xml:space="preserve">COMESA, the EAC, ECOWAS and SADC agreements deserve an independent an analysis due to the progressive nature of their provisions. </w:t>
      </w:r>
    </w:p>
    <w:p w14:paraId="36F530FB" w14:textId="77777777" w:rsidR="001C325B" w:rsidRPr="00031E07" w:rsidRDefault="001C325B" w:rsidP="00E23D81">
      <w:pPr>
        <w:spacing w:line="276" w:lineRule="auto"/>
        <w:jc w:val="both"/>
        <w:rPr>
          <w:rFonts w:ascii="Bell MT" w:eastAsiaTheme="minorEastAsia" w:hAnsi="Bell MT" w:cs="Verdana"/>
          <w:color w:val="FF0000"/>
          <w:sz w:val="24"/>
          <w:szCs w:val="24"/>
          <w:lang w:eastAsia="en-GB"/>
        </w:rPr>
      </w:pPr>
      <w:r w:rsidRPr="00031E07">
        <w:rPr>
          <w:rFonts w:ascii="Bell MT" w:eastAsiaTheme="minorEastAsia" w:hAnsi="Bell MT" w:cs="Times New Roman"/>
          <w:color w:val="FF0000"/>
          <w:sz w:val="24"/>
          <w:szCs w:val="24"/>
          <w:lang w:eastAsia="en-GB"/>
        </w:rPr>
        <w:lastRenderedPageBreak/>
        <w:t>First and foremost, the Investment Agreement for the COMESA Common Investment Area (CCIA) was adopted in 2007.</w:t>
      </w:r>
      <w:r w:rsidRPr="00031E07">
        <w:rPr>
          <w:rFonts w:ascii="Bell MT" w:eastAsiaTheme="minorEastAsia" w:hAnsi="Bell MT" w:cs="Times New Roman"/>
          <w:color w:val="FF0000"/>
          <w:sz w:val="24"/>
          <w:szCs w:val="24"/>
          <w:vertAlign w:val="superscript"/>
          <w:lang w:eastAsia="en-GB"/>
        </w:rPr>
        <w:footnoteReference w:id="103"/>
      </w:r>
      <w:r w:rsidRPr="00031E07">
        <w:rPr>
          <w:rFonts w:ascii="Bell MT" w:eastAsiaTheme="minorEastAsia" w:hAnsi="Bell MT" w:cs="Times New Roman"/>
          <w:color w:val="FF0000"/>
          <w:sz w:val="24"/>
          <w:szCs w:val="24"/>
          <w:lang w:eastAsia="en-GB"/>
        </w:rPr>
        <w:t xml:space="preserve"> The Investment Agreement provides rules for dispute settlement in both State-State and investor-state disputes. </w:t>
      </w:r>
      <w:r w:rsidRPr="00031E07">
        <w:rPr>
          <w:rFonts w:ascii="Bell MT" w:eastAsiaTheme="minorEastAsia" w:hAnsi="Bell MT" w:cs="Verdana"/>
          <w:color w:val="FF0000"/>
          <w:sz w:val="24"/>
          <w:szCs w:val="24"/>
          <w:lang w:eastAsia="en-GB"/>
        </w:rPr>
        <w:t>The CCIA Agreement obliges disputing parties to seek to resolve their disputes through amicable means, both prior to and during the cooling-off period, which is a minimum of six months.</w:t>
      </w:r>
      <w:r w:rsidRPr="00031E07">
        <w:rPr>
          <w:rStyle w:val="FootnoteReference"/>
          <w:rFonts w:ascii="Bell MT" w:eastAsiaTheme="minorEastAsia" w:hAnsi="Bell MT" w:cs="Verdana"/>
          <w:color w:val="FF0000"/>
          <w:sz w:val="24"/>
          <w:szCs w:val="24"/>
          <w:lang w:eastAsia="en-GB"/>
        </w:rPr>
        <w:footnoteReference w:id="104"/>
      </w:r>
      <w:r w:rsidRPr="00031E07">
        <w:rPr>
          <w:rFonts w:ascii="Bell MT" w:eastAsiaTheme="minorEastAsia" w:hAnsi="Bell MT" w:cs="Verdana"/>
          <w:color w:val="FF0000"/>
          <w:sz w:val="24"/>
          <w:szCs w:val="24"/>
          <w:lang w:eastAsia="en-GB"/>
        </w:rPr>
        <w:t xml:space="preserve"> If a decision is not reached, a disputing party can seek a mediator to resolve the matter during the cooling-off period.</w:t>
      </w:r>
      <w:r w:rsidRPr="00031E07">
        <w:rPr>
          <w:rStyle w:val="FootnoteReference"/>
          <w:rFonts w:ascii="Bell MT" w:eastAsiaTheme="minorEastAsia" w:hAnsi="Bell MT" w:cs="Verdana"/>
          <w:color w:val="FF0000"/>
          <w:sz w:val="24"/>
          <w:szCs w:val="24"/>
          <w:lang w:eastAsia="en-GB"/>
        </w:rPr>
        <w:footnoteReference w:id="105"/>
      </w:r>
      <w:r w:rsidRPr="00031E07">
        <w:rPr>
          <w:rFonts w:ascii="Bell MT" w:eastAsiaTheme="minorEastAsia" w:hAnsi="Bell MT" w:cs="Verdana"/>
          <w:color w:val="FF0000"/>
          <w:sz w:val="24"/>
          <w:szCs w:val="24"/>
          <w:lang w:eastAsia="en-GB"/>
        </w:rPr>
        <w:t xml:space="preserve"> </w:t>
      </w:r>
      <w:r w:rsidRPr="00031E07">
        <w:rPr>
          <w:rFonts w:ascii="Bell MT" w:eastAsiaTheme="minorEastAsia" w:hAnsi="Bell MT" w:cs="Times New Roman"/>
          <w:color w:val="FF0000"/>
          <w:sz w:val="24"/>
          <w:szCs w:val="24"/>
          <w:lang w:eastAsia="en-GB"/>
        </w:rPr>
        <w:t>In investor-state disputes, an investor from a COMESA Member State may submit the dispute for arbitration via a competent local court, the COMESA Court of Justice, or pursue international arbitration.</w:t>
      </w:r>
      <w:r w:rsidRPr="00031E07">
        <w:rPr>
          <w:rFonts w:ascii="Bell MT" w:eastAsiaTheme="minorEastAsia" w:hAnsi="Bell MT" w:cs="Times New Roman"/>
          <w:color w:val="FF0000"/>
          <w:sz w:val="24"/>
          <w:szCs w:val="24"/>
          <w:vertAlign w:val="superscript"/>
          <w:lang w:eastAsia="en-GB"/>
        </w:rPr>
        <w:footnoteReference w:id="106"/>
      </w:r>
      <w:r w:rsidRPr="00031E07">
        <w:rPr>
          <w:rFonts w:ascii="Bell MT" w:eastAsiaTheme="minorEastAsia" w:hAnsi="Bell MT" w:cs="Times New Roman"/>
          <w:color w:val="FF0000"/>
          <w:sz w:val="24"/>
          <w:szCs w:val="24"/>
          <w:lang w:eastAsia="en-GB"/>
        </w:rPr>
        <w:t xml:space="preserve"> In State-State disputes, a decision may be sought from a tribunal constituted under the COMESA Court of Justice.</w:t>
      </w:r>
      <w:r w:rsidRPr="00031E07">
        <w:rPr>
          <w:rFonts w:ascii="Bell MT" w:eastAsiaTheme="minorEastAsia" w:hAnsi="Bell MT" w:cs="Times New Roman"/>
          <w:color w:val="FF0000"/>
          <w:sz w:val="24"/>
          <w:szCs w:val="24"/>
          <w:vertAlign w:val="superscript"/>
          <w:lang w:eastAsia="en-GB"/>
        </w:rPr>
        <w:footnoteReference w:id="107"/>
      </w:r>
      <w:r w:rsidRPr="00031E07">
        <w:rPr>
          <w:rFonts w:ascii="Bell MT" w:eastAsiaTheme="minorEastAsia" w:hAnsi="Bell MT" w:cs="Times New Roman"/>
          <w:color w:val="FF0000"/>
          <w:sz w:val="24"/>
          <w:szCs w:val="24"/>
          <w:lang w:eastAsia="en-GB"/>
        </w:rPr>
        <w:t xml:space="preserve"> Thus, the CCIA Agreement offers a new approach to ISDS by incorporating the realities and sensitivities of African States. For example, in order to qualify for protection and thereafter obtain the right to dispute settlement under the agreement, the number of jobs created, the impact on local communities, the length of operation in the country and the amount of investment made in the host State, are taken into account.</w:t>
      </w:r>
      <w:r w:rsidRPr="00031E07">
        <w:rPr>
          <w:rFonts w:ascii="Bell MT" w:eastAsiaTheme="minorEastAsia" w:hAnsi="Bell MT" w:cs="Times New Roman"/>
          <w:color w:val="FF0000"/>
          <w:sz w:val="24"/>
          <w:szCs w:val="24"/>
          <w:vertAlign w:val="superscript"/>
          <w:lang w:eastAsia="en-GB"/>
        </w:rPr>
        <w:footnoteReference w:id="108"/>
      </w:r>
      <w:r w:rsidRPr="00031E07">
        <w:rPr>
          <w:rFonts w:ascii="Bell MT" w:eastAsiaTheme="minorEastAsia" w:hAnsi="Bell MT" w:cs="Times New Roman"/>
          <w:color w:val="FF0000"/>
          <w:sz w:val="24"/>
          <w:szCs w:val="24"/>
          <w:lang w:eastAsia="en-GB"/>
        </w:rPr>
        <w:t xml:space="preserve"> </w:t>
      </w:r>
    </w:p>
    <w:p w14:paraId="7764ECB7" w14:textId="77777777" w:rsidR="001C325B" w:rsidRPr="00031E07" w:rsidRDefault="001C325B" w:rsidP="00E23D81">
      <w:pPr>
        <w:spacing w:before="100" w:beforeAutospacing="1" w:after="100" w:afterAutospacing="1" w:line="276" w:lineRule="auto"/>
        <w:jc w:val="both"/>
        <w:rPr>
          <w:rFonts w:ascii="Bell MT" w:eastAsiaTheme="minorEastAsia" w:hAnsi="Bell MT" w:cs="Times New Roman"/>
          <w:color w:val="FF0000"/>
          <w:sz w:val="24"/>
          <w:szCs w:val="24"/>
          <w:lang w:eastAsia="en-GB"/>
        </w:rPr>
      </w:pPr>
      <w:r w:rsidRPr="00031E07">
        <w:rPr>
          <w:rFonts w:ascii="Bell MT" w:eastAsiaTheme="minorEastAsia" w:hAnsi="Bell MT" w:cs="Times New Roman"/>
          <w:color w:val="FF0000"/>
          <w:sz w:val="24"/>
          <w:szCs w:val="24"/>
          <w:lang w:eastAsia="en-GB"/>
        </w:rPr>
        <w:t>Secondly, the Protocol on Finance and Investment for the SADC free trade area came into force in 2010.</w:t>
      </w:r>
      <w:r w:rsidRPr="00031E07">
        <w:rPr>
          <w:rStyle w:val="FootnoteReference"/>
          <w:rFonts w:ascii="Bell MT" w:eastAsiaTheme="minorEastAsia" w:hAnsi="Bell MT" w:cs="Times New Roman"/>
          <w:color w:val="FF0000"/>
          <w:sz w:val="24"/>
          <w:szCs w:val="24"/>
          <w:lang w:eastAsia="en-GB"/>
        </w:rPr>
        <w:footnoteReference w:id="109"/>
      </w:r>
      <w:r w:rsidRPr="00031E07">
        <w:rPr>
          <w:rFonts w:ascii="Bell MT" w:eastAsiaTheme="minorEastAsia" w:hAnsi="Bell MT" w:cs="Times New Roman"/>
          <w:color w:val="FF0000"/>
          <w:sz w:val="24"/>
          <w:szCs w:val="24"/>
          <w:lang w:eastAsia="en-GB"/>
        </w:rPr>
        <w:t xml:space="preserve"> The Protocol covers all the areas normally found in IIAs and grants investment protections such as uncompensated expropriation (Article 5) and FET (Article 6). Initially, the Protocol provided that investor-state disputes had to first be referred to a competent host State court and then, international arbitration via the SADC tribunal, ICSID or an arbitration panel based on UNCITRAL rules (Article 28).</w:t>
      </w:r>
      <w:r w:rsidRPr="00031E07">
        <w:rPr>
          <w:rStyle w:val="FootnoteReference"/>
          <w:rFonts w:ascii="Bell MT" w:eastAsiaTheme="minorEastAsia" w:hAnsi="Bell MT" w:cs="Times New Roman"/>
          <w:color w:val="FF0000"/>
          <w:sz w:val="24"/>
          <w:szCs w:val="24"/>
          <w:lang w:eastAsia="en-GB"/>
        </w:rPr>
        <w:footnoteReference w:id="110"/>
      </w:r>
      <w:r w:rsidRPr="00031E07">
        <w:rPr>
          <w:rFonts w:ascii="Bell MT" w:eastAsiaTheme="minorEastAsia" w:hAnsi="Bell MT" w:cs="Times New Roman"/>
          <w:color w:val="FF0000"/>
          <w:sz w:val="24"/>
          <w:szCs w:val="24"/>
          <w:lang w:eastAsia="en-GB"/>
        </w:rPr>
        <w:t xml:space="preserve"> Following amendment in 2016, </w:t>
      </w:r>
      <w:r w:rsidRPr="00031E07">
        <w:rPr>
          <w:rFonts w:ascii="Bell MT" w:eastAsia="Brill-Roman" w:hAnsi="Bell MT" w:cs="Brill-Roman"/>
          <w:color w:val="FF0000"/>
          <w:sz w:val="24"/>
          <w:szCs w:val="24"/>
        </w:rPr>
        <w:t>the Protocol now requires that, after failing to settle the dispute amicably, investors should exhaust local remedies before resorting to arbitration.</w:t>
      </w:r>
      <w:r w:rsidRPr="00031E07">
        <w:rPr>
          <w:rStyle w:val="FootnoteReference"/>
          <w:rFonts w:ascii="Bell MT" w:eastAsiaTheme="minorEastAsia" w:hAnsi="Bell MT"/>
          <w:color w:val="FF0000"/>
          <w:sz w:val="24"/>
          <w:szCs w:val="24"/>
          <w:lang w:eastAsia="en-GB"/>
        </w:rPr>
        <w:t xml:space="preserve"> </w:t>
      </w:r>
      <w:r w:rsidRPr="00031E07">
        <w:rPr>
          <w:rStyle w:val="FootnoteReference"/>
          <w:rFonts w:ascii="Bell MT" w:eastAsiaTheme="minorEastAsia" w:hAnsi="Bell MT"/>
          <w:color w:val="FF0000"/>
          <w:sz w:val="24"/>
          <w:szCs w:val="24"/>
          <w:lang w:eastAsia="en-GB"/>
        </w:rPr>
        <w:footnoteReference w:id="111"/>
      </w:r>
      <w:r w:rsidRPr="00031E07">
        <w:rPr>
          <w:rFonts w:ascii="Bell MT" w:eastAsia="Brill-Roman" w:hAnsi="Bell MT" w:cs="Brill-Roman"/>
          <w:color w:val="FF0000"/>
          <w:sz w:val="24"/>
          <w:szCs w:val="24"/>
        </w:rPr>
        <w:t xml:space="preserve"> In addition, annex I of the Protocol was amended so as to remove access to ISDS</w:t>
      </w:r>
      <w:r w:rsidRPr="00031E07">
        <w:rPr>
          <w:rFonts w:ascii="Bell MT" w:eastAsiaTheme="minorEastAsia" w:hAnsi="Bell MT" w:cs="Times New Roman"/>
          <w:color w:val="FF0000"/>
          <w:sz w:val="24"/>
          <w:szCs w:val="24"/>
          <w:lang w:eastAsia="en-GB"/>
        </w:rPr>
        <w:t xml:space="preserve"> </w:t>
      </w:r>
      <w:r w:rsidRPr="00031E07">
        <w:rPr>
          <w:rFonts w:ascii="Bell MT" w:eastAsia="Brill-Roman" w:hAnsi="Bell MT" w:cs="Brill-Roman"/>
          <w:color w:val="FF0000"/>
          <w:sz w:val="24"/>
          <w:szCs w:val="24"/>
        </w:rPr>
        <w:t>leaving only reference to State-to-State dispute settlement, although the changes are yet to be ratified.</w:t>
      </w:r>
      <w:r w:rsidRPr="00031E07">
        <w:rPr>
          <w:rFonts w:ascii="Bell MT" w:eastAsiaTheme="minorEastAsia" w:hAnsi="Bell MT" w:cs="Times New Roman"/>
          <w:color w:val="FF0000"/>
          <w:sz w:val="24"/>
          <w:szCs w:val="24"/>
          <w:lang w:eastAsia="en-GB"/>
        </w:rPr>
        <w:t xml:space="preserve">  Furthermore, in a move designed to harmonise investment policies in the sub-region, a SADC Model BIT was completed in 2012.</w:t>
      </w:r>
      <w:r w:rsidRPr="00031E07">
        <w:rPr>
          <w:rStyle w:val="FootnoteReference"/>
          <w:rFonts w:ascii="Bell MT" w:eastAsiaTheme="minorEastAsia" w:hAnsi="Bell MT" w:cs="Times New Roman"/>
          <w:color w:val="FF0000"/>
          <w:sz w:val="24"/>
          <w:szCs w:val="24"/>
          <w:lang w:eastAsia="en-GB"/>
        </w:rPr>
        <w:footnoteReference w:id="112"/>
      </w:r>
      <w:r w:rsidRPr="00031E07">
        <w:rPr>
          <w:rFonts w:ascii="Bell MT" w:eastAsiaTheme="minorEastAsia" w:hAnsi="Bell MT" w:cs="Times New Roman"/>
          <w:color w:val="FF0000"/>
          <w:sz w:val="24"/>
          <w:szCs w:val="24"/>
          <w:lang w:eastAsia="en-GB"/>
        </w:rPr>
        <w:t xml:space="preserve"> The SADC Model BIT does not make it obligatory to resort to mediation, it does however provide that either disputing party may request mediation of the </w:t>
      </w:r>
      <w:r w:rsidRPr="00031E07">
        <w:rPr>
          <w:rFonts w:ascii="Bell MT" w:eastAsiaTheme="minorEastAsia" w:hAnsi="Bell MT" w:cs="Times New Roman"/>
          <w:color w:val="FF0000"/>
          <w:sz w:val="24"/>
          <w:szCs w:val="24"/>
          <w:lang w:eastAsia="en-GB"/>
        </w:rPr>
        <w:lastRenderedPageBreak/>
        <w:t>dispute after a notice of intent has been submitted.</w:t>
      </w:r>
      <w:r w:rsidRPr="00031E07">
        <w:rPr>
          <w:rStyle w:val="FootnoteReference"/>
          <w:rFonts w:ascii="Bell MT" w:eastAsiaTheme="minorEastAsia" w:hAnsi="Bell MT" w:cs="Times New Roman"/>
          <w:color w:val="FF0000"/>
          <w:sz w:val="24"/>
          <w:szCs w:val="24"/>
          <w:lang w:eastAsia="en-GB"/>
        </w:rPr>
        <w:footnoteReference w:id="113"/>
      </w:r>
      <w:r w:rsidRPr="00031E07">
        <w:rPr>
          <w:rFonts w:ascii="Bell MT" w:eastAsiaTheme="minorEastAsia" w:hAnsi="Bell MT" w:cs="Times New Roman"/>
          <w:color w:val="FF0000"/>
          <w:sz w:val="24"/>
          <w:szCs w:val="24"/>
          <w:lang w:eastAsia="en-GB"/>
        </w:rPr>
        <w:t xml:space="preserve"> The SADC Model BIT also requires the exhaustion of local remedies before arbitration proceedings are commenced:</w:t>
      </w:r>
      <w:r w:rsidRPr="00031E07">
        <w:rPr>
          <w:rFonts w:ascii="Bell MT" w:eastAsia="Times New Roman" w:hAnsi="Bell MT" w:cs="Times New Roman"/>
          <w:color w:val="FF0000"/>
          <w:sz w:val="24"/>
          <w:szCs w:val="24"/>
        </w:rPr>
        <w:t xml:space="preserve"> </w:t>
      </w:r>
      <w:r w:rsidRPr="00031E07">
        <w:rPr>
          <w:rFonts w:ascii="Bell MT" w:eastAsiaTheme="minorEastAsia" w:hAnsi="Bell MT" w:cs="Times New Roman"/>
          <w:color w:val="FF0000"/>
          <w:sz w:val="24"/>
          <w:szCs w:val="24"/>
          <w:lang w:eastAsia="en-GB"/>
        </w:rPr>
        <w:t>“</w:t>
      </w:r>
      <w:r w:rsidRPr="00031E07">
        <w:rPr>
          <w:rFonts w:ascii="Bell MT" w:eastAsia="Times New Roman" w:hAnsi="Bell MT" w:cs="Times New Roman"/>
          <w:color w:val="FF0000"/>
          <w:sz w:val="24"/>
          <w:szCs w:val="24"/>
          <w:lang w:eastAsia="en-GB"/>
        </w:rPr>
        <w:t>the Investor or Investment, as appropriate, (i) has first submitted a claim before the domestic courts of the Host State for the purpose of pursuing local remedies, after the exhaustion of any administrative remedies, relating to the measure underlying the claim under this Agreement, and a resolution has not been reached within a reasonable period of time from its submission to a local court of the Host State . . . .”</w:t>
      </w:r>
      <w:r w:rsidRPr="00031E07">
        <w:rPr>
          <w:rStyle w:val="FootnoteReference"/>
          <w:rFonts w:ascii="Bell MT" w:eastAsia="Times New Roman" w:hAnsi="Bell MT" w:cs="Times New Roman"/>
          <w:color w:val="FF0000"/>
          <w:sz w:val="24"/>
          <w:szCs w:val="24"/>
          <w:lang w:eastAsia="en-GB"/>
        </w:rPr>
        <w:footnoteReference w:id="114"/>
      </w:r>
      <w:r w:rsidRPr="00031E07">
        <w:rPr>
          <w:rFonts w:ascii="Bell MT" w:eastAsia="Times New Roman" w:hAnsi="Bell MT" w:cs="Times New Roman"/>
          <w:color w:val="FF0000"/>
          <w:sz w:val="24"/>
          <w:szCs w:val="24"/>
          <w:lang w:eastAsia="en-GB"/>
        </w:rPr>
        <w:t xml:space="preserve"> Thus, an investor is required to exhaust local remedies unless they can prove that </w:t>
      </w:r>
      <w:r w:rsidRPr="00031E07">
        <w:rPr>
          <w:rFonts w:ascii="Bell MT" w:eastAsia="Times New Roman" w:hAnsi="Bell MT" w:cs="Times New Roman"/>
          <w:color w:val="FF0000"/>
          <w:sz w:val="24"/>
          <w:szCs w:val="24"/>
        </w:rPr>
        <w:t>“there are no reasonably available legal remedies capable of providing effective remedies of the dispute concerning the underlying measure” or the available dispute settlement mechanisms “provide no reasonable possibility of such remedies in a reasonable period of time.”</w:t>
      </w:r>
      <w:r w:rsidRPr="00031E07">
        <w:rPr>
          <w:rStyle w:val="FootnoteReference"/>
          <w:rFonts w:ascii="Bell MT" w:eastAsia="Times New Roman" w:hAnsi="Bell MT" w:cs="Times New Roman"/>
          <w:color w:val="FF0000"/>
          <w:sz w:val="24"/>
          <w:szCs w:val="24"/>
        </w:rPr>
        <w:footnoteReference w:id="115"/>
      </w:r>
      <w:r w:rsidRPr="00031E07">
        <w:rPr>
          <w:rFonts w:ascii="Bell MT" w:eastAsia="Times New Roman" w:hAnsi="Bell MT" w:cs="Times New Roman"/>
          <w:color w:val="FF0000"/>
          <w:sz w:val="24"/>
          <w:szCs w:val="24"/>
          <w:lang w:eastAsia="en-GB"/>
        </w:rPr>
        <w:t xml:space="preserve"> </w:t>
      </w:r>
      <w:r w:rsidRPr="00031E07">
        <w:rPr>
          <w:rFonts w:ascii="Bell MT" w:eastAsiaTheme="minorEastAsia" w:hAnsi="Bell MT" w:cs="Times New Roman"/>
          <w:color w:val="FF0000"/>
          <w:sz w:val="24"/>
          <w:szCs w:val="24"/>
          <w:lang w:eastAsia="en-GB"/>
        </w:rPr>
        <w:t xml:space="preserve">If local remedies have been exhausted, the time limit for bringing an arbitration claim is one year from the conclusion of the request for such remedies.  </w:t>
      </w:r>
    </w:p>
    <w:p w14:paraId="75DA1905" w14:textId="77777777" w:rsidR="001C325B" w:rsidRPr="00031E07" w:rsidRDefault="001C325B" w:rsidP="00E23D81">
      <w:pPr>
        <w:spacing w:before="100" w:beforeAutospacing="1" w:after="100" w:afterAutospacing="1" w:line="276" w:lineRule="auto"/>
        <w:jc w:val="both"/>
        <w:rPr>
          <w:rFonts w:ascii="Bell MT" w:eastAsiaTheme="minorEastAsia" w:hAnsi="Bell MT" w:cs="Times New Roman"/>
          <w:color w:val="FF0000"/>
          <w:sz w:val="24"/>
          <w:szCs w:val="24"/>
          <w:lang w:eastAsia="en-GB"/>
        </w:rPr>
      </w:pPr>
      <w:r w:rsidRPr="00031E07">
        <w:rPr>
          <w:rFonts w:ascii="Bell MT" w:eastAsiaTheme="minorEastAsia" w:hAnsi="Bell MT" w:cs="Times New Roman"/>
          <w:color w:val="FF0000"/>
          <w:sz w:val="24"/>
          <w:szCs w:val="24"/>
          <w:lang w:eastAsia="en-GB"/>
        </w:rPr>
        <w:t>The SADC Model BIT also prevents the initiation of arbitration under a BIT if the issue in dispute is covered by a choice of forum clause contained in any investment law, regulation, permit or contract.</w:t>
      </w:r>
      <w:r w:rsidRPr="00031E07">
        <w:rPr>
          <w:rStyle w:val="FootnoteReference"/>
          <w:rFonts w:ascii="Bell MT" w:eastAsiaTheme="minorEastAsia" w:hAnsi="Bell MT" w:cs="Times New Roman"/>
          <w:color w:val="FF0000"/>
          <w:sz w:val="24"/>
          <w:szCs w:val="24"/>
          <w:lang w:eastAsia="en-GB"/>
        </w:rPr>
        <w:footnoteReference w:id="116"/>
      </w:r>
      <w:r w:rsidRPr="00031E07">
        <w:rPr>
          <w:rFonts w:ascii="Bell MT" w:eastAsiaTheme="minorEastAsia" w:hAnsi="Bell MT" w:cs="Times New Roman"/>
          <w:color w:val="FF0000"/>
          <w:sz w:val="24"/>
          <w:szCs w:val="24"/>
          <w:lang w:eastAsia="en-GB"/>
        </w:rPr>
        <w:t xml:space="preserve">  Furthermore, both the CCIA Agreement and the SADC Model BIT permits ISDS</w:t>
      </w:r>
      <w:r w:rsidRPr="00031E07">
        <w:rPr>
          <w:rStyle w:val="FootnoteReference"/>
          <w:rFonts w:ascii="Bell MT" w:eastAsiaTheme="minorEastAsia" w:hAnsi="Bell MT" w:cs="Times New Roman"/>
          <w:color w:val="FF0000"/>
          <w:sz w:val="24"/>
          <w:szCs w:val="24"/>
          <w:lang w:eastAsia="en-GB"/>
        </w:rPr>
        <w:footnoteReference w:id="117"/>
      </w:r>
      <w:r w:rsidRPr="00031E07">
        <w:rPr>
          <w:rFonts w:ascii="Bell MT" w:eastAsiaTheme="minorEastAsia" w:hAnsi="Bell MT" w:cs="Times New Roman"/>
          <w:color w:val="FF0000"/>
          <w:sz w:val="24"/>
          <w:szCs w:val="24"/>
          <w:lang w:eastAsia="en-GB"/>
        </w:rPr>
        <w:t xml:space="preserve"> but attempt to limit the potential for multiple claims by including fork-in-the-road clauses that prevent an investor from choosing another forum after having initiated proceedings for a claim relating to the same subject matter.</w:t>
      </w:r>
      <w:r w:rsidRPr="00031E07">
        <w:rPr>
          <w:rStyle w:val="FootnoteReference"/>
          <w:rFonts w:ascii="Bell MT" w:eastAsiaTheme="minorEastAsia" w:hAnsi="Bell MT" w:cs="Times New Roman"/>
          <w:color w:val="FF0000"/>
          <w:sz w:val="24"/>
          <w:szCs w:val="24"/>
          <w:lang w:eastAsia="en-GB"/>
        </w:rPr>
        <w:footnoteReference w:id="118"/>
      </w:r>
      <w:r w:rsidRPr="00031E07">
        <w:rPr>
          <w:rFonts w:ascii="Bell MT" w:eastAsiaTheme="minorEastAsia" w:hAnsi="Bell MT" w:cs="Times New Roman"/>
          <w:color w:val="FF0000"/>
          <w:sz w:val="24"/>
          <w:szCs w:val="24"/>
          <w:lang w:eastAsia="en-GB"/>
        </w:rPr>
        <w:t xml:space="preserve"> They also permit counterclaims; under the CCIA, a State may do so in defence, right of set-off, or a similar claim;</w:t>
      </w:r>
      <w:r w:rsidRPr="00031E07">
        <w:rPr>
          <w:rStyle w:val="FootnoteReference"/>
          <w:rFonts w:ascii="Bell MT" w:eastAsiaTheme="minorEastAsia" w:hAnsi="Bell MT" w:cs="Times New Roman"/>
          <w:color w:val="FF0000"/>
          <w:sz w:val="24"/>
          <w:szCs w:val="24"/>
          <w:lang w:eastAsia="en-GB"/>
        </w:rPr>
        <w:footnoteReference w:id="119"/>
      </w:r>
      <w:r w:rsidRPr="00031E07">
        <w:rPr>
          <w:rFonts w:ascii="Bell MT" w:eastAsiaTheme="minorEastAsia" w:hAnsi="Bell MT" w:cs="Times New Roman"/>
          <w:color w:val="FF0000"/>
          <w:sz w:val="24"/>
          <w:szCs w:val="24"/>
          <w:lang w:eastAsia="en-GB"/>
        </w:rPr>
        <w:t xml:space="preserve"> and in SADC, a counterclaim could be for damages or relief resulting from alleged breach BIT obligations.</w:t>
      </w:r>
      <w:r w:rsidRPr="00031E07">
        <w:rPr>
          <w:rStyle w:val="FootnoteReference"/>
          <w:rFonts w:ascii="Bell MT" w:eastAsiaTheme="minorEastAsia" w:hAnsi="Bell MT" w:cs="Times New Roman"/>
          <w:color w:val="FF0000"/>
          <w:sz w:val="24"/>
          <w:szCs w:val="24"/>
          <w:lang w:eastAsia="en-GB"/>
        </w:rPr>
        <w:footnoteReference w:id="120"/>
      </w:r>
      <w:r w:rsidRPr="00031E07">
        <w:rPr>
          <w:rFonts w:ascii="Bell MT" w:eastAsiaTheme="minorEastAsia" w:hAnsi="Bell MT" w:cs="Times New Roman"/>
          <w:color w:val="FF0000"/>
          <w:sz w:val="24"/>
          <w:szCs w:val="24"/>
          <w:lang w:eastAsia="en-GB"/>
        </w:rPr>
        <w:t xml:space="preserve"> The SADC Model BIT also permits civil action by the host State, private entities or political subdivisions for alleged breach BIT obligations.</w:t>
      </w:r>
      <w:r w:rsidRPr="00031E07">
        <w:rPr>
          <w:rStyle w:val="FootnoteReference"/>
          <w:rFonts w:ascii="Bell MT" w:eastAsiaTheme="minorEastAsia" w:hAnsi="Bell MT" w:cs="Times New Roman"/>
          <w:color w:val="FF0000"/>
          <w:sz w:val="24"/>
          <w:szCs w:val="24"/>
          <w:lang w:eastAsia="en-GB"/>
        </w:rPr>
        <w:footnoteReference w:id="121"/>
      </w:r>
      <w:r w:rsidRPr="00031E07">
        <w:rPr>
          <w:rFonts w:ascii="Bell MT" w:eastAsiaTheme="minorEastAsia" w:hAnsi="Bell MT" w:cs="Times New Roman"/>
          <w:color w:val="FF0000"/>
          <w:sz w:val="24"/>
          <w:szCs w:val="24"/>
          <w:lang w:eastAsia="en-GB"/>
        </w:rPr>
        <w:t xml:space="preserve"> Thus, both regional instruments are not only focused on investment protection but also investment facilitation through the imposition of obligations on both parties. </w:t>
      </w:r>
    </w:p>
    <w:p w14:paraId="4AFECE6D" w14:textId="77777777" w:rsidR="001C325B" w:rsidRPr="00031E07" w:rsidRDefault="001C325B" w:rsidP="00E23D81">
      <w:pPr>
        <w:spacing w:before="100" w:beforeAutospacing="1" w:after="100" w:afterAutospacing="1" w:line="276" w:lineRule="auto"/>
        <w:jc w:val="both"/>
        <w:rPr>
          <w:rFonts w:ascii="Bell MT" w:eastAsia="Times New Roman" w:hAnsi="Bell MT" w:cs="Times New Roman"/>
          <w:color w:val="FF0000"/>
          <w:sz w:val="24"/>
          <w:szCs w:val="24"/>
        </w:rPr>
      </w:pPr>
      <w:r w:rsidRPr="00031E07">
        <w:rPr>
          <w:rFonts w:ascii="Bell MT" w:eastAsiaTheme="minorEastAsia" w:hAnsi="Bell MT" w:cs="Times New Roman"/>
          <w:color w:val="FF0000"/>
          <w:sz w:val="24"/>
          <w:szCs w:val="24"/>
          <w:lang w:eastAsia="en-GB"/>
        </w:rPr>
        <w:t>Thirdly, the ECOWAS Supplementary Act on the Common Investment Rules for the Community was adopted in 2008.</w:t>
      </w:r>
      <w:r w:rsidRPr="00031E07">
        <w:rPr>
          <w:rStyle w:val="FootnoteReference"/>
          <w:rFonts w:ascii="Bell MT" w:eastAsiaTheme="minorEastAsia" w:hAnsi="Bell MT" w:cs="Times New Roman"/>
          <w:color w:val="FF0000"/>
          <w:sz w:val="24"/>
          <w:szCs w:val="24"/>
          <w:lang w:eastAsia="en-GB"/>
        </w:rPr>
        <w:footnoteReference w:id="122"/>
      </w:r>
      <w:r w:rsidRPr="00031E07">
        <w:rPr>
          <w:rFonts w:ascii="Bell MT" w:eastAsiaTheme="minorEastAsia" w:hAnsi="Bell MT" w:cs="Times New Roman"/>
          <w:color w:val="FF0000"/>
          <w:sz w:val="24"/>
          <w:szCs w:val="24"/>
          <w:lang w:eastAsia="en-GB"/>
        </w:rPr>
        <w:t xml:space="preserve"> On dispute settlement, parties may refer their case to the ECOWAS Court of Justice, or to a national court or tribunal.</w:t>
      </w:r>
      <w:r w:rsidRPr="00031E07">
        <w:rPr>
          <w:rStyle w:val="FootnoteReference"/>
          <w:rFonts w:ascii="Bell MT" w:eastAsiaTheme="minorEastAsia" w:hAnsi="Bell MT" w:cs="Times New Roman"/>
          <w:color w:val="FF0000"/>
          <w:sz w:val="24"/>
          <w:szCs w:val="24"/>
          <w:lang w:eastAsia="en-GB"/>
        </w:rPr>
        <w:footnoteReference w:id="123"/>
      </w:r>
      <w:r w:rsidRPr="00031E07">
        <w:rPr>
          <w:rFonts w:ascii="Bell MT" w:eastAsiaTheme="minorEastAsia" w:hAnsi="Bell MT" w:cs="Times New Roman"/>
          <w:color w:val="FF0000"/>
          <w:sz w:val="24"/>
          <w:szCs w:val="24"/>
          <w:lang w:eastAsia="en-GB"/>
        </w:rPr>
        <w:t xml:space="preserve"> The approach taken in the Supplementary Act of including a chapter on duties and obligations of investors marks a clear departure from traditional BITs. These duties and obligations include the protection of human rights, labour rights (post establishment) and social and environmental impact (pre-establishment).  Last but not least, the EAC Model Investment Code was adopted in 2006, and although not legally binding, serves as a reference guidance for the design of laws and </w:t>
      </w:r>
      <w:r w:rsidRPr="00031E07">
        <w:rPr>
          <w:rFonts w:ascii="Bell MT" w:eastAsiaTheme="minorEastAsia" w:hAnsi="Bell MT" w:cs="Times New Roman"/>
          <w:color w:val="FF0000"/>
          <w:sz w:val="24"/>
          <w:szCs w:val="24"/>
          <w:lang w:eastAsia="en-GB"/>
        </w:rPr>
        <w:lastRenderedPageBreak/>
        <w:t>policies on investment in the region.</w:t>
      </w:r>
      <w:r w:rsidRPr="00031E07">
        <w:rPr>
          <w:rFonts w:ascii="Bell MT" w:eastAsiaTheme="minorEastAsia" w:hAnsi="Bell MT" w:cs="Times New Roman"/>
          <w:color w:val="FF0000"/>
          <w:sz w:val="24"/>
          <w:szCs w:val="24"/>
          <w:vertAlign w:val="superscript"/>
          <w:lang w:eastAsia="en-GB"/>
        </w:rPr>
        <w:footnoteReference w:id="124"/>
      </w:r>
      <w:r w:rsidRPr="00031E07">
        <w:rPr>
          <w:rFonts w:ascii="Bell MT" w:eastAsiaTheme="minorEastAsia" w:hAnsi="Bell MT" w:cs="Times New Roman"/>
          <w:color w:val="FF0000"/>
          <w:sz w:val="24"/>
          <w:szCs w:val="24"/>
          <w:lang w:eastAsia="en-GB"/>
        </w:rPr>
        <w:t xml:space="preserve"> On dispute settlement, the Code requires investors to apply for an investment certificate at a designated national investment agency, which would enable them to submit any dispute with the host State to international arbitration under the ICSID rules.</w:t>
      </w:r>
      <w:r w:rsidRPr="00031E07">
        <w:rPr>
          <w:rStyle w:val="FootnoteReference"/>
          <w:rFonts w:ascii="Bell MT" w:eastAsiaTheme="minorEastAsia" w:hAnsi="Bell MT" w:cs="Times New Roman"/>
          <w:color w:val="FF0000"/>
          <w:sz w:val="24"/>
          <w:szCs w:val="24"/>
          <w:lang w:eastAsia="en-GB"/>
        </w:rPr>
        <w:footnoteReference w:id="125"/>
      </w:r>
      <w:r w:rsidRPr="00031E07">
        <w:rPr>
          <w:rFonts w:ascii="Bell MT" w:eastAsiaTheme="minorEastAsia" w:hAnsi="Bell MT" w:cs="Times New Roman"/>
          <w:color w:val="FF0000"/>
          <w:sz w:val="24"/>
          <w:szCs w:val="24"/>
          <w:lang w:eastAsia="en-GB"/>
        </w:rPr>
        <w:t xml:space="preserve"> However, the Code does not show a marked departure from the traditional BITs. Thus, the PAIC and most regional investment instruments in Africa support ISDS but make it conditional upon the amicable settlement of disputes</w:t>
      </w:r>
      <w:r w:rsidRPr="00031E07">
        <w:rPr>
          <w:rFonts w:ascii="Bell MT" w:eastAsiaTheme="minorEastAsia" w:hAnsi="Bell MT" w:cs="Verdana"/>
          <w:color w:val="FF0000"/>
          <w:sz w:val="24"/>
          <w:szCs w:val="24"/>
          <w:lang w:eastAsia="en-GB"/>
        </w:rPr>
        <w:t>.</w:t>
      </w:r>
      <w:r w:rsidRPr="00031E07">
        <w:rPr>
          <w:rStyle w:val="FootnoteReference"/>
          <w:rFonts w:ascii="Bell MT" w:eastAsiaTheme="minorEastAsia" w:hAnsi="Bell MT" w:cs="Verdana"/>
          <w:color w:val="FF0000"/>
          <w:sz w:val="24"/>
          <w:szCs w:val="24"/>
          <w:lang w:eastAsia="en-GB"/>
        </w:rPr>
        <w:footnoteReference w:id="126"/>
      </w:r>
    </w:p>
    <w:p w14:paraId="2C41FDF2" w14:textId="77777777" w:rsidR="001C325B" w:rsidRPr="00031E07" w:rsidRDefault="001C325B" w:rsidP="00E23D81">
      <w:pPr>
        <w:spacing w:line="276" w:lineRule="auto"/>
        <w:jc w:val="both"/>
        <w:rPr>
          <w:rFonts w:ascii="Bell MT" w:eastAsia="Times New Roman" w:hAnsi="Bell MT" w:cs="Times New Roman"/>
          <w:color w:val="FF0000"/>
          <w:sz w:val="24"/>
          <w:szCs w:val="24"/>
          <w:lang w:eastAsia="en-GB"/>
        </w:rPr>
      </w:pPr>
      <w:r w:rsidRPr="00031E07">
        <w:rPr>
          <w:rFonts w:ascii="Bell MT" w:eastAsiaTheme="minorEastAsia" w:hAnsi="Bell MT" w:cs="Times New Roman"/>
          <w:color w:val="FF0000"/>
          <w:sz w:val="24"/>
          <w:szCs w:val="24"/>
          <w:lang w:eastAsia="en-GB"/>
        </w:rPr>
        <w:t>Last but not least, this restrictive approach to ISDS at sub-regional level is replicated in a number of recent domestic initiatives. For example, South Africa has recently reviewed and terminated thirteen BITs and adopted a domestic legislation on the protection of investment.</w:t>
      </w:r>
      <w:r w:rsidRPr="00031E07">
        <w:rPr>
          <w:rStyle w:val="FootnoteReference"/>
          <w:rFonts w:ascii="Bell MT" w:eastAsiaTheme="minorEastAsia" w:hAnsi="Bell MT" w:cs="Times New Roman"/>
          <w:color w:val="FF0000"/>
          <w:sz w:val="24"/>
          <w:szCs w:val="24"/>
          <w:lang w:eastAsia="en-GB"/>
        </w:rPr>
        <w:footnoteReference w:id="127"/>
      </w:r>
      <w:r w:rsidRPr="00031E07">
        <w:rPr>
          <w:rFonts w:ascii="Bell MT" w:eastAsiaTheme="minorEastAsia" w:hAnsi="Bell MT" w:cs="Times New Roman"/>
          <w:color w:val="FF0000"/>
          <w:sz w:val="24"/>
          <w:szCs w:val="24"/>
          <w:lang w:eastAsia="en-GB"/>
        </w:rPr>
        <w:t xml:space="preserve"> The South African </w:t>
      </w:r>
      <w:r w:rsidRPr="00031E07">
        <w:rPr>
          <w:rFonts w:ascii="Bell MT" w:eastAsiaTheme="minorEastAsia" w:hAnsi="Bell MT"/>
          <w:color w:val="FF0000"/>
          <w:sz w:val="24"/>
          <w:szCs w:val="24"/>
          <w:lang w:eastAsia="en-GB"/>
        </w:rPr>
        <w:t>Promotion and Protection of Investment Bill does not contain ISDS.</w:t>
      </w:r>
      <w:r w:rsidRPr="00031E07">
        <w:rPr>
          <w:rStyle w:val="FootnoteReference"/>
          <w:rFonts w:ascii="Bell MT" w:eastAsiaTheme="minorEastAsia" w:hAnsi="Bell MT"/>
          <w:color w:val="FF0000"/>
          <w:sz w:val="24"/>
          <w:szCs w:val="24"/>
          <w:lang w:eastAsia="en-GB"/>
        </w:rPr>
        <w:footnoteReference w:id="128"/>
      </w:r>
      <w:r w:rsidRPr="00031E07">
        <w:rPr>
          <w:rFonts w:ascii="Bell MT" w:eastAsiaTheme="minorEastAsia" w:hAnsi="Bell MT"/>
          <w:color w:val="FF0000"/>
          <w:sz w:val="24"/>
          <w:szCs w:val="24"/>
          <w:lang w:eastAsia="en-GB"/>
        </w:rPr>
        <w:t xml:space="preserve"> In fact, during the experts’ meetings, South Africa, together with a number of SADC Member States, argued for the exclusion of ISDS from the PAIC.</w:t>
      </w:r>
      <w:r w:rsidRPr="00031E07">
        <w:rPr>
          <w:rStyle w:val="FootnoteReference"/>
          <w:rFonts w:ascii="Bell MT" w:eastAsiaTheme="minorEastAsia" w:hAnsi="Bell MT"/>
          <w:color w:val="FF0000"/>
          <w:sz w:val="24"/>
          <w:szCs w:val="24"/>
          <w:lang w:eastAsia="en-GB"/>
        </w:rPr>
        <w:footnoteReference w:id="129"/>
      </w:r>
      <w:r w:rsidRPr="00031E07">
        <w:rPr>
          <w:rFonts w:ascii="Bell MT" w:eastAsiaTheme="minorEastAsia" w:hAnsi="Bell MT"/>
          <w:color w:val="FF0000"/>
          <w:sz w:val="24"/>
          <w:szCs w:val="24"/>
          <w:lang w:eastAsia="en-GB"/>
        </w:rPr>
        <w:t xml:space="preserve"> Furthermore, </w:t>
      </w:r>
      <w:r w:rsidRPr="00031E07">
        <w:rPr>
          <w:rFonts w:ascii="Bell MT" w:eastAsia="Times New Roman" w:hAnsi="Bell MT" w:cs="Times New Roman"/>
          <w:color w:val="FF0000"/>
          <w:sz w:val="24"/>
          <w:szCs w:val="24"/>
          <w:lang w:eastAsia="en-GB"/>
        </w:rPr>
        <w:t xml:space="preserve">non-binding Alternative Dispute Resolution (ADR) methods such as mediation and conciliation have been incorporated in treaty provisions in Africa. For example, </w:t>
      </w:r>
      <w:r w:rsidRPr="00031E07">
        <w:rPr>
          <w:rFonts w:ascii="Bell MT" w:eastAsia="Times New Roman" w:hAnsi="Bell MT" w:cs="Times New Roman"/>
          <w:color w:val="FF0000"/>
          <w:sz w:val="24"/>
          <w:szCs w:val="24"/>
        </w:rPr>
        <w:t xml:space="preserve">the COMESA Investment Agreement provides that where no alternative means of dispute settlement are agreed upon, “a party </w:t>
      </w:r>
      <w:r w:rsidRPr="00031E07">
        <w:rPr>
          <w:rFonts w:ascii="Bell MT" w:eastAsia="Times New Roman" w:hAnsi="Bell MT" w:cs="Times New Roman"/>
          <w:bCs/>
          <w:color w:val="FF0000"/>
          <w:sz w:val="24"/>
          <w:szCs w:val="24"/>
        </w:rPr>
        <w:t>shall seek</w:t>
      </w:r>
      <w:r w:rsidRPr="00031E07">
        <w:rPr>
          <w:rFonts w:ascii="Bell MT" w:eastAsia="Times New Roman" w:hAnsi="Bell MT" w:cs="Times New Roman"/>
          <w:color w:val="FF0000"/>
          <w:sz w:val="24"/>
          <w:szCs w:val="24"/>
        </w:rPr>
        <w:t xml:space="preserve"> the assistance of a mediator to resolve disputes during the cooling-off period.”</w:t>
      </w:r>
      <w:r w:rsidRPr="00031E07">
        <w:rPr>
          <w:rStyle w:val="FootnoteReference"/>
          <w:rFonts w:ascii="Bell MT" w:eastAsia="Times New Roman" w:hAnsi="Bell MT" w:cs="Times New Roman"/>
          <w:color w:val="FF0000"/>
          <w:sz w:val="24"/>
          <w:szCs w:val="24"/>
        </w:rPr>
        <w:footnoteReference w:id="130"/>
      </w:r>
      <w:r w:rsidRPr="00031E07">
        <w:rPr>
          <w:rFonts w:ascii="Bell MT" w:eastAsia="Times New Roman" w:hAnsi="Bell MT" w:cs="Times New Roman"/>
          <w:color w:val="FF0000"/>
          <w:sz w:val="24"/>
          <w:szCs w:val="24"/>
          <w:lang w:eastAsia="en-GB"/>
        </w:rPr>
        <w:t xml:space="preserve"> Similarly, the SADC Model BIT provides that after submission of the notice of intent, </w:t>
      </w:r>
      <w:r w:rsidRPr="00031E07">
        <w:rPr>
          <w:rFonts w:ascii="Bell MT" w:eastAsia="Times New Roman" w:hAnsi="Bell MT" w:cs="Times New Roman"/>
          <w:color w:val="FF0000"/>
          <w:sz w:val="24"/>
          <w:szCs w:val="24"/>
        </w:rPr>
        <w:t>“the Investor or the host State may request mediation of the dispute, in which case the other disputing party may agree to such mediation.”</w:t>
      </w:r>
      <w:r w:rsidRPr="00031E07">
        <w:rPr>
          <w:rStyle w:val="FootnoteReference"/>
          <w:rFonts w:ascii="Bell MT" w:eastAsia="Times New Roman" w:hAnsi="Bell MT" w:cs="Times New Roman"/>
          <w:color w:val="FF0000"/>
          <w:sz w:val="24"/>
          <w:szCs w:val="24"/>
        </w:rPr>
        <w:footnoteReference w:id="131"/>
      </w:r>
      <w:r w:rsidRPr="00031E07">
        <w:rPr>
          <w:rFonts w:ascii="Bell MT" w:eastAsia="Times New Roman" w:hAnsi="Bell MT" w:cs="Times New Roman"/>
          <w:color w:val="FF0000"/>
          <w:sz w:val="24"/>
          <w:szCs w:val="24"/>
        </w:rPr>
        <w:t xml:space="preserve"> </w:t>
      </w:r>
      <w:r w:rsidRPr="00031E07">
        <w:rPr>
          <w:rFonts w:ascii="Bell MT" w:eastAsia="Times New Roman" w:hAnsi="Bell MT" w:cs="Times New Roman"/>
          <w:color w:val="FF0000"/>
          <w:sz w:val="24"/>
          <w:szCs w:val="24"/>
          <w:lang w:eastAsia="en-GB"/>
        </w:rPr>
        <w:t xml:space="preserve">This system of preliminary review was recently incorporated in the </w:t>
      </w:r>
      <w:r w:rsidRPr="00031E07">
        <w:rPr>
          <w:rFonts w:ascii="Bell MT" w:eastAsiaTheme="minorEastAsia" w:hAnsi="Bell MT"/>
          <w:color w:val="FF0000"/>
          <w:sz w:val="24"/>
          <w:szCs w:val="24"/>
          <w:lang w:eastAsia="en-GB"/>
        </w:rPr>
        <w:t>Morocco- Nigeria BIT (2016), which was signed on 3 December 2016 with the overarching aim of strengthening “the bonds of friendship and cooperation” between the two States. The BIT provides for the establishment of a Joint Committee to oversee the administration of the treaty, comprised of representatives of the two States (Article 4).  One of the BIT’s most innovative provisions is a requirement that before initiating arbitration proceedings, any dispute must be assessed through consultations and negotiations by the Joint Committee (Article 26(1)). Although this requirement expressly refers to disputes between the parties (being the two State signatories), the provisions that follow suggest that the requirement may apply equally to investor-State disputes. In order to initiate the consultation procedure, the home State of the investor must submit a request to the Joint Committee.  This provision aims to better facilitate amicable resolution of disputes and to reduce the likelihood of disputes proceeding to arbitration.</w:t>
      </w:r>
    </w:p>
    <w:p w14:paraId="7AB7F84A" w14:textId="77777777" w:rsidR="001C325B" w:rsidRPr="00031E07" w:rsidRDefault="001C325B" w:rsidP="00E23D81">
      <w:pPr>
        <w:spacing w:line="276" w:lineRule="auto"/>
        <w:jc w:val="both"/>
        <w:rPr>
          <w:rFonts w:ascii="Bell MT" w:hAnsi="Bell MT"/>
          <w:color w:val="FF0000"/>
          <w:sz w:val="24"/>
          <w:szCs w:val="24"/>
        </w:rPr>
      </w:pPr>
      <w:r w:rsidRPr="00031E07">
        <w:rPr>
          <w:rFonts w:ascii="Bell MT" w:eastAsiaTheme="minorEastAsia" w:hAnsi="Bell MT"/>
          <w:color w:val="FF0000"/>
          <w:sz w:val="24"/>
          <w:szCs w:val="24"/>
          <w:lang w:eastAsia="en-GB"/>
        </w:rPr>
        <w:t xml:space="preserve">Despite the emerging practice towards ISDS both continental, sub-regional and domestic level, it should be emphasised that </w:t>
      </w:r>
      <w:r w:rsidRPr="00031E07">
        <w:rPr>
          <w:rFonts w:ascii="Bell MT" w:eastAsiaTheme="minorEastAsia" w:hAnsi="Bell MT" w:cs="Times New Roman"/>
          <w:color w:val="FF0000"/>
          <w:sz w:val="24"/>
          <w:szCs w:val="24"/>
          <w:lang w:eastAsia="en-GB"/>
        </w:rPr>
        <w:t xml:space="preserve">the CCIA is not operational, the SADC Model BIT is not binding and no country has taken steps to model their BITs on it. Generally, African countries </w:t>
      </w:r>
      <w:r w:rsidRPr="00031E07">
        <w:rPr>
          <w:rFonts w:ascii="Bell MT" w:eastAsiaTheme="minorEastAsia" w:hAnsi="Bell MT" w:cs="Times New Roman"/>
          <w:color w:val="FF0000"/>
          <w:sz w:val="24"/>
          <w:szCs w:val="24"/>
          <w:lang w:eastAsia="en-GB"/>
        </w:rPr>
        <w:lastRenderedPageBreak/>
        <w:t xml:space="preserve">continue to rely on ISDS and the collapse of the SADC tribunal following the </w:t>
      </w:r>
      <w:r w:rsidRPr="00031E07">
        <w:rPr>
          <w:rFonts w:ascii="Bell MT" w:eastAsiaTheme="minorEastAsia" w:hAnsi="Bell MT" w:cs="Times New Roman"/>
          <w:i/>
          <w:color w:val="FF0000"/>
          <w:sz w:val="24"/>
          <w:szCs w:val="24"/>
          <w:lang w:eastAsia="en-GB"/>
        </w:rPr>
        <w:t xml:space="preserve">Mike Campbell Ltd &amp; others </w:t>
      </w:r>
      <w:r w:rsidRPr="00031E07">
        <w:rPr>
          <w:rFonts w:ascii="Bell MT" w:eastAsiaTheme="minorEastAsia" w:hAnsi="Bell MT" w:cs="Times New Roman"/>
          <w:color w:val="FF0000"/>
          <w:sz w:val="24"/>
          <w:szCs w:val="24"/>
          <w:lang w:eastAsia="en-GB"/>
        </w:rPr>
        <w:t xml:space="preserve">v. </w:t>
      </w:r>
      <w:r w:rsidRPr="00031E07">
        <w:rPr>
          <w:rFonts w:ascii="Bell MT" w:eastAsiaTheme="minorEastAsia" w:hAnsi="Bell MT" w:cs="Times New Roman"/>
          <w:i/>
          <w:color w:val="FF0000"/>
          <w:sz w:val="24"/>
          <w:szCs w:val="24"/>
          <w:lang w:eastAsia="en-GB"/>
        </w:rPr>
        <w:t>Zimbabwe</w:t>
      </w:r>
      <w:r w:rsidRPr="00031E07">
        <w:rPr>
          <w:rFonts w:ascii="Bell MT" w:eastAsiaTheme="minorEastAsia" w:hAnsi="Bell MT" w:cs="Times New Roman"/>
          <w:color w:val="FF0000"/>
          <w:sz w:val="24"/>
          <w:szCs w:val="24"/>
          <w:lang w:eastAsia="en-GB"/>
        </w:rPr>
        <w:t xml:space="preserve"> decision clearly undermines any effort to project dispute resolution in Africa as an alternative to international arbitration.</w:t>
      </w:r>
      <w:r w:rsidRPr="00031E07">
        <w:rPr>
          <w:rStyle w:val="FootnoteReference"/>
          <w:rFonts w:ascii="Bell MT" w:eastAsiaTheme="minorEastAsia" w:hAnsi="Bell MT" w:cs="Times New Roman"/>
          <w:color w:val="FF0000"/>
          <w:sz w:val="24"/>
          <w:szCs w:val="24"/>
          <w:lang w:eastAsia="en-GB"/>
        </w:rPr>
        <w:footnoteReference w:id="132"/>
      </w:r>
      <w:r w:rsidRPr="00031E07">
        <w:rPr>
          <w:rFonts w:ascii="Bell MT" w:eastAsiaTheme="minorEastAsia" w:hAnsi="Bell MT" w:cs="Times New Roman"/>
          <w:color w:val="FF0000"/>
          <w:sz w:val="24"/>
          <w:szCs w:val="24"/>
          <w:lang w:eastAsia="en-GB"/>
        </w:rPr>
        <w:t xml:space="preserve"> Thus, these pro-State innovations alone are unlikely to rebalance international investment agreements in favour of host states. They need to be accompanied by a dispute settlement mechanism that recognises and supports national regulatory space and local realities. </w:t>
      </w:r>
    </w:p>
    <w:p w14:paraId="7EBD24BE" w14:textId="77777777" w:rsidR="005C41CB" w:rsidRDefault="005C41CB" w:rsidP="00E23D81">
      <w:pPr>
        <w:spacing w:line="276" w:lineRule="auto"/>
        <w:jc w:val="both"/>
        <w:rPr>
          <w:rFonts w:ascii="Bell MT" w:hAnsi="Bell MT"/>
          <w:sz w:val="24"/>
          <w:szCs w:val="24"/>
        </w:rPr>
      </w:pPr>
    </w:p>
    <w:p w14:paraId="39378296" w14:textId="77777777" w:rsidR="001817C7" w:rsidRPr="001817C7" w:rsidRDefault="001817C7" w:rsidP="00E23D81">
      <w:pPr>
        <w:pStyle w:val="ListParagraph"/>
        <w:numPr>
          <w:ilvl w:val="1"/>
          <w:numId w:val="4"/>
        </w:numPr>
        <w:spacing w:line="276" w:lineRule="auto"/>
        <w:jc w:val="both"/>
        <w:rPr>
          <w:rFonts w:ascii="Bell MT" w:hAnsi="Bell MT"/>
          <w:sz w:val="24"/>
          <w:szCs w:val="24"/>
        </w:rPr>
      </w:pPr>
      <w:r w:rsidRPr="001817C7">
        <w:rPr>
          <w:rFonts w:ascii="Bell MT" w:hAnsi="Bell MT"/>
          <w:sz w:val="24"/>
          <w:szCs w:val="24"/>
        </w:rPr>
        <w:t xml:space="preserve">Proposed Pan-African Court </w:t>
      </w:r>
    </w:p>
    <w:p w14:paraId="21998E2F" w14:textId="77777777" w:rsidR="001817C7" w:rsidRPr="001817C7" w:rsidRDefault="001817C7" w:rsidP="00E23D81">
      <w:pPr>
        <w:spacing w:line="276" w:lineRule="auto"/>
        <w:jc w:val="both"/>
        <w:rPr>
          <w:rFonts w:ascii="Bell MT" w:hAnsi="Bell MT"/>
          <w:color w:val="FF0000"/>
          <w:sz w:val="24"/>
          <w:szCs w:val="24"/>
        </w:rPr>
      </w:pPr>
    </w:p>
    <w:p w14:paraId="1AF064D0" w14:textId="77777777" w:rsidR="001817C7" w:rsidRPr="001817C7" w:rsidRDefault="001817C7" w:rsidP="00E23D81">
      <w:pPr>
        <w:autoSpaceDE w:val="0"/>
        <w:autoSpaceDN w:val="0"/>
        <w:adjustRightInd w:val="0"/>
        <w:spacing w:after="0" w:line="276" w:lineRule="auto"/>
        <w:jc w:val="both"/>
        <w:rPr>
          <w:rFonts w:ascii="Bell MT" w:eastAsia="Times New Roman" w:hAnsi="Bell MT" w:cs="Times New Roman"/>
          <w:color w:val="FF0000"/>
          <w:sz w:val="24"/>
          <w:szCs w:val="24"/>
          <w:lang w:eastAsia="en-GB"/>
        </w:rPr>
      </w:pPr>
      <w:r w:rsidRPr="001817C7">
        <w:rPr>
          <w:rFonts w:ascii="Bell MT" w:eastAsia="Times New Roman" w:hAnsi="Bell MT" w:cs="Times New Roman"/>
          <w:color w:val="FF0000"/>
          <w:sz w:val="24"/>
          <w:szCs w:val="24"/>
          <w:lang w:eastAsia="en-GB"/>
        </w:rPr>
        <w:t>The proposed EU bilateral investment courts will be accompanied by an appeals facility.</w:t>
      </w:r>
      <w:r w:rsidRPr="001817C7">
        <w:rPr>
          <w:rFonts w:ascii="Bell MT" w:eastAsia="Times New Roman" w:hAnsi="Bell MT" w:cs="Times New Roman"/>
          <w:color w:val="FF0000"/>
          <w:sz w:val="24"/>
          <w:szCs w:val="24"/>
          <w:vertAlign w:val="superscript"/>
          <w:lang w:eastAsia="en-GB"/>
        </w:rPr>
        <w:footnoteReference w:id="133"/>
      </w:r>
      <w:r w:rsidRPr="001817C7">
        <w:rPr>
          <w:rFonts w:ascii="Bell MT" w:eastAsia="Times New Roman" w:hAnsi="Bell MT" w:cs="Times New Roman"/>
          <w:color w:val="FF0000"/>
          <w:sz w:val="24"/>
          <w:szCs w:val="24"/>
          <w:lang w:eastAsia="en-GB"/>
        </w:rPr>
        <w:t xml:space="preserve"> The aim is to increase consistency of awards and enhance predictability of the law, while correcting erroneous decisions of the tribunal of first instance.</w:t>
      </w:r>
      <w:r w:rsidRPr="001817C7">
        <w:rPr>
          <w:rFonts w:ascii="Bell MT" w:eastAsia="Times New Roman" w:hAnsi="Bell MT" w:cs="Times New Roman"/>
          <w:color w:val="FF0000"/>
          <w:sz w:val="24"/>
          <w:szCs w:val="24"/>
          <w:vertAlign w:val="superscript"/>
          <w:lang w:eastAsia="en-GB"/>
        </w:rPr>
        <w:footnoteReference w:id="134"/>
      </w:r>
      <w:r w:rsidRPr="001817C7">
        <w:rPr>
          <w:rFonts w:ascii="Bell MT" w:eastAsia="Times New Roman" w:hAnsi="Bell MT" w:cs="Times New Roman"/>
          <w:color w:val="FF0000"/>
          <w:sz w:val="24"/>
          <w:szCs w:val="24"/>
          <w:lang w:eastAsia="en-GB"/>
        </w:rPr>
        <w:t xml:space="preserve"> Decisions by the appeals tribunal would guide arbitrators in adjudicating future disputes, thus creating a system of precedent, but also help disputing parties in judging the strengths of their case before embarking on a costly dispute. The proposal for an appeals facility has been incorporated under Article 8(28) of the CETA Finalised Draft (2016): “an appellate tribunal is hereby established to review awards rendered under this Section.” However, this tribunal will only begin to operate once the CETA Joint Committee adopts a decision setting out its functioning and financing in more detail, pursuant to Article 8(28)(7)  of the treaty. Similarly, chapter 8, section III, Article 13(1) of the EU-Vietnam Draft FTA (2016) states that: “[a] permanent Appeal Tribunal is hereby established to hear appeals from the awards issued by the Tribunal.” It means that an award rendered by an arbitral tribunal constituted by the treaty will be subject to review by an appeals tribunal. Furthermore, five EU Member State signatories to a ‘Non-paper’ in 2016 alluded to the possibility of creating a permanent appeal mechanism.</w:t>
      </w:r>
      <w:r w:rsidRPr="001817C7">
        <w:rPr>
          <w:rFonts w:ascii="Bell MT" w:eastAsia="Times New Roman" w:hAnsi="Bell MT" w:cs="Times New Roman"/>
          <w:color w:val="FF0000"/>
          <w:sz w:val="24"/>
          <w:szCs w:val="24"/>
          <w:vertAlign w:val="superscript"/>
          <w:lang w:eastAsia="en-GB"/>
        </w:rPr>
        <w:footnoteReference w:id="135"/>
      </w:r>
      <w:r w:rsidRPr="001817C7">
        <w:rPr>
          <w:rFonts w:ascii="Bell MT" w:eastAsia="Times New Roman" w:hAnsi="Bell MT" w:cs="Times New Roman"/>
          <w:color w:val="FF0000"/>
          <w:sz w:val="24"/>
          <w:szCs w:val="24"/>
          <w:lang w:eastAsia="en-GB"/>
        </w:rPr>
        <w:t xml:space="preserve"> Thus, it appears that the idea of an appeals mechanism is growing momentum in the EU alongside the investment court system. </w:t>
      </w:r>
    </w:p>
    <w:p w14:paraId="13583AD5" w14:textId="77777777" w:rsidR="001817C7" w:rsidRPr="001817C7" w:rsidRDefault="001817C7" w:rsidP="00E23D81">
      <w:pPr>
        <w:spacing w:after="0" w:line="276" w:lineRule="auto"/>
        <w:jc w:val="both"/>
        <w:rPr>
          <w:rFonts w:ascii="Bell MT" w:hAnsi="Bell MT"/>
          <w:color w:val="FF0000"/>
          <w:sz w:val="24"/>
          <w:szCs w:val="24"/>
        </w:rPr>
      </w:pPr>
    </w:p>
    <w:p w14:paraId="3AD5CADB" w14:textId="77777777" w:rsidR="001817C7" w:rsidRPr="001817C7" w:rsidRDefault="001817C7" w:rsidP="00E23D81">
      <w:pPr>
        <w:spacing w:after="0" w:line="276" w:lineRule="auto"/>
        <w:jc w:val="both"/>
        <w:rPr>
          <w:rFonts w:ascii="Bell MT" w:hAnsi="Bell MT"/>
          <w:color w:val="FF0000"/>
          <w:sz w:val="24"/>
          <w:szCs w:val="24"/>
        </w:rPr>
      </w:pPr>
      <w:r w:rsidRPr="001817C7">
        <w:rPr>
          <w:rFonts w:ascii="Bell MT" w:hAnsi="Bell MT"/>
          <w:color w:val="FF0000"/>
          <w:sz w:val="24"/>
          <w:szCs w:val="24"/>
        </w:rPr>
        <w:t>The proposal for a Pan-African Investment Court draws inspiration from the reform action in the EU which is steering towards a court system as replacement for ISDS. While the Pan-African idea appears grander than the proposals in the EU, there is intimation that the EU is seeking to make the investment court system a feature of their investment policy going forward and eventually to replace ISDS.</w:t>
      </w:r>
      <w:r w:rsidRPr="001817C7">
        <w:rPr>
          <w:rStyle w:val="FootnoteReference"/>
          <w:rFonts w:ascii="Bell MT" w:hAnsi="Bell MT"/>
          <w:color w:val="FF0000"/>
          <w:sz w:val="24"/>
          <w:szCs w:val="24"/>
        </w:rPr>
        <w:footnoteReference w:id="136"/>
      </w:r>
      <w:r w:rsidRPr="001817C7">
        <w:rPr>
          <w:rFonts w:ascii="Bell MT" w:hAnsi="Bell MT"/>
          <w:color w:val="FF0000"/>
          <w:sz w:val="24"/>
          <w:szCs w:val="24"/>
        </w:rPr>
        <w:t xml:space="preserve"> The EU bilateral investment courts could make way for a permanent multilateral court, operating on the basis of an opt-in system and applying to multiple agreements between many trade partners. Gabrielle Kaufmann-Kohler </w:t>
      </w:r>
      <w:r w:rsidRPr="001817C7">
        <w:rPr>
          <w:rFonts w:ascii="Bell MT" w:hAnsi="Bell MT"/>
          <w:color w:val="FF0000"/>
          <w:sz w:val="24"/>
          <w:szCs w:val="24"/>
        </w:rPr>
        <w:lastRenderedPageBreak/>
        <w:t xml:space="preserve">and Michele </w:t>
      </w:r>
      <w:proofErr w:type="spellStart"/>
      <w:r w:rsidRPr="001817C7">
        <w:rPr>
          <w:rFonts w:ascii="Bell MT" w:hAnsi="Bell MT"/>
          <w:color w:val="FF0000"/>
          <w:sz w:val="24"/>
          <w:szCs w:val="24"/>
        </w:rPr>
        <w:t>Potestà</w:t>
      </w:r>
      <w:proofErr w:type="spellEnd"/>
      <w:r w:rsidRPr="001817C7">
        <w:rPr>
          <w:rFonts w:ascii="Bell MT" w:hAnsi="Bell MT"/>
          <w:color w:val="FF0000"/>
          <w:sz w:val="24"/>
          <w:szCs w:val="24"/>
        </w:rPr>
        <w:t xml:space="preserve"> advocate for an ‘opt-in’ option similar to the Mauritius Convention,</w:t>
      </w:r>
      <w:r w:rsidRPr="001817C7">
        <w:rPr>
          <w:rStyle w:val="FootnoteReference"/>
          <w:rFonts w:ascii="Bell MT" w:hAnsi="Bell MT"/>
          <w:color w:val="FF0000"/>
          <w:sz w:val="24"/>
          <w:szCs w:val="24"/>
        </w:rPr>
        <w:footnoteReference w:id="137"/>
      </w:r>
      <w:r w:rsidRPr="001817C7">
        <w:rPr>
          <w:rFonts w:ascii="Bell MT" w:hAnsi="Bell MT"/>
          <w:color w:val="FF0000"/>
          <w:sz w:val="24"/>
          <w:szCs w:val="24"/>
        </w:rPr>
        <w:t xml:space="preserve"> whereby States could express their agreement with respect to existing investment agreements. They conclude that “the Mauritius Convention could provide a useful model if States wish to pursue such broader reform initiatives at a multilateral level.”</w:t>
      </w:r>
      <w:r w:rsidRPr="001817C7">
        <w:rPr>
          <w:rStyle w:val="FootnoteReference"/>
          <w:rFonts w:ascii="Bell MT" w:hAnsi="Bell MT"/>
          <w:color w:val="FF0000"/>
          <w:sz w:val="24"/>
          <w:szCs w:val="24"/>
        </w:rPr>
        <w:footnoteReference w:id="138"/>
      </w:r>
      <w:r w:rsidRPr="001817C7">
        <w:rPr>
          <w:rFonts w:ascii="Bell MT" w:hAnsi="Bell MT"/>
          <w:color w:val="FF0000"/>
          <w:sz w:val="24"/>
          <w:szCs w:val="24"/>
        </w:rPr>
        <w:t xml:space="preserve"> Thus, the EU could create a multilateral court, by extending the bilateral position for example in TTIP and CETA, either as a self-standing international body or part of an existing multilateral organisation such as WTO. This is the blueprint for the Pan-African Investment Court. </w:t>
      </w:r>
    </w:p>
    <w:p w14:paraId="36D4065B" w14:textId="77777777" w:rsidR="001817C7" w:rsidRPr="001817C7" w:rsidRDefault="001817C7" w:rsidP="00E23D81">
      <w:pPr>
        <w:spacing w:after="0" w:line="276" w:lineRule="auto"/>
        <w:jc w:val="both"/>
        <w:rPr>
          <w:rFonts w:ascii="Bell MT" w:hAnsi="Bell MT" w:cs="Times New Roman"/>
          <w:color w:val="FF0000"/>
          <w:sz w:val="24"/>
          <w:szCs w:val="24"/>
          <w:lang w:eastAsia="en-GB"/>
        </w:rPr>
      </w:pPr>
    </w:p>
    <w:p w14:paraId="7F049FE1" w14:textId="77777777" w:rsidR="001817C7" w:rsidRPr="001817C7" w:rsidRDefault="001817C7" w:rsidP="00E23D81">
      <w:pPr>
        <w:autoSpaceDE w:val="0"/>
        <w:autoSpaceDN w:val="0"/>
        <w:adjustRightInd w:val="0"/>
        <w:spacing w:line="276" w:lineRule="auto"/>
        <w:jc w:val="both"/>
        <w:rPr>
          <w:rFonts w:ascii="Bell MT" w:eastAsia="Times New Roman" w:hAnsi="Bell MT" w:cs="Times New Roman"/>
          <w:color w:val="FF0000"/>
          <w:sz w:val="24"/>
          <w:szCs w:val="24"/>
          <w:lang w:eastAsia="en-GB"/>
        </w:rPr>
      </w:pPr>
      <w:r w:rsidRPr="001817C7">
        <w:rPr>
          <w:rFonts w:ascii="Bell MT" w:eastAsia="Times New Roman" w:hAnsi="Bell MT" w:cs="Times New Roman"/>
          <w:color w:val="FF0000"/>
          <w:sz w:val="24"/>
          <w:szCs w:val="24"/>
          <w:lang w:eastAsia="en-GB"/>
        </w:rPr>
        <w:t xml:space="preserve">The Pan-African Investment Court would be dedicated to intra-African investment agreements and investment disputes. A court structure has been chosen because existing arbitration-based institutions have been deemed unsuitable to handle disputes involving public policy matters. Academics </w:t>
      </w:r>
      <w:r w:rsidRPr="001817C7">
        <w:rPr>
          <w:rFonts w:ascii="Bell MT" w:hAnsi="Bell MT"/>
          <w:color w:val="FF0000"/>
          <w:sz w:val="24"/>
          <w:szCs w:val="24"/>
        </w:rPr>
        <w:t>Mann and von Moltke agree that existing dispute settlement institutions “were not designed to address complex issues of public policy that now routinely come into play in investor-state disputes.”</w:t>
      </w:r>
      <w:r w:rsidRPr="001817C7">
        <w:rPr>
          <w:rStyle w:val="FootnoteReference"/>
          <w:rFonts w:ascii="Bell MT" w:hAnsi="Bell MT"/>
          <w:color w:val="FF0000"/>
          <w:sz w:val="24"/>
          <w:szCs w:val="24"/>
        </w:rPr>
        <w:footnoteReference w:id="139"/>
      </w:r>
      <w:r w:rsidRPr="001817C7">
        <w:rPr>
          <w:rFonts w:ascii="Bell MT" w:hAnsi="Bell MT"/>
          <w:color w:val="FF0000"/>
          <w:sz w:val="24"/>
          <w:szCs w:val="24"/>
        </w:rPr>
        <w:t xml:space="preserve"> </w:t>
      </w:r>
      <w:r w:rsidRPr="001817C7">
        <w:rPr>
          <w:rFonts w:ascii="Bell MT" w:eastAsia="Times New Roman" w:hAnsi="Bell MT" w:cs="Times New Roman"/>
          <w:color w:val="FF0000"/>
          <w:sz w:val="24"/>
          <w:szCs w:val="24"/>
          <w:lang w:eastAsia="en-GB"/>
        </w:rPr>
        <w:t>Even the WTO has been criticised as a ‘rich man’s club’, for allegedly prioritising the interests of developed countries thereby tainting its decision-making processes.</w:t>
      </w:r>
      <w:r w:rsidRPr="001817C7">
        <w:rPr>
          <w:rStyle w:val="FootnoteReference"/>
          <w:rFonts w:ascii="Bell MT" w:eastAsia="Times New Roman" w:hAnsi="Bell MT" w:cs="Times New Roman"/>
          <w:color w:val="FF0000"/>
          <w:sz w:val="24"/>
          <w:szCs w:val="24"/>
          <w:lang w:eastAsia="en-GB"/>
        </w:rPr>
        <w:footnoteReference w:id="140"/>
      </w:r>
      <w:r w:rsidRPr="001817C7">
        <w:rPr>
          <w:rFonts w:ascii="Bell MT" w:eastAsia="Times New Roman" w:hAnsi="Bell MT" w:cs="Times New Roman"/>
          <w:color w:val="FF0000"/>
          <w:sz w:val="24"/>
          <w:szCs w:val="24"/>
          <w:lang w:eastAsia="en-GB"/>
        </w:rPr>
        <w:t xml:space="preserve"> The WTO is also a body designed to promote free trade thus making its ethos inconsistent with the objectives of a body that is required to adjudicate over public and private interests, taking into account societal values such as human rights.  As suggested by Subedi and Butler, a “clean slate” is necessary, if a continental dispute settlement body is to survive.</w:t>
      </w:r>
      <w:r w:rsidRPr="001817C7">
        <w:rPr>
          <w:rStyle w:val="FootnoteReference"/>
          <w:rFonts w:ascii="Bell MT" w:eastAsia="Times New Roman" w:hAnsi="Bell MT" w:cs="Times New Roman"/>
          <w:color w:val="FF0000"/>
          <w:sz w:val="24"/>
          <w:szCs w:val="24"/>
          <w:lang w:eastAsia="en-GB"/>
        </w:rPr>
        <w:footnoteReference w:id="141"/>
      </w:r>
      <w:r w:rsidRPr="001817C7">
        <w:rPr>
          <w:rFonts w:ascii="Bell MT" w:eastAsia="Times New Roman" w:hAnsi="Bell MT" w:cs="Times New Roman"/>
          <w:color w:val="FF0000"/>
          <w:sz w:val="24"/>
          <w:szCs w:val="24"/>
          <w:lang w:eastAsia="en-GB"/>
        </w:rPr>
        <w:t xml:space="preserve"> Operating under an independent organisation would allow the Pan-African Investment Court to balance the competing private and public interests, without being held back by the political agendas of the organisation. </w:t>
      </w:r>
    </w:p>
    <w:p w14:paraId="6F767E3C" w14:textId="77777777" w:rsidR="001817C7" w:rsidRPr="001817C7" w:rsidRDefault="001817C7" w:rsidP="00E23D81">
      <w:pPr>
        <w:spacing w:after="0" w:line="276" w:lineRule="auto"/>
        <w:jc w:val="both"/>
        <w:rPr>
          <w:rFonts w:ascii="Bell MT" w:hAnsi="Bell MT"/>
          <w:color w:val="FF0000"/>
          <w:sz w:val="24"/>
          <w:szCs w:val="24"/>
        </w:rPr>
      </w:pPr>
      <w:r w:rsidRPr="001817C7">
        <w:rPr>
          <w:rFonts w:ascii="Bell MT" w:hAnsi="Bell MT"/>
          <w:color w:val="FF0000"/>
          <w:sz w:val="24"/>
          <w:szCs w:val="24"/>
        </w:rPr>
        <w:t>The proposal for a Pan-African Investment draws inspiration not only from the growing multilateralism,  the investment court system proposed in the EU reform of international investment law and the PAIC, but also from the recommendation of the UN Independent Expert on the Promotion of a Democratic and Equitable International Order, Alfred-Maurice de Zayas, in the de Zayas Report.</w:t>
      </w:r>
      <w:r w:rsidRPr="001817C7">
        <w:rPr>
          <w:rStyle w:val="FootnoteReference"/>
          <w:rFonts w:ascii="Bell MT" w:hAnsi="Bell MT"/>
          <w:color w:val="FF0000"/>
          <w:sz w:val="24"/>
          <w:szCs w:val="24"/>
        </w:rPr>
        <w:footnoteReference w:id="142"/>
      </w:r>
      <w:r w:rsidRPr="001817C7">
        <w:rPr>
          <w:rFonts w:ascii="Bell MT" w:hAnsi="Bell MT"/>
          <w:color w:val="FF0000"/>
          <w:sz w:val="24"/>
          <w:szCs w:val="24"/>
        </w:rPr>
        <w:t xml:space="preserve">  The report argues that such investor-state arbitral awards are incompatible with public international law norms and invalid as </w:t>
      </w:r>
      <w:r w:rsidRPr="001817C7">
        <w:rPr>
          <w:rFonts w:ascii="Bell MT" w:hAnsi="Bell MT"/>
          <w:i/>
          <w:color w:val="FF0000"/>
          <w:sz w:val="24"/>
          <w:szCs w:val="24"/>
        </w:rPr>
        <w:t xml:space="preserve">contra </w:t>
      </w:r>
      <w:proofErr w:type="spellStart"/>
      <w:r w:rsidRPr="001817C7">
        <w:rPr>
          <w:rFonts w:ascii="Bell MT" w:hAnsi="Bell MT"/>
          <w:i/>
          <w:color w:val="FF0000"/>
          <w:sz w:val="24"/>
          <w:szCs w:val="24"/>
        </w:rPr>
        <w:t>bonos</w:t>
      </w:r>
      <w:proofErr w:type="spellEnd"/>
      <w:r w:rsidRPr="001817C7">
        <w:rPr>
          <w:rFonts w:ascii="Bell MT" w:hAnsi="Bell MT"/>
          <w:i/>
          <w:color w:val="FF0000"/>
          <w:sz w:val="24"/>
          <w:szCs w:val="24"/>
        </w:rPr>
        <w:t xml:space="preserve"> mores</w:t>
      </w:r>
      <w:r w:rsidRPr="001817C7">
        <w:rPr>
          <w:rFonts w:ascii="Bell MT" w:hAnsi="Bell MT"/>
          <w:color w:val="FF0000"/>
          <w:sz w:val="24"/>
          <w:szCs w:val="24"/>
        </w:rPr>
        <w:t>,</w:t>
      </w:r>
      <w:r w:rsidRPr="001817C7">
        <w:rPr>
          <w:rFonts w:ascii="Bell MT" w:hAnsi="Bell MT"/>
          <w:color w:val="FF0000"/>
          <w:sz w:val="24"/>
          <w:szCs w:val="24"/>
          <w:vertAlign w:val="superscript"/>
        </w:rPr>
        <w:footnoteReference w:id="143"/>
      </w:r>
      <w:r w:rsidRPr="001817C7">
        <w:rPr>
          <w:rFonts w:ascii="Bell MT" w:hAnsi="Bell MT"/>
          <w:color w:val="FF0000"/>
          <w:sz w:val="24"/>
          <w:szCs w:val="24"/>
        </w:rPr>
        <w:t xml:space="preserve"> as well as constituting a “corporate move against the fundamentals of state sovereignty.”</w:t>
      </w:r>
      <w:r w:rsidRPr="001817C7">
        <w:rPr>
          <w:rFonts w:ascii="Bell MT" w:hAnsi="Bell MT"/>
          <w:color w:val="FF0000"/>
          <w:sz w:val="24"/>
          <w:szCs w:val="24"/>
          <w:vertAlign w:val="superscript"/>
        </w:rPr>
        <w:footnoteReference w:id="144"/>
      </w:r>
      <w:r w:rsidRPr="001817C7">
        <w:rPr>
          <w:rFonts w:ascii="Bell MT" w:hAnsi="Bell MT"/>
          <w:color w:val="FF0000"/>
          <w:sz w:val="24"/>
          <w:szCs w:val="24"/>
        </w:rPr>
        <w:t xml:space="preserve"> The report added that tribunals are attempting to “create a new legal order beyond the Charter of the United Nations” or a “</w:t>
      </w:r>
      <w:proofErr w:type="spellStart"/>
      <w:r w:rsidRPr="001817C7">
        <w:rPr>
          <w:rFonts w:ascii="Bell MT" w:hAnsi="Bell MT"/>
          <w:i/>
          <w:color w:val="FF0000"/>
          <w:sz w:val="24"/>
          <w:szCs w:val="24"/>
        </w:rPr>
        <w:t>legibus</w:t>
      </w:r>
      <w:proofErr w:type="spellEnd"/>
      <w:r w:rsidRPr="001817C7">
        <w:rPr>
          <w:rFonts w:ascii="Bell MT" w:hAnsi="Bell MT"/>
          <w:i/>
          <w:color w:val="FF0000"/>
          <w:sz w:val="24"/>
          <w:szCs w:val="24"/>
        </w:rPr>
        <w:t xml:space="preserve"> </w:t>
      </w:r>
      <w:proofErr w:type="spellStart"/>
      <w:r w:rsidRPr="001817C7">
        <w:rPr>
          <w:rFonts w:ascii="Bell MT" w:hAnsi="Bell MT"/>
          <w:i/>
          <w:color w:val="FF0000"/>
          <w:sz w:val="24"/>
          <w:szCs w:val="24"/>
        </w:rPr>
        <w:t>solutus</w:t>
      </w:r>
      <w:proofErr w:type="spellEnd"/>
      <w:r w:rsidRPr="001817C7">
        <w:rPr>
          <w:rFonts w:ascii="Bell MT" w:hAnsi="Bell MT"/>
          <w:color w:val="FF0000"/>
          <w:sz w:val="24"/>
          <w:szCs w:val="24"/>
        </w:rPr>
        <w:t xml:space="preserve"> . . . exempt from the rule of </w:t>
      </w:r>
      <w:r w:rsidRPr="001817C7">
        <w:rPr>
          <w:rFonts w:ascii="Bell MT" w:hAnsi="Bell MT"/>
          <w:color w:val="FF0000"/>
          <w:sz w:val="24"/>
          <w:szCs w:val="24"/>
        </w:rPr>
        <w:lastRenderedPageBreak/>
        <w:t>law, general principles of law and basic codes of conduct.”</w:t>
      </w:r>
      <w:r w:rsidRPr="001817C7">
        <w:rPr>
          <w:rFonts w:ascii="Bell MT" w:hAnsi="Bell MT"/>
          <w:color w:val="FF0000"/>
          <w:sz w:val="24"/>
          <w:szCs w:val="24"/>
          <w:vertAlign w:val="superscript"/>
        </w:rPr>
        <w:footnoteReference w:id="145"/>
      </w:r>
      <w:r w:rsidRPr="001817C7">
        <w:rPr>
          <w:rFonts w:ascii="Bell MT" w:hAnsi="Bell MT"/>
          <w:color w:val="FF0000"/>
          <w:sz w:val="24"/>
          <w:szCs w:val="24"/>
        </w:rPr>
        <w:t xml:space="preserve"> The de Zayas Report did not only contain literature criticising ISDS from a wide spectrum of civil society groups including NGOs, academic and practitioners,</w:t>
      </w:r>
      <w:r w:rsidRPr="001817C7">
        <w:rPr>
          <w:rFonts w:ascii="Bell MT" w:hAnsi="Bell MT"/>
          <w:color w:val="FF0000"/>
          <w:sz w:val="24"/>
          <w:szCs w:val="24"/>
          <w:vertAlign w:val="superscript"/>
        </w:rPr>
        <w:footnoteReference w:id="146"/>
      </w:r>
      <w:r w:rsidRPr="001817C7">
        <w:rPr>
          <w:rFonts w:ascii="Bell MT" w:hAnsi="Bell MT"/>
          <w:color w:val="FF0000"/>
          <w:sz w:val="24"/>
          <w:szCs w:val="24"/>
        </w:rPr>
        <w:t xml:space="preserve"> it referred to it as “anti-democratic”</w:t>
      </w:r>
      <w:r w:rsidRPr="001817C7">
        <w:rPr>
          <w:rFonts w:ascii="Bell MT" w:hAnsi="Bell MT"/>
          <w:color w:val="FF0000"/>
          <w:sz w:val="24"/>
          <w:szCs w:val="24"/>
          <w:vertAlign w:val="superscript"/>
        </w:rPr>
        <w:footnoteReference w:id="147"/>
      </w:r>
      <w:r w:rsidRPr="001817C7">
        <w:rPr>
          <w:rFonts w:ascii="Bell MT" w:hAnsi="Bell MT"/>
          <w:color w:val="FF0000"/>
          <w:sz w:val="24"/>
          <w:szCs w:val="24"/>
        </w:rPr>
        <w:t xml:space="preserve"> and urged state victims of “</w:t>
      </w:r>
      <w:r w:rsidRPr="001817C7">
        <w:rPr>
          <w:rFonts w:ascii="Bell MT" w:hAnsi="Bell MT"/>
          <w:i/>
          <w:color w:val="FF0000"/>
          <w:sz w:val="24"/>
          <w:szCs w:val="24"/>
        </w:rPr>
        <w:t xml:space="preserve">contra </w:t>
      </w:r>
      <w:proofErr w:type="spellStart"/>
      <w:r w:rsidRPr="001817C7">
        <w:rPr>
          <w:rFonts w:ascii="Bell MT" w:hAnsi="Bell MT"/>
          <w:i/>
          <w:color w:val="FF0000"/>
          <w:sz w:val="24"/>
          <w:szCs w:val="24"/>
        </w:rPr>
        <w:t>bonos</w:t>
      </w:r>
      <w:proofErr w:type="spellEnd"/>
      <w:r w:rsidRPr="001817C7">
        <w:rPr>
          <w:rFonts w:ascii="Bell MT" w:hAnsi="Bell MT"/>
          <w:i/>
          <w:color w:val="FF0000"/>
          <w:sz w:val="24"/>
          <w:szCs w:val="24"/>
        </w:rPr>
        <w:t xml:space="preserve"> mores</w:t>
      </w:r>
      <w:r w:rsidRPr="001817C7">
        <w:rPr>
          <w:rFonts w:ascii="Bell MT" w:hAnsi="Bell MT"/>
          <w:color w:val="FF0000"/>
          <w:sz w:val="24"/>
          <w:szCs w:val="24"/>
        </w:rPr>
        <w:t xml:space="preserve"> investor-state dispute settlement… [to]. . . jointly refuse implementation” of the agreements and should consider replacing ISDS with national courts or a designated international investment court.</w:t>
      </w:r>
      <w:r w:rsidRPr="001817C7">
        <w:rPr>
          <w:rFonts w:ascii="Bell MT" w:hAnsi="Bell MT"/>
          <w:color w:val="FF0000"/>
          <w:sz w:val="24"/>
          <w:szCs w:val="24"/>
          <w:vertAlign w:val="superscript"/>
        </w:rPr>
        <w:footnoteReference w:id="148"/>
      </w:r>
      <w:r w:rsidRPr="001817C7">
        <w:rPr>
          <w:rFonts w:ascii="Bell MT" w:hAnsi="Bell MT"/>
          <w:color w:val="FF0000"/>
          <w:sz w:val="24"/>
          <w:szCs w:val="24"/>
        </w:rPr>
        <w:t xml:space="preserve"> </w:t>
      </w:r>
    </w:p>
    <w:p w14:paraId="2FD5BB9C" w14:textId="77777777" w:rsidR="001817C7" w:rsidRPr="001817C7" w:rsidRDefault="001817C7" w:rsidP="00E23D81">
      <w:pPr>
        <w:spacing w:after="0" w:line="276" w:lineRule="auto"/>
        <w:jc w:val="both"/>
        <w:rPr>
          <w:rFonts w:ascii="Bell MT" w:hAnsi="Bell MT" w:cs="Times New Roman"/>
          <w:color w:val="FF0000"/>
          <w:sz w:val="24"/>
          <w:szCs w:val="24"/>
          <w:lang w:eastAsia="en-GB"/>
        </w:rPr>
      </w:pPr>
    </w:p>
    <w:p w14:paraId="358B143B" w14:textId="77777777" w:rsidR="001817C7" w:rsidRPr="001817C7" w:rsidRDefault="001817C7" w:rsidP="00E23D81">
      <w:pPr>
        <w:spacing w:line="276" w:lineRule="auto"/>
        <w:jc w:val="both"/>
        <w:rPr>
          <w:rFonts w:ascii="Bell MT" w:hAnsi="Bell MT"/>
          <w:color w:val="FF0000"/>
          <w:sz w:val="24"/>
          <w:szCs w:val="24"/>
        </w:rPr>
      </w:pPr>
      <w:r w:rsidRPr="001817C7">
        <w:rPr>
          <w:rFonts w:ascii="Bell MT" w:eastAsia="Times New Roman" w:hAnsi="Bell MT" w:cs="Times New Roman"/>
          <w:color w:val="FF0000"/>
          <w:sz w:val="24"/>
          <w:szCs w:val="24"/>
          <w:lang w:eastAsia="en-GB"/>
        </w:rPr>
        <w:t xml:space="preserve">A Pan-African Investment Court promises three key benefits. First and foremost, it would help to avoid access to ISDS, at least in relation to intra-African BITs or for those States that have opted in. Second, by administering public international law, it would allow States to regulate important social issues such as the environment and human rights without tarnishing their reputation as investor friendly nations. Under the current regime, in order to retain their investor friendly status, States have had to limit their regulatory space, thus inducing investors to invest on the assumption that their investment would be safer. Given the benefit investment can bring to a country such as jobs and infrastructure, the investor friendly status has somewhat placed developing countries in a stronger bargaining position. Removing this status could help to promote FDI in countries that have historically not yielded high investor attention due to their inability to compromise on national regulatory space. Thus, the proposed Pan-African Investment Court and its accompanying institutions could lead to a more inclusive and fairer system of distributing global wealth and investment. Third and lastly, a Pan-African Investment Court could help to increase predictability and consistency in intra-African investment disputes. As exemplified by the </w:t>
      </w:r>
      <w:r w:rsidRPr="001817C7">
        <w:rPr>
          <w:rFonts w:ascii="Bell MT" w:eastAsia="Times New Roman" w:hAnsi="Bell MT" w:cs="Times New Roman"/>
          <w:i/>
          <w:color w:val="FF0000"/>
          <w:sz w:val="24"/>
          <w:szCs w:val="24"/>
          <w:lang w:eastAsia="en-GB"/>
        </w:rPr>
        <w:t>Lauder</w:t>
      </w:r>
      <w:r w:rsidRPr="001817C7">
        <w:rPr>
          <w:rFonts w:ascii="Bell MT" w:eastAsia="Times New Roman" w:hAnsi="Bell MT" w:cs="Times New Roman"/>
          <w:color w:val="FF0000"/>
          <w:sz w:val="24"/>
          <w:szCs w:val="24"/>
          <w:lang w:eastAsia="en-GB"/>
        </w:rPr>
        <w:t xml:space="preserve"> arbitrations</w:t>
      </w:r>
      <w:r w:rsidRPr="001817C7">
        <w:rPr>
          <w:rFonts w:ascii="Bell MT" w:hAnsi="Bell MT"/>
          <w:color w:val="FF0000"/>
          <w:sz w:val="24"/>
          <w:szCs w:val="24"/>
        </w:rPr>
        <w:t xml:space="preserve"> where two investment tribunals reached different decisions over identical facts, legal norms and parties,</w:t>
      </w:r>
      <w:r w:rsidRPr="001817C7">
        <w:rPr>
          <w:rStyle w:val="FootnoteReference"/>
          <w:rFonts w:ascii="Bell MT" w:hAnsi="Bell MT"/>
          <w:color w:val="FF0000"/>
          <w:sz w:val="24"/>
          <w:szCs w:val="24"/>
        </w:rPr>
        <w:footnoteReference w:id="149"/>
      </w:r>
      <w:r w:rsidRPr="001817C7">
        <w:rPr>
          <w:rFonts w:ascii="Bell MT" w:hAnsi="Bell MT" w:cs="Times New Roman"/>
          <w:color w:val="FF0000"/>
          <w:sz w:val="24"/>
          <w:szCs w:val="24"/>
          <w:lang w:eastAsia="en-GB"/>
        </w:rPr>
        <w:t xml:space="preserve"> </w:t>
      </w:r>
      <w:r w:rsidRPr="001817C7">
        <w:rPr>
          <w:rFonts w:ascii="Bell MT" w:eastAsia="Times New Roman" w:hAnsi="Bell MT" w:cs="Times New Roman"/>
          <w:color w:val="FF0000"/>
          <w:sz w:val="24"/>
          <w:szCs w:val="24"/>
          <w:lang w:eastAsia="en-GB"/>
        </w:rPr>
        <w:t>consistency is a long-standing problem in international investment law.</w:t>
      </w:r>
      <w:r w:rsidRPr="001817C7">
        <w:rPr>
          <w:rStyle w:val="FootnoteReference"/>
          <w:rFonts w:ascii="Bell MT" w:eastAsia="Times New Roman" w:hAnsi="Bell MT" w:cs="Times New Roman"/>
          <w:color w:val="FF0000"/>
          <w:sz w:val="24"/>
          <w:szCs w:val="24"/>
          <w:lang w:eastAsia="en-GB"/>
        </w:rPr>
        <w:footnoteReference w:id="150"/>
      </w:r>
      <w:r w:rsidRPr="001817C7">
        <w:rPr>
          <w:rFonts w:ascii="Bell MT" w:eastAsia="Times New Roman" w:hAnsi="Bell MT" w:cs="Times New Roman"/>
          <w:color w:val="FF0000"/>
          <w:sz w:val="24"/>
          <w:szCs w:val="24"/>
          <w:lang w:eastAsia="en-GB"/>
        </w:rPr>
        <w:t xml:space="preserve"> Having a majority of investment disputes handled under one institution could lead to consistency in the interpretation of   </w:t>
      </w:r>
      <w:r w:rsidRPr="001817C7">
        <w:rPr>
          <w:rFonts w:ascii="Bell MT" w:hAnsi="Bell MT"/>
          <w:i/>
          <w:color w:val="FF0000"/>
          <w:sz w:val="24"/>
          <w:szCs w:val="24"/>
        </w:rPr>
        <w:t xml:space="preserve">lex </w:t>
      </w:r>
      <w:proofErr w:type="spellStart"/>
      <w:r w:rsidRPr="001817C7">
        <w:rPr>
          <w:rFonts w:ascii="Bell MT" w:hAnsi="Bell MT"/>
          <w:i/>
          <w:color w:val="FF0000"/>
          <w:sz w:val="24"/>
          <w:szCs w:val="24"/>
        </w:rPr>
        <w:t>specialis</w:t>
      </w:r>
      <w:proofErr w:type="spellEnd"/>
      <w:r w:rsidRPr="001817C7">
        <w:rPr>
          <w:rFonts w:ascii="Bell MT" w:hAnsi="Bell MT"/>
          <w:color w:val="FF0000"/>
          <w:sz w:val="24"/>
          <w:szCs w:val="24"/>
        </w:rPr>
        <w:t xml:space="preserve"> of international investment law, including the outcome of disputes. A Pan-African Investment Court with an appellate mechanism would over time build up a body of jurisprudence thereby creating consistency and predictability in decision making.  </w:t>
      </w:r>
    </w:p>
    <w:p w14:paraId="3393FCFE" w14:textId="77777777" w:rsidR="001817C7" w:rsidRPr="00031E07" w:rsidRDefault="001817C7" w:rsidP="00E23D81">
      <w:pPr>
        <w:pStyle w:val="ListParagraph"/>
        <w:numPr>
          <w:ilvl w:val="1"/>
          <w:numId w:val="6"/>
        </w:numPr>
        <w:spacing w:after="200" w:line="276" w:lineRule="auto"/>
        <w:jc w:val="both"/>
        <w:rPr>
          <w:rFonts w:ascii="Bell MT" w:eastAsiaTheme="minorEastAsia" w:hAnsi="Bell MT"/>
          <w:color w:val="FF0000"/>
          <w:sz w:val="24"/>
          <w:szCs w:val="24"/>
          <w:lang w:eastAsia="en-GB"/>
        </w:rPr>
      </w:pPr>
      <w:r w:rsidRPr="00031E07">
        <w:rPr>
          <w:rFonts w:ascii="Bell MT" w:eastAsiaTheme="minorEastAsia" w:hAnsi="Bell MT"/>
          <w:color w:val="FF0000"/>
          <w:sz w:val="24"/>
          <w:szCs w:val="24"/>
          <w:lang w:eastAsia="en-GB"/>
        </w:rPr>
        <w:t>Economic integration and multilateralism in Africa</w:t>
      </w:r>
    </w:p>
    <w:p w14:paraId="4F5D62C8" w14:textId="77777777" w:rsidR="001817C7" w:rsidRPr="00031E07" w:rsidRDefault="001817C7" w:rsidP="00E23D81">
      <w:pPr>
        <w:autoSpaceDE w:val="0"/>
        <w:autoSpaceDN w:val="0"/>
        <w:adjustRightInd w:val="0"/>
        <w:spacing w:line="276" w:lineRule="auto"/>
        <w:jc w:val="both"/>
        <w:rPr>
          <w:rFonts w:ascii="Bell MT" w:hAnsi="Bell MT"/>
          <w:color w:val="FF0000"/>
          <w:sz w:val="24"/>
          <w:szCs w:val="24"/>
        </w:rPr>
      </w:pPr>
      <w:r w:rsidRPr="00031E07">
        <w:rPr>
          <w:rFonts w:ascii="Bell MT" w:hAnsi="Bell MT"/>
          <w:color w:val="FF0000"/>
          <w:sz w:val="24"/>
          <w:szCs w:val="24"/>
        </w:rPr>
        <w:t>The continued defragmentation of IIAs and harmonisation of investment policy in Africa and around the world provides impetus and justification for a Pan-Investment Court.</w:t>
      </w:r>
      <w:r w:rsidRPr="00031E07">
        <w:rPr>
          <w:rFonts w:ascii="Bell MT" w:hAnsi="Bell MT"/>
          <w:color w:val="FF0000"/>
          <w:sz w:val="24"/>
          <w:szCs w:val="24"/>
          <w:vertAlign w:val="superscript"/>
        </w:rPr>
        <w:footnoteReference w:id="151"/>
      </w:r>
      <w:r w:rsidRPr="00031E07">
        <w:rPr>
          <w:rFonts w:ascii="Bell MT" w:hAnsi="Bell MT"/>
          <w:color w:val="FF0000"/>
          <w:sz w:val="24"/>
          <w:szCs w:val="24"/>
        </w:rPr>
        <w:t xml:space="preserve"> It is on this basis that the UNCTAD identified “a compelling need for a multilateral mechanism that deals with today’s investment policy-making challenges”</w:t>
      </w:r>
      <w:r w:rsidRPr="00031E07">
        <w:rPr>
          <w:rStyle w:val="FootnoteReference"/>
          <w:rFonts w:ascii="Bell MT" w:hAnsi="Bell MT"/>
          <w:color w:val="FF0000"/>
          <w:sz w:val="24"/>
          <w:szCs w:val="24"/>
        </w:rPr>
        <w:footnoteReference w:id="152"/>
      </w:r>
      <w:r w:rsidRPr="00031E07">
        <w:rPr>
          <w:rFonts w:ascii="Bell MT" w:hAnsi="Bell MT"/>
          <w:color w:val="FF0000"/>
          <w:sz w:val="24"/>
          <w:szCs w:val="24"/>
        </w:rPr>
        <w:t xml:space="preserve"> which is being achieved through </w:t>
      </w:r>
      <w:r w:rsidRPr="00031E07">
        <w:rPr>
          <w:rFonts w:ascii="Bell MT" w:hAnsi="Bell MT"/>
          <w:color w:val="FF0000"/>
          <w:sz w:val="24"/>
          <w:szCs w:val="24"/>
        </w:rPr>
        <w:lastRenderedPageBreak/>
        <w:t>consensus around international investment rules. According to the UNCTAD, these drivers are both at national and international level: “[a]t the national level, [‘new generation’ investment policies] include integrating investment policy into development strategy, incorporating sustainable development objectives in investment policy and ensuring investment policy relevance and effectiveness. At the international level, there is a need to strengthen the development dimension of [IIAs], balance the rights and obligations of States and investors, and manage the systemic complexity of the IIA regime. New generation’ investment policies further incorporate innovative investment promotion and facilitation mechanisms.”</w:t>
      </w:r>
      <w:r w:rsidRPr="00031E07">
        <w:rPr>
          <w:rFonts w:ascii="Bell MT" w:hAnsi="Bell MT"/>
          <w:color w:val="FF0000"/>
          <w:sz w:val="24"/>
          <w:szCs w:val="24"/>
          <w:vertAlign w:val="superscript"/>
        </w:rPr>
        <w:footnoteReference w:id="153"/>
      </w:r>
      <w:r w:rsidRPr="00031E07">
        <w:rPr>
          <w:rFonts w:ascii="Bell MT" w:eastAsia="Calibri" w:hAnsi="Bell MT"/>
          <w:color w:val="FF0000"/>
          <w:sz w:val="24"/>
          <w:szCs w:val="24"/>
        </w:rPr>
        <w:t xml:space="preserve"> The UNCTAD adds that </w:t>
      </w:r>
      <w:r w:rsidRPr="00031E07">
        <w:rPr>
          <w:rFonts w:ascii="Bell MT" w:hAnsi="Bell MT"/>
          <w:color w:val="FF0000"/>
          <w:sz w:val="24"/>
          <w:szCs w:val="24"/>
        </w:rPr>
        <w:t>“[t]he overarching objective of investment policymaking is to promote investment for inclusive growth and sustainable development” in light of crises over food security and the environment.</w:t>
      </w:r>
      <w:r w:rsidRPr="00031E07">
        <w:rPr>
          <w:rFonts w:ascii="Bell MT" w:hAnsi="Bell MT"/>
          <w:color w:val="FF0000"/>
          <w:sz w:val="24"/>
          <w:szCs w:val="24"/>
          <w:vertAlign w:val="superscript"/>
        </w:rPr>
        <w:footnoteReference w:id="154"/>
      </w:r>
      <w:r w:rsidRPr="00031E07">
        <w:rPr>
          <w:rFonts w:ascii="Bell MT" w:hAnsi="Bell MT"/>
          <w:color w:val="FF0000"/>
          <w:sz w:val="24"/>
          <w:szCs w:val="24"/>
        </w:rPr>
        <w:t xml:space="preserve"> This requires increased international cooperation and coherence in international investment policy, which is also starting to emerge.</w:t>
      </w:r>
      <w:r w:rsidRPr="00031E07">
        <w:rPr>
          <w:rFonts w:ascii="Bell MT" w:hAnsi="Bell MT"/>
          <w:color w:val="FF0000"/>
          <w:sz w:val="24"/>
          <w:szCs w:val="24"/>
          <w:vertAlign w:val="superscript"/>
        </w:rPr>
        <w:footnoteReference w:id="155"/>
      </w:r>
      <w:r w:rsidRPr="00031E07">
        <w:rPr>
          <w:rFonts w:ascii="Bell MT" w:hAnsi="Bell MT"/>
          <w:color w:val="FF0000"/>
          <w:sz w:val="24"/>
          <w:szCs w:val="24"/>
        </w:rPr>
        <w:t xml:space="preserve"> For example, as part of its G20 Presidency,</w:t>
      </w:r>
      <w:r w:rsidRPr="00031E07">
        <w:rPr>
          <w:rFonts w:ascii="Bell MT" w:hAnsi="Bell MT"/>
          <w:color w:val="FF0000"/>
          <w:sz w:val="24"/>
          <w:szCs w:val="24"/>
          <w:vertAlign w:val="superscript"/>
        </w:rPr>
        <w:footnoteReference w:id="156"/>
      </w:r>
      <w:r w:rsidRPr="00031E07">
        <w:rPr>
          <w:rFonts w:ascii="Bell MT" w:hAnsi="Bell MT"/>
          <w:color w:val="FF0000"/>
          <w:sz w:val="24"/>
          <w:szCs w:val="24"/>
        </w:rPr>
        <w:t xml:space="preserve"> China proposed in 2015 a voluntary multilateral investment agreement, which signifies China’s new direction towards investment,</w:t>
      </w:r>
      <w:r w:rsidRPr="00031E07">
        <w:rPr>
          <w:rFonts w:ascii="Bell MT" w:hAnsi="Bell MT"/>
          <w:color w:val="FF0000"/>
          <w:sz w:val="24"/>
          <w:szCs w:val="24"/>
          <w:vertAlign w:val="superscript"/>
        </w:rPr>
        <w:footnoteReference w:id="157"/>
      </w:r>
      <w:r w:rsidRPr="00031E07">
        <w:rPr>
          <w:rFonts w:ascii="Bell MT" w:hAnsi="Bell MT"/>
          <w:color w:val="FF0000"/>
          <w:sz w:val="24"/>
          <w:szCs w:val="24"/>
        </w:rPr>
        <w:t xml:space="preserve"> and it is evidence of increased cooperation. As a result, in July 2016, the G20 adopted the ‘Guiding Principles for Global Investment Policymaking.’</w:t>
      </w:r>
      <w:r w:rsidRPr="00031E07">
        <w:rPr>
          <w:rFonts w:ascii="Bell MT" w:hAnsi="Bell MT"/>
          <w:color w:val="FF0000"/>
          <w:sz w:val="24"/>
          <w:szCs w:val="24"/>
          <w:vertAlign w:val="superscript"/>
        </w:rPr>
        <w:footnoteReference w:id="158"/>
      </w:r>
      <w:r w:rsidRPr="00031E07">
        <w:rPr>
          <w:rFonts w:ascii="Bell MT" w:hAnsi="Bell MT"/>
          <w:color w:val="FF0000"/>
          <w:sz w:val="24"/>
          <w:szCs w:val="24"/>
        </w:rPr>
        <w:t xml:space="preserve"> Around the same time, the European Commission described the proposed international investment court in TTIP as a “stepping stone towards a permanent multilateral system for investment disputes.”</w:t>
      </w:r>
      <w:r w:rsidRPr="00031E07">
        <w:rPr>
          <w:rFonts w:ascii="Bell MT" w:hAnsi="Bell MT"/>
          <w:color w:val="FF0000"/>
          <w:sz w:val="24"/>
          <w:szCs w:val="24"/>
          <w:vertAlign w:val="superscript"/>
        </w:rPr>
        <w:footnoteReference w:id="159"/>
      </w:r>
      <w:r w:rsidRPr="00031E07">
        <w:rPr>
          <w:rFonts w:ascii="Bell MT" w:hAnsi="Bell MT"/>
          <w:color w:val="FF0000"/>
          <w:sz w:val="24"/>
          <w:szCs w:val="24"/>
        </w:rPr>
        <w:t xml:space="preserve"> Lack of cooperation and coherency was a major stumbling block in the past towards multilateralism and it appears that we are experiencing systematic defragmentation of IIAs.</w:t>
      </w:r>
      <w:r w:rsidRPr="00031E07">
        <w:rPr>
          <w:rStyle w:val="FootnoteReference"/>
          <w:rFonts w:ascii="Bell MT" w:hAnsi="Bell MT"/>
          <w:color w:val="FF0000"/>
          <w:sz w:val="24"/>
          <w:szCs w:val="24"/>
        </w:rPr>
        <w:footnoteReference w:id="160"/>
      </w:r>
      <w:r w:rsidRPr="00031E07">
        <w:rPr>
          <w:rFonts w:ascii="Bell MT" w:hAnsi="Bell MT"/>
          <w:color w:val="FF0000"/>
          <w:sz w:val="24"/>
          <w:szCs w:val="24"/>
        </w:rPr>
        <w:t xml:space="preserve"> This is supported by an empirical study of 2107 IIAs which found “dominant treaty practice in recent years” unlike old treaties which had “no established pattern” on sustainable development and business conduct.</w:t>
      </w:r>
      <w:r w:rsidRPr="00031E07">
        <w:rPr>
          <w:rFonts w:ascii="Bell MT" w:hAnsi="Bell MT"/>
          <w:color w:val="FF0000"/>
          <w:sz w:val="24"/>
          <w:szCs w:val="24"/>
          <w:vertAlign w:val="superscript"/>
        </w:rPr>
        <w:footnoteReference w:id="161"/>
      </w:r>
      <w:r w:rsidRPr="00031E07">
        <w:rPr>
          <w:rFonts w:ascii="Bell MT" w:hAnsi="Bell MT"/>
          <w:color w:val="FF0000"/>
          <w:sz w:val="24"/>
          <w:szCs w:val="24"/>
        </w:rPr>
        <w:t xml:space="preserve"> </w:t>
      </w:r>
    </w:p>
    <w:p w14:paraId="4CA36993" w14:textId="77777777" w:rsidR="001817C7" w:rsidRPr="00031E07" w:rsidRDefault="001817C7" w:rsidP="00E23D81">
      <w:pPr>
        <w:autoSpaceDE w:val="0"/>
        <w:autoSpaceDN w:val="0"/>
        <w:adjustRightInd w:val="0"/>
        <w:spacing w:after="0" w:line="276" w:lineRule="auto"/>
        <w:jc w:val="both"/>
        <w:rPr>
          <w:rFonts w:ascii="Bell MT" w:eastAsia="Brill-Roman" w:hAnsi="Bell MT" w:cs="Brill-Roman"/>
          <w:color w:val="FF0000"/>
          <w:sz w:val="24"/>
          <w:szCs w:val="24"/>
        </w:rPr>
      </w:pPr>
      <w:r w:rsidRPr="00031E07">
        <w:rPr>
          <w:rFonts w:ascii="Bell MT" w:hAnsi="Bell MT"/>
          <w:color w:val="FF0000"/>
          <w:sz w:val="24"/>
          <w:szCs w:val="24"/>
        </w:rPr>
        <w:t>The cooperation and integration of investment policy in Africa is not promoted and driven forward by public policy organisations only,</w:t>
      </w:r>
      <w:r w:rsidRPr="00031E07">
        <w:rPr>
          <w:rFonts w:ascii="Bell MT" w:hAnsi="Bell MT"/>
          <w:color w:val="FF0000"/>
          <w:sz w:val="24"/>
          <w:szCs w:val="24"/>
          <w:vertAlign w:val="superscript"/>
        </w:rPr>
        <w:footnoteReference w:id="162"/>
      </w:r>
      <w:r w:rsidRPr="00031E07">
        <w:rPr>
          <w:rFonts w:ascii="Bell MT" w:hAnsi="Bell MT"/>
          <w:color w:val="FF0000"/>
          <w:sz w:val="24"/>
          <w:szCs w:val="24"/>
        </w:rPr>
        <w:t xml:space="preserve"> but also the activities of the </w:t>
      </w:r>
      <w:proofErr w:type="spellStart"/>
      <w:r w:rsidRPr="00031E07">
        <w:rPr>
          <w:rFonts w:ascii="Bell MT" w:hAnsi="Bell MT"/>
          <w:color w:val="FF0000"/>
          <w:sz w:val="24"/>
          <w:szCs w:val="24"/>
        </w:rPr>
        <w:t>RECs.</w:t>
      </w:r>
      <w:proofErr w:type="spellEnd"/>
      <w:r w:rsidRPr="00031E07">
        <w:rPr>
          <w:rFonts w:ascii="Bell MT" w:hAnsi="Bell MT"/>
          <w:color w:val="FF0000"/>
          <w:sz w:val="24"/>
          <w:szCs w:val="24"/>
        </w:rPr>
        <w:t xml:space="preserve"> </w:t>
      </w:r>
      <w:r w:rsidRPr="00031E07">
        <w:rPr>
          <w:rFonts w:ascii="Bell MT" w:eastAsia="Brill-Roman" w:hAnsi="Bell MT" w:cs="Brill-Roman"/>
          <w:color w:val="FF0000"/>
          <w:sz w:val="24"/>
          <w:szCs w:val="24"/>
        </w:rPr>
        <w:t>North Africa has two RECs: the UMA and CEN-SAD. The Eastern and Southern Africa has six groupings: COMESA, the EAC, SADC, the Inter-Governmental Authority on Development</w:t>
      </w:r>
    </w:p>
    <w:p w14:paraId="3415FADA" w14:textId="77777777" w:rsidR="001817C7" w:rsidRPr="00031E07" w:rsidRDefault="001817C7" w:rsidP="00E23D81">
      <w:pPr>
        <w:autoSpaceDE w:val="0"/>
        <w:autoSpaceDN w:val="0"/>
        <w:adjustRightInd w:val="0"/>
        <w:spacing w:after="0" w:line="276" w:lineRule="auto"/>
        <w:jc w:val="both"/>
        <w:rPr>
          <w:rFonts w:ascii="Bell MT" w:eastAsia="Brill-Roman" w:hAnsi="Bell MT" w:cs="Brill-Roman"/>
          <w:color w:val="FF0000"/>
          <w:sz w:val="24"/>
          <w:szCs w:val="24"/>
        </w:rPr>
      </w:pPr>
      <w:r w:rsidRPr="00031E07">
        <w:rPr>
          <w:rFonts w:ascii="Bell MT" w:eastAsia="Brill-Roman" w:hAnsi="Bell MT" w:cs="Brill-Roman"/>
          <w:color w:val="FF0000"/>
          <w:sz w:val="24"/>
          <w:szCs w:val="24"/>
        </w:rPr>
        <w:t xml:space="preserve">(IGAD), the Southern African Customs Union (SACU) and the Indian Ocean Commission (IOC). Central Africa has two groupings: ECCAS and the Economic Community of Great </w:t>
      </w:r>
      <w:r w:rsidRPr="00031E07">
        <w:rPr>
          <w:rFonts w:ascii="Bell MT" w:eastAsia="Brill-Roman" w:hAnsi="Bell MT" w:cs="Brill-Roman"/>
          <w:color w:val="FF0000"/>
          <w:sz w:val="24"/>
          <w:szCs w:val="24"/>
        </w:rPr>
        <w:lastRenderedPageBreak/>
        <w:t xml:space="preserve">Lakes countries (ECGLC). There are three RECs in West Africa: ECOWAS, the West African Economic and Monetary Union (UEMOA) and the Mano River Union (MRU).  Each of the RECs has an instrument that relates directly or indirectly to investment. In the context of multilateralism, the picture becomes more murkier when we consider the number of States that belong to more than one REC. Of the 55 African countries, only six have one membership with the Democratic Republic of Congo belonging to four RECs simultaneously. A further 28 African countries have dual membership and 20 belong to three </w:t>
      </w:r>
      <w:proofErr w:type="spellStart"/>
      <w:r w:rsidRPr="00031E07">
        <w:rPr>
          <w:rFonts w:ascii="Bell MT" w:eastAsia="Brill-Roman" w:hAnsi="Bell MT" w:cs="Brill-Roman"/>
          <w:color w:val="FF0000"/>
          <w:sz w:val="24"/>
          <w:szCs w:val="24"/>
        </w:rPr>
        <w:t>RECs.</w:t>
      </w:r>
      <w:proofErr w:type="spellEnd"/>
      <w:r w:rsidRPr="00031E07">
        <w:rPr>
          <w:rFonts w:ascii="Bell MT" w:eastAsia="Brill-Roman" w:hAnsi="Bell MT" w:cs="Brill-Roman"/>
          <w:color w:val="FF0000"/>
          <w:sz w:val="24"/>
          <w:szCs w:val="24"/>
        </w:rPr>
        <w:t xml:space="preserve"> This overlapping membership indicates that a majority of the African countries are willing to embrace multilateral investment policy as a means of encouraging intra-African investment.</w:t>
      </w:r>
      <w:r w:rsidRPr="00031E07">
        <w:rPr>
          <w:rStyle w:val="FootnoteReference"/>
          <w:rFonts w:ascii="Bell MT" w:eastAsia="Brill-Roman" w:hAnsi="Bell MT" w:cs="Brill-Roman"/>
          <w:color w:val="FF0000"/>
          <w:sz w:val="24"/>
          <w:szCs w:val="24"/>
        </w:rPr>
        <w:footnoteReference w:id="163"/>
      </w:r>
      <w:r w:rsidRPr="00031E07">
        <w:rPr>
          <w:rFonts w:ascii="Bell MT" w:eastAsia="Brill-Roman" w:hAnsi="Bell MT" w:cs="Brill-Roman"/>
          <w:color w:val="FF0000"/>
          <w:sz w:val="24"/>
          <w:szCs w:val="24"/>
        </w:rPr>
        <w:t xml:space="preserve"> </w:t>
      </w:r>
      <w:r w:rsidRPr="00031E07">
        <w:rPr>
          <w:rFonts w:ascii="Bell MT" w:hAnsi="Bell MT"/>
          <w:color w:val="FF0000"/>
          <w:sz w:val="24"/>
          <w:szCs w:val="24"/>
        </w:rPr>
        <w:t>For instance, in June 2015, the regions of SADC, COMESA and EAC signed the Agreement on a Tripartite Free Trade Area (TFTA).</w:t>
      </w:r>
      <w:r w:rsidRPr="00031E07">
        <w:rPr>
          <w:rStyle w:val="FootnoteReference"/>
          <w:rFonts w:ascii="Bell MT" w:hAnsi="Bell MT"/>
          <w:color w:val="FF0000"/>
          <w:sz w:val="24"/>
          <w:szCs w:val="24"/>
        </w:rPr>
        <w:footnoteReference w:id="164"/>
      </w:r>
      <w:r w:rsidRPr="00031E07">
        <w:rPr>
          <w:rFonts w:ascii="Bell MT" w:hAnsi="Bell MT"/>
          <w:color w:val="FF0000"/>
          <w:sz w:val="24"/>
          <w:szCs w:val="24"/>
        </w:rPr>
        <w:t xml:space="preserve"> The objective is to promote the harmonization of trade and investment amongst these three RECs representing </w:t>
      </w:r>
      <w:r w:rsidRPr="00031E07">
        <w:rPr>
          <w:rFonts w:ascii="Bell MT" w:eastAsiaTheme="minorEastAsia" w:hAnsi="Bell MT"/>
          <w:color w:val="FF0000"/>
          <w:sz w:val="24"/>
          <w:szCs w:val="24"/>
          <w:lang w:eastAsia="en-GB"/>
        </w:rPr>
        <w:t>58 per cent of Africa’s total Gross Domestic Product (GDP).</w:t>
      </w:r>
      <w:r w:rsidRPr="00031E07">
        <w:rPr>
          <w:rStyle w:val="FootnoteReference"/>
          <w:rFonts w:ascii="Bell MT" w:hAnsi="Bell MT"/>
          <w:color w:val="FF0000"/>
          <w:sz w:val="24"/>
          <w:szCs w:val="24"/>
        </w:rPr>
        <w:footnoteReference w:id="165"/>
      </w:r>
      <w:r w:rsidRPr="00031E07">
        <w:rPr>
          <w:rFonts w:ascii="Bell MT" w:eastAsiaTheme="minorEastAsia" w:hAnsi="Bell MT"/>
          <w:color w:val="FF0000"/>
          <w:sz w:val="24"/>
          <w:szCs w:val="24"/>
          <w:lang w:eastAsia="en-GB"/>
        </w:rPr>
        <w:t xml:space="preserve"> The aim is to create the largest economic block in Africa, with plans to extend the free trade area to ECOWAS, ECCAS and AMU Member States. More significantly, leaders of the TFTA announced at the June 2015 African Union Summit in South Africa, plans for a Continental Free Trade Area (CFTA) with all African Union Member States.</w:t>
      </w:r>
      <w:r w:rsidRPr="00031E07">
        <w:rPr>
          <w:rStyle w:val="FootnoteReference"/>
          <w:rFonts w:ascii="Bell MT" w:eastAsiaTheme="minorEastAsia" w:hAnsi="Bell MT"/>
          <w:color w:val="FF0000"/>
          <w:sz w:val="24"/>
          <w:szCs w:val="24"/>
          <w:lang w:eastAsia="en-GB"/>
        </w:rPr>
        <w:footnoteReference w:id="166"/>
      </w:r>
      <w:r w:rsidRPr="00031E07">
        <w:rPr>
          <w:rFonts w:ascii="Bell MT" w:eastAsiaTheme="minorEastAsia" w:hAnsi="Bell MT"/>
          <w:color w:val="FF0000"/>
          <w:sz w:val="24"/>
          <w:szCs w:val="24"/>
          <w:lang w:eastAsia="en-GB"/>
        </w:rPr>
        <w:t xml:space="preserve"> The launch of the CFTA negotiations is a critical step in Africa’s goal for self-determination, with the goal of creating a trade zone spanning the entire African continent.</w:t>
      </w:r>
      <w:r w:rsidRPr="00031E07">
        <w:rPr>
          <w:rFonts w:ascii="Bell MT" w:eastAsiaTheme="minorEastAsia" w:hAnsi="Bell MT"/>
          <w:color w:val="FF0000"/>
          <w:sz w:val="24"/>
          <w:szCs w:val="24"/>
          <w:vertAlign w:val="superscript"/>
          <w:lang w:eastAsia="en-GB"/>
        </w:rPr>
        <w:footnoteReference w:id="167"/>
      </w:r>
      <w:r w:rsidRPr="00031E07">
        <w:rPr>
          <w:rFonts w:ascii="Bell MT" w:eastAsiaTheme="minorEastAsia" w:hAnsi="Bell MT"/>
          <w:color w:val="FF0000"/>
          <w:sz w:val="24"/>
          <w:szCs w:val="24"/>
          <w:lang w:eastAsia="en-GB"/>
        </w:rPr>
        <w:t xml:space="preserve"> The </w:t>
      </w:r>
      <w:r w:rsidRPr="00031E07">
        <w:rPr>
          <w:rFonts w:ascii="Bell MT" w:eastAsia="Brill-Roman" w:hAnsi="Bell MT" w:cs="Brill-Roman"/>
          <w:color w:val="FF0000"/>
          <w:sz w:val="24"/>
          <w:szCs w:val="24"/>
        </w:rPr>
        <w:t>REC activity makes Africa’s integration efforts easier but also facilitates intra-African investment.</w:t>
      </w:r>
    </w:p>
    <w:p w14:paraId="4A455DDA" w14:textId="77777777" w:rsidR="001817C7" w:rsidRPr="00031E07" w:rsidRDefault="001817C7" w:rsidP="00E23D81">
      <w:pPr>
        <w:autoSpaceDE w:val="0"/>
        <w:autoSpaceDN w:val="0"/>
        <w:adjustRightInd w:val="0"/>
        <w:spacing w:after="0" w:line="276" w:lineRule="auto"/>
        <w:jc w:val="both"/>
        <w:rPr>
          <w:rFonts w:ascii="Bell MT" w:eastAsia="Brill-Roman" w:hAnsi="Bell MT" w:cs="Brill-Roman"/>
          <w:color w:val="FF0000"/>
          <w:sz w:val="24"/>
          <w:szCs w:val="24"/>
        </w:rPr>
      </w:pPr>
    </w:p>
    <w:p w14:paraId="622E5A2C" w14:textId="77777777" w:rsidR="001817C7" w:rsidRPr="00031E07" w:rsidRDefault="001817C7" w:rsidP="00E23D81">
      <w:pPr>
        <w:autoSpaceDE w:val="0"/>
        <w:autoSpaceDN w:val="0"/>
        <w:adjustRightInd w:val="0"/>
        <w:spacing w:after="0" w:line="276" w:lineRule="auto"/>
        <w:jc w:val="both"/>
        <w:rPr>
          <w:rFonts w:ascii="Bell MT" w:hAnsi="Bell MT"/>
          <w:color w:val="FF0000"/>
          <w:sz w:val="24"/>
          <w:szCs w:val="24"/>
        </w:rPr>
      </w:pPr>
      <w:r w:rsidRPr="00031E07">
        <w:rPr>
          <w:rFonts w:ascii="Bell MT" w:hAnsi="Bell MT" w:cs="HelveticaNeueLTStd-LtCn"/>
          <w:color w:val="FF0000"/>
          <w:sz w:val="24"/>
          <w:szCs w:val="24"/>
        </w:rPr>
        <w:t xml:space="preserve">Intra-African investment is critically important especially if Africa wants to achieve self-determination and take up a leading role in the international economic order. </w:t>
      </w:r>
      <w:r w:rsidRPr="00031E07">
        <w:rPr>
          <w:rFonts w:ascii="Bell MT" w:eastAsia="Brill-Roman" w:hAnsi="Bell MT" w:cs="Brill-Roman"/>
          <w:color w:val="FF0000"/>
          <w:sz w:val="24"/>
          <w:szCs w:val="24"/>
        </w:rPr>
        <w:t>As of March 2017, African countries have signed 882 IIAs to foster investment.</w:t>
      </w:r>
      <w:r w:rsidRPr="00031E07">
        <w:rPr>
          <w:rStyle w:val="FootnoteReference"/>
          <w:rFonts w:ascii="Bell MT" w:eastAsia="Brill-Roman" w:hAnsi="Bell MT" w:cs="Brill-Roman"/>
          <w:color w:val="FF0000"/>
          <w:sz w:val="24"/>
          <w:szCs w:val="24"/>
        </w:rPr>
        <w:footnoteReference w:id="168"/>
      </w:r>
      <w:r w:rsidRPr="00031E07">
        <w:rPr>
          <w:rFonts w:ascii="Bell MT" w:eastAsia="Brill-Roman" w:hAnsi="Bell MT" w:cs="Brill-Roman"/>
          <w:color w:val="FF0000"/>
          <w:sz w:val="24"/>
          <w:szCs w:val="24"/>
        </w:rPr>
        <w:t xml:space="preserve"> There are 723 agreements signed with non-African countries and 159 intra-African BITs. </w:t>
      </w:r>
      <w:r w:rsidRPr="00031E07">
        <w:rPr>
          <w:rFonts w:ascii="Bell MT" w:eastAsiaTheme="minorEastAsia" w:hAnsi="Bell MT" w:cs="Times New Roman"/>
          <w:color w:val="FF0000"/>
          <w:sz w:val="24"/>
          <w:szCs w:val="24"/>
          <w:lang w:eastAsia="en-GB"/>
        </w:rPr>
        <w:t xml:space="preserve">Despite commanding a large share of intra-African IIAs, the level of intra-African FDI remains markedly low. </w:t>
      </w:r>
      <w:r w:rsidRPr="00031E07">
        <w:rPr>
          <w:rFonts w:ascii="Bell MT" w:hAnsi="Bell MT" w:cs="HelveticaNeueLTStd-LtCn"/>
          <w:color w:val="FF0000"/>
          <w:sz w:val="24"/>
          <w:szCs w:val="24"/>
        </w:rPr>
        <w:t>The case for increased economic integration in pursuit of economic benefits is supported by statistical evidence indicating the dire state of intra-African investment. Data from UNCTAD shows that intra-African FDI is manifestly limited both in terms of volume and diversity.</w:t>
      </w:r>
      <w:r w:rsidRPr="00031E07">
        <w:rPr>
          <w:rStyle w:val="FootnoteReference"/>
          <w:rFonts w:ascii="Bell MT" w:hAnsi="Bell MT" w:cs="HelveticaNeueLTStd-LtCn"/>
          <w:color w:val="FF0000"/>
          <w:sz w:val="24"/>
          <w:szCs w:val="24"/>
        </w:rPr>
        <w:footnoteReference w:id="169"/>
      </w:r>
      <w:r w:rsidRPr="00031E07">
        <w:rPr>
          <w:rFonts w:ascii="Bell MT" w:hAnsi="Bell MT" w:cs="HelveticaNeueLTStd-LtCn"/>
          <w:color w:val="FF0000"/>
          <w:sz w:val="24"/>
          <w:szCs w:val="24"/>
        </w:rPr>
        <w:t xml:space="preserve"> It estimates that intra-African FDI accounts for only five per cent of the total FDI in Africa in terms of value.</w:t>
      </w:r>
      <w:r w:rsidRPr="00031E07">
        <w:rPr>
          <w:rStyle w:val="FootnoteReference"/>
          <w:rFonts w:ascii="Bell MT" w:hAnsi="Bell MT" w:cs="HelveticaNeueLTStd-LtCn"/>
          <w:color w:val="FF0000"/>
          <w:sz w:val="24"/>
          <w:szCs w:val="24"/>
        </w:rPr>
        <w:footnoteReference w:id="170"/>
      </w:r>
      <w:r w:rsidRPr="00031E07">
        <w:rPr>
          <w:rFonts w:ascii="Bell MT" w:hAnsi="Bell MT" w:cs="HelveticaNeueLTStd-LtCn"/>
          <w:color w:val="FF0000"/>
          <w:sz w:val="24"/>
          <w:szCs w:val="24"/>
        </w:rPr>
        <w:t xml:space="preserve"> Much of the criticism has been directed towards South Africa, the continent’s second largest economy, for failing to use its entrepreneurial advantage </w:t>
      </w:r>
      <w:r w:rsidRPr="00031E07">
        <w:rPr>
          <w:rFonts w:ascii="Bell MT" w:hAnsi="Bell MT" w:cs="HelveticaNeueLTStd-LtCn"/>
          <w:color w:val="FF0000"/>
          <w:sz w:val="24"/>
          <w:szCs w:val="24"/>
        </w:rPr>
        <w:lastRenderedPageBreak/>
        <w:t xml:space="preserve">to its fullest. </w:t>
      </w:r>
      <w:r w:rsidRPr="00031E07">
        <w:rPr>
          <w:rFonts w:ascii="Bell MT" w:eastAsia="Times New Roman" w:hAnsi="Bell MT" w:cs="Times New Roman"/>
          <w:color w:val="FF0000"/>
          <w:sz w:val="24"/>
          <w:szCs w:val="24"/>
          <w:lang w:eastAsia="en-GB"/>
        </w:rPr>
        <w:t>By far the most important source of FDI outflows in Africa stem from North Africa, with countries such as Libya and Egypt directing some of their FDI outflows at Africa. However, intra-African FDI is markedly remains very low.</w:t>
      </w:r>
      <w:r w:rsidRPr="00031E07">
        <w:rPr>
          <w:rFonts w:ascii="Bell MT" w:hAnsi="Bell MT" w:cs="HelveticaNeueLTStd-LtCn"/>
          <w:color w:val="FF0000"/>
          <w:sz w:val="24"/>
          <w:szCs w:val="24"/>
        </w:rPr>
        <w:t xml:space="preserve"> Nonetheless, the UNCTAD acknowledges that there is </w:t>
      </w:r>
      <w:r w:rsidRPr="00031E07">
        <w:rPr>
          <w:rFonts w:ascii="Bell MT" w:eastAsia="Times New Roman" w:hAnsi="Bell MT" w:cs="Times New Roman"/>
          <w:color w:val="FF0000"/>
          <w:sz w:val="24"/>
          <w:szCs w:val="24"/>
          <w:lang w:eastAsia="en-GB"/>
        </w:rPr>
        <w:t>“some evidence that intra-regional FDI is beginning to emerge in non-natural resource related industries.”</w:t>
      </w:r>
      <w:r w:rsidRPr="00031E07">
        <w:rPr>
          <w:rStyle w:val="FootnoteReference"/>
          <w:rFonts w:ascii="Bell MT" w:eastAsia="Times New Roman" w:hAnsi="Bell MT" w:cs="Times New Roman"/>
          <w:color w:val="FF0000"/>
          <w:sz w:val="24"/>
          <w:szCs w:val="24"/>
          <w:lang w:eastAsia="en-GB"/>
        </w:rPr>
        <w:footnoteReference w:id="171"/>
      </w:r>
      <w:r w:rsidRPr="00031E07">
        <w:rPr>
          <w:rFonts w:ascii="Bell MT" w:hAnsi="Bell MT" w:cs="HelveticaNeueLTStd-LtCn"/>
          <w:color w:val="FF0000"/>
          <w:sz w:val="24"/>
          <w:szCs w:val="24"/>
        </w:rPr>
        <w:t xml:space="preserve"> The </w:t>
      </w:r>
      <w:r w:rsidRPr="00031E07">
        <w:rPr>
          <w:rFonts w:ascii="Bell MT" w:eastAsia="Times New Roman" w:hAnsi="Bell MT" w:cs="Times New Roman"/>
          <w:color w:val="FF0000"/>
          <w:sz w:val="24"/>
          <w:szCs w:val="24"/>
          <w:lang w:eastAsia="en-GB"/>
        </w:rPr>
        <w:t>UNCTAD recommends harmonisation of regional trade and investment agreements to help Africa realise its intra-regional FDI potential.</w:t>
      </w:r>
      <w:r w:rsidRPr="00031E07">
        <w:rPr>
          <w:rStyle w:val="FootnoteReference"/>
          <w:rFonts w:ascii="Bell MT" w:eastAsia="Times New Roman" w:hAnsi="Bell MT" w:cs="Times New Roman"/>
          <w:color w:val="FF0000"/>
          <w:sz w:val="24"/>
          <w:szCs w:val="24"/>
          <w:lang w:eastAsia="en-GB"/>
        </w:rPr>
        <w:footnoteReference w:id="172"/>
      </w:r>
      <w:r w:rsidRPr="00031E07">
        <w:rPr>
          <w:rFonts w:ascii="Bell MT" w:eastAsia="Times New Roman" w:hAnsi="Bell MT" w:cs="Times New Roman"/>
          <w:color w:val="FF0000"/>
          <w:sz w:val="24"/>
          <w:szCs w:val="24"/>
          <w:lang w:eastAsia="en-GB"/>
        </w:rPr>
        <w:t xml:space="preserve"> </w:t>
      </w:r>
    </w:p>
    <w:p w14:paraId="27462BFE" w14:textId="77777777" w:rsidR="001817C7" w:rsidRPr="00031E07" w:rsidRDefault="001817C7" w:rsidP="00E23D81">
      <w:pPr>
        <w:autoSpaceDE w:val="0"/>
        <w:autoSpaceDN w:val="0"/>
        <w:adjustRightInd w:val="0"/>
        <w:spacing w:after="0" w:line="276" w:lineRule="auto"/>
        <w:jc w:val="both"/>
        <w:rPr>
          <w:rFonts w:ascii="Bell MT" w:eastAsiaTheme="minorEastAsia" w:hAnsi="Bell MT"/>
          <w:color w:val="FF0000"/>
          <w:sz w:val="24"/>
          <w:szCs w:val="24"/>
          <w:lang w:eastAsia="en-GB"/>
        </w:rPr>
      </w:pPr>
    </w:p>
    <w:p w14:paraId="4A12793A" w14:textId="77777777" w:rsidR="001817C7" w:rsidRPr="00031E07" w:rsidRDefault="001817C7" w:rsidP="00E23D81">
      <w:pPr>
        <w:spacing w:line="276" w:lineRule="auto"/>
        <w:jc w:val="both"/>
        <w:rPr>
          <w:rFonts w:ascii="Bell MT" w:hAnsi="Bell MT"/>
          <w:color w:val="FF0000"/>
          <w:sz w:val="24"/>
          <w:szCs w:val="24"/>
        </w:rPr>
      </w:pPr>
      <w:r w:rsidRPr="00031E07">
        <w:rPr>
          <w:rFonts w:ascii="Bell MT" w:eastAsiaTheme="minorEastAsia" w:hAnsi="Bell MT"/>
          <w:color w:val="FF0000"/>
          <w:sz w:val="24"/>
          <w:szCs w:val="24"/>
          <w:lang w:eastAsia="en-GB"/>
        </w:rPr>
        <w:t xml:space="preserve">The economic integration is accompanied by a new wave of multilateralism in Africa spearheaded by the negotiations for a PAIC.  Without multilateral rules on </w:t>
      </w:r>
      <w:r w:rsidRPr="00031E07">
        <w:rPr>
          <w:rFonts w:ascii="Bell MT" w:hAnsi="Bell MT"/>
          <w:color w:val="FF0000"/>
          <w:sz w:val="24"/>
          <w:szCs w:val="24"/>
        </w:rPr>
        <w:t xml:space="preserve">investment that bind African States and mandates a Pan-African Investment Court, the proposal would be difficult to realise. This is because States would be free to create conflicting investment rules at national level or in their BITs, including omission of the Pan-African Investment Court from the dispute settlement options. The PAIC offers a certain minimum standard of treatment that every intra-African IIA should contain but without a dispute settlement body that recognises thorny issues such as national regulatory space, its goal would be difficult to realise. Thus, the convergence in investment rules under PAIC offers an opportunity for harmonizing investment obligations but also it supports the creation of a court that supports the PAIC’s economic agenda. With the CFTA on the horizon, perhaps a way forward could be for multilateral treaty on investment. At the time of writing, the legal nature of the PAIC is still uncertain, with the potential to become a binding treaty applicable in all AU Member States or a Model treaty operating as a guide to Member States IIA negotiations. The outcome is a political question which is likely to be influenced by external factors but nonetheless, provides a platform for instituting a Pan-African Investment Court. </w:t>
      </w:r>
    </w:p>
    <w:p w14:paraId="41C18AA0" w14:textId="77777777" w:rsidR="001817C7" w:rsidRPr="00031E07" w:rsidRDefault="001817C7" w:rsidP="00E23D81">
      <w:pPr>
        <w:spacing w:line="276" w:lineRule="auto"/>
        <w:jc w:val="both"/>
        <w:rPr>
          <w:rFonts w:ascii="Bell MT" w:hAnsi="Bell MT"/>
          <w:color w:val="FF0000"/>
          <w:sz w:val="24"/>
          <w:szCs w:val="24"/>
        </w:rPr>
      </w:pPr>
      <w:r w:rsidRPr="00031E07">
        <w:rPr>
          <w:rFonts w:ascii="Bell MT" w:hAnsi="Bell MT"/>
          <w:color w:val="FF0000"/>
          <w:sz w:val="24"/>
          <w:szCs w:val="24"/>
        </w:rPr>
        <w:t>Incorporation the Pan-African Investment Court in PAIC is important because the current regime, consisting of thousands of IIAs, which are similar but with important differences, would make it difficult for the court to discharge its duties. Therefore, a formal treaty on investment that contains the minimum standards espoused by a diverse group of countries is necessary. Tania Voon argues that the foregoing assumption that multilateral rules should be one size fit all is false, rather a ‘variable geometry’ in WTO agreements shows that endorsing different standards for different types of countries may sometimes be necessary and essential in gaining consensus over an international legal framework.</w:t>
      </w:r>
      <w:r w:rsidRPr="00031E07">
        <w:rPr>
          <w:rFonts w:ascii="Bell MT" w:hAnsi="Bell MT"/>
          <w:color w:val="FF0000"/>
          <w:sz w:val="24"/>
          <w:szCs w:val="24"/>
          <w:vertAlign w:val="superscript"/>
        </w:rPr>
        <w:footnoteReference w:id="173"/>
      </w:r>
      <w:r w:rsidRPr="00031E07">
        <w:rPr>
          <w:rFonts w:ascii="Bell MT" w:hAnsi="Bell MT"/>
          <w:color w:val="FF0000"/>
          <w:sz w:val="24"/>
          <w:szCs w:val="24"/>
        </w:rPr>
        <w:t xml:space="preserve"> This variable geometry is also remarked upon by James Gathii in relation to WTO provisions for ‘special and differential treatment’ of developing countries, by giving them greater flexibility, blanket </w:t>
      </w:r>
      <w:r w:rsidRPr="00031E07">
        <w:rPr>
          <w:rFonts w:ascii="Bell MT" w:hAnsi="Bell MT"/>
          <w:color w:val="FF0000"/>
          <w:sz w:val="24"/>
          <w:szCs w:val="24"/>
        </w:rPr>
        <w:lastRenderedPageBreak/>
        <w:t>exceptions to depart from core obligations,</w:t>
      </w:r>
      <w:r w:rsidRPr="00031E07">
        <w:rPr>
          <w:rFonts w:ascii="Bell MT" w:hAnsi="Bell MT"/>
          <w:color w:val="FF0000"/>
          <w:sz w:val="24"/>
          <w:szCs w:val="24"/>
          <w:vertAlign w:val="superscript"/>
        </w:rPr>
        <w:footnoteReference w:id="174"/>
      </w:r>
      <w:r w:rsidRPr="00031E07">
        <w:rPr>
          <w:rFonts w:ascii="Bell MT" w:hAnsi="Bell MT"/>
          <w:color w:val="FF0000"/>
          <w:sz w:val="24"/>
          <w:szCs w:val="24"/>
        </w:rPr>
        <w:t xml:space="preserve"> and additional time to implement obligations.</w:t>
      </w:r>
      <w:r w:rsidRPr="00031E07">
        <w:rPr>
          <w:rStyle w:val="FootnoteReference"/>
          <w:rFonts w:ascii="Bell MT" w:hAnsi="Bell MT"/>
          <w:color w:val="FF0000"/>
          <w:sz w:val="24"/>
          <w:szCs w:val="24"/>
        </w:rPr>
        <w:footnoteReference w:id="175"/>
      </w:r>
      <w:r w:rsidRPr="00031E07">
        <w:rPr>
          <w:rFonts w:ascii="Bell MT" w:hAnsi="Bell MT"/>
          <w:color w:val="FF0000"/>
          <w:sz w:val="24"/>
          <w:szCs w:val="24"/>
        </w:rPr>
        <w:t xml:space="preserve"> Thus creating a Pan-African Investment Court in the PAIC would not be an easy feat but the political and economic landscape looks markedly different today thus making it easier to achieve and lessons can be drawn from the EU’s proposal for a similar court system. </w:t>
      </w:r>
    </w:p>
    <w:p w14:paraId="38EFECD3" w14:textId="77777777" w:rsidR="001817C7" w:rsidRDefault="001817C7" w:rsidP="00E23D81">
      <w:pPr>
        <w:spacing w:line="276" w:lineRule="auto"/>
        <w:jc w:val="both"/>
        <w:rPr>
          <w:rFonts w:ascii="Bell MT" w:hAnsi="Bell MT"/>
          <w:sz w:val="24"/>
          <w:szCs w:val="24"/>
        </w:rPr>
      </w:pPr>
    </w:p>
    <w:p w14:paraId="675D262E" w14:textId="77777777" w:rsidR="00804087" w:rsidRPr="000949A5" w:rsidRDefault="00804087" w:rsidP="00E23D81">
      <w:pPr>
        <w:spacing w:line="276" w:lineRule="auto"/>
        <w:jc w:val="both"/>
        <w:rPr>
          <w:rFonts w:ascii="Bell MT" w:hAnsi="Bell MT"/>
          <w:sz w:val="24"/>
          <w:szCs w:val="24"/>
        </w:rPr>
      </w:pPr>
      <w:r w:rsidRPr="000949A5">
        <w:rPr>
          <w:rFonts w:ascii="Bell MT" w:hAnsi="Bell MT"/>
          <w:sz w:val="24"/>
          <w:szCs w:val="24"/>
        </w:rPr>
        <w:t>Therefore, having explored the African investment regulatory mechanisms and framework, it is evident that African States are active players within the international investment community. More importantly, the level of corporation and regional realignments evidences a strong will towards greater economic harmonisation taking cognisance of the number of intra African BITs and regional economic organisations. These instruments also showcase the strong intention of African States to depart from traditional ISDS and BIT provisions in an attempt to rebalance IIAs in favour of host states. As can be deduced however, such rebalancing will not be achieved through a continuous reliance and use of ISDS. Thus, this research recommends that African states should utilise this realignment and harmonising measures to create a Regional Investment Court (RIC). This call for a RIC, complete with a tribunal of first Instance and an appellate tribunal,  is important because according to Garcia-Bolivar, ‘the interpretation of concepts and principles that are peculiar to States and public international law cannot be left to the view of ever changing arbitrators’.</w:t>
      </w:r>
      <w:r w:rsidRPr="000949A5">
        <w:rPr>
          <w:rStyle w:val="FootnoteReference"/>
          <w:rFonts w:ascii="Bell MT" w:hAnsi="Bell MT"/>
          <w:sz w:val="24"/>
          <w:szCs w:val="24"/>
        </w:rPr>
        <w:footnoteReference w:id="176"/>
      </w:r>
      <w:r w:rsidRPr="000949A5">
        <w:rPr>
          <w:rFonts w:ascii="Bell MT" w:hAnsi="Bell MT"/>
          <w:sz w:val="24"/>
          <w:szCs w:val="24"/>
        </w:rPr>
        <w:t xml:space="preserve"> Consequently, considering this strong drive and willingness towards an investment court system by the global investment community, this thesis argues that Africa must and cannot be left on the side-lines and margins of this fundamental devolvement and reform of international investment law. As such, they should learn from the already existing models such as CFTA and PAIC and in fact champion the reformation process to the benefit of States and citizens of the continent. Furthermore, it can mirror the recently concluded CETA model which provided for an investment court that is maned by publicly appointed judges as well as derive its jurisdiction through a multilateral agreement by all parties to readily submit themselves to the competence of the court. Other measures such as make-up of the judges will follow the same multilateral agreement wherein appointment of tribunal members are rotated from the Member States for a determinable term. The confidence of developed states and investors on an African institution will not wane if there is evidence of balance and fairness in the constitution of the RIC. With the continent being attractive for investments with its huge returns, it is envisaged that investors will continue to operate and submit themselves to an African institution.</w:t>
      </w:r>
    </w:p>
    <w:p w14:paraId="7B8E9025" w14:textId="77777777" w:rsidR="00804087" w:rsidRDefault="00804087" w:rsidP="00E23D81">
      <w:pPr>
        <w:spacing w:line="276" w:lineRule="auto"/>
        <w:jc w:val="both"/>
        <w:rPr>
          <w:rFonts w:ascii="Bell MT" w:hAnsi="Bell MT"/>
          <w:sz w:val="24"/>
          <w:szCs w:val="24"/>
        </w:rPr>
      </w:pPr>
      <w:r w:rsidRPr="000949A5">
        <w:rPr>
          <w:rFonts w:ascii="Bell MT" w:hAnsi="Bell MT"/>
          <w:sz w:val="24"/>
          <w:szCs w:val="24"/>
        </w:rPr>
        <w:t xml:space="preserve">Notwithstanding the nobility of this proposal, it is however recognised that the challenge which have confronted similar proposals of its ilk have revolved on the format and workability </w:t>
      </w:r>
      <w:r w:rsidRPr="000949A5">
        <w:rPr>
          <w:rFonts w:ascii="Bell MT" w:hAnsi="Bell MT"/>
          <w:sz w:val="24"/>
          <w:szCs w:val="24"/>
        </w:rPr>
        <w:lastRenderedPageBreak/>
        <w:t>of a RIC for Africa. Questions on its scope, functionality and competence has remained the singular derivative that may hamper any proposed RIC for the African continent. For example, the demise of the SADC tribunal following the decision in the case of Mike Campbell (Pvt) Ltd and Others v Republic of Zimbabwe</w:t>
      </w:r>
      <w:r w:rsidRPr="000949A5">
        <w:rPr>
          <w:rStyle w:val="FootnoteReference"/>
          <w:rFonts w:ascii="Bell MT" w:hAnsi="Bell MT"/>
          <w:sz w:val="24"/>
          <w:szCs w:val="24"/>
        </w:rPr>
        <w:footnoteReference w:id="177"/>
      </w:r>
      <w:r w:rsidRPr="000949A5">
        <w:rPr>
          <w:rFonts w:ascii="Bell MT" w:hAnsi="Bell MT"/>
          <w:sz w:val="24"/>
          <w:szCs w:val="24"/>
        </w:rPr>
        <w:t xml:space="preserve"> evidences how weak institutional structures in Africa could serve as a clog in the wheel of creating a RIC. Despite the outcome of the case and the disbandment of the Tribunal by members of the SADC, it is hereby argued and proposed that a multilateral investment treaty, accompanied by a RIC will better serve the social economic interests of African States. As contained in the Doha Ministerial Declaration 2001,</w:t>
      </w:r>
      <w:r w:rsidRPr="000949A5">
        <w:rPr>
          <w:rStyle w:val="FootnoteReference"/>
          <w:rFonts w:ascii="Bell MT" w:hAnsi="Bell MT"/>
          <w:sz w:val="24"/>
          <w:szCs w:val="24"/>
        </w:rPr>
        <w:footnoteReference w:id="178"/>
      </w:r>
      <w:r w:rsidRPr="000949A5">
        <w:rPr>
          <w:rFonts w:ascii="Bell MT" w:hAnsi="Bell MT"/>
          <w:sz w:val="24"/>
          <w:szCs w:val="24"/>
        </w:rPr>
        <w:t xml:space="preserve"> a balanced investment treaty which protects the rights of host states and investors is possible and can be pursued. </w:t>
      </w:r>
    </w:p>
    <w:p w14:paraId="273CC8B0" w14:textId="77777777" w:rsidR="00804087" w:rsidRDefault="00804087" w:rsidP="00E23D81">
      <w:pPr>
        <w:spacing w:line="276" w:lineRule="auto"/>
        <w:jc w:val="both"/>
        <w:rPr>
          <w:rFonts w:ascii="Bell MT" w:hAnsi="Bell MT"/>
          <w:sz w:val="24"/>
          <w:szCs w:val="24"/>
          <w:u w:val="single"/>
        </w:rPr>
      </w:pPr>
    </w:p>
    <w:p w14:paraId="61EBDB7B" w14:textId="77777777" w:rsidR="00804087" w:rsidRPr="000949A5" w:rsidRDefault="00804087" w:rsidP="00E23D81">
      <w:pPr>
        <w:spacing w:line="276" w:lineRule="auto"/>
        <w:jc w:val="both"/>
        <w:rPr>
          <w:rFonts w:ascii="Bell MT" w:hAnsi="Bell MT"/>
          <w:sz w:val="24"/>
          <w:szCs w:val="24"/>
          <w:u w:val="single"/>
        </w:rPr>
      </w:pPr>
      <w:r w:rsidRPr="000949A5">
        <w:rPr>
          <w:rFonts w:ascii="Bell MT" w:hAnsi="Bell MT"/>
          <w:sz w:val="24"/>
          <w:szCs w:val="24"/>
          <w:u w:val="single"/>
        </w:rPr>
        <w:t>Literature review</w:t>
      </w:r>
    </w:p>
    <w:p w14:paraId="304FEBD4" w14:textId="77777777" w:rsidR="00804087" w:rsidRPr="000949A5" w:rsidRDefault="00804087" w:rsidP="00E23D81">
      <w:pPr>
        <w:spacing w:line="276" w:lineRule="auto"/>
        <w:jc w:val="both"/>
        <w:rPr>
          <w:rFonts w:ascii="Bell MT" w:hAnsi="Bell MT"/>
          <w:sz w:val="24"/>
          <w:szCs w:val="24"/>
        </w:rPr>
      </w:pPr>
      <w:r w:rsidRPr="000949A5">
        <w:rPr>
          <w:rFonts w:ascii="Bell MT" w:hAnsi="Bell MT"/>
          <w:sz w:val="24"/>
          <w:szCs w:val="24"/>
        </w:rPr>
        <w:t>Several scholars have lent their voices on the topical issue of departing from ISDS into a more balanced and consensually approved International investment law regime. According to Páez,</w:t>
      </w:r>
      <w:r w:rsidRPr="000949A5">
        <w:rPr>
          <w:rStyle w:val="FootnoteReference"/>
          <w:rFonts w:ascii="Bell MT" w:hAnsi="Bell MT"/>
          <w:sz w:val="24"/>
          <w:szCs w:val="24"/>
        </w:rPr>
        <w:footnoteReference w:id="179"/>
      </w:r>
      <w:r w:rsidRPr="000949A5">
        <w:rPr>
          <w:rFonts w:ascii="Bell MT" w:hAnsi="Bell MT"/>
          <w:sz w:val="24"/>
          <w:szCs w:val="24"/>
        </w:rPr>
        <w:t xml:space="preserve"> Africa have been active players within the international investment law regime with several BITs consummated with States from other continents. However, the envisaged goodies which should normally been a correlative outcome of such agreements have been elusive stemming from the one-sided nature of these IIAs such as BITs. Thus, these ‘cluttered ‘spaghetti-bowl’ of investment regimes’ have not been beneficial to African countries. Instead of a continuous reliance on the ISDS system with its inconsistency nature, she suggested for a more harmonised framework of the African regulatory measures towards creating ‘an African Continental Investment Area (ACIA) as an alternative to the existing investment regime’. Such continental investment regime should be a derivative of a better harmonised Regional Economic Areas as evidences abound of how RECs have been pioneers of economic integration and harmonisation within the African Continent. In providing a support for a more united front by States of the African continent, it has been highlighted that individual BITs will not serve the greater interest of the States within the continent, hence offering a support to the proposal of this study for a common multilateral treaty with a RIC for the attraction of more FDI into Africa. </w:t>
      </w:r>
    </w:p>
    <w:p w14:paraId="0516FE4F" w14:textId="77777777" w:rsidR="00804087" w:rsidRPr="000949A5" w:rsidRDefault="00804087" w:rsidP="00E23D81">
      <w:pPr>
        <w:spacing w:line="276" w:lineRule="auto"/>
        <w:jc w:val="both"/>
        <w:rPr>
          <w:rFonts w:ascii="Bell MT" w:hAnsi="Bell MT"/>
          <w:sz w:val="24"/>
          <w:szCs w:val="24"/>
        </w:rPr>
      </w:pPr>
      <w:r w:rsidRPr="000949A5">
        <w:rPr>
          <w:rFonts w:ascii="Bell MT" w:hAnsi="Bell MT"/>
          <w:sz w:val="24"/>
          <w:szCs w:val="24"/>
        </w:rPr>
        <w:t>On the issue of rulemaking and regulation, Mbengue and Schacherer</w:t>
      </w:r>
      <w:r w:rsidRPr="000949A5">
        <w:rPr>
          <w:rStyle w:val="FootnoteReference"/>
          <w:rFonts w:ascii="Bell MT" w:hAnsi="Bell MT"/>
          <w:sz w:val="24"/>
          <w:szCs w:val="24"/>
        </w:rPr>
        <w:footnoteReference w:id="180"/>
      </w:r>
      <w:r w:rsidRPr="000949A5">
        <w:rPr>
          <w:rFonts w:ascii="Bell MT" w:hAnsi="Bell MT"/>
          <w:sz w:val="24"/>
          <w:szCs w:val="24"/>
        </w:rPr>
        <w:t xml:space="preserve"> have opined that Africa are incrementally moving away from the role of consumers of investment law regimes </w:t>
      </w:r>
      <w:r w:rsidRPr="000949A5">
        <w:rPr>
          <w:rFonts w:ascii="Bell MT" w:hAnsi="Bell MT"/>
          <w:sz w:val="24"/>
          <w:szCs w:val="24"/>
        </w:rPr>
        <w:lastRenderedPageBreak/>
        <w:t xml:space="preserve">to makers of one through the Pan African Investment Code (PAIC) and other measures such as the South African investment court. The rule takers role is a consequence of the need for the attraction of FDI from the more developed countries of the world, hence there is unequal balance of powers during the negotiation of investment treaties. However, the roles are being reversed through the invention of modern investment treaties by the revolutionary measures of regional actors such as COMESA, EAC, ECOWAS, SADC among others. According to the authors, PAIC being the very first continental investment treaty irrespective of its non-binding nature is a useful guide towards enacting the investment chapter of the Continental Free Trade Agreement (CFTA). Therefore, its provisions should be better harmonised because most of it is a departure from traditional BIT routes and incorporates salient African realities. Consequentially, any future multilateral agreement should mirror the provisions of PAIC as it will enable the protection of investors whilst allowing African States and governments to effectively administer their Countries.  </w:t>
      </w:r>
    </w:p>
    <w:p w14:paraId="5E26CB74" w14:textId="77777777" w:rsidR="00804087" w:rsidRPr="000949A5" w:rsidRDefault="00804087" w:rsidP="00E23D81">
      <w:pPr>
        <w:spacing w:line="276" w:lineRule="auto"/>
        <w:jc w:val="both"/>
        <w:rPr>
          <w:rFonts w:ascii="Bell MT" w:hAnsi="Bell MT"/>
          <w:sz w:val="24"/>
          <w:szCs w:val="24"/>
        </w:rPr>
      </w:pPr>
      <w:r w:rsidRPr="000949A5">
        <w:rPr>
          <w:rFonts w:ascii="Bell MT" w:hAnsi="Bell MT"/>
          <w:sz w:val="24"/>
          <w:szCs w:val="24"/>
        </w:rPr>
        <w:t xml:space="preserve">In an effort towards effecting a common investment front, </w:t>
      </w:r>
      <w:proofErr w:type="spellStart"/>
      <w:r w:rsidRPr="000949A5">
        <w:rPr>
          <w:rFonts w:ascii="Bell MT" w:hAnsi="Bell MT"/>
          <w:sz w:val="24"/>
          <w:szCs w:val="24"/>
        </w:rPr>
        <w:t>Denters</w:t>
      </w:r>
      <w:proofErr w:type="spellEnd"/>
      <w:r w:rsidRPr="000949A5">
        <w:rPr>
          <w:rStyle w:val="FootnoteReference"/>
          <w:rFonts w:ascii="Bell MT" w:hAnsi="Bell MT"/>
          <w:sz w:val="24"/>
          <w:szCs w:val="24"/>
        </w:rPr>
        <w:footnoteReference w:id="181"/>
      </w:r>
      <w:r w:rsidRPr="000949A5">
        <w:rPr>
          <w:rFonts w:ascii="Bell MT" w:hAnsi="Bell MT"/>
          <w:sz w:val="24"/>
          <w:szCs w:val="24"/>
        </w:rPr>
        <w:t xml:space="preserve"> suggests that Africa need not look further as it possess an avalanche of regulator frameworks which are spearheaded by the </w:t>
      </w:r>
      <w:proofErr w:type="spellStart"/>
      <w:r w:rsidRPr="000949A5">
        <w:rPr>
          <w:rFonts w:ascii="Bell MT" w:hAnsi="Bell MT"/>
          <w:sz w:val="24"/>
          <w:szCs w:val="24"/>
        </w:rPr>
        <w:t>RECs.</w:t>
      </w:r>
      <w:proofErr w:type="spellEnd"/>
      <w:r w:rsidRPr="000949A5">
        <w:rPr>
          <w:rFonts w:ascii="Bell MT" w:hAnsi="Bell MT"/>
          <w:sz w:val="24"/>
          <w:szCs w:val="24"/>
        </w:rPr>
        <w:t xml:space="preserve"> Most of these regional rules contains novel provisions and initiatives which are in tandem with the concern of a section of the investment community on the ability of host states to regulate their countries whilst protecting investor rights. All that is required is integration and agreement by States within Africa as it will ‘boost the flow of foreign investment to and across Africa by simplifying and harmonizing the normative environment, and by enhancing the effectiveness and mobility of multinational companies’. Overall, these novel introductions and piecemeal departure from traditional BIT and ISDS standards are capable of erasing the concerns of stakeholders about the current BIT framework, thus may crystallise into rebalancing international investment law. </w:t>
      </w:r>
    </w:p>
    <w:p w14:paraId="1158082C" w14:textId="77777777" w:rsidR="00804087" w:rsidRPr="000949A5" w:rsidRDefault="00804087" w:rsidP="00E23D81">
      <w:pPr>
        <w:spacing w:line="276" w:lineRule="auto"/>
        <w:jc w:val="both"/>
        <w:rPr>
          <w:rFonts w:ascii="Bell MT" w:hAnsi="Bell MT"/>
          <w:sz w:val="24"/>
          <w:szCs w:val="24"/>
        </w:rPr>
      </w:pPr>
      <w:r w:rsidRPr="000949A5">
        <w:rPr>
          <w:rFonts w:ascii="Bell MT" w:hAnsi="Bell MT"/>
          <w:sz w:val="24"/>
          <w:szCs w:val="24"/>
        </w:rPr>
        <w:t>A RIC for Africa is possible because the novel inventions from some of the RECs which have shifted from investment protection to facilitation are a common derivative of the current narrative of International investment law.</w:t>
      </w:r>
      <w:r w:rsidRPr="000949A5">
        <w:rPr>
          <w:rStyle w:val="FootnoteReference"/>
          <w:rFonts w:ascii="Bell MT" w:hAnsi="Bell MT"/>
          <w:sz w:val="24"/>
          <w:szCs w:val="24"/>
        </w:rPr>
        <w:footnoteReference w:id="182"/>
      </w:r>
      <w:r w:rsidRPr="000949A5">
        <w:rPr>
          <w:rFonts w:ascii="Bell MT" w:hAnsi="Bell MT"/>
          <w:sz w:val="24"/>
          <w:szCs w:val="24"/>
        </w:rPr>
        <w:t xml:space="preserve"> As such, the facilitation of investment is good as it engender greater growth, flow of FDI and ‘should reduce transaction costs and obviate complex administrative procedures’ in investment administration. But, Notwithstanding the disbandment of the SADC tribunal, </w:t>
      </w:r>
      <w:proofErr w:type="spellStart"/>
      <w:r w:rsidRPr="000949A5">
        <w:rPr>
          <w:rFonts w:ascii="Bell MT" w:hAnsi="Bell MT"/>
          <w:sz w:val="24"/>
          <w:szCs w:val="24"/>
        </w:rPr>
        <w:t>Ofodile</w:t>
      </w:r>
      <w:proofErr w:type="spellEnd"/>
      <w:r w:rsidRPr="000949A5">
        <w:rPr>
          <w:rStyle w:val="FootnoteReference"/>
          <w:rFonts w:ascii="Bell MT" w:hAnsi="Bell MT"/>
          <w:sz w:val="24"/>
          <w:szCs w:val="24"/>
        </w:rPr>
        <w:footnoteReference w:id="183"/>
      </w:r>
      <w:r w:rsidRPr="000949A5">
        <w:rPr>
          <w:rFonts w:ascii="Bell MT" w:hAnsi="Bell MT"/>
          <w:sz w:val="24"/>
          <w:szCs w:val="24"/>
        </w:rPr>
        <w:t xml:space="preserve"> recommended that a multilateral treaty should be revisited by African States as it will help bolster their economies and attract more sustainable developing to the continent. In all instances, the BIT route cannot be conclusively envisaged to possessing any features that may make it susceptible to a reform, only a total denunciation and a paradigm shift towards an investment court system that will suffice in Africa’s bid to harnessing its huge potentials as well as attracting more FDI into its fold. </w:t>
      </w:r>
    </w:p>
    <w:p w14:paraId="793E2A17" w14:textId="77777777" w:rsidR="00804087" w:rsidRDefault="00804087" w:rsidP="00E23D81">
      <w:pPr>
        <w:spacing w:line="276" w:lineRule="auto"/>
        <w:jc w:val="both"/>
        <w:rPr>
          <w:rFonts w:ascii="Bell MT" w:hAnsi="Bell MT"/>
          <w:sz w:val="24"/>
          <w:szCs w:val="24"/>
          <w:u w:val="single"/>
        </w:rPr>
      </w:pPr>
    </w:p>
    <w:p w14:paraId="60E1B7B4" w14:textId="77777777" w:rsidR="00EC4051" w:rsidRPr="000949A5" w:rsidRDefault="00EC4051" w:rsidP="00E23D81">
      <w:pPr>
        <w:spacing w:line="276" w:lineRule="auto"/>
        <w:jc w:val="both"/>
        <w:rPr>
          <w:rFonts w:ascii="Bell MT" w:hAnsi="Bell MT"/>
          <w:sz w:val="24"/>
          <w:szCs w:val="24"/>
          <w:u w:val="single"/>
        </w:rPr>
      </w:pPr>
      <w:r w:rsidRPr="000949A5">
        <w:rPr>
          <w:rFonts w:ascii="Bell MT" w:hAnsi="Bell MT"/>
          <w:sz w:val="24"/>
          <w:szCs w:val="24"/>
          <w:u w:val="single"/>
        </w:rPr>
        <w:lastRenderedPageBreak/>
        <w:t>Research Originality</w:t>
      </w:r>
    </w:p>
    <w:p w14:paraId="4E515E44" w14:textId="77777777" w:rsidR="00EC4051" w:rsidRPr="000949A5" w:rsidRDefault="0020730F" w:rsidP="00E23D81">
      <w:pPr>
        <w:spacing w:line="276" w:lineRule="auto"/>
        <w:jc w:val="both"/>
        <w:rPr>
          <w:rFonts w:ascii="Bell MT" w:hAnsi="Bell MT"/>
          <w:sz w:val="24"/>
          <w:szCs w:val="24"/>
        </w:rPr>
      </w:pPr>
      <w:r w:rsidRPr="000949A5">
        <w:rPr>
          <w:rFonts w:ascii="Bell MT" w:hAnsi="Bell MT"/>
          <w:sz w:val="24"/>
          <w:szCs w:val="24"/>
        </w:rPr>
        <w:t>The introductory part above highlights incremental initiatives aimed at rebalance international investment law. In the context of Africa, there are novel progressive measures such as the CFTA, PAIC, COMESA CCIA and the South African investment law which are all geared towards enshrining progressive policies that will encapsulate local African realties towards finding a balance in investment law that will effectively protect investors whilst supporting the regulatory powers of host states to administer their countries. The ultimate objective of these developments is to infuse a court system that will replace the current ISDS which have been subjected to so much criticisms. Although several scholarships</w:t>
      </w:r>
      <w:r w:rsidR="00262DB2" w:rsidRPr="000949A5">
        <w:rPr>
          <w:rStyle w:val="FootnoteReference"/>
          <w:rFonts w:ascii="Bell MT" w:hAnsi="Bell MT"/>
          <w:sz w:val="24"/>
          <w:szCs w:val="24"/>
        </w:rPr>
        <w:footnoteReference w:id="184"/>
      </w:r>
      <w:r w:rsidRPr="000949A5">
        <w:rPr>
          <w:rFonts w:ascii="Bell MT" w:hAnsi="Bell MT"/>
          <w:sz w:val="24"/>
          <w:szCs w:val="24"/>
        </w:rPr>
        <w:t xml:space="preserve"> have called for the invention of a court system for Africa, however, the Achilles-heel of these moves have hinged on how to establish this court system as well as its functionality and operational nature. Thus, this research is the first of its kind </w:t>
      </w:r>
      <w:r w:rsidR="00BB1E8A" w:rsidRPr="000949A5">
        <w:rPr>
          <w:rFonts w:ascii="Bell MT" w:hAnsi="Bell MT"/>
          <w:sz w:val="24"/>
          <w:szCs w:val="24"/>
        </w:rPr>
        <w:t xml:space="preserve">to call and propose workable measures for the creation of a Regional Investment Court for Africa. </w:t>
      </w:r>
      <w:r w:rsidR="00A35147" w:rsidRPr="000949A5">
        <w:rPr>
          <w:rFonts w:ascii="Bell MT" w:hAnsi="Bell MT"/>
          <w:sz w:val="24"/>
          <w:szCs w:val="24"/>
        </w:rPr>
        <w:t xml:space="preserve"> Secondly, the African continent has </w:t>
      </w:r>
      <w:r w:rsidR="005E60B6" w:rsidRPr="000949A5">
        <w:rPr>
          <w:rFonts w:ascii="Bell MT" w:hAnsi="Bell MT"/>
          <w:sz w:val="24"/>
          <w:szCs w:val="24"/>
        </w:rPr>
        <w:t>experienced a wave of democratisation which was precipitated by the protests of 2014-2016, popularly dubbed as the Arab Spring, that swept across several African countries such as Egypt, Libya and Tunisia does impact on the governments of these countries.</w:t>
      </w:r>
      <w:r w:rsidR="005E60B6" w:rsidRPr="000949A5">
        <w:rPr>
          <w:rStyle w:val="FootnoteReference"/>
          <w:rFonts w:ascii="Bell MT" w:hAnsi="Bell MT"/>
          <w:sz w:val="24"/>
          <w:szCs w:val="24"/>
        </w:rPr>
        <w:footnoteReference w:id="185"/>
      </w:r>
      <w:r w:rsidR="005E60B6" w:rsidRPr="000949A5">
        <w:rPr>
          <w:rFonts w:ascii="Bell MT" w:hAnsi="Bell MT"/>
          <w:sz w:val="24"/>
          <w:szCs w:val="24"/>
        </w:rPr>
        <w:t xml:space="preserve"> Such political transitions possess all the trappings of investment claims for breaches of the provisions of IIAs by succeeding government.</w:t>
      </w:r>
      <w:r w:rsidR="005E60B6" w:rsidRPr="000949A5">
        <w:rPr>
          <w:rStyle w:val="FootnoteReference"/>
          <w:rFonts w:ascii="Bell MT" w:hAnsi="Bell MT"/>
          <w:sz w:val="24"/>
          <w:szCs w:val="24"/>
        </w:rPr>
        <w:footnoteReference w:id="186"/>
      </w:r>
      <w:r w:rsidR="005E60B6" w:rsidRPr="000949A5">
        <w:rPr>
          <w:rFonts w:ascii="Bell MT" w:hAnsi="Bell MT"/>
          <w:sz w:val="24"/>
          <w:szCs w:val="24"/>
        </w:rPr>
        <w:t xml:space="preserve"> For example, There was a reversal of a sale of a land by a minister under the Mubarak regime by an Egyptian court in the aftermath of the fall and deposition of the Mubarak regime.</w:t>
      </w:r>
      <w:r w:rsidR="005E60B6" w:rsidRPr="000949A5">
        <w:rPr>
          <w:rStyle w:val="FootnoteReference"/>
          <w:rFonts w:ascii="Bell MT" w:hAnsi="Bell MT"/>
          <w:sz w:val="24"/>
          <w:szCs w:val="24"/>
        </w:rPr>
        <w:footnoteReference w:id="187"/>
      </w:r>
      <w:r w:rsidR="00EB2DF3" w:rsidRPr="000949A5">
        <w:rPr>
          <w:rFonts w:ascii="Bell MT" w:hAnsi="Bell MT"/>
          <w:sz w:val="24"/>
          <w:szCs w:val="24"/>
        </w:rPr>
        <w:t xml:space="preserve"> Finally, African states are not insulated from the identified challenges of the ISDS. As an active player in the investment community, it also desires progressive policies and frameworks that will engender sustainable growth and development within is fold. It is argued herein that the creation of a RIC will be a step in the right direction towards achieving these objectives. In consequence, this intervention comes at a very auspicious time where the global investment community are at crossroads hinging on how to reform and achieve an international investment regime suitable for the contemporary times. Thus, this research endeavours to fill this gap in academic scholarship by investigating how a rebalance that will preserve the internal regulatory space of host States whilst enhancing the advancement of FDIs, aid the harmonisation and integration of African economies as well as promote the social prosperity of its people can be achieved.</w:t>
      </w:r>
    </w:p>
    <w:p w14:paraId="229A236F" w14:textId="77777777" w:rsidR="008D6C69" w:rsidRPr="000949A5" w:rsidRDefault="008D6C69" w:rsidP="00E23D81">
      <w:pPr>
        <w:spacing w:line="276" w:lineRule="auto"/>
        <w:jc w:val="both"/>
        <w:rPr>
          <w:rFonts w:ascii="Bell MT" w:hAnsi="Bell MT"/>
          <w:sz w:val="24"/>
          <w:szCs w:val="24"/>
        </w:rPr>
      </w:pPr>
    </w:p>
    <w:p w14:paraId="0E4E0CCE" w14:textId="77777777" w:rsidR="007416F8" w:rsidRPr="000949A5" w:rsidRDefault="007416F8" w:rsidP="00E23D81">
      <w:pPr>
        <w:spacing w:line="276" w:lineRule="auto"/>
        <w:jc w:val="both"/>
        <w:rPr>
          <w:rFonts w:ascii="Bell MT" w:hAnsi="Bell MT"/>
          <w:sz w:val="24"/>
          <w:szCs w:val="24"/>
        </w:rPr>
      </w:pPr>
    </w:p>
    <w:p w14:paraId="634DE625" w14:textId="77777777" w:rsidR="00A008E8" w:rsidRPr="000949A5" w:rsidRDefault="00A008E8" w:rsidP="00E23D81">
      <w:pPr>
        <w:spacing w:line="276" w:lineRule="auto"/>
        <w:jc w:val="both"/>
        <w:rPr>
          <w:rFonts w:ascii="Bell MT" w:hAnsi="Bell MT"/>
          <w:sz w:val="24"/>
          <w:szCs w:val="24"/>
          <w:u w:val="single"/>
        </w:rPr>
      </w:pPr>
      <w:r w:rsidRPr="000949A5">
        <w:rPr>
          <w:rFonts w:ascii="Bell MT" w:hAnsi="Bell MT"/>
          <w:sz w:val="24"/>
          <w:szCs w:val="24"/>
          <w:u w:val="single"/>
        </w:rPr>
        <w:t xml:space="preserve">Conclusion </w:t>
      </w:r>
    </w:p>
    <w:p w14:paraId="3E82F2D5" w14:textId="77777777" w:rsidR="00991B8F" w:rsidRPr="000949A5" w:rsidRDefault="00C96567" w:rsidP="00E23D81">
      <w:pPr>
        <w:spacing w:line="276" w:lineRule="auto"/>
        <w:jc w:val="both"/>
        <w:rPr>
          <w:rFonts w:ascii="Bell MT" w:hAnsi="Bell MT"/>
          <w:sz w:val="24"/>
          <w:szCs w:val="24"/>
        </w:rPr>
      </w:pPr>
      <w:r w:rsidRPr="000949A5">
        <w:rPr>
          <w:rFonts w:ascii="Bell MT" w:hAnsi="Bell MT"/>
          <w:sz w:val="24"/>
          <w:szCs w:val="24"/>
        </w:rPr>
        <w:t xml:space="preserve">This research has discussed all the issues underpinning the concerns over the current ISDS and the gradual shift to novel progressive policies of an Investment Court. Within an African context, there is available and credible moves which are championed by regional blocks into reforming international investment law that will protect the right of states to regulate their affairs whilst facilitating investment opportunities for investors. Hence, the study calls for the use of the regional and continental frameworks to institute an Investment Court for Africa which shall encompass the reverse of the working mechanisms of arbitration centres. Such call is made with the aim of using it as a lunch pad for more investment inflow and sustainable development in Africa. </w:t>
      </w:r>
    </w:p>
    <w:p w14:paraId="40AAA39B" w14:textId="77777777" w:rsidR="00C96567" w:rsidRPr="000949A5" w:rsidRDefault="00C96567" w:rsidP="00E23D81">
      <w:pPr>
        <w:spacing w:line="276" w:lineRule="auto"/>
        <w:jc w:val="both"/>
        <w:rPr>
          <w:rFonts w:ascii="Bell MT" w:hAnsi="Bell MT"/>
          <w:sz w:val="24"/>
          <w:szCs w:val="24"/>
        </w:rPr>
      </w:pPr>
    </w:p>
    <w:p w14:paraId="6D533D0F" w14:textId="77777777" w:rsidR="005D1723" w:rsidRPr="0094707F" w:rsidRDefault="005D1723" w:rsidP="00E23D81">
      <w:pPr>
        <w:spacing w:line="276" w:lineRule="auto"/>
        <w:jc w:val="both"/>
        <w:rPr>
          <w:rFonts w:ascii="Bell MT" w:hAnsi="Bell MT"/>
          <w:sz w:val="24"/>
          <w:szCs w:val="24"/>
        </w:rPr>
      </w:pPr>
    </w:p>
    <w:sectPr w:rsidR="005D1723" w:rsidRPr="0094707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3A470" w14:textId="77777777" w:rsidR="00A31F4A" w:rsidRDefault="00A31F4A" w:rsidP="009B39A3">
      <w:pPr>
        <w:spacing w:after="0" w:line="240" w:lineRule="auto"/>
      </w:pPr>
      <w:r>
        <w:separator/>
      </w:r>
    </w:p>
  </w:endnote>
  <w:endnote w:type="continuationSeparator" w:id="0">
    <w:p w14:paraId="503D8461" w14:textId="77777777" w:rsidR="00A31F4A" w:rsidRDefault="00A31F4A" w:rsidP="009B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aux ProLight">
    <w:altName w:val="Aaux ProLigh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ill-Roman">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dvPTimes">
    <w:panose1 w:val="00000000000000000000"/>
    <w:charset w:val="00"/>
    <w:family w:val="roman"/>
    <w:notTrueType/>
    <w:pitch w:val="default"/>
    <w:sig w:usb0="00000003" w:usb1="00000000" w:usb2="00000000" w:usb3="00000000" w:csb0="00000001" w:csb1="00000000"/>
  </w:font>
  <w:font w:name="Garamond-Italic">
    <w:altName w:val="Garamond"/>
    <w:panose1 w:val="00000000000000000000"/>
    <w:charset w:val="00"/>
    <w:family w:val="swiss"/>
    <w:notTrueType/>
    <w:pitch w:val="default"/>
    <w:sig w:usb0="00000003" w:usb1="00000000" w:usb2="00000000" w:usb3="00000000" w:csb0="00000001" w:csb1="00000000"/>
  </w:font>
  <w:font w:name="HelveticaNeueLTStd-Lt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541366"/>
      <w:docPartObj>
        <w:docPartGallery w:val="Page Numbers (Bottom of Page)"/>
        <w:docPartUnique/>
      </w:docPartObj>
    </w:sdtPr>
    <w:sdtEndPr>
      <w:rPr>
        <w:noProof/>
      </w:rPr>
    </w:sdtEndPr>
    <w:sdtContent>
      <w:p w14:paraId="030068B7" w14:textId="77777777" w:rsidR="00340D65" w:rsidRDefault="00340D65">
        <w:pPr>
          <w:pStyle w:val="Footer"/>
          <w:jc w:val="center"/>
        </w:pPr>
        <w:r w:rsidRPr="00340D65">
          <w:rPr>
            <w:rFonts w:ascii="Bell MT" w:hAnsi="Bell MT"/>
            <w:b/>
            <w:sz w:val="24"/>
            <w:szCs w:val="24"/>
          </w:rPr>
          <w:fldChar w:fldCharType="begin"/>
        </w:r>
        <w:r w:rsidRPr="00340D65">
          <w:rPr>
            <w:rFonts w:ascii="Bell MT" w:hAnsi="Bell MT"/>
            <w:b/>
            <w:sz w:val="24"/>
            <w:szCs w:val="24"/>
          </w:rPr>
          <w:instrText xml:space="preserve"> PAGE   \* MERGEFORMAT </w:instrText>
        </w:r>
        <w:r w:rsidRPr="00340D65">
          <w:rPr>
            <w:rFonts w:ascii="Bell MT" w:hAnsi="Bell MT"/>
            <w:b/>
            <w:sz w:val="24"/>
            <w:szCs w:val="24"/>
          </w:rPr>
          <w:fldChar w:fldCharType="separate"/>
        </w:r>
        <w:r w:rsidR="002F099C">
          <w:rPr>
            <w:rFonts w:ascii="Bell MT" w:hAnsi="Bell MT"/>
            <w:b/>
            <w:noProof/>
            <w:sz w:val="24"/>
            <w:szCs w:val="24"/>
          </w:rPr>
          <w:t>21</w:t>
        </w:r>
        <w:r w:rsidRPr="00340D65">
          <w:rPr>
            <w:rFonts w:ascii="Bell MT" w:hAnsi="Bell MT"/>
            <w:b/>
            <w:noProof/>
            <w:sz w:val="24"/>
            <w:szCs w:val="24"/>
          </w:rPr>
          <w:fldChar w:fldCharType="end"/>
        </w:r>
      </w:p>
    </w:sdtContent>
  </w:sdt>
  <w:p w14:paraId="41BDF36C" w14:textId="77777777" w:rsidR="00A775F8" w:rsidRDefault="00A77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9D869" w14:textId="77777777" w:rsidR="00A31F4A" w:rsidRDefault="00A31F4A" w:rsidP="009B39A3">
      <w:pPr>
        <w:spacing w:after="0" w:line="240" w:lineRule="auto"/>
      </w:pPr>
      <w:r>
        <w:separator/>
      </w:r>
    </w:p>
  </w:footnote>
  <w:footnote w:type="continuationSeparator" w:id="0">
    <w:p w14:paraId="6ABF9D47" w14:textId="77777777" w:rsidR="00A31F4A" w:rsidRDefault="00A31F4A" w:rsidP="009B39A3">
      <w:pPr>
        <w:spacing w:after="0" w:line="240" w:lineRule="auto"/>
      </w:pPr>
      <w:r>
        <w:continuationSeparator/>
      </w:r>
    </w:p>
  </w:footnote>
  <w:footnote w:id="1">
    <w:p w14:paraId="231792B5" w14:textId="77777777" w:rsidR="00B97918" w:rsidRPr="00862CA9" w:rsidRDefault="00B97918" w:rsidP="00B97918">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sz w:val="16"/>
          <w:szCs w:val="16"/>
        </w:rPr>
        <w:t xml:space="preserve"> </w:t>
      </w:r>
      <w:r w:rsidRPr="00150470">
        <w:rPr>
          <w:rFonts w:ascii="Bell MT" w:hAnsi="Bell MT" w:cs="Helvetica Neue LT Std"/>
          <w:sz w:val="16"/>
          <w:szCs w:val="16"/>
        </w:rPr>
        <w:t xml:space="preserve">Gus Van Harten, A Case for International Investment Court, Inaugural Conference of the Society for International Economic Law, (16 July 2008), 5-9. </w:t>
      </w:r>
    </w:p>
  </w:footnote>
  <w:footnote w:id="2">
    <w:p w14:paraId="5A63F49B" w14:textId="77777777" w:rsidR="00C765AB" w:rsidRPr="00862CA9" w:rsidRDefault="00C765AB" w:rsidP="00C765AB">
      <w:pPr>
        <w:autoSpaceDE w:val="0"/>
        <w:autoSpaceDN w:val="0"/>
        <w:adjustRightInd w:val="0"/>
        <w:spacing w:after="0" w:line="240" w:lineRule="auto"/>
        <w:jc w:val="both"/>
        <w:rPr>
          <w:rFonts w:ascii="Bell MT" w:hAnsi="Bell MT" w:cs="Arial"/>
          <w:sz w:val="16"/>
          <w:szCs w:val="16"/>
        </w:rPr>
      </w:pPr>
      <w:r w:rsidRPr="00862CA9">
        <w:rPr>
          <w:rStyle w:val="FootnoteReference"/>
          <w:rFonts w:ascii="Bell MT" w:hAnsi="Bell MT" w:cs="Arial"/>
          <w:sz w:val="16"/>
          <w:szCs w:val="16"/>
        </w:rPr>
        <w:footnoteRef/>
      </w:r>
      <w:r w:rsidRPr="00862CA9">
        <w:rPr>
          <w:rFonts w:ascii="Bell MT" w:hAnsi="Bell MT" w:cs="Arial"/>
          <w:sz w:val="16"/>
          <w:szCs w:val="16"/>
        </w:rPr>
        <w:t xml:space="preserve"> </w:t>
      </w:r>
      <w:r w:rsidRPr="00862CA9">
        <w:rPr>
          <w:rFonts w:ascii="Bell MT" w:eastAsia="Times New Roman" w:hAnsi="Bell MT" w:cs="Arial"/>
          <w:sz w:val="16"/>
          <w:szCs w:val="16"/>
          <w:lang w:eastAsia="en-GB"/>
        </w:rPr>
        <w:t xml:space="preserve">European Commission Conceptual paper, </w:t>
      </w:r>
      <w:r w:rsidRPr="00862CA9">
        <w:rPr>
          <w:rFonts w:ascii="Bell MT" w:eastAsia="Times New Roman" w:hAnsi="Bell MT" w:cs="Arial"/>
          <w:i/>
          <w:iCs/>
          <w:sz w:val="16"/>
          <w:szCs w:val="16"/>
          <w:lang w:eastAsia="en-GB"/>
        </w:rPr>
        <w:t xml:space="preserve">supra4 9. </w:t>
      </w:r>
    </w:p>
  </w:footnote>
  <w:footnote w:id="3">
    <w:p w14:paraId="47ABC9C1" w14:textId="77777777" w:rsidR="00C765AB" w:rsidRPr="00862CA9" w:rsidRDefault="00C765AB" w:rsidP="00C765A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European Commission, Transatlantic Trade and Investment </w:t>
      </w:r>
      <w:r w:rsidR="00FE3C99" w:rsidRPr="00862CA9">
        <w:rPr>
          <w:rFonts w:ascii="Bell MT" w:hAnsi="Bell MT"/>
          <w:sz w:val="16"/>
          <w:szCs w:val="16"/>
        </w:rPr>
        <w:t>Partnership between</w:t>
      </w:r>
      <w:r w:rsidRPr="00862CA9">
        <w:rPr>
          <w:rFonts w:ascii="Bell MT" w:hAnsi="Bell MT"/>
          <w:sz w:val="16"/>
          <w:szCs w:val="16"/>
        </w:rPr>
        <w:t xml:space="preserve"> the EU-US &lt;http://trade.ec.europa.eu/doclib/docs/2015/september/tradoc_153807.pdf </w:t>
      </w:r>
      <w:r w:rsidRPr="00862CA9">
        <w:rPr>
          <w:rFonts w:ascii="Bell MT" w:hAnsi="Bell MT"/>
          <w:sz w:val="16"/>
          <w:szCs w:val="16"/>
        </w:rPr>
        <w:t>&gt;  accessed 16 June 2017.</w:t>
      </w:r>
    </w:p>
  </w:footnote>
  <w:footnote w:id="4">
    <w:p w14:paraId="2467DD16" w14:textId="77777777" w:rsidR="00C765AB" w:rsidRPr="00862CA9" w:rsidRDefault="00C765AB" w:rsidP="00C765A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European Commission, EU-Vietnam FTA &lt;http://trade.ec.europa.eu/doclib/docs/2016/february/tradoc_154224.pdf &gt; accessed 16 June 2017.</w:t>
      </w:r>
    </w:p>
  </w:footnote>
  <w:footnote w:id="5">
    <w:p w14:paraId="3F996504" w14:textId="77777777" w:rsidR="00C765AB" w:rsidRPr="00862CA9" w:rsidRDefault="00C765AB" w:rsidP="00C765A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European Commission, EU-Canada CETA &lt;http://ec.europa.eu/trade/policy/in-focus/ceta/ceta-chapter-by-chapter &gt; accessed 16 June 2017.</w:t>
      </w:r>
    </w:p>
  </w:footnote>
  <w:footnote w:id="6">
    <w:p w14:paraId="7AC523FD" w14:textId="77777777" w:rsidR="00B97918" w:rsidRPr="00862CA9" w:rsidRDefault="00B97918" w:rsidP="00B97918">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The Unified Agreement was signed on 26 November 1980 in Amman, Jordan, and entered into force on 7 September 1981. </w:t>
      </w:r>
      <w:r w:rsidRPr="00862CA9">
        <w:rPr>
          <w:rFonts w:ascii="Bell MT" w:hAnsi="Bell MT"/>
          <w:sz w:val="16"/>
          <w:szCs w:val="16"/>
        </w:rPr>
        <w:t xml:space="preserve">Walid Ben Hamida, The development of the Arab Investment Court's case law: new decisions rendered by the Arab Investment Court (2014) </w:t>
      </w:r>
      <w:r w:rsidRPr="00862CA9">
        <w:rPr>
          <w:rFonts w:ascii="Bell MT" w:hAnsi="Bell MT"/>
          <w:iCs/>
          <w:sz w:val="16"/>
          <w:szCs w:val="16"/>
        </w:rPr>
        <w:t>International Journal of Arab Arbitration</w:t>
      </w:r>
      <w:r w:rsidRPr="00862CA9">
        <w:rPr>
          <w:rFonts w:ascii="Bell MT" w:hAnsi="Bell MT"/>
          <w:sz w:val="16"/>
          <w:szCs w:val="16"/>
        </w:rPr>
        <w:t xml:space="preserve">, 6, 12.  </w:t>
      </w:r>
    </w:p>
  </w:footnote>
  <w:footnote w:id="7">
    <w:p w14:paraId="7802A36F" w14:textId="77777777" w:rsidR="00361F83" w:rsidRPr="00862CA9" w:rsidRDefault="00361F83" w:rsidP="00361F83">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Gus Van </w:t>
      </w:r>
      <w:r w:rsidRPr="00862CA9">
        <w:rPr>
          <w:rFonts w:ascii="Bell MT" w:hAnsi="Bell MT"/>
          <w:sz w:val="16"/>
          <w:szCs w:val="16"/>
        </w:rPr>
        <w:t>Harten, Private authority and transnational governance: the contours of the international system of investor protection. (2005) Rev Int Political Econ 12:600, 600.</w:t>
      </w:r>
    </w:p>
  </w:footnote>
  <w:footnote w:id="8">
    <w:p w14:paraId="1844C35A" w14:textId="77777777" w:rsidR="00361F83" w:rsidRPr="00862CA9" w:rsidRDefault="00361F83" w:rsidP="00361F83">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Surya </w:t>
      </w:r>
      <w:r w:rsidRPr="00862CA9">
        <w:rPr>
          <w:rFonts w:ascii="Bell MT" w:hAnsi="Bell MT"/>
          <w:sz w:val="16"/>
          <w:szCs w:val="16"/>
        </w:rPr>
        <w:t>Subedi, International investment law: reconciling policy and principle.  (Hart Publishing, 2016) 172.</w:t>
      </w:r>
    </w:p>
  </w:footnote>
  <w:footnote w:id="9">
    <w:p w14:paraId="21070813" w14:textId="77777777" w:rsidR="00361F83" w:rsidRPr="00862CA9" w:rsidRDefault="00361F83" w:rsidP="00361F83">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Anthea Roberts, Clash of Paradigms: Actors and Analogies Shaping the Investment Treaty System (2013) 107 American Journal of International Law 45. Notably, in this article, as well as in her other work, Roberts herself does not draw the conclusion that ISDS is a ‘public law’ regime; she suggests that it is best seen as “sui generis”. p. 94. In other work, Roberts argues for the “hybrid” nature of investment treaties, see State-to-State Investment Treaty Arbitration: A Hybrid Theory of Interdependent Rights and Shared Interpretive Authority (2014) 55 Harvard International Law Journal 1; ‘Triangular Treaties: The Extent and Limits of Investment Treaty Rights’ (2015) 56(2) Harvard International Law Journal 353.  </w:t>
      </w:r>
    </w:p>
  </w:footnote>
  <w:footnote w:id="10">
    <w:p w14:paraId="25CD731B" w14:textId="77777777" w:rsidR="00361F83" w:rsidRDefault="00361F83">
      <w:pPr>
        <w:pStyle w:val="FootnoteText"/>
      </w:pPr>
      <w:r>
        <w:rPr>
          <w:rStyle w:val="FootnoteReference"/>
        </w:rPr>
        <w:footnoteRef/>
      </w:r>
      <w:r>
        <w:t xml:space="preserve"> </w:t>
      </w:r>
    </w:p>
  </w:footnote>
  <w:footnote w:id="11">
    <w:p w14:paraId="55C5A11C" w14:textId="77777777" w:rsidR="00A775F8" w:rsidRPr="00C145FA" w:rsidRDefault="00A775F8" w:rsidP="00E62C68">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Philip Morris Brands </w:t>
      </w:r>
      <w:r w:rsidRPr="00C145FA">
        <w:rPr>
          <w:rFonts w:ascii="Bell MT" w:hAnsi="Bell MT"/>
        </w:rPr>
        <w:t>Sàrl, Philip Morris Products S.A. and Abal Hermanos S.A. v. Oriental Republic of Uruguay, ICSID Case No. ARB/10/7 (formerly FTR Holding SA, Philip Morris Products S.A. and Abal Hermanos S.A. v. Oriental Republic of Uruguay) …. The company had sued the ground claiming that an anti-smoking legislation aimed at controlling the smoking of cigarette thereby enhancing the health of the citizens have breached its substantive protections granted in the Bilateral Investment Treaty between Uruguay and Switzerland</w:t>
      </w:r>
    </w:p>
  </w:footnote>
  <w:footnote w:id="12">
    <w:p w14:paraId="19C281E5" w14:textId="77777777" w:rsidR="00A775F8" w:rsidRPr="00C145FA" w:rsidRDefault="00A775F8" w:rsidP="00E62C68">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United Nations Conference on Trade and Development (UNCTAD), ‘International Investment Agreements Navigator’ &lt;http://investmentpolicyhub</w:t>
      </w:r>
    </w:p>
    <w:p w14:paraId="55FDF60C" w14:textId="77777777" w:rsidR="00A775F8" w:rsidRPr="00C145FA" w:rsidRDefault="00A775F8" w:rsidP="00E62C68">
      <w:pPr>
        <w:pStyle w:val="FootnoteText"/>
        <w:jc w:val="both"/>
        <w:rPr>
          <w:rFonts w:ascii="Bell MT" w:hAnsi="Bell MT"/>
        </w:rPr>
      </w:pPr>
      <w:r w:rsidRPr="00C145FA">
        <w:rPr>
          <w:rFonts w:ascii="Bell MT" w:hAnsi="Bell MT"/>
        </w:rPr>
        <w:t xml:space="preserve">.unctad.org/IIA&gt; accessed July 5 2017; This report shows that Africa holds about 81% of a total of 780 BITs with non-African countries whilst 17 States holds about two third percent of this ratio with five North African countries of Tunisia, Egypt, Morocco and Algeria holding the largest share.  </w:t>
      </w:r>
    </w:p>
  </w:footnote>
  <w:footnote w:id="13">
    <w:p w14:paraId="0AD50B9F"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sz w:val="16"/>
          <w:szCs w:val="16"/>
        </w:rPr>
        <w:t xml:space="preserve">UNCTAD, </w:t>
      </w:r>
      <w:r w:rsidRPr="00862CA9">
        <w:rPr>
          <w:rStyle w:val="Emphasis"/>
          <w:rFonts w:ascii="Bell MT" w:hAnsi="Bell MT"/>
          <w:sz w:val="16"/>
          <w:szCs w:val="16"/>
        </w:rPr>
        <w:t>Investor</w:t>
      </w:r>
      <w:r w:rsidRPr="00862CA9">
        <w:rPr>
          <w:rStyle w:val="st"/>
          <w:rFonts w:ascii="Bell MT" w:hAnsi="Bell MT"/>
          <w:sz w:val="16"/>
          <w:szCs w:val="16"/>
        </w:rPr>
        <w:t>-</w:t>
      </w:r>
      <w:r w:rsidRPr="00862CA9">
        <w:rPr>
          <w:rStyle w:val="Emphasis"/>
          <w:rFonts w:ascii="Bell MT" w:hAnsi="Bell MT"/>
          <w:sz w:val="16"/>
          <w:szCs w:val="16"/>
        </w:rPr>
        <w:t>State Dispute Settlement</w:t>
      </w:r>
      <w:r w:rsidRPr="00862CA9">
        <w:rPr>
          <w:rStyle w:val="st"/>
          <w:rFonts w:ascii="Bell MT" w:hAnsi="Bell MT"/>
          <w:sz w:val="16"/>
          <w:szCs w:val="16"/>
        </w:rPr>
        <w:t xml:space="preserve">: </w:t>
      </w:r>
      <w:r w:rsidRPr="00862CA9">
        <w:rPr>
          <w:rStyle w:val="Emphasis"/>
          <w:rFonts w:ascii="Bell MT" w:hAnsi="Bell MT"/>
          <w:sz w:val="16"/>
          <w:szCs w:val="16"/>
        </w:rPr>
        <w:t>Review of Developments</w:t>
      </w:r>
      <w:r w:rsidRPr="00862CA9">
        <w:rPr>
          <w:rStyle w:val="st"/>
          <w:rFonts w:ascii="Bell MT" w:hAnsi="Bell MT"/>
          <w:sz w:val="16"/>
          <w:szCs w:val="16"/>
        </w:rPr>
        <w:t xml:space="preserve"> in 2015</w:t>
      </w:r>
      <w:r w:rsidRPr="00862CA9">
        <w:rPr>
          <w:rFonts w:ascii="Bell MT" w:hAnsi="Bell MT"/>
          <w:sz w:val="16"/>
          <w:szCs w:val="16"/>
        </w:rPr>
        <w:t xml:space="preserve"> (</w:t>
      </w:r>
      <w:r w:rsidRPr="00862CA9">
        <w:rPr>
          <w:rFonts w:ascii="Bell MT" w:eastAsia="Times New Roman" w:hAnsi="Bell MT" w:cs="Times New Roman"/>
          <w:sz w:val="16"/>
          <w:szCs w:val="16"/>
        </w:rPr>
        <w:t xml:space="preserve">IIA Issue Note No 2, June 2016) 1. </w:t>
      </w:r>
    </w:p>
  </w:footnote>
  <w:footnote w:id="14">
    <w:p w14:paraId="2A2B7D66"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sz w:val="16"/>
          <w:szCs w:val="16"/>
        </w:rPr>
        <w:t xml:space="preserve">UNCTAD, </w:t>
      </w:r>
      <w:r w:rsidRPr="00862CA9">
        <w:rPr>
          <w:rStyle w:val="Emphasis"/>
          <w:rFonts w:ascii="Bell MT" w:hAnsi="Bell MT"/>
          <w:sz w:val="16"/>
          <w:szCs w:val="16"/>
        </w:rPr>
        <w:t>Investor</w:t>
      </w:r>
      <w:r w:rsidRPr="00862CA9">
        <w:rPr>
          <w:rStyle w:val="st"/>
          <w:rFonts w:ascii="Bell MT" w:hAnsi="Bell MT"/>
          <w:sz w:val="16"/>
          <w:szCs w:val="16"/>
        </w:rPr>
        <w:t>-</w:t>
      </w:r>
      <w:r w:rsidRPr="00862CA9">
        <w:rPr>
          <w:rStyle w:val="Emphasis"/>
          <w:rFonts w:ascii="Bell MT" w:hAnsi="Bell MT"/>
          <w:sz w:val="16"/>
          <w:szCs w:val="16"/>
        </w:rPr>
        <w:t>State Dispute Settlement</w:t>
      </w:r>
      <w:r w:rsidRPr="00862CA9">
        <w:rPr>
          <w:rStyle w:val="st"/>
          <w:rFonts w:ascii="Bell MT" w:hAnsi="Bell MT"/>
          <w:sz w:val="16"/>
          <w:szCs w:val="16"/>
        </w:rPr>
        <w:t xml:space="preserve">: </w:t>
      </w:r>
      <w:r w:rsidRPr="00862CA9">
        <w:rPr>
          <w:rStyle w:val="Emphasis"/>
          <w:rFonts w:ascii="Bell MT" w:hAnsi="Bell MT"/>
          <w:sz w:val="16"/>
          <w:szCs w:val="16"/>
        </w:rPr>
        <w:t>Review of Developments</w:t>
      </w:r>
      <w:r w:rsidRPr="00862CA9">
        <w:rPr>
          <w:rStyle w:val="st"/>
          <w:rFonts w:ascii="Bell MT" w:hAnsi="Bell MT"/>
          <w:sz w:val="16"/>
          <w:szCs w:val="16"/>
        </w:rPr>
        <w:t xml:space="preserve"> in 2015</w:t>
      </w:r>
      <w:r w:rsidRPr="00862CA9">
        <w:rPr>
          <w:rFonts w:ascii="Bell MT" w:hAnsi="Bell MT"/>
          <w:sz w:val="16"/>
          <w:szCs w:val="16"/>
        </w:rPr>
        <w:t xml:space="preserve"> (</w:t>
      </w:r>
      <w:r w:rsidRPr="00862CA9">
        <w:rPr>
          <w:rFonts w:ascii="Bell MT" w:eastAsia="Times New Roman" w:hAnsi="Bell MT" w:cs="Times New Roman"/>
          <w:sz w:val="16"/>
          <w:szCs w:val="16"/>
        </w:rPr>
        <w:t>IIA Issue Note No 2, June 2016) 1.</w:t>
      </w:r>
    </w:p>
  </w:footnote>
  <w:footnote w:id="15">
    <w:p w14:paraId="61767317" w14:textId="77777777" w:rsidR="007B1253" w:rsidRPr="00C145FA" w:rsidRDefault="007B1253" w:rsidP="007B1253">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UNCTAD, 'World Investment Report (WIR): Investor Nationality: Policy Challenges' 22 June 2016, Imprint: New York/Geneva, UN, 4</w:t>
      </w:r>
    </w:p>
  </w:footnote>
  <w:footnote w:id="16">
    <w:p w14:paraId="182A2CAC" w14:textId="77777777" w:rsidR="007B1253" w:rsidRPr="00C145FA" w:rsidRDefault="007B1253" w:rsidP="007B1253">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UNCTAD, 'World Investment Report (WIR): Investor Nationality: Policy Challenges' 22 June 2016, Imprint: New York/Geneva, UN, 36</w:t>
      </w:r>
    </w:p>
  </w:footnote>
  <w:footnote w:id="17">
    <w:p w14:paraId="25008ADE" w14:textId="77777777" w:rsidR="007B1253" w:rsidRPr="00C145FA" w:rsidRDefault="007B1253" w:rsidP="007B1253">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See Mary </w:t>
      </w:r>
      <w:r w:rsidRPr="00C145FA">
        <w:rPr>
          <w:rFonts w:ascii="Bell MT" w:hAnsi="Bell MT"/>
        </w:rPr>
        <w:t>Driemeier, ‘Do Bilateral Treaties Attract FDI? Only a Bit and They Could Bite’ (2003) World Bank Policy Research Working Paper 3121  &lt;http://documents.worldbank.org/curated/ en/113541468761706209/pdf/multi0page.pdf (accessed on July 5 2017) 1-36,  Mahembe Edmore, 'Foreign direct investment inflows and economic growth in SADC countries: a panel data approach' (2014) PhD thesis 1-150 http://uir.unisa.ac.za/bitstream/handle/10500/14232/dissertation_mahembe_e.pdf?sequence=1&amp;isAllowed=y (acessed on July 2015), United Nations Economic Commission for Africa (UNECA), ‘Foreign Direct Investment vs National Champions?: The Role of FDI and Domestic Firms in Catalyzing Structural Transformation in Eastern Africa’ Background Paper ECA/SRO-EA/ICE/2014/6 (18th Meeting of the Intergovernmental Committee of Experts (ICE), Kinshasa, 17–20 February 2014)</w:t>
      </w:r>
    </w:p>
  </w:footnote>
  <w:footnote w:id="18">
    <w:p w14:paraId="20DC2BF6"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Investor-State Dispute Settlement: Review of Developments in 2015 (IIA Issues Note No 2, June 2016) 2.</w:t>
      </w:r>
    </w:p>
  </w:footnote>
  <w:footnote w:id="19">
    <w:p w14:paraId="398F3085"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Investor-State Dispute Settlement: Review of Developments in 2015, (IIA Issues Note No 2, June 2016) 1. An additional 10 per cent of cases were discontinued, while in the remaining 2 per cent a breach was established but no damages awarded.</w:t>
      </w:r>
    </w:p>
  </w:footnote>
  <w:footnote w:id="20">
    <w:p w14:paraId="454521FA"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Investor-State Dispute Settlement: Review of Developments in 2015 (IIA Issues Note No 2, June 2016) 7.</w:t>
      </w:r>
    </w:p>
  </w:footnote>
  <w:footnote w:id="21">
    <w:p w14:paraId="08354E7D"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Investor-State Dispute Settlement: Review of Developments in 2015 (IIA Issues Note No 2, June 2016) 3.</w:t>
      </w:r>
    </w:p>
  </w:footnote>
  <w:footnote w:id="22">
    <w:p w14:paraId="0010BCA6"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UNECA, “Investment landscape in Africa” (E/ECA/CRCI/9/ Addis Ababa, 21 October 2015) 5.  </w:t>
      </w:r>
    </w:p>
  </w:footnote>
  <w:footnote w:id="23">
    <w:p w14:paraId="1D21D85D"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eastAsia="Times New Roman" w:hAnsi="Bell MT" w:cs="Times New Roman"/>
          <w:sz w:val="16"/>
          <w:szCs w:val="16"/>
        </w:rPr>
        <w:t xml:space="preserve"> ICSID, </w:t>
      </w:r>
      <w:r w:rsidRPr="00862CA9">
        <w:rPr>
          <w:rFonts w:ascii="Bell MT" w:eastAsia="Times New Roman" w:hAnsi="Bell MT" w:cs="Times New Roman"/>
          <w:sz w:val="16"/>
          <w:szCs w:val="16"/>
        </w:rPr>
        <w:t xml:space="preserve">The ICSID Caseload – Statistics, (Issue 2017-1), 12. </w:t>
      </w:r>
    </w:p>
  </w:footnote>
  <w:footnote w:id="24">
    <w:p w14:paraId="36763A22" w14:textId="77777777" w:rsidR="00EE2E94" w:rsidRPr="00862CA9" w:rsidRDefault="00EE2E94" w:rsidP="00EE2E94">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Uche Ewelukwa Ofodile, Africa and the System of Investor-State Dispute Settlement: To Reject or Not to Reject? (TDM 1, 2014), 2.2. </w:t>
      </w:r>
    </w:p>
  </w:footnote>
  <w:footnote w:id="25">
    <w:p w14:paraId="70A1035D" w14:textId="77777777" w:rsidR="00C72D2E" w:rsidRDefault="00C72D2E">
      <w:pPr>
        <w:pStyle w:val="FootnoteText"/>
      </w:pPr>
      <w:r>
        <w:rPr>
          <w:rStyle w:val="FootnoteReference"/>
        </w:rPr>
        <w:footnoteRef/>
      </w:r>
      <w:r>
        <w:t xml:space="preserve"> </w:t>
      </w:r>
      <w:r w:rsidR="00CA2BE4" w:rsidRPr="00862CA9">
        <w:rPr>
          <w:rFonts w:ascii="Bell MT" w:hAnsi="Bell MT"/>
          <w:sz w:val="16"/>
          <w:szCs w:val="16"/>
        </w:rPr>
        <w:t>For example, following the fall of the Mubarak government, an Egyptian court queried and reversed the sale of land by a former tourism minister to a foreign investor for a price below its market value</w:t>
      </w:r>
      <w:r w:rsidR="00CA2BE4" w:rsidRPr="00862CA9">
        <w:rPr>
          <w:rStyle w:val="Emphasis"/>
          <w:rFonts w:ascii="Bell MT" w:hAnsi="Bell MT"/>
          <w:sz w:val="16"/>
          <w:szCs w:val="16"/>
        </w:rPr>
        <w:t xml:space="preserve">. See Hussain </w:t>
      </w:r>
      <w:r w:rsidR="00CA2BE4" w:rsidRPr="00862CA9">
        <w:rPr>
          <w:rStyle w:val="Emphasis"/>
          <w:rFonts w:ascii="Bell MT" w:hAnsi="Bell MT"/>
          <w:sz w:val="16"/>
          <w:szCs w:val="16"/>
        </w:rPr>
        <w:t>Sajwani, DAMAC Park Avenue for Real Estate Development S.A.E., and DAMAC Gamsha Bay for Development S.A.E. v Arab Republic of Egypt</w:t>
      </w:r>
      <w:r w:rsidR="00CA2BE4" w:rsidRPr="00862CA9">
        <w:rPr>
          <w:rFonts w:ascii="Bell MT" w:hAnsi="Bell MT"/>
          <w:sz w:val="16"/>
          <w:szCs w:val="16"/>
        </w:rPr>
        <w:t xml:space="preserve">, ICSID Case No. ARB/11/16; </w:t>
      </w:r>
      <w:r w:rsidR="00CA2BE4" w:rsidRPr="00862CA9">
        <w:rPr>
          <w:rFonts w:ascii="Bell MT" w:hAnsi="Bell MT"/>
          <w:i/>
          <w:sz w:val="16"/>
          <w:szCs w:val="16"/>
        </w:rPr>
        <w:t>see</w:t>
      </w:r>
      <w:r w:rsidR="00CA2BE4" w:rsidRPr="00862CA9">
        <w:rPr>
          <w:rFonts w:ascii="Bell MT" w:hAnsi="Bell MT"/>
          <w:sz w:val="16"/>
          <w:szCs w:val="16"/>
        </w:rPr>
        <w:t xml:space="preserve"> also </w:t>
      </w:r>
      <w:r w:rsidR="00CA2BE4" w:rsidRPr="00862CA9">
        <w:rPr>
          <w:rStyle w:val="st"/>
          <w:rFonts w:ascii="Bell MT" w:hAnsi="Bell MT"/>
          <w:sz w:val="16"/>
          <w:szCs w:val="16"/>
        </w:rPr>
        <w:t xml:space="preserve">Jarrod </w:t>
      </w:r>
      <w:r w:rsidR="00CA2BE4" w:rsidRPr="00862CA9">
        <w:rPr>
          <w:rStyle w:val="Emphasis"/>
          <w:rFonts w:ascii="Bell MT" w:hAnsi="Bell MT"/>
          <w:sz w:val="16"/>
          <w:szCs w:val="16"/>
        </w:rPr>
        <w:t>Hepburn</w:t>
      </w:r>
      <w:r w:rsidR="00CA2BE4" w:rsidRPr="00862CA9">
        <w:rPr>
          <w:rStyle w:val="st"/>
          <w:rFonts w:ascii="Bell MT" w:hAnsi="Bell MT"/>
          <w:i/>
          <w:sz w:val="16"/>
          <w:szCs w:val="16"/>
        </w:rPr>
        <w:t xml:space="preserve"> </w:t>
      </w:r>
      <w:r w:rsidR="00CA2BE4" w:rsidRPr="00862CA9">
        <w:rPr>
          <w:rStyle w:val="st"/>
          <w:rFonts w:ascii="Bell MT" w:hAnsi="Bell MT"/>
          <w:sz w:val="16"/>
          <w:szCs w:val="16"/>
        </w:rPr>
        <w:t xml:space="preserve">and Luke E </w:t>
      </w:r>
      <w:r w:rsidR="00CA2BE4" w:rsidRPr="00862CA9">
        <w:rPr>
          <w:rStyle w:val="Emphasis"/>
          <w:rFonts w:ascii="Bell MT" w:hAnsi="Bell MT"/>
          <w:sz w:val="16"/>
          <w:szCs w:val="16"/>
        </w:rPr>
        <w:t>Peterson</w:t>
      </w:r>
      <w:r w:rsidR="00CA2BE4" w:rsidRPr="00862CA9">
        <w:rPr>
          <w:rFonts w:ascii="Bell MT" w:hAnsi="Bell MT"/>
          <w:sz w:val="16"/>
          <w:szCs w:val="16"/>
        </w:rPr>
        <w:t xml:space="preserve">, Panels Elected in ICSID Matters involving Moldova, Egypt, and the Central African Republic, </w:t>
      </w:r>
      <w:r w:rsidR="00CA2BE4" w:rsidRPr="00862CA9">
        <w:rPr>
          <w:rStyle w:val="Emphasis"/>
          <w:rFonts w:ascii="Bell MT" w:hAnsi="Bell MT"/>
          <w:sz w:val="16"/>
          <w:szCs w:val="16"/>
        </w:rPr>
        <w:t xml:space="preserve">IA Reporter </w:t>
      </w:r>
      <w:r w:rsidR="00CA2BE4" w:rsidRPr="00862CA9">
        <w:rPr>
          <w:rFonts w:ascii="Bell MT" w:hAnsi="Bell MT"/>
          <w:sz w:val="16"/>
          <w:szCs w:val="16"/>
        </w:rPr>
        <w:t xml:space="preserve">(12 January 2012).  </w:t>
      </w:r>
    </w:p>
  </w:footnote>
  <w:footnote w:id="26">
    <w:p w14:paraId="6C0AFEE5" w14:textId="77777777" w:rsidR="00CA2BE4" w:rsidRDefault="00CA2BE4">
      <w:pPr>
        <w:pStyle w:val="FootnoteText"/>
      </w:pPr>
      <w:r>
        <w:rPr>
          <w:rStyle w:val="FootnoteReference"/>
        </w:rPr>
        <w:footnoteRef/>
      </w:r>
      <w:r>
        <w:t xml:space="preserve"> </w:t>
      </w:r>
      <w:r w:rsidRPr="00862CA9">
        <w:rPr>
          <w:rFonts w:ascii="Bell MT" w:hAnsi="Bell MT"/>
          <w:i/>
          <w:sz w:val="16"/>
          <w:szCs w:val="16"/>
        </w:rPr>
        <w:t xml:space="preserve">Veolia </w:t>
      </w:r>
      <w:r w:rsidRPr="00862CA9">
        <w:rPr>
          <w:rFonts w:ascii="Bell MT" w:hAnsi="Bell MT"/>
          <w:i/>
          <w:sz w:val="16"/>
          <w:szCs w:val="16"/>
        </w:rPr>
        <w:t xml:space="preserve">Propreté </w:t>
      </w:r>
      <w:r w:rsidRPr="00862CA9">
        <w:rPr>
          <w:rFonts w:ascii="Bell MT" w:hAnsi="Bell MT"/>
          <w:sz w:val="16"/>
          <w:szCs w:val="16"/>
        </w:rPr>
        <w:t>v.</w:t>
      </w:r>
      <w:r w:rsidRPr="00862CA9">
        <w:rPr>
          <w:rFonts w:ascii="Bell MT" w:hAnsi="Bell MT"/>
          <w:i/>
          <w:sz w:val="16"/>
          <w:szCs w:val="16"/>
        </w:rPr>
        <w:t xml:space="preserve"> Arab Republic of Egypt</w:t>
      </w:r>
      <w:r w:rsidRPr="00862CA9">
        <w:rPr>
          <w:rFonts w:ascii="Bell MT" w:hAnsi="Bell MT"/>
          <w:sz w:val="16"/>
          <w:szCs w:val="16"/>
        </w:rPr>
        <w:t xml:space="preserve"> (ICSID Case No. ARB/12/15); see </w:t>
      </w:r>
      <w:r w:rsidRPr="00862CA9">
        <w:rPr>
          <w:rStyle w:val="st"/>
          <w:rFonts w:ascii="Bell MT" w:hAnsi="Bell MT"/>
          <w:sz w:val="16"/>
          <w:szCs w:val="16"/>
        </w:rPr>
        <w:t xml:space="preserve">Luke E </w:t>
      </w:r>
      <w:r w:rsidRPr="00862CA9">
        <w:rPr>
          <w:rStyle w:val="Emphasis"/>
          <w:rFonts w:ascii="Bell MT" w:hAnsi="Bell MT"/>
          <w:sz w:val="16"/>
          <w:szCs w:val="16"/>
        </w:rPr>
        <w:t>Peterson</w:t>
      </w:r>
      <w:r w:rsidRPr="00862CA9">
        <w:rPr>
          <w:rFonts w:ascii="Bell MT" w:hAnsi="Bell MT"/>
          <w:sz w:val="16"/>
          <w:szCs w:val="16"/>
        </w:rPr>
        <w:t xml:space="preserve">, French company, Veolia, launches claim against Egypt over terminated waste contract and labour wage stabilization promises” </w:t>
      </w:r>
      <w:r w:rsidRPr="00862CA9">
        <w:rPr>
          <w:rStyle w:val="Emphasis"/>
          <w:rFonts w:ascii="Bell MT" w:hAnsi="Bell MT"/>
          <w:sz w:val="16"/>
          <w:szCs w:val="16"/>
        </w:rPr>
        <w:t xml:space="preserve">IA Reporter </w:t>
      </w:r>
      <w:r w:rsidRPr="00862CA9">
        <w:rPr>
          <w:rFonts w:ascii="Bell MT" w:hAnsi="Bell MT"/>
          <w:sz w:val="16"/>
          <w:szCs w:val="16"/>
        </w:rPr>
        <w:t>(27 June 2012).</w:t>
      </w:r>
    </w:p>
  </w:footnote>
  <w:footnote w:id="27">
    <w:p w14:paraId="7CE1779F"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Eric De </w:t>
      </w:r>
      <w:r w:rsidRPr="00862CA9">
        <w:rPr>
          <w:rFonts w:ascii="Bell MT" w:hAnsi="Bell MT"/>
          <w:sz w:val="16"/>
          <w:szCs w:val="16"/>
        </w:rPr>
        <w:t xml:space="preserve">Brabandere, Fair and Equitable Treatment and (Full) Protection and Security in African Investment Treaties </w:t>
      </w:r>
      <w:r w:rsidRPr="00862CA9">
        <w:rPr>
          <w:rFonts w:ascii="Bell MT" w:hAnsi="Bell MT"/>
          <w:sz w:val="16"/>
          <w:szCs w:val="16"/>
        </w:rPr>
        <w:t>Between Generality and Contextual Specificity, JWT 18 (2017) 530, 536.</w:t>
      </w:r>
    </w:p>
  </w:footnote>
  <w:footnote w:id="28">
    <w:p w14:paraId="70B70645" w14:textId="77777777" w:rsidR="00C077A5" w:rsidRPr="00862CA9" w:rsidRDefault="00C077A5" w:rsidP="00C077A5">
      <w:pPr>
        <w:autoSpaceDE w:val="0"/>
        <w:autoSpaceDN w:val="0"/>
        <w:adjustRightInd w:val="0"/>
        <w:spacing w:after="0" w:line="240" w:lineRule="auto"/>
        <w:jc w:val="both"/>
        <w:rPr>
          <w:rFonts w:ascii="Bell MT" w:eastAsiaTheme="minorEastAsia" w:hAnsi="Bell MT"/>
          <w:sz w:val="16"/>
          <w:szCs w:val="16"/>
          <w:lang w:eastAsia="en-GB"/>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heme="minorEastAsia" w:hAnsi="Bell MT"/>
          <w:i/>
          <w:sz w:val="16"/>
          <w:szCs w:val="16"/>
          <w:lang w:eastAsia="en-GB"/>
        </w:rPr>
        <w:t xml:space="preserve">American Manufacturing &amp; Trading, </w:t>
      </w:r>
      <w:r w:rsidRPr="00862CA9">
        <w:rPr>
          <w:rFonts w:ascii="Bell MT" w:eastAsiaTheme="minorEastAsia" w:hAnsi="Bell MT"/>
          <w:i/>
          <w:sz w:val="16"/>
          <w:szCs w:val="16"/>
          <w:lang w:eastAsia="en-GB"/>
        </w:rPr>
        <w:t>Inc</w:t>
      </w:r>
      <w:r w:rsidRPr="00862CA9">
        <w:rPr>
          <w:rFonts w:ascii="Bell MT" w:eastAsiaTheme="minorEastAsia" w:hAnsi="Bell MT"/>
          <w:sz w:val="16"/>
          <w:szCs w:val="16"/>
          <w:lang w:eastAsia="en-GB"/>
        </w:rPr>
        <w:t xml:space="preserve"> v. </w:t>
      </w:r>
      <w:r w:rsidRPr="00862CA9">
        <w:rPr>
          <w:rFonts w:ascii="Bell MT" w:eastAsiaTheme="minorEastAsia" w:hAnsi="Bell MT"/>
          <w:i/>
          <w:sz w:val="16"/>
          <w:szCs w:val="16"/>
          <w:lang w:eastAsia="en-GB"/>
        </w:rPr>
        <w:t>Republic of Zaire</w:t>
      </w:r>
      <w:r w:rsidRPr="00862CA9">
        <w:rPr>
          <w:rFonts w:ascii="Bell MT" w:eastAsiaTheme="minorEastAsia" w:hAnsi="Bell MT"/>
          <w:sz w:val="16"/>
          <w:szCs w:val="16"/>
          <w:lang w:eastAsia="en-GB"/>
        </w:rPr>
        <w:t>, ICSID Case No</w:t>
      </w:r>
    </w:p>
    <w:p w14:paraId="38787A7B" w14:textId="77777777" w:rsidR="00C077A5" w:rsidRPr="00150470" w:rsidRDefault="00C077A5" w:rsidP="00C077A5">
      <w:pPr>
        <w:autoSpaceDE w:val="0"/>
        <w:autoSpaceDN w:val="0"/>
        <w:adjustRightInd w:val="0"/>
        <w:spacing w:after="0" w:line="240" w:lineRule="auto"/>
        <w:jc w:val="both"/>
        <w:rPr>
          <w:rFonts w:ascii="Bell MT" w:eastAsiaTheme="minorEastAsia" w:hAnsi="Bell MT"/>
          <w:sz w:val="16"/>
          <w:szCs w:val="16"/>
          <w:lang w:eastAsia="en-GB"/>
        </w:rPr>
      </w:pPr>
      <w:r w:rsidRPr="00862CA9">
        <w:rPr>
          <w:rFonts w:ascii="Bell MT" w:eastAsiaTheme="minorEastAsia" w:hAnsi="Bell MT"/>
          <w:sz w:val="16"/>
          <w:szCs w:val="16"/>
          <w:lang w:eastAsia="en-GB"/>
        </w:rPr>
        <w:t xml:space="preserve">ARB/93/1, Award (21 February 1997) and </w:t>
      </w:r>
      <w:r w:rsidRPr="00862CA9">
        <w:rPr>
          <w:rFonts w:ascii="Bell MT" w:eastAsiaTheme="minorEastAsia" w:hAnsi="Bell MT"/>
          <w:i/>
          <w:sz w:val="16"/>
          <w:szCs w:val="16"/>
          <w:lang w:eastAsia="en-GB"/>
        </w:rPr>
        <w:t>Wena Hotels Ltd</w:t>
      </w:r>
      <w:r w:rsidRPr="00862CA9">
        <w:rPr>
          <w:rFonts w:ascii="Bell MT" w:eastAsiaTheme="minorEastAsia" w:hAnsi="Bell MT"/>
          <w:sz w:val="16"/>
          <w:szCs w:val="16"/>
          <w:lang w:eastAsia="en-GB"/>
        </w:rPr>
        <w:t xml:space="preserve"> v. </w:t>
      </w:r>
      <w:r w:rsidRPr="00862CA9">
        <w:rPr>
          <w:rFonts w:ascii="Bell MT" w:eastAsiaTheme="minorEastAsia" w:hAnsi="Bell MT"/>
          <w:i/>
          <w:sz w:val="16"/>
          <w:szCs w:val="16"/>
          <w:lang w:eastAsia="en-GB"/>
        </w:rPr>
        <w:t>Arab Republic of Egypt</w:t>
      </w:r>
      <w:r w:rsidRPr="00862CA9">
        <w:rPr>
          <w:rFonts w:ascii="Bell MT" w:eastAsiaTheme="minorEastAsia" w:hAnsi="Bell MT"/>
          <w:sz w:val="16"/>
          <w:szCs w:val="16"/>
          <w:lang w:eastAsia="en-GB"/>
        </w:rPr>
        <w:t>, ICSID Case No ARB/98/4, Award (8 December 2000).</w:t>
      </w:r>
    </w:p>
  </w:footnote>
  <w:footnote w:id="29">
    <w:p w14:paraId="00FF8C71"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 xml:space="preserve">LESI </w:t>
      </w:r>
      <w:r w:rsidRPr="00862CA9">
        <w:rPr>
          <w:rFonts w:ascii="Bell MT" w:hAnsi="Bell MT"/>
          <w:i/>
          <w:sz w:val="16"/>
          <w:szCs w:val="16"/>
        </w:rPr>
        <w:t>SpA and ASTALDI SpA</w:t>
      </w:r>
      <w:r w:rsidRPr="00862CA9">
        <w:rPr>
          <w:rFonts w:ascii="Bell MT" w:hAnsi="Bell MT"/>
          <w:sz w:val="16"/>
          <w:szCs w:val="16"/>
        </w:rPr>
        <w:t xml:space="preserve"> v. </w:t>
      </w:r>
      <w:r w:rsidRPr="00862CA9">
        <w:rPr>
          <w:rFonts w:ascii="Bell MT" w:hAnsi="Bell MT"/>
          <w:i/>
          <w:sz w:val="16"/>
          <w:szCs w:val="16"/>
        </w:rPr>
        <w:t xml:space="preserve">République Algérienne Démocratique </w:t>
      </w:r>
      <w:r w:rsidRPr="00862CA9">
        <w:rPr>
          <w:rFonts w:ascii="Bell MT" w:hAnsi="Bell MT"/>
          <w:i/>
          <w:sz w:val="16"/>
          <w:szCs w:val="16"/>
        </w:rPr>
        <w:t>et Populaire</w:t>
      </w:r>
      <w:r w:rsidRPr="00862CA9">
        <w:rPr>
          <w:rFonts w:ascii="Bell MT" w:hAnsi="Bell MT"/>
          <w:sz w:val="16"/>
          <w:szCs w:val="16"/>
        </w:rPr>
        <w:t xml:space="preserve">, ICSID Case No ARB/05/3, Award (12 November 2008); </w:t>
      </w:r>
      <w:r w:rsidRPr="00862CA9">
        <w:rPr>
          <w:rFonts w:ascii="Bell MT" w:hAnsi="Bell MT"/>
          <w:i/>
          <w:sz w:val="16"/>
          <w:szCs w:val="16"/>
        </w:rPr>
        <w:t>Lundin Tunisia BV</w:t>
      </w:r>
      <w:r w:rsidRPr="00862CA9">
        <w:rPr>
          <w:rFonts w:ascii="Bell MT" w:hAnsi="Bell MT"/>
          <w:sz w:val="16"/>
          <w:szCs w:val="16"/>
        </w:rPr>
        <w:t xml:space="preserve"> v. </w:t>
      </w:r>
      <w:r w:rsidRPr="00862CA9">
        <w:rPr>
          <w:rFonts w:ascii="Bell MT" w:hAnsi="Bell MT"/>
          <w:i/>
          <w:sz w:val="16"/>
          <w:szCs w:val="16"/>
        </w:rPr>
        <w:t>Republic of Tunisia</w:t>
      </w:r>
      <w:r w:rsidRPr="00862CA9">
        <w:rPr>
          <w:rFonts w:ascii="Bell MT" w:hAnsi="Bell MT"/>
          <w:sz w:val="16"/>
          <w:szCs w:val="16"/>
        </w:rPr>
        <w:t>, ICSID Case No ARB/12/30, Award (22 December 2015).</w:t>
      </w:r>
    </w:p>
  </w:footnote>
  <w:footnote w:id="30">
    <w:p w14:paraId="66BB70AA" w14:textId="77777777" w:rsidR="00C077A5" w:rsidRPr="00862CA9" w:rsidRDefault="00C077A5" w:rsidP="00C077A5">
      <w:pPr>
        <w:autoSpaceDE w:val="0"/>
        <w:autoSpaceDN w:val="0"/>
        <w:adjustRightInd w:val="0"/>
        <w:spacing w:after="0" w:line="240" w:lineRule="auto"/>
        <w:jc w:val="both"/>
        <w:rPr>
          <w:rFonts w:ascii="Bell MT" w:eastAsiaTheme="minorEastAsia" w:hAnsi="Bell MT"/>
          <w:sz w:val="16"/>
          <w:szCs w:val="16"/>
          <w:lang w:eastAsia="en-GB"/>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heme="minorEastAsia" w:hAnsi="Bell MT"/>
          <w:sz w:val="16"/>
          <w:szCs w:val="16"/>
          <w:lang w:eastAsia="en-GB"/>
        </w:rPr>
        <w:t xml:space="preserve">For example, </w:t>
      </w:r>
      <w:r w:rsidRPr="00862CA9">
        <w:rPr>
          <w:rFonts w:ascii="Bell MT" w:eastAsiaTheme="minorEastAsia" w:hAnsi="Bell MT"/>
          <w:i/>
          <w:sz w:val="16"/>
          <w:szCs w:val="16"/>
          <w:lang w:eastAsia="en-GB"/>
        </w:rPr>
        <w:t>Asa International SpA</w:t>
      </w:r>
      <w:r w:rsidRPr="00862CA9">
        <w:rPr>
          <w:rFonts w:ascii="Bell MT" w:eastAsiaTheme="minorEastAsia" w:hAnsi="Bell MT"/>
          <w:sz w:val="16"/>
          <w:szCs w:val="16"/>
          <w:lang w:eastAsia="en-GB"/>
        </w:rPr>
        <w:t xml:space="preserve"> v. </w:t>
      </w:r>
      <w:r w:rsidRPr="00862CA9">
        <w:rPr>
          <w:rFonts w:ascii="Bell MT" w:eastAsiaTheme="minorEastAsia" w:hAnsi="Bell MT"/>
          <w:i/>
          <w:sz w:val="16"/>
          <w:szCs w:val="16"/>
          <w:lang w:eastAsia="en-GB"/>
        </w:rPr>
        <w:t>Arab Republic of Egypt</w:t>
      </w:r>
      <w:r w:rsidRPr="00862CA9">
        <w:rPr>
          <w:rFonts w:ascii="Bell MT" w:eastAsiaTheme="minorEastAsia" w:hAnsi="Bell MT"/>
          <w:sz w:val="16"/>
          <w:szCs w:val="16"/>
          <w:lang w:eastAsia="en-GB"/>
        </w:rPr>
        <w:t>, ICSID Case No ARB/13/23</w:t>
      </w:r>
    </w:p>
    <w:p w14:paraId="3FDE0AA4" w14:textId="77777777" w:rsidR="00C077A5" w:rsidRPr="00862CA9" w:rsidRDefault="00C077A5" w:rsidP="00C077A5">
      <w:pPr>
        <w:autoSpaceDE w:val="0"/>
        <w:autoSpaceDN w:val="0"/>
        <w:adjustRightInd w:val="0"/>
        <w:spacing w:after="0" w:line="240" w:lineRule="auto"/>
        <w:jc w:val="both"/>
        <w:rPr>
          <w:rFonts w:ascii="Bell MT" w:eastAsiaTheme="minorEastAsia" w:hAnsi="Bell MT"/>
          <w:sz w:val="16"/>
          <w:szCs w:val="16"/>
          <w:lang w:eastAsia="en-GB"/>
        </w:rPr>
      </w:pPr>
      <w:r w:rsidRPr="00862CA9">
        <w:rPr>
          <w:rFonts w:ascii="Bell MT" w:eastAsiaTheme="minorEastAsia" w:hAnsi="Bell MT"/>
          <w:sz w:val="16"/>
          <w:szCs w:val="16"/>
          <w:lang w:eastAsia="en-GB"/>
        </w:rPr>
        <w:t xml:space="preserve">(Registered 13 September 2013); </w:t>
      </w:r>
      <w:r w:rsidRPr="00862CA9">
        <w:rPr>
          <w:rFonts w:ascii="Bell MT" w:eastAsiaTheme="minorEastAsia" w:hAnsi="Bell MT"/>
          <w:i/>
          <w:sz w:val="16"/>
          <w:szCs w:val="16"/>
          <w:lang w:eastAsia="en-GB"/>
        </w:rPr>
        <w:t>Ampal-American Israel Corp. and others</w:t>
      </w:r>
      <w:r w:rsidRPr="00862CA9">
        <w:rPr>
          <w:rFonts w:ascii="Bell MT" w:eastAsiaTheme="minorEastAsia" w:hAnsi="Bell MT"/>
          <w:sz w:val="16"/>
          <w:szCs w:val="16"/>
          <w:lang w:eastAsia="en-GB"/>
        </w:rPr>
        <w:t xml:space="preserve"> v. A</w:t>
      </w:r>
      <w:r w:rsidRPr="00862CA9">
        <w:rPr>
          <w:rFonts w:ascii="Bell MT" w:eastAsiaTheme="minorEastAsia" w:hAnsi="Bell MT"/>
          <w:i/>
          <w:sz w:val="16"/>
          <w:szCs w:val="16"/>
          <w:lang w:eastAsia="en-GB"/>
        </w:rPr>
        <w:t>rab Republic of Egypt</w:t>
      </w:r>
      <w:r w:rsidRPr="00862CA9">
        <w:rPr>
          <w:rFonts w:ascii="Bell MT" w:eastAsiaTheme="minorEastAsia" w:hAnsi="Bell MT"/>
          <w:sz w:val="16"/>
          <w:szCs w:val="16"/>
          <w:lang w:eastAsia="en-GB"/>
        </w:rPr>
        <w:t xml:space="preserve">, ICSID Case No. ARB/12/11. </w:t>
      </w:r>
    </w:p>
  </w:footnote>
  <w:footnote w:id="31">
    <w:p w14:paraId="444B1590"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Andrew </w:t>
      </w:r>
      <w:r w:rsidRPr="00862CA9">
        <w:rPr>
          <w:rFonts w:ascii="Bell MT" w:hAnsi="Bell MT"/>
          <w:sz w:val="16"/>
          <w:szCs w:val="16"/>
        </w:rPr>
        <w:t>Newcombe and Lluis Paradell, Law and Practice of Investment Treaties: Standards of Treatment (Kluwer Law International 2009) 255.</w:t>
      </w:r>
    </w:p>
  </w:footnote>
  <w:footnote w:id="32">
    <w:p w14:paraId="0F8702F1"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As contained in Article 4(1) of the Italy-Egypt BIT, see </w:t>
      </w:r>
      <w:r w:rsidRPr="00862CA9">
        <w:rPr>
          <w:rFonts w:ascii="Bell MT" w:hAnsi="Bell MT"/>
          <w:i/>
          <w:sz w:val="16"/>
          <w:szCs w:val="16"/>
        </w:rPr>
        <w:t>Waguih Elie George Siag and Clorinda Vecchi</w:t>
      </w:r>
      <w:r w:rsidRPr="00862CA9">
        <w:rPr>
          <w:rFonts w:ascii="Bell MT" w:hAnsi="Bell MT"/>
          <w:sz w:val="16"/>
          <w:szCs w:val="16"/>
        </w:rPr>
        <w:t xml:space="preserve"> v. </w:t>
      </w:r>
      <w:r w:rsidRPr="00862CA9">
        <w:rPr>
          <w:rFonts w:ascii="Bell MT" w:hAnsi="Bell MT"/>
          <w:i/>
          <w:sz w:val="16"/>
          <w:szCs w:val="16"/>
        </w:rPr>
        <w:t>Arab Republic of Egypt</w:t>
      </w:r>
      <w:r w:rsidRPr="00862CA9">
        <w:rPr>
          <w:rFonts w:ascii="Bell MT" w:hAnsi="Bell MT"/>
          <w:sz w:val="16"/>
          <w:szCs w:val="16"/>
        </w:rPr>
        <w:t>, ICSID Case No ARB/05/15, Award (1 June 2009) paras 451–56.</w:t>
      </w:r>
    </w:p>
  </w:footnote>
  <w:footnote w:id="33">
    <w:p w14:paraId="498891EB"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On the impact of broad FET provision see Jacob Stone, Arbitrariness, the Fair and Equitable Treatment Standard, and the International Law of Investment, (2012) Leiden Journal of International Law 25, 82; Rudolf </w:t>
      </w:r>
      <w:r w:rsidRPr="00862CA9">
        <w:rPr>
          <w:rFonts w:ascii="Bell MT" w:hAnsi="Bell MT"/>
          <w:sz w:val="16"/>
          <w:szCs w:val="16"/>
        </w:rPr>
        <w:t xml:space="preserve">Dolzer, Fair and Equitable Treatment: Today’s Contours, (2013) Santa Clara Journal of International Law, 12(7), 16-31. On African perspective, see Eric De Brabandere, </w:t>
      </w:r>
      <w:r w:rsidRPr="00862CA9">
        <w:rPr>
          <w:rFonts w:ascii="Bell MT" w:hAnsi="Bell MT"/>
          <w:i/>
          <w:sz w:val="16"/>
          <w:szCs w:val="16"/>
        </w:rPr>
        <w:t xml:space="preserve">supra </w:t>
      </w:r>
      <w:r w:rsidRPr="00862CA9">
        <w:rPr>
          <w:rFonts w:ascii="Bell MT" w:hAnsi="Bell MT"/>
          <w:sz w:val="16"/>
          <w:szCs w:val="16"/>
        </w:rPr>
        <w:t xml:space="preserve">25. </w:t>
      </w:r>
    </w:p>
  </w:footnote>
  <w:footnote w:id="34">
    <w:p w14:paraId="1752D15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Vienna Convention on the Law of Treaties (adopted 22 May 1969, entered into force 27 January 1980) 1155 UNTS 331; VCLT hereafter) The VCLT applies only to treaties between States. Agreements involving international organizations are governed by the Vienna Convention on the Law of Treaties between States and International Organizations or between International Organizations (adopted 21 March 1986, not yet in force) [1986] 25 ILM 543. The first 72 Articles of the 1986 VCLT—regarded as reflecting customary international law— address the same subjects as Articles 1- 72 of the original VCLT. See generally, Arts. 31-32.  </w:t>
      </w:r>
    </w:p>
  </w:footnote>
  <w:footnote w:id="35">
    <w:p w14:paraId="5F34EE4F"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Cs/>
          <w:sz w:val="16"/>
          <w:szCs w:val="16"/>
          <w:lang w:val="en"/>
        </w:rPr>
        <w:t>Buffard Isbelle, James Crawford, Gerhard Hafner and Alain Pellet International law between universalism and fragmentation: festschrift in honour of Gerhard Hafner</w:t>
      </w:r>
      <w:r w:rsidRPr="00862CA9">
        <w:rPr>
          <w:rFonts w:ascii="Bell MT" w:hAnsi="Bell MT"/>
          <w:i/>
          <w:iCs/>
          <w:sz w:val="16"/>
          <w:szCs w:val="16"/>
          <w:lang w:val="en"/>
        </w:rPr>
        <w:t xml:space="preserve">. </w:t>
      </w:r>
      <w:r w:rsidRPr="00862CA9">
        <w:rPr>
          <w:rFonts w:ascii="Bell MT" w:hAnsi="Bell MT"/>
          <w:iCs/>
          <w:sz w:val="16"/>
          <w:szCs w:val="16"/>
          <w:lang w:val="en"/>
        </w:rPr>
        <w:t>(BRILL, 2008),</w:t>
      </w:r>
      <w:r w:rsidRPr="00862CA9">
        <w:rPr>
          <w:rStyle w:val="Heading4Char"/>
          <w:rFonts w:ascii="Bell MT" w:hAnsi="Bell MT" w:cs="Arial"/>
          <w:sz w:val="16"/>
          <w:szCs w:val="16"/>
        </w:rPr>
        <w:t xml:space="preserve"> </w:t>
      </w:r>
      <w:r w:rsidRPr="00862CA9">
        <w:rPr>
          <w:rStyle w:val="st1"/>
          <w:rFonts w:ascii="Bell MT" w:hAnsi="Bell MT" w:cs="Arial"/>
          <w:sz w:val="16"/>
          <w:szCs w:val="16"/>
        </w:rPr>
        <w:t>116.</w:t>
      </w:r>
    </w:p>
  </w:footnote>
  <w:footnote w:id="36">
    <w:p w14:paraId="0CA73D65"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Emphasis"/>
          <w:rFonts w:ascii="Bell MT" w:hAnsi="Bell MT"/>
          <w:sz w:val="16"/>
          <w:szCs w:val="16"/>
        </w:rPr>
        <w:t>UNCITRAL</w:t>
      </w:r>
      <w:r w:rsidRPr="00862CA9">
        <w:rPr>
          <w:rStyle w:val="st"/>
          <w:rFonts w:ascii="Bell MT" w:hAnsi="Bell MT"/>
          <w:sz w:val="16"/>
          <w:szCs w:val="16"/>
        </w:rPr>
        <w:t xml:space="preserve"> Arbitration </w:t>
      </w:r>
      <w:r w:rsidRPr="00862CA9">
        <w:rPr>
          <w:rStyle w:val="Emphasis"/>
          <w:rFonts w:ascii="Bell MT" w:hAnsi="Bell MT"/>
          <w:sz w:val="16"/>
          <w:szCs w:val="16"/>
        </w:rPr>
        <w:t>Rules</w:t>
      </w:r>
      <w:r w:rsidRPr="00862CA9">
        <w:rPr>
          <w:rStyle w:val="st"/>
          <w:rFonts w:ascii="Bell MT" w:hAnsi="Bell MT"/>
          <w:sz w:val="16"/>
          <w:szCs w:val="16"/>
        </w:rPr>
        <w:t xml:space="preserve"> (revised 2010) </w:t>
      </w:r>
      <w:r w:rsidRPr="00862CA9">
        <w:rPr>
          <w:rFonts w:ascii="Bell MT" w:hAnsi="Bell MT"/>
          <w:sz w:val="16"/>
          <w:szCs w:val="16"/>
        </w:rPr>
        <w:t>UN General Assembly Resolution (</w:t>
      </w:r>
      <w:r w:rsidRPr="00862CA9">
        <w:rPr>
          <w:rStyle w:val="st"/>
          <w:rFonts w:ascii="Bell MT" w:hAnsi="Bell MT"/>
          <w:sz w:val="16"/>
          <w:szCs w:val="16"/>
        </w:rPr>
        <w:t>A/RES/31/98); Unlike</w:t>
      </w:r>
      <w:r w:rsidRPr="00862CA9">
        <w:rPr>
          <w:rFonts w:ascii="Bell MT" w:hAnsi="Bell MT"/>
          <w:sz w:val="16"/>
          <w:szCs w:val="16"/>
        </w:rPr>
        <w:t xml:space="preserve"> ICSID and the ICSID Additional Facility, there is no dedicated institution associated with the administration of arbitrations pursuant to the UNCITRAL Arbitration Rules. However, the parties may agree that the services of an institution such as ICSID or the Permanent Court of Arbitration (</w:t>
      </w:r>
      <w:r w:rsidRPr="00862CA9">
        <w:rPr>
          <w:rStyle w:val="Strong"/>
          <w:rFonts w:ascii="Bell MT" w:hAnsi="Bell MT"/>
          <w:sz w:val="16"/>
          <w:szCs w:val="16"/>
        </w:rPr>
        <w:t>PCA</w:t>
      </w:r>
      <w:r w:rsidRPr="00862CA9">
        <w:rPr>
          <w:rFonts w:ascii="Bell MT" w:hAnsi="Bell MT"/>
          <w:sz w:val="16"/>
          <w:szCs w:val="16"/>
        </w:rPr>
        <w:t xml:space="preserve">) will be responsible for administering an </w:t>
      </w:r>
      <w:r w:rsidRPr="00862CA9">
        <w:rPr>
          <w:rFonts w:ascii="Bell MT" w:hAnsi="Bell MT"/>
          <w:i/>
          <w:sz w:val="16"/>
          <w:szCs w:val="16"/>
        </w:rPr>
        <w:t xml:space="preserve">ad hoc </w:t>
      </w:r>
      <w:r w:rsidRPr="00862CA9">
        <w:rPr>
          <w:rFonts w:ascii="Bell MT" w:hAnsi="Bell MT"/>
          <w:sz w:val="16"/>
          <w:szCs w:val="16"/>
        </w:rPr>
        <w:t>UNCITRAL arbitration.</w:t>
      </w:r>
    </w:p>
  </w:footnote>
  <w:footnote w:id="37">
    <w:p w14:paraId="06EB065D" w14:textId="77777777" w:rsidR="00C077A5" w:rsidRPr="00862CA9" w:rsidRDefault="00C077A5" w:rsidP="00C077A5">
      <w:pPr>
        <w:autoSpaceDE w:val="0"/>
        <w:autoSpaceDN w:val="0"/>
        <w:adjustRightInd w:val="0"/>
        <w:spacing w:after="0" w:line="240" w:lineRule="auto"/>
        <w:jc w:val="both"/>
        <w:rPr>
          <w:rFonts w:ascii="Bell MT" w:hAnsi="Bell MT" w:cs="Times New Roman"/>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st1"/>
          <w:rFonts w:ascii="Bell MT" w:hAnsi="Bell MT" w:cs="Arial"/>
          <w:i/>
          <w:sz w:val="16"/>
          <w:szCs w:val="16"/>
        </w:rPr>
        <w:t>Ronald S.</w:t>
      </w:r>
      <w:r w:rsidRPr="00862CA9">
        <w:rPr>
          <w:rStyle w:val="st1"/>
          <w:rFonts w:ascii="Bell MT" w:hAnsi="Bell MT" w:cs="Arial"/>
          <w:sz w:val="16"/>
          <w:szCs w:val="16"/>
        </w:rPr>
        <w:t xml:space="preserve"> </w:t>
      </w:r>
      <w:r w:rsidRPr="00862CA9">
        <w:rPr>
          <w:rStyle w:val="Emphasis"/>
          <w:rFonts w:ascii="Bell MT" w:hAnsi="Bell MT" w:cs="Arial"/>
          <w:sz w:val="16"/>
          <w:szCs w:val="16"/>
        </w:rPr>
        <w:t>Lauder v</w:t>
      </w:r>
      <w:r w:rsidRPr="00862CA9">
        <w:rPr>
          <w:rStyle w:val="st1"/>
          <w:rFonts w:ascii="Bell MT" w:hAnsi="Bell MT" w:cs="Arial"/>
          <w:i/>
          <w:sz w:val="16"/>
          <w:szCs w:val="16"/>
        </w:rPr>
        <w:t xml:space="preserve">. </w:t>
      </w:r>
      <w:r w:rsidRPr="00862CA9">
        <w:rPr>
          <w:rStyle w:val="st1"/>
          <w:rFonts w:ascii="Bell MT" w:hAnsi="Bell MT" w:cs="Arial"/>
          <w:sz w:val="16"/>
          <w:szCs w:val="16"/>
        </w:rPr>
        <w:t xml:space="preserve">The </w:t>
      </w:r>
      <w:r w:rsidRPr="00862CA9">
        <w:rPr>
          <w:rStyle w:val="Emphasis"/>
          <w:rFonts w:ascii="Bell MT" w:hAnsi="Bell MT" w:cs="Arial"/>
          <w:sz w:val="16"/>
          <w:szCs w:val="16"/>
        </w:rPr>
        <w:t>Czech Republic</w:t>
      </w:r>
      <w:r w:rsidRPr="00862CA9">
        <w:rPr>
          <w:rStyle w:val="st1"/>
          <w:rFonts w:ascii="Bell MT" w:hAnsi="Bell MT" w:cs="Arial"/>
          <w:sz w:val="16"/>
          <w:szCs w:val="16"/>
        </w:rPr>
        <w:t>, UNCITRAL. Final Award,</w:t>
      </w:r>
      <w:r w:rsidRPr="00862CA9">
        <w:rPr>
          <w:rStyle w:val="Heading4Char"/>
          <w:rFonts w:ascii="Bell MT" w:hAnsi="Bell MT" w:cs="Arial"/>
          <w:sz w:val="16"/>
          <w:szCs w:val="16"/>
        </w:rPr>
        <w:t xml:space="preserve"> </w:t>
      </w:r>
      <w:r w:rsidRPr="00862CA9">
        <w:rPr>
          <w:rStyle w:val="st1"/>
          <w:rFonts w:ascii="Bell MT" w:hAnsi="Bell MT" w:cs="Arial"/>
          <w:sz w:val="16"/>
          <w:szCs w:val="16"/>
        </w:rPr>
        <w:t>3 Sep 2001, see para 313 “</w:t>
      </w:r>
      <w:r w:rsidRPr="00862CA9">
        <w:rPr>
          <w:rFonts w:ascii="Bell MT" w:hAnsi="Bell MT" w:cs="Times New Roman"/>
          <w:sz w:val="16"/>
          <w:szCs w:val="16"/>
        </w:rPr>
        <w:t>In addition, the Arbitral Tribunal considers that none of the actions or inactions of the Media Council caused a direct or indirect damage to Mr. Lauder’s investment.”</w:t>
      </w:r>
      <w:r w:rsidRPr="00862CA9">
        <w:rPr>
          <w:rFonts w:ascii="Bell MT" w:hAnsi="Bell MT" w:cs="Arial"/>
          <w:b/>
          <w:bCs/>
          <w:sz w:val="16"/>
          <w:szCs w:val="16"/>
        </w:rPr>
        <w:t xml:space="preserve"> </w:t>
      </w:r>
      <w:r w:rsidRPr="00862CA9">
        <w:rPr>
          <w:rFonts w:ascii="Bell MT" w:hAnsi="Bell MT" w:cs="Arial"/>
          <w:bCs/>
          <w:i/>
          <w:sz w:val="16"/>
          <w:szCs w:val="16"/>
        </w:rPr>
        <w:t>CME Czech Republic</w:t>
      </w:r>
      <w:r w:rsidRPr="00862CA9">
        <w:rPr>
          <w:rFonts w:ascii="Bell MT" w:hAnsi="Bell MT" w:cs="Arial"/>
          <w:i/>
          <w:sz w:val="16"/>
          <w:szCs w:val="16"/>
        </w:rPr>
        <w:t xml:space="preserve"> BV</w:t>
      </w:r>
      <w:r w:rsidRPr="00862CA9">
        <w:rPr>
          <w:rFonts w:ascii="Bell MT" w:hAnsi="Bell MT" w:cs="Arial"/>
          <w:sz w:val="16"/>
          <w:szCs w:val="16"/>
        </w:rPr>
        <w:t xml:space="preserve"> </w:t>
      </w:r>
      <w:r w:rsidRPr="00862CA9">
        <w:rPr>
          <w:rFonts w:ascii="Bell MT" w:hAnsi="Bell MT" w:cs="Arial"/>
          <w:bCs/>
          <w:sz w:val="16"/>
          <w:szCs w:val="16"/>
        </w:rPr>
        <w:t xml:space="preserve">v. </w:t>
      </w:r>
      <w:r w:rsidRPr="00862CA9">
        <w:rPr>
          <w:rFonts w:ascii="Bell MT" w:hAnsi="Bell MT" w:cs="Arial"/>
          <w:bCs/>
          <w:i/>
          <w:sz w:val="16"/>
          <w:szCs w:val="16"/>
        </w:rPr>
        <w:t>Czech Republic</w:t>
      </w:r>
      <w:r w:rsidRPr="00862CA9">
        <w:rPr>
          <w:rFonts w:ascii="Bell MT" w:hAnsi="Bell MT" w:cs="Arial"/>
          <w:sz w:val="16"/>
          <w:szCs w:val="16"/>
        </w:rPr>
        <w:t xml:space="preserve">, Final award and separate opinion, (2006) 9 ICSID Rep 264, (2006) 9 ICSID Rep 412. </w:t>
      </w:r>
    </w:p>
  </w:footnote>
  <w:footnote w:id="38">
    <w:p w14:paraId="015FD9E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ICSID Convention, supra 4, art. 52.  </w:t>
      </w:r>
    </w:p>
  </w:footnote>
  <w:footnote w:id="39">
    <w:p w14:paraId="55365A23"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UNCITRAL Model Law on International Commercial Arbitration, </w:t>
      </w:r>
      <w:r w:rsidRPr="00862CA9">
        <w:rPr>
          <w:rFonts w:ascii="Bell MT" w:hAnsi="Bell MT"/>
          <w:i/>
          <w:sz w:val="16"/>
          <w:szCs w:val="16"/>
        </w:rPr>
        <w:t>supra</w:t>
      </w:r>
      <w:r w:rsidRPr="00862CA9">
        <w:rPr>
          <w:rFonts w:ascii="Bell MT" w:hAnsi="Bell MT"/>
          <w:sz w:val="16"/>
          <w:szCs w:val="16"/>
        </w:rPr>
        <w:t xml:space="preserve"> 34, art. 34(2).  </w:t>
      </w:r>
    </w:p>
  </w:footnote>
  <w:footnote w:id="40">
    <w:p w14:paraId="212CE2E9"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Typically, each party will select an arbitrator, and the third (often presiding) arbitrator, is selected by the mutual agreement of the parties. Pragmatically, parties choose individuals who they believe will offer the greatest chance of winning.</w:t>
      </w:r>
    </w:p>
  </w:footnote>
  <w:footnote w:id="41">
    <w:p w14:paraId="5209BCB1"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 xml:space="preserve">See generally </w:t>
      </w:r>
      <w:r w:rsidRPr="00862CA9">
        <w:rPr>
          <w:rFonts w:ascii="Bell MT" w:hAnsi="Bell MT"/>
          <w:sz w:val="16"/>
          <w:szCs w:val="16"/>
        </w:rPr>
        <w:t xml:space="preserve">Susan Franck, Conflating Politics and Development? Examining Investment Treaty Arbitration Outcomes, Virginia Journal of International Law, Vol. 55, 2014 p. 60-61 (analysing case outcomes over several years and noting that “the general trend was for states to win cases either at roughly equivalent levels to investors or at a slightly higher rate than investors”).    </w:t>
      </w:r>
    </w:p>
  </w:footnote>
  <w:footnote w:id="42">
    <w:p w14:paraId="5A98A70B"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Charles B. Rosenberg and M. </w:t>
      </w:r>
      <w:r w:rsidRPr="00862CA9">
        <w:rPr>
          <w:rFonts w:ascii="Bell MT" w:hAnsi="Bell MT"/>
          <w:sz w:val="16"/>
          <w:szCs w:val="16"/>
        </w:rPr>
        <w:t xml:space="preserve">Imad Khan, Who Should Regulate Counsel Conduct in International Arbitration? White &amp; Case LLP (April 14, 2016). </w:t>
      </w:r>
    </w:p>
  </w:footnote>
  <w:footnote w:id="43">
    <w:p w14:paraId="2D4D3B8C"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Sundaresh Menon (2012) Keynote Speech at the International Council for Commercial Arbitration &lt;</w:t>
      </w:r>
      <w:hyperlink r:id="rId1" w:tgtFrame="_blank" w:history="1">
        <w:r w:rsidRPr="00862CA9">
          <w:rPr>
            <w:rFonts w:ascii="Bell MT" w:hAnsi="Bell MT"/>
            <w:sz w:val="16"/>
            <w:szCs w:val="16"/>
            <w:u w:val="single"/>
          </w:rPr>
          <w:t>http://www.arbitration-icca.org/AV_Library/AV_Library_textformat/ICCA_2012_Singapore_Keynote_Menon.html</w:t>
        </w:r>
      </w:hyperlink>
      <w:r w:rsidRPr="00862CA9">
        <w:rPr>
          <w:rFonts w:ascii="Bell MT" w:hAnsi="Bell MT"/>
          <w:sz w:val="16"/>
          <w:szCs w:val="16"/>
        </w:rPr>
        <w:t xml:space="preserve">&gt;accessed 30 June 2017. </w:t>
      </w:r>
    </w:p>
  </w:footnote>
  <w:footnote w:id="44">
    <w:p w14:paraId="06F22894"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Sundaresh Memon, The transactional protection of private rights: issues, challenges and possible solutions (2015) Asian J Int Law 5:219–245. </w:t>
      </w:r>
    </w:p>
  </w:footnote>
  <w:footnote w:id="45">
    <w:p w14:paraId="130B6A85"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Gustavo </w:t>
      </w:r>
      <w:r w:rsidRPr="00862CA9">
        <w:rPr>
          <w:rFonts w:ascii="Bell MT" w:hAnsi="Bell MT"/>
          <w:sz w:val="16"/>
          <w:szCs w:val="16"/>
        </w:rPr>
        <w:t>Laborde, The Case for Host State Claims in Investment Arbitration, (2010) Journal of International Dispute Settlement, 1, 97;  see also EU Commission, Press Release, EU finalises proposal for investment protection and Court System for TTIP, 12 November 2015, &lt;http://europa.eu/rapid/press-release_IP-15-6059_en.htm&gt; accessed17 July 2017.</w:t>
      </w:r>
    </w:p>
  </w:footnote>
  <w:footnote w:id="46">
    <w:p w14:paraId="38021EFF"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cstheme="majorBidi"/>
          <w:sz w:val="16"/>
          <w:szCs w:val="16"/>
        </w:rPr>
        <w:t xml:space="preserve">See Suzanne A Spears, ‘The Quest for Policy Space in a New Generation of International Investment Agreements’ (2010)13 Journal of International Economic Law 1037, 1040; </w:t>
      </w:r>
      <w:r w:rsidRPr="00862CA9">
        <w:rPr>
          <w:rFonts w:ascii="Bell MT" w:hAnsi="Bell MT" w:cstheme="majorBidi"/>
          <w:sz w:val="16"/>
          <w:szCs w:val="16"/>
        </w:rPr>
        <w:t>Aikaterini Titi, ‘The Right to Regulate in International Investment Law’ (Hart Publishing, 2014) Chapter VII;  Lorenzo Cotula, ‘Do Investment Treaties Unduly Constrain Regulatory Space?’ (2014) Questions of International Law 9, 19; Joachim Karl, ‘International Investment Arbitration: A Threat to State Sovereignty?’ in Wenhua Shan, Penelope Simons and Dalvinder Singh (</w:t>
      </w:r>
      <w:r w:rsidRPr="00862CA9">
        <w:rPr>
          <w:rFonts w:ascii="Bell MT" w:hAnsi="Bell MT" w:cstheme="majorBidi"/>
          <w:sz w:val="16"/>
          <w:szCs w:val="16"/>
        </w:rPr>
        <w:t>eds), ‘Redefining Sovereignty in International Economic Law’ (Hart Publishing, 2008) 225.</w:t>
      </w:r>
    </w:p>
  </w:footnote>
  <w:footnote w:id="47">
    <w:p w14:paraId="446BFCB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Charles H Brower, Obstacles and Pathways to Consideration of the Public Interest in Investment Treaty Disputes, in: </w:t>
      </w:r>
      <w:r w:rsidRPr="00862CA9">
        <w:rPr>
          <w:rFonts w:ascii="Bell MT" w:hAnsi="Bell MT"/>
          <w:sz w:val="16"/>
          <w:szCs w:val="16"/>
        </w:rPr>
        <w:t>Sauvant (ed.), Yearbook on International Investment Law and Policy 2008–2009, (Oxford University Press, 2009) 356.</w:t>
      </w:r>
    </w:p>
  </w:footnote>
  <w:footnote w:id="48">
    <w:p w14:paraId="7DCA0D41"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Piero Foresti, Laura de Carli &amp; Others</w:t>
      </w:r>
      <w:r w:rsidRPr="00862CA9">
        <w:rPr>
          <w:rFonts w:ascii="Bell MT" w:hAnsi="Bell MT"/>
          <w:sz w:val="16"/>
          <w:szCs w:val="16"/>
        </w:rPr>
        <w:t xml:space="preserve"> v. </w:t>
      </w:r>
      <w:r w:rsidRPr="00862CA9">
        <w:rPr>
          <w:rFonts w:ascii="Bell MT" w:hAnsi="Bell MT"/>
          <w:i/>
          <w:sz w:val="16"/>
          <w:szCs w:val="16"/>
        </w:rPr>
        <w:t>The Republic of South Africa</w:t>
      </w:r>
      <w:r w:rsidRPr="00862CA9">
        <w:rPr>
          <w:rFonts w:ascii="Bell MT" w:hAnsi="Bell MT"/>
          <w:sz w:val="16"/>
          <w:szCs w:val="16"/>
        </w:rPr>
        <w:t xml:space="preserve">, ICSID Case No. </w:t>
      </w:r>
      <w:r w:rsidRPr="00862CA9">
        <w:rPr>
          <w:rFonts w:ascii="Bell MT" w:hAnsi="Bell MT"/>
          <w:sz w:val="16"/>
          <w:szCs w:val="16"/>
        </w:rPr>
        <w:t>ARB(AF)/07/01.</w:t>
      </w:r>
    </w:p>
  </w:footnote>
  <w:footnote w:id="49">
    <w:p w14:paraId="4B6B7996"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See</w:t>
      </w:r>
      <w:r w:rsidRPr="00862CA9">
        <w:rPr>
          <w:rFonts w:ascii="Bell MT" w:hAnsi="Bell MT"/>
          <w:sz w:val="16"/>
          <w:szCs w:val="16"/>
        </w:rPr>
        <w:t xml:space="preserve"> Xavier </w:t>
      </w:r>
      <w:r w:rsidRPr="00862CA9">
        <w:rPr>
          <w:rFonts w:ascii="Bell MT" w:hAnsi="Bell MT"/>
          <w:sz w:val="16"/>
          <w:szCs w:val="16"/>
        </w:rPr>
        <w:t>Carim, a former deputy director-general in South Africa’s Department of Trade and Industry Republic of South Africa, Bilateral Investment Treaty Policy Framework Review: Government Position Paper (June 2009),10; Xavier Carim. Lessons from South Africa’s BITs Review. Columbia FDI Perspectives No. 10: 25 November 2013.</w:t>
      </w:r>
    </w:p>
  </w:footnote>
  <w:footnote w:id="50">
    <w:p w14:paraId="75245CCF" w14:textId="77777777" w:rsidR="00263585" w:rsidRPr="000F0C49" w:rsidRDefault="00263585" w:rsidP="00263585">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Reciprocal Investment Promotion and Protection Agreement between The government of the Kingdom of Morocco and The Federal Republic of Nigeria (2016) </w:t>
      </w:r>
      <w:hyperlink r:id="rId2" w:history="1">
        <w:r w:rsidRPr="000F0C49">
          <w:rPr>
            <w:rStyle w:val="Hyperlink"/>
            <w:rFonts w:ascii="Bell MT" w:hAnsi="Bell MT"/>
          </w:rPr>
          <w:t>http://investmentpolicyhub.unctad.org/Download/TreatyFile/5409</w:t>
        </w:r>
      </w:hyperlink>
      <w:r w:rsidRPr="000F0C49">
        <w:rPr>
          <w:rFonts w:ascii="Bell MT" w:hAnsi="Bell MT"/>
        </w:rPr>
        <w:t xml:space="preserve">  (accessed on July 5 2017) 1-24</w:t>
      </w:r>
    </w:p>
  </w:footnote>
  <w:footnote w:id="51">
    <w:p w14:paraId="0F0971EE" w14:textId="77777777" w:rsidR="00263585" w:rsidRDefault="00263585" w:rsidP="00263585">
      <w:pPr>
        <w:pStyle w:val="FootnoteText"/>
      </w:pPr>
      <w:r>
        <w:rPr>
          <w:rStyle w:val="FootnoteReference"/>
        </w:rPr>
        <w:footnoteRef/>
      </w:r>
      <w:r>
        <w:t xml:space="preserve"> Ibid. 20 above, article 6(2) </w:t>
      </w:r>
    </w:p>
  </w:footnote>
  <w:footnote w:id="52">
    <w:p w14:paraId="78646D55" w14:textId="77777777" w:rsidR="00263585" w:rsidRDefault="00263585" w:rsidP="00263585">
      <w:pPr>
        <w:pStyle w:val="FootnoteText"/>
      </w:pPr>
      <w:r>
        <w:rPr>
          <w:rStyle w:val="FootnoteReference"/>
        </w:rPr>
        <w:footnoteRef/>
      </w:r>
      <w:r>
        <w:t xml:space="preserve"> </w:t>
      </w:r>
    </w:p>
  </w:footnote>
  <w:footnote w:id="53">
    <w:p w14:paraId="3FC346B9" w14:textId="77777777" w:rsidR="00263585" w:rsidRDefault="00263585" w:rsidP="00263585">
      <w:pPr>
        <w:pStyle w:val="FootnoteText"/>
      </w:pPr>
      <w:r>
        <w:rPr>
          <w:rStyle w:val="FootnoteReference"/>
        </w:rPr>
        <w:footnoteRef/>
      </w:r>
      <w:r>
        <w:t xml:space="preserve"> </w:t>
      </w:r>
    </w:p>
  </w:footnote>
  <w:footnote w:id="54">
    <w:p w14:paraId="417CEFF6" w14:textId="77777777" w:rsidR="00263585" w:rsidRDefault="00263585" w:rsidP="00263585">
      <w:pPr>
        <w:pStyle w:val="FootnoteText"/>
      </w:pPr>
      <w:r>
        <w:rPr>
          <w:rStyle w:val="FootnoteReference"/>
        </w:rPr>
        <w:footnoteRef/>
      </w:r>
      <w:r>
        <w:t xml:space="preserve"> Ibid 20 above, article 7 (a)(b)</w:t>
      </w:r>
    </w:p>
  </w:footnote>
  <w:footnote w:id="55">
    <w:p w14:paraId="710E9884" w14:textId="77777777" w:rsidR="00A775F8" w:rsidRPr="000F0C49" w:rsidRDefault="00A775F8" w:rsidP="000F0C49">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w:t>
      </w:r>
      <w:r w:rsidRPr="000F0C49">
        <w:rPr>
          <w:rFonts w:ascii="Bell MT" w:hAnsi="Bell MT"/>
        </w:rPr>
        <w:t>Ilmari Soininen, ‘The Continental Free Trade Area: What’s Going On?’ (24 October 2014) www.ictsd.org/bridges-news/bridges-africa/news/the-continental-free-trade-area</w:t>
      </w:r>
    </w:p>
    <w:p w14:paraId="57FDEC39" w14:textId="77777777" w:rsidR="00A775F8" w:rsidRPr="000F0C49" w:rsidRDefault="00A775F8" w:rsidP="000F0C49">
      <w:pPr>
        <w:pStyle w:val="FootnoteText"/>
        <w:jc w:val="both"/>
        <w:rPr>
          <w:rFonts w:ascii="Bell MT" w:hAnsi="Bell MT"/>
        </w:rPr>
      </w:pPr>
      <w:r w:rsidRPr="000F0C49">
        <w:rPr>
          <w:rFonts w:ascii="Bell MT" w:hAnsi="Bell MT"/>
        </w:rPr>
        <w:t>-whats-going-on (accessed 15 July 2017)</w:t>
      </w:r>
    </w:p>
  </w:footnote>
  <w:footnote w:id="56">
    <w:p w14:paraId="435C32AE" w14:textId="77777777" w:rsidR="00A775F8" w:rsidRPr="00EE5D29" w:rsidRDefault="00A775F8" w:rsidP="000F0C49">
      <w:pPr>
        <w:pStyle w:val="FootnoteText"/>
        <w:jc w:val="both"/>
      </w:pPr>
      <w:r w:rsidRPr="000F0C49">
        <w:rPr>
          <w:rStyle w:val="FootnoteReference"/>
          <w:rFonts w:ascii="Bell MT" w:hAnsi="Bell MT"/>
        </w:rPr>
        <w:footnoteRef/>
      </w:r>
      <w:r w:rsidRPr="000F0C49">
        <w:rPr>
          <w:rFonts w:ascii="Bell MT" w:hAnsi="Bell MT"/>
        </w:rPr>
        <w:t xml:space="preserve"> Pan-African Investment Code, 'Draft preamble' 26 March 2016 http://repository.uneca.org/bitstream/handle/10855/23009/b11560526.pdf?sequence=1 (accessed 5 July 2017) para 8</w:t>
      </w:r>
    </w:p>
  </w:footnote>
  <w:footnote w:id="57">
    <w:p w14:paraId="43110D3C" w14:textId="77777777" w:rsidR="003464FE" w:rsidRPr="00C145FA" w:rsidRDefault="003464FE" w:rsidP="003464FE">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Southern African Development Community (SADC), ‘protocol on Finance and Investment' (2006) http://www.sadc.int/files/4213/5332/6872/Protocol_on_Finance__Investment2006.pdf (accessed on July 5 2017) 1-112</w:t>
      </w:r>
    </w:p>
  </w:footnote>
  <w:footnote w:id="58">
    <w:p w14:paraId="00359057" w14:textId="77777777" w:rsidR="003464FE" w:rsidRPr="000F0C49" w:rsidRDefault="003464FE" w:rsidP="003464FE">
      <w:pPr>
        <w:pStyle w:val="FootnoteText"/>
        <w:jc w:val="both"/>
        <w:rPr>
          <w:rFonts w:ascii="Bell MT" w:hAnsi="Bell MT"/>
        </w:rPr>
      </w:pPr>
      <w:r w:rsidRPr="00C145FA">
        <w:rPr>
          <w:rStyle w:val="FootnoteReference"/>
          <w:rFonts w:ascii="Bell MT" w:hAnsi="Bell MT"/>
        </w:rPr>
        <w:footnoteRef/>
      </w:r>
      <w:r w:rsidRPr="00C145FA">
        <w:rPr>
          <w:rFonts w:ascii="Bell MT" w:hAnsi="Bell MT"/>
        </w:rPr>
        <w:t xml:space="preserve"> See generally; East African Community Legislative, 'Report of the committee on Communication, Trade and Investment in the workshop on Investment policies and strategies in EAC the region’ (2015) </w:t>
      </w:r>
      <w:hyperlink r:id="rId3" w:history="1">
        <w:r w:rsidRPr="000F0C49">
          <w:rPr>
            <w:rStyle w:val="Hyperlink"/>
            <w:rFonts w:ascii="Bell MT" w:hAnsi="Bell MT"/>
          </w:rPr>
          <w:t>http://www.eala.org/new/index.php/key-documents/reports/548-workshop-on-investment-policies-and-strategies-in-the-eac-region/file</w:t>
        </w:r>
      </w:hyperlink>
      <w:r w:rsidRPr="000F0C49">
        <w:rPr>
          <w:rFonts w:ascii="Bell MT" w:hAnsi="Bell MT"/>
        </w:rPr>
        <w:t xml:space="preserve"> (accessed on July 5 2017) 1-20 </w:t>
      </w:r>
    </w:p>
  </w:footnote>
  <w:footnote w:id="59">
    <w:p w14:paraId="21EF0F68" w14:textId="77777777" w:rsidR="003464FE" w:rsidRPr="000F0C49" w:rsidRDefault="003464FE" w:rsidP="003464FE">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COMESA, 'Investment Agreement For the COMESA Common Investment Area' (2007) http://investmentpolicyhub.unctad.org/Download/TreatyFile/3092 (accessed on July 5 2017) 1-37</w:t>
      </w:r>
    </w:p>
  </w:footnote>
  <w:footnote w:id="60">
    <w:p w14:paraId="6B2ECC4A" w14:textId="77777777" w:rsidR="003464FE" w:rsidRPr="000F0C49" w:rsidRDefault="003464FE" w:rsidP="003464FE">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Economic Community of West African States, 'Mid-year Meeting of National Approvals Committees on the ECOWAS Trade Liberalisation Scheme (2011), Accessed on July 5 2017, 1-11</w:t>
      </w:r>
    </w:p>
  </w:footnote>
  <w:footnote w:id="61">
    <w:p w14:paraId="7D60345B" w14:textId="77777777" w:rsidR="003464FE" w:rsidRPr="000F0C49" w:rsidRDefault="003464FE" w:rsidP="003464FE">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ECOWAS Supplementary Act on the Common Investment Rules (A/SA.3/12/08) http://investmentpolicyhub.unctad.org/Download/TreatyFile/3266 (Accessed on 5 July 2017) 1-25</w:t>
      </w:r>
    </w:p>
  </w:footnote>
  <w:footnote w:id="62">
    <w:p w14:paraId="6EC58277" w14:textId="77777777" w:rsidR="003464FE" w:rsidRPr="000F0C49" w:rsidRDefault="003464FE" w:rsidP="003464FE">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Trudi </w:t>
      </w:r>
      <w:r w:rsidRPr="000F0C49">
        <w:rPr>
          <w:rFonts w:ascii="Bell MT" w:hAnsi="Bell MT"/>
        </w:rPr>
        <w:t>Hartzenberg , 'Regional Integration in Africa' (2011) World Trade Organization Economic Research and Statistics Division Staff Working Paper ERSD-2011-14, 1-17, UNCTAD, 'African Continental Free Trade Area: Policy and Negotiation Options for Trade in Goods' (2016), Imprint: New York/Geneva, UN</w:t>
      </w:r>
    </w:p>
  </w:footnote>
  <w:footnote w:id="63">
    <w:p w14:paraId="2A2AEF5D" w14:textId="77777777" w:rsidR="003464FE" w:rsidRPr="000F0C49" w:rsidRDefault="003464FE" w:rsidP="003464FE">
      <w:pPr>
        <w:pStyle w:val="FootnoteText"/>
        <w:jc w:val="both"/>
        <w:rPr>
          <w:rFonts w:ascii="Bell MT" w:hAnsi="Bell MT"/>
        </w:rPr>
      </w:pPr>
      <w:r w:rsidRPr="000F0C49">
        <w:rPr>
          <w:rStyle w:val="FootnoteReference"/>
          <w:rFonts w:ascii="Bell MT" w:hAnsi="Bell MT"/>
        </w:rPr>
        <w:footnoteRef/>
      </w:r>
      <w:r w:rsidRPr="000F0C49">
        <w:rPr>
          <w:rFonts w:ascii="Bell MT" w:hAnsi="Bell MT"/>
        </w:rPr>
        <w:t xml:space="preserve"> Organisation of African Unity (Now African Union) Treaty establishing the African Economic Community (AEC) Abuja Treaty 1991 </w:t>
      </w:r>
      <w:hyperlink r:id="rId4" w:history="1">
        <w:r w:rsidRPr="000F0C49">
          <w:rPr>
            <w:rStyle w:val="Hyperlink"/>
            <w:rFonts w:ascii="Bell MT" w:hAnsi="Bell MT"/>
          </w:rPr>
          <w:t>http://www.wipo.int/wipolex/en/other_treaties/text.jsp?file_id=173333</w:t>
        </w:r>
      </w:hyperlink>
      <w:r w:rsidRPr="000F0C49">
        <w:rPr>
          <w:rFonts w:ascii="Bell MT" w:hAnsi="Bell MT"/>
        </w:rPr>
        <w:t xml:space="preserve"> (accessed on July 5 2017). Twenty-four Member states of the Common Market for Eastern and Southern Africa (COMESA), East African Community (EAC) and Southern African Development Community (SADC) have signed this agreement as at 10 June, 2015, The Continental Free Trade area: Making it work for Africa” (Policy Brief No.44, December 2015), African Union, 'Decision on the Report of the High Level African Trade Committee (HATC) on Trade Issues'</w:t>
      </w:r>
    </w:p>
  </w:footnote>
  <w:footnote w:id="64">
    <w:p w14:paraId="4C2D9E6C" w14:textId="77777777" w:rsidR="00A775F8" w:rsidRPr="00CA18E8" w:rsidRDefault="00A775F8" w:rsidP="00CA18E8">
      <w:pPr>
        <w:pStyle w:val="FootnoteText"/>
        <w:jc w:val="both"/>
        <w:rPr>
          <w:rFonts w:ascii="Bell MT" w:hAnsi="Bell MT"/>
        </w:rPr>
      </w:pPr>
      <w:r w:rsidRPr="00CA18E8">
        <w:rPr>
          <w:rStyle w:val="FootnoteReference"/>
          <w:rFonts w:ascii="Bell MT" w:hAnsi="Bell MT"/>
        </w:rPr>
        <w:footnoteRef/>
      </w:r>
      <w:r w:rsidRPr="00CA18E8">
        <w:rPr>
          <w:rFonts w:ascii="Bell MT" w:hAnsi="Bell MT"/>
        </w:rPr>
        <w:t xml:space="preserve"> South Africa Government Gazette, Protection of Investment Act, no. 22 of 2015 https://www.thedti.gov.za/gazzettes/39514.pdf (accessed on July 5 2017)</w:t>
      </w:r>
    </w:p>
  </w:footnote>
  <w:footnote w:id="65">
    <w:p w14:paraId="0D2374B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Jan </w:t>
      </w:r>
      <w:r w:rsidRPr="00862CA9">
        <w:rPr>
          <w:rFonts w:ascii="Bell MT" w:hAnsi="Bell MT"/>
          <w:sz w:val="16"/>
          <w:szCs w:val="16"/>
        </w:rPr>
        <w:t>Paulsson and Nigel Rawding, The trouble with confidentiality (1995) Arbitr Int 11:303, 303.</w:t>
      </w:r>
    </w:p>
  </w:footnote>
  <w:footnote w:id="66">
    <w:p w14:paraId="244093E0"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Furthermore, the UN invited signatures to its Transparency Convention in March 2015 which would allow States to apply the UNCITRAL Transparency Rules to BITs and IIAs that were negotiated before the Rules; see Esme </w:t>
      </w:r>
      <w:r w:rsidRPr="00862CA9">
        <w:rPr>
          <w:rFonts w:ascii="Bell MT" w:hAnsi="Bell MT"/>
          <w:sz w:val="16"/>
          <w:szCs w:val="16"/>
        </w:rPr>
        <w:t>Shirlow, A Step toward Greater Transparency: The UN Transparency Convention (Kluwer Arbitration Blog, 30 March 2015).</w:t>
      </w:r>
    </w:p>
  </w:footnote>
  <w:footnote w:id="67">
    <w:p w14:paraId="5C75CF97"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United Nations Convention on Transparency in Treaty-based Investor-State Arbitration (adopted 10 December 2014, opened for signature 17 March 2015, not yet in force) (‘Mauritius Convention’). </w:t>
      </w:r>
      <w:r w:rsidRPr="00862CA9">
        <w:rPr>
          <w:rFonts w:ascii="Bell MT" w:hAnsi="Bell MT"/>
          <w:i/>
          <w:sz w:val="16"/>
          <w:szCs w:val="16"/>
        </w:rPr>
        <w:t>See generally</w:t>
      </w:r>
      <w:r w:rsidRPr="00862CA9">
        <w:rPr>
          <w:rFonts w:ascii="Bell MT" w:hAnsi="Bell MT"/>
          <w:sz w:val="16"/>
          <w:szCs w:val="16"/>
        </w:rPr>
        <w:t xml:space="preserve"> </w:t>
      </w:r>
      <w:r w:rsidRPr="00862CA9">
        <w:rPr>
          <w:rFonts w:ascii="Bell MT" w:hAnsi="Bell MT"/>
          <w:sz w:val="16"/>
          <w:szCs w:val="16"/>
        </w:rPr>
        <w:t>Lise Johnson, The Mauritius Convention on Transparency: Comments on the treaty and its role in increasing transparency of investor-State arbitration (CCSI Policy Paper, September 2014).</w:t>
      </w:r>
    </w:p>
  </w:footnote>
  <w:footnote w:id="68">
    <w:p w14:paraId="2EA9BE2E"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Sheldon Leader, Human rights, risks, and new strategies for global investment (2006) J </w:t>
      </w:r>
      <w:r w:rsidRPr="00862CA9">
        <w:rPr>
          <w:rFonts w:ascii="Bell MT" w:hAnsi="Bell MT"/>
          <w:sz w:val="16"/>
          <w:szCs w:val="16"/>
        </w:rPr>
        <w:t>Int Econ Law 9:657, 684.</w:t>
      </w:r>
    </w:p>
  </w:footnote>
  <w:footnote w:id="69">
    <w:p w14:paraId="40F1BAE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Gus Van </w:t>
      </w:r>
      <w:r w:rsidRPr="00862CA9">
        <w:rPr>
          <w:rFonts w:ascii="Bell MT" w:hAnsi="Bell MT"/>
          <w:sz w:val="16"/>
          <w:szCs w:val="16"/>
        </w:rPr>
        <w:t>Harten, Private authority and transnational governance: the contours of the international system of investor protection. (2005) Rev Int Political Econ 12:600, 600.</w:t>
      </w:r>
    </w:p>
  </w:footnote>
  <w:footnote w:id="70">
    <w:p w14:paraId="149B5795"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Surya </w:t>
      </w:r>
      <w:r w:rsidRPr="00862CA9">
        <w:rPr>
          <w:rFonts w:ascii="Bell MT" w:hAnsi="Bell MT"/>
          <w:sz w:val="16"/>
          <w:szCs w:val="16"/>
        </w:rPr>
        <w:t>Subedi, International investment law: reconciling policy and principle.  (Hart Publishing, 2016) 172.</w:t>
      </w:r>
    </w:p>
  </w:footnote>
  <w:footnote w:id="71">
    <w:p w14:paraId="267B9CB0"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Anthea Roberts, Clash of Paradigms: Actors and Analogies Shaping the Investment Treaty System (2013) 107 American Journal of International Law 45. Notably, in this article, as well as in her other work, Roberts herself does not draw the conclusion that ISDS is a ‘public law’ regime; she suggests that it is best seen as “sui generis”. p. 94. In other work, Roberts argues for the “hybrid” nature of investment treaties, see State-to-State Investment Treaty Arbitration: A Hybrid Theory of Interdependent Rights and Shared Interpretive Authority (2014) 55 Harvard International Law Journal 1; ‘Triangular Treaties: The Extent and Limits of Investment Treaty Rights’ (2015) 56(2) Harvard International Law Journal 353.  </w:t>
      </w:r>
    </w:p>
  </w:footnote>
  <w:footnote w:id="72">
    <w:p w14:paraId="6F36D03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Clash of Paradigms: Actors and Analogies Shaping the Investment Treaty System, 47.  </w:t>
      </w:r>
    </w:p>
  </w:footnote>
  <w:footnote w:id="73">
    <w:p w14:paraId="24DDFA36"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i/>
          <w:sz w:val="16"/>
          <w:szCs w:val="16"/>
        </w:rPr>
        <w:t xml:space="preserve"> Ibid</w:t>
      </w:r>
      <w:r w:rsidRPr="00862CA9">
        <w:rPr>
          <w:rFonts w:ascii="Bell MT" w:hAnsi="Bell MT"/>
          <w:sz w:val="16"/>
          <w:szCs w:val="16"/>
        </w:rPr>
        <w:t xml:space="preserve">, ‘59–61. For the view that the most effective supranational forms of adjudication operationalize a principal-agent function between state principals and their adjudicator agents, see Eric Posner and John </w:t>
      </w:r>
      <w:r w:rsidRPr="00862CA9">
        <w:rPr>
          <w:rFonts w:ascii="Bell MT" w:hAnsi="Bell MT"/>
          <w:sz w:val="16"/>
          <w:szCs w:val="16"/>
        </w:rPr>
        <w:t xml:space="preserve">Yoo, A Theory of International Adjudication’ (2005) 93 California Law Review 1.  </w:t>
      </w:r>
    </w:p>
  </w:footnote>
  <w:footnote w:id="74">
    <w:p w14:paraId="72D4C0C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 xml:space="preserve">See generally </w:t>
      </w:r>
      <w:r w:rsidRPr="00862CA9">
        <w:rPr>
          <w:rFonts w:ascii="Bell MT" w:hAnsi="Bell MT"/>
          <w:sz w:val="16"/>
          <w:szCs w:val="16"/>
        </w:rPr>
        <w:t xml:space="preserve">Anthea Roberts, Clash of Paradigms: Actors and Analogies Shaping the Investment Treaty System, </w:t>
      </w:r>
      <w:r w:rsidRPr="00862CA9">
        <w:rPr>
          <w:rFonts w:ascii="Bell MT" w:hAnsi="Bell MT"/>
          <w:i/>
          <w:sz w:val="16"/>
          <w:szCs w:val="16"/>
        </w:rPr>
        <w:t xml:space="preserve">supra </w:t>
      </w:r>
      <w:r w:rsidRPr="00862CA9">
        <w:rPr>
          <w:rFonts w:ascii="Bell MT" w:hAnsi="Bell MT"/>
          <w:sz w:val="16"/>
          <w:szCs w:val="16"/>
        </w:rPr>
        <w:t xml:space="preserve">54, pp. 64 and 70–74 (discussing whether investor claimants are accorded their own independent rights).  </w:t>
      </w:r>
    </w:p>
  </w:footnote>
  <w:footnote w:id="75">
    <w:p w14:paraId="66F3B5D4"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45–46, and 78. </w:t>
      </w:r>
    </w:p>
  </w:footnote>
  <w:footnote w:id="76">
    <w:p w14:paraId="2E9380D3"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46, 58–63.  </w:t>
      </w:r>
    </w:p>
  </w:footnote>
  <w:footnote w:id="77">
    <w:p w14:paraId="6BC1ED53"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w:t>
      </w:r>
      <w:r w:rsidRPr="00862CA9">
        <w:rPr>
          <w:rFonts w:ascii="Bell MT" w:hAnsi="Bell MT" w:cs="Garamond"/>
          <w:sz w:val="16"/>
          <w:szCs w:val="16"/>
        </w:rPr>
        <w:t xml:space="preserve">66–67, 55 and 64. But see Stephan W. </w:t>
      </w:r>
      <w:r w:rsidRPr="00862CA9">
        <w:rPr>
          <w:rFonts w:ascii="Bell MT" w:hAnsi="Bell MT" w:cs="Garamond"/>
          <w:sz w:val="16"/>
          <w:szCs w:val="16"/>
        </w:rPr>
        <w:t xml:space="preserve">Schill, Deference in Investment Treaty Arbitration: Re-conceptualizing the Standard of Review (2012) 3:3 Journal of International Dispute Resolution 577 (agreeing that </w:t>
      </w:r>
      <w:r w:rsidRPr="00862CA9">
        <w:rPr>
          <w:rFonts w:ascii="Bell MT" w:hAnsi="Bell MT" w:cs="Garamond"/>
          <w:i/>
          <w:iCs/>
          <w:sz w:val="16"/>
          <w:szCs w:val="16"/>
        </w:rPr>
        <w:t xml:space="preserve">in dubio mitus </w:t>
      </w:r>
      <w:r w:rsidRPr="00862CA9">
        <w:rPr>
          <w:rFonts w:ascii="Bell MT" w:hAnsi="Bell MT" w:cs="Garamond"/>
          <w:sz w:val="16"/>
          <w:szCs w:val="16"/>
        </w:rPr>
        <w:t xml:space="preserve">would violate the principle of the equality of the parties but rejecting it as inconsistent with textual demands of IIAs).  </w:t>
      </w:r>
    </w:p>
  </w:footnote>
  <w:footnote w:id="78">
    <w:p w14:paraId="09BA7EB8"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Bruno </w:t>
      </w:r>
      <w:r w:rsidRPr="00862CA9">
        <w:rPr>
          <w:rFonts w:ascii="Bell MT" w:hAnsi="Bell MT"/>
          <w:sz w:val="16"/>
          <w:szCs w:val="16"/>
        </w:rPr>
        <w:t xml:space="preserve">Simma and Dirk Pulkowski, Of Planets and the Universe: Self-Contained Regimes in International Law (2006) 17 European Journal of International Law 483; Bruno Simma and Theodore Kill, ‘Harmonizing Investment Protection and International Human Rights: First Steps Towards a Methodology,’ in Christina Binder and others (eds) </w:t>
      </w:r>
      <w:r w:rsidRPr="00862CA9">
        <w:rPr>
          <w:rFonts w:ascii="Bell MT" w:hAnsi="Bell MT"/>
          <w:i/>
          <w:iCs/>
          <w:sz w:val="16"/>
          <w:szCs w:val="16"/>
        </w:rPr>
        <w:t xml:space="preserve">International Investment Law for the 21st Century: Essays in Honour of Christoph Schreur </w:t>
      </w:r>
      <w:r w:rsidRPr="00862CA9">
        <w:rPr>
          <w:rFonts w:ascii="Bell MT" w:hAnsi="Bell MT"/>
          <w:sz w:val="16"/>
          <w:szCs w:val="16"/>
        </w:rPr>
        <w:t>(Oxford University Press, 2009).</w:t>
      </w:r>
    </w:p>
  </w:footnote>
  <w:footnote w:id="79">
    <w:p w14:paraId="529C0C2B"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This means a particularly fulsome application of Article 31(3</w:t>
      </w:r>
      <w:r w:rsidRPr="00862CA9">
        <w:rPr>
          <w:rFonts w:ascii="Bell MT" w:hAnsi="Bell MT"/>
          <w:sz w:val="16"/>
          <w:szCs w:val="16"/>
        </w:rPr>
        <w:t>)(c) of the Vienna Convention on the Law of Treaties (VCLT). For the view that this part of the VCT should be used as such a tool for de-fragmentation, see Campbell McLachlan, The Principle of Systemic Integration and Article 31(3)(c) of the Vienna Convention (2005) 54 International Law and Comparative Law Quarterly 279.</w:t>
      </w:r>
    </w:p>
  </w:footnote>
  <w:footnote w:id="80">
    <w:p w14:paraId="478BB7B8"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See generally</w:t>
      </w:r>
      <w:r w:rsidRPr="00862CA9">
        <w:rPr>
          <w:rFonts w:ascii="Bell MT" w:hAnsi="Bell MT"/>
          <w:sz w:val="16"/>
          <w:szCs w:val="16"/>
        </w:rPr>
        <w:t xml:space="preserve"> </w:t>
      </w:r>
      <w:r w:rsidRPr="00862CA9">
        <w:rPr>
          <w:rFonts w:ascii="Bell MT" w:hAnsi="Bell MT"/>
          <w:sz w:val="16"/>
          <w:szCs w:val="16"/>
        </w:rPr>
        <w:t xml:space="preserve">Anthea Roberts, Clash of Paradigms: Actors and Analogies Shaping the Investment Treaty System, </w:t>
      </w:r>
      <w:r w:rsidRPr="00862CA9">
        <w:rPr>
          <w:rFonts w:ascii="Bell MT" w:hAnsi="Bell MT"/>
          <w:i/>
          <w:sz w:val="16"/>
          <w:szCs w:val="16"/>
        </w:rPr>
        <w:t>supra</w:t>
      </w:r>
      <w:r w:rsidRPr="00862CA9">
        <w:rPr>
          <w:rFonts w:ascii="Bell MT" w:hAnsi="Bell MT"/>
          <w:sz w:val="16"/>
          <w:szCs w:val="16"/>
        </w:rPr>
        <w:t xml:space="preserve"> 44, pp.50–52 (discussing the role of the Vienna Convention on the Law of Treaties and other public international law regimes). </w:t>
      </w:r>
    </w:p>
  </w:footnote>
  <w:footnote w:id="81">
    <w:p w14:paraId="5613EF79"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65–66. </w:t>
      </w:r>
    </w:p>
  </w:footnote>
  <w:footnote w:id="82">
    <w:p w14:paraId="55D6E8CC"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69–74.  </w:t>
      </w:r>
    </w:p>
  </w:footnote>
  <w:footnote w:id="83">
    <w:p w14:paraId="30ADACE8"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70–74. This helps to explain the common tendency, often praised, to draw from WTO law in the interpretation of investment law. See Valentina </w:t>
      </w:r>
      <w:r w:rsidRPr="00862CA9">
        <w:rPr>
          <w:rFonts w:ascii="Bell MT" w:hAnsi="Bell MT"/>
          <w:sz w:val="16"/>
          <w:szCs w:val="16"/>
        </w:rPr>
        <w:t xml:space="preserve">Vadi, </w:t>
      </w:r>
      <w:r w:rsidRPr="00862CA9">
        <w:rPr>
          <w:rFonts w:ascii="Bell MT" w:hAnsi="Bell MT"/>
          <w:i/>
          <w:iCs/>
          <w:sz w:val="16"/>
          <w:szCs w:val="16"/>
        </w:rPr>
        <w:t xml:space="preserve">Analogies in International Investment Law and Arbitration </w:t>
      </w:r>
      <w:r w:rsidRPr="00862CA9">
        <w:rPr>
          <w:rFonts w:ascii="Bell MT" w:hAnsi="Bell MT"/>
          <w:sz w:val="16"/>
          <w:szCs w:val="16"/>
        </w:rPr>
        <w:t xml:space="preserve">(Cambridge University Press, 2016) 209–217.  </w:t>
      </w:r>
    </w:p>
  </w:footnote>
  <w:footnote w:id="84">
    <w:p w14:paraId="11CF0F1C"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Stephen </w:t>
      </w:r>
      <w:r w:rsidRPr="00862CA9">
        <w:rPr>
          <w:rFonts w:ascii="Bell MT" w:hAnsi="Bell MT"/>
          <w:sz w:val="16"/>
          <w:szCs w:val="16"/>
        </w:rPr>
        <w:t xml:space="preserve">Schill’s </w:t>
      </w:r>
      <w:r w:rsidRPr="00862CA9">
        <w:rPr>
          <w:rFonts w:ascii="Bell MT" w:hAnsi="Bell MT"/>
          <w:i/>
          <w:iCs/>
          <w:sz w:val="16"/>
          <w:szCs w:val="16"/>
        </w:rPr>
        <w:t xml:space="preserve">The Multilateralization of International Investment Law </w:t>
      </w:r>
      <w:r w:rsidRPr="00862CA9">
        <w:rPr>
          <w:rFonts w:ascii="Bell MT" w:hAnsi="Bell MT"/>
          <w:sz w:val="16"/>
          <w:szCs w:val="16"/>
        </w:rPr>
        <w:t>(Cambridge University Press, 2009) Chapters 3 &amp; 4.</w:t>
      </w:r>
    </w:p>
  </w:footnote>
  <w:footnote w:id="85">
    <w:p w14:paraId="4F835BF2" w14:textId="77777777" w:rsidR="00C077A5" w:rsidRPr="00862CA9" w:rsidRDefault="00C077A5" w:rsidP="00C077A5">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UNGA, Report of the Independent Expert on the Promotion of a Democratic and Equitable International Order, Alfred-Maurice de </w:t>
      </w:r>
      <w:r w:rsidRPr="00862CA9">
        <w:rPr>
          <w:rFonts w:ascii="Bell MT" w:hAnsi="Bell MT"/>
          <w:sz w:val="16"/>
          <w:szCs w:val="16"/>
        </w:rPr>
        <w:t>Zayas’ (14 July 2015) UN Doc A/HRC/30/44 (de Zayas Report hereafter) para 15.</w:t>
      </w:r>
    </w:p>
  </w:footnote>
  <w:footnote w:id="86">
    <w:p w14:paraId="7D6B2448"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Joost Pauwelyn, </w:t>
      </w:r>
      <w:r w:rsidRPr="00862CA9">
        <w:rPr>
          <w:rFonts w:ascii="Bell MT" w:hAnsi="Bell MT"/>
          <w:sz w:val="16"/>
          <w:szCs w:val="16"/>
        </w:rPr>
        <w:t>At the edge of chaos? Foreign investment law as a complex adaptive system, how it emerged and how it can be reformed. (2014) ICSID Rev 29:372, 372.</w:t>
      </w:r>
    </w:p>
  </w:footnote>
  <w:footnote w:id="87">
    <w:p w14:paraId="125BE867"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Eric </w:t>
      </w:r>
      <w:r w:rsidRPr="00862CA9">
        <w:rPr>
          <w:rFonts w:ascii="Bell MT" w:hAnsi="Bell MT"/>
          <w:sz w:val="16"/>
          <w:szCs w:val="16"/>
        </w:rPr>
        <w:t xml:space="preserve">Neumayer and Laura Spess, Do bilateral investment treaties increase foreign direct investment to developing countries? (2005) World Dev 33:1567, 1567; Jason </w:t>
      </w:r>
      <w:r w:rsidRPr="00862CA9">
        <w:rPr>
          <w:rFonts w:ascii="Bell MT" w:hAnsi="Bell MT"/>
          <w:sz w:val="16"/>
          <w:szCs w:val="16"/>
        </w:rPr>
        <w:t>Yackee , Do bilateral investment treaties promote foreign direct investment? Some hints from alternative evidence. (2010)Va J Int Law 51:397, 397; Clint Peinhardt and Todd Allee, Failure to deliver: the investment effects of US preferential economic agreements. (2012) World Econ 35:757, 757; Srividya Jandhyala and Robert Weiner, Institutions sans frontieres: international agreements and foreign investment. (2014) J Int Bus Stud 45:649, 649.</w:t>
      </w:r>
    </w:p>
  </w:footnote>
  <w:footnote w:id="88">
    <w:p w14:paraId="6AEF6FD6"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Tarcisio </w:t>
      </w:r>
      <w:r w:rsidRPr="00862CA9">
        <w:rPr>
          <w:rFonts w:ascii="Bell MT" w:hAnsi="Bell MT"/>
          <w:sz w:val="16"/>
          <w:szCs w:val="16"/>
        </w:rPr>
        <w:t>Gazzini, Bilateral investment treaties. In: Tarcisio Gazzini, Eric De Brabandere (</w:t>
      </w:r>
      <w:r w:rsidRPr="00862CA9">
        <w:rPr>
          <w:rFonts w:ascii="Bell MT" w:hAnsi="Bell MT"/>
          <w:sz w:val="16"/>
          <w:szCs w:val="16"/>
        </w:rPr>
        <w:t>eds) International investment law: The sources of rights and obligations. (2012) Martinus Nijhoff, Leiden,113.</w:t>
      </w:r>
    </w:p>
  </w:footnote>
  <w:footnote w:id="89">
    <w:p w14:paraId="7EA25C53"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For a discussion on the negotiation of the PAIC, </w:t>
      </w:r>
      <w:r w:rsidRPr="00862CA9">
        <w:rPr>
          <w:rFonts w:ascii="Bell MT" w:hAnsi="Bell MT"/>
          <w:i/>
          <w:sz w:val="16"/>
          <w:szCs w:val="16"/>
        </w:rPr>
        <w:t>see generally</w:t>
      </w:r>
      <w:r w:rsidRPr="00862CA9">
        <w:rPr>
          <w:rFonts w:ascii="Bell MT" w:hAnsi="Bell MT"/>
          <w:sz w:val="16"/>
          <w:szCs w:val="16"/>
        </w:rPr>
        <w:t xml:space="preserve"> </w:t>
      </w:r>
      <w:r w:rsidRPr="00862CA9">
        <w:rPr>
          <w:rFonts w:ascii="Bell MT" w:hAnsi="Bell MT"/>
          <w:sz w:val="16"/>
          <w:szCs w:val="16"/>
        </w:rPr>
        <w:t>Makane Moïse Mbengue and Stefanie Schacherer, The ‘Africanization’ of International Investment Law: The Pan-African Investment Code and the Reform of the International Investment Regime (2017) JWT 18 493–529.</w:t>
      </w:r>
    </w:p>
  </w:footnote>
  <w:footnote w:id="90">
    <w:p w14:paraId="35BCD876"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Ibid, 442. See also SADC recommends the exclusion of ISDS, SADC Model Bilateral Investment Treaty Template with C</w:t>
      </w:r>
      <w:r>
        <w:rPr>
          <w:rFonts w:ascii="Bell MT" w:hAnsi="Bell MT"/>
          <w:sz w:val="16"/>
          <w:szCs w:val="16"/>
        </w:rPr>
        <w:t xml:space="preserve">ommentary (2012) </w:t>
      </w:r>
      <w:r w:rsidRPr="00862CA9">
        <w:rPr>
          <w:rFonts w:ascii="Bell MT" w:hAnsi="Bell MT"/>
          <w:sz w:val="16"/>
          <w:szCs w:val="16"/>
        </w:rPr>
        <w:t>&lt;www.iisd.org/itn/wp-content/uploads/2012/10/sad</w:t>
      </w:r>
      <w:r>
        <w:rPr>
          <w:rFonts w:ascii="Bell MT" w:hAnsi="Bell MT"/>
          <w:sz w:val="16"/>
          <w:szCs w:val="16"/>
        </w:rPr>
        <w:t>c-model-bit-template-final.pdf&gt;</w:t>
      </w:r>
      <w:r w:rsidRPr="00862CA9">
        <w:rPr>
          <w:rFonts w:ascii="Bell MT" w:hAnsi="Bell MT"/>
          <w:sz w:val="16"/>
          <w:szCs w:val="16"/>
        </w:rPr>
        <w:t xml:space="preserve">accessed 10 July 2017. </w:t>
      </w:r>
    </w:p>
  </w:footnote>
  <w:footnote w:id="91">
    <w:p w14:paraId="28C8E788"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Supra</w:t>
      </w:r>
      <w:r w:rsidRPr="00862CA9">
        <w:rPr>
          <w:rFonts w:ascii="Bell MT" w:hAnsi="Bell MT"/>
          <w:sz w:val="16"/>
          <w:szCs w:val="16"/>
        </w:rPr>
        <w:t xml:space="preserve"> 7, art 42.1.</w:t>
      </w:r>
    </w:p>
  </w:footnote>
  <w:footnote w:id="92">
    <w:p w14:paraId="3E671CE1"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42.3.</w:t>
      </w:r>
    </w:p>
  </w:footnote>
  <w:footnote w:id="93">
    <w:p w14:paraId="14CBC0BA"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sz w:val="16"/>
          <w:szCs w:val="16"/>
        </w:rPr>
        <w:t>India Model BIT (2016), Article 15.2.</w:t>
      </w:r>
    </w:p>
  </w:footnote>
  <w:footnote w:id="94">
    <w:p w14:paraId="67AD6301"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Supra 7, art 42.3</w:t>
      </w:r>
    </w:p>
  </w:footnote>
  <w:footnote w:id="95">
    <w:p w14:paraId="01BC097D"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42.3.</w:t>
      </w:r>
    </w:p>
  </w:footnote>
  <w:footnote w:id="96">
    <w:p w14:paraId="25C4B802"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Promotion and Protection of Investment Bill of South Africa (2015). The Bill has not yet entered into force. The current draft is available at &lt;www.thedti.gov.za/gazzettes/39514.pdf&gt; accessed 16 July 2017, art 13.</w:t>
      </w:r>
    </w:p>
  </w:footnote>
  <w:footnote w:id="97">
    <w:p w14:paraId="06D3F608"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 xml:space="preserve">Supra </w:t>
      </w:r>
      <w:r w:rsidRPr="00862CA9">
        <w:rPr>
          <w:rFonts w:ascii="Bell MT" w:hAnsi="Bell MT"/>
          <w:sz w:val="16"/>
          <w:szCs w:val="16"/>
        </w:rPr>
        <w:t>7, art 43.1.</w:t>
      </w:r>
    </w:p>
  </w:footnote>
  <w:footnote w:id="98">
    <w:p w14:paraId="0C923819"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ICSID Convention, </w:t>
      </w:r>
      <w:r w:rsidRPr="00862CA9">
        <w:rPr>
          <w:rFonts w:ascii="Bell MT" w:hAnsi="Bell MT"/>
          <w:i/>
          <w:sz w:val="16"/>
          <w:szCs w:val="16"/>
        </w:rPr>
        <w:t>supra</w:t>
      </w:r>
      <w:r w:rsidRPr="00862CA9">
        <w:rPr>
          <w:rFonts w:ascii="Bell MT" w:hAnsi="Bell MT"/>
          <w:sz w:val="16"/>
          <w:szCs w:val="16"/>
        </w:rPr>
        <w:t xml:space="preserve"> 4, art 46; see also Rule 40 ICSID Arbitration Rules. Yet Article 46 of the ICSID Convention does not, by itself, vest a tribunal with competence over counterclaims, the requirements of Article 25 of the ICSID Convention as well as of the applicable investment treaty must also be satisfied. See </w:t>
      </w:r>
      <w:r w:rsidRPr="00862CA9">
        <w:rPr>
          <w:rFonts w:ascii="Bell MT" w:hAnsi="Bell MT"/>
          <w:i/>
          <w:sz w:val="16"/>
          <w:szCs w:val="16"/>
        </w:rPr>
        <w:t>Urbaser</w:t>
      </w:r>
      <w:r w:rsidRPr="00862CA9">
        <w:rPr>
          <w:rFonts w:ascii="Bell MT" w:hAnsi="Bell MT"/>
          <w:sz w:val="16"/>
          <w:szCs w:val="16"/>
        </w:rPr>
        <w:t xml:space="preserve"> v </w:t>
      </w:r>
      <w:r w:rsidRPr="00862CA9">
        <w:rPr>
          <w:rFonts w:ascii="Bell MT" w:hAnsi="Bell MT"/>
          <w:i/>
          <w:sz w:val="16"/>
          <w:szCs w:val="16"/>
        </w:rPr>
        <w:t>Argentina</w:t>
      </w:r>
      <w:r w:rsidRPr="00862CA9">
        <w:rPr>
          <w:rFonts w:ascii="Bell MT" w:hAnsi="Bell MT"/>
          <w:sz w:val="16"/>
          <w:szCs w:val="16"/>
        </w:rPr>
        <w:t>, ICSID Case No ARB/07/26, Award (8 December 2016) para 1117.</w:t>
      </w:r>
    </w:p>
  </w:footnote>
  <w:footnote w:id="99">
    <w:p w14:paraId="607ECA7B"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Investment Agreement for the COMESA Common Investment Area (signed 23 May</w:t>
      </w:r>
    </w:p>
    <w:p w14:paraId="7B2AC1BF" w14:textId="77777777" w:rsidR="001C325B" w:rsidRPr="00862CA9" w:rsidRDefault="001C325B" w:rsidP="001C325B">
      <w:pPr>
        <w:pStyle w:val="FootnoteText"/>
        <w:jc w:val="both"/>
        <w:rPr>
          <w:rFonts w:ascii="Bell MT" w:hAnsi="Bell MT"/>
          <w:sz w:val="16"/>
          <w:szCs w:val="16"/>
        </w:rPr>
      </w:pPr>
      <w:r w:rsidRPr="00862CA9">
        <w:rPr>
          <w:rFonts w:ascii="Bell MT" w:hAnsi="Bell MT"/>
          <w:sz w:val="16"/>
          <w:szCs w:val="16"/>
        </w:rPr>
        <w:t>2007) &lt;http://investmentpolicyhub.unctad.org/IIA/treaty/3225&gt; accessed 17 July</w:t>
      </w:r>
    </w:p>
    <w:p w14:paraId="3257C043" w14:textId="77777777" w:rsidR="001C325B" w:rsidRPr="00862CA9" w:rsidRDefault="001C325B" w:rsidP="001C325B">
      <w:pPr>
        <w:pStyle w:val="FootnoteText"/>
        <w:jc w:val="both"/>
        <w:rPr>
          <w:rFonts w:ascii="Bell MT" w:hAnsi="Bell MT"/>
          <w:sz w:val="16"/>
          <w:szCs w:val="16"/>
        </w:rPr>
      </w:pPr>
      <w:r w:rsidRPr="00862CA9">
        <w:rPr>
          <w:rFonts w:ascii="Bell MT" w:hAnsi="Bell MT"/>
          <w:sz w:val="16"/>
          <w:szCs w:val="16"/>
        </w:rPr>
        <w:t xml:space="preserve">2017, art 28.9: “A Member State against whom a claim is brought by a COMESA investor under this Article may assert as a </w:t>
      </w:r>
      <w:r w:rsidRPr="00862CA9">
        <w:rPr>
          <w:rFonts w:ascii="Bell MT" w:hAnsi="Bell MT"/>
          <w:sz w:val="16"/>
          <w:szCs w:val="16"/>
        </w:rPr>
        <w:t>defense, counterclaim, right of set off or other similar claim, that the COMESA investor bringing the claim has not fulfilled its obligations under this Agreement, including the obligations to comply with all applicable domestic measures or that it has not taken all reasonable steps to mitigate possible damages.”</w:t>
      </w:r>
    </w:p>
  </w:footnote>
  <w:footnote w:id="100">
    <w:p w14:paraId="6B779830"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SADC, SADC Model Bilateral Investment Treaty Template with Commentary (2012) </w:t>
      </w:r>
      <w:hyperlink r:id="rId5" w:history="1">
        <w:r w:rsidRPr="00545A66">
          <w:rPr>
            <w:rStyle w:val="Hyperlink"/>
            <w:rFonts w:ascii="Bell MT" w:hAnsi="Bell MT"/>
            <w:sz w:val="16"/>
            <w:szCs w:val="16"/>
          </w:rPr>
          <w:t>www.iisd.org/itn/wp content/uploads/2012/10/sadc-model-bit-template-final.pdf</w:t>
        </w:r>
      </w:hyperlink>
      <w:r w:rsidRPr="00862CA9">
        <w:rPr>
          <w:rFonts w:ascii="Bell MT" w:hAnsi="Bell MT"/>
          <w:sz w:val="16"/>
          <w:szCs w:val="16"/>
        </w:rPr>
        <w:t xml:space="preserve"> accessed 15 July 2017, arts 19 and 29.19.</w:t>
      </w:r>
    </w:p>
  </w:footnote>
  <w:footnote w:id="101">
    <w:p w14:paraId="66165F13"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w:t>
      </w:r>
      <w:r w:rsidRPr="00862CA9">
        <w:rPr>
          <w:rFonts w:ascii="Bell MT" w:hAnsi="Bell MT"/>
          <w:i/>
          <w:sz w:val="16"/>
          <w:szCs w:val="16"/>
        </w:rPr>
        <w:t xml:space="preserve">Spyridon </w:t>
      </w:r>
      <w:r w:rsidRPr="00862CA9">
        <w:rPr>
          <w:rFonts w:ascii="Bell MT" w:hAnsi="Bell MT"/>
          <w:i/>
          <w:sz w:val="16"/>
          <w:szCs w:val="16"/>
        </w:rPr>
        <w:t>Roussalis</w:t>
      </w:r>
      <w:r w:rsidRPr="00862CA9">
        <w:rPr>
          <w:rFonts w:ascii="Bell MT" w:hAnsi="Bell MT"/>
          <w:sz w:val="16"/>
          <w:szCs w:val="16"/>
        </w:rPr>
        <w:t xml:space="preserve"> v. </w:t>
      </w:r>
      <w:r w:rsidRPr="00862CA9">
        <w:rPr>
          <w:rFonts w:ascii="Bell MT" w:hAnsi="Bell MT"/>
          <w:i/>
          <w:sz w:val="16"/>
          <w:szCs w:val="16"/>
        </w:rPr>
        <w:t>Romania</w:t>
      </w:r>
      <w:r w:rsidRPr="00862CA9">
        <w:rPr>
          <w:rFonts w:ascii="Bell MT" w:hAnsi="Bell MT"/>
          <w:sz w:val="16"/>
          <w:szCs w:val="16"/>
        </w:rPr>
        <w:t xml:space="preserve">, ICSID Case No ARB/06/1, Award (7 December 2011) paras 859–877 and </w:t>
      </w:r>
      <w:r w:rsidRPr="00862CA9">
        <w:rPr>
          <w:rFonts w:ascii="Bell MT" w:hAnsi="Bell MT"/>
          <w:i/>
          <w:sz w:val="16"/>
          <w:szCs w:val="16"/>
        </w:rPr>
        <w:t>Saluka Investments BV</w:t>
      </w:r>
      <w:r w:rsidRPr="00862CA9">
        <w:rPr>
          <w:rFonts w:ascii="Bell MT" w:hAnsi="Bell MT"/>
          <w:sz w:val="16"/>
          <w:szCs w:val="16"/>
        </w:rPr>
        <w:t xml:space="preserve"> v. </w:t>
      </w:r>
      <w:r w:rsidRPr="00862CA9">
        <w:rPr>
          <w:rFonts w:ascii="Bell MT" w:hAnsi="Bell MT"/>
          <w:i/>
          <w:sz w:val="16"/>
          <w:szCs w:val="16"/>
        </w:rPr>
        <w:t>Czech Republic</w:t>
      </w:r>
      <w:r w:rsidRPr="00862CA9">
        <w:rPr>
          <w:rFonts w:ascii="Bell MT" w:hAnsi="Bell MT"/>
          <w:sz w:val="16"/>
          <w:szCs w:val="16"/>
        </w:rPr>
        <w:t>, UNCITRAL, Decision on Jurisdiction over the Czech Republic’s Counterclaim (7 May 2004).</w:t>
      </w:r>
    </w:p>
  </w:footnote>
  <w:footnote w:id="102">
    <w:p w14:paraId="034A3CA4"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Generally see UNCTAD, “</w:t>
      </w:r>
      <w:r w:rsidRPr="00862CA9">
        <w:rPr>
          <w:rFonts w:ascii="Bell MT" w:hAnsi="Bell MT"/>
          <w:i/>
          <w:sz w:val="16"/>
          <w:szCs w:val="16"/>
        </w:rPr>
        <w:t>African Continental Free Trade Area: Policy and Negotiation Options for Trade in Goods</w:t>
      </w:r>
      <w:r w:rsidRPr="00862CA9">
        <w:rPr>
          <w:rFonts w:ascii="Bell MT" w:hAnsi="Bell MT"/>
          <w:sz w:val="16"/>
          <w:szCs w:val="16"/>
        </w:rPr>
        <w:t>”</w:t>
      </w:r>
      <w:r w:rsidRPr="00862CA9">
        <w:rPr>
          <w:rStyle w:val="st"/>
          <w:rFonts w:ascii="Bell MT" w:hAnsi="Bell MT"/>
          <w:sz w:val="16"/>
          <w:szCs w:val="16"/>
        </w:rPr>
        <w:t xml:space="preserve"> (2016), Imprint: New York/Geneva, UN. </w:t>
      </w:r>
    </w:p>
  </w:footnote>
  <w:footnote w:id="103">
    <w:p w14:paraId="5204FFCC"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Supra</w:t>
      </w:r>
      <w:r w:rsidRPr="00862CA9">
        <w:rPr>
          <w:rFonts w:ascii="Bell MT" w:hAnsi="Bell MT"/>
          <w:sz w:val="16"/>
          <w:szCs w:val="16"/>
        </w:rPr>
        <w:t xml:space="preserve"> 82, Articles 15 (transfer of assets), 17 (national treatment) and 19 (Most Favoured Nation); </w:t>
      </w:r>
      <w:r w:rsidRPr="00862CA9">
        <w:rPr>
          <w:rFonts w:ascii="Bell MT" w:eastAsia="Times New Roman" w:hAnsi="Bell MT" w:cs="Times New Roman"/>
          <w:sz w:val="16"/>
          <w:szCs w:val="16"/>
        </w:rPr>
        <w:t>in the preamble to the CCIA, Member States express a conviction that the measure, “shall contribute towards the realisation of the Common Market and the achievement of sustainable development in the region.”</w:t>
      </w:r>
    </w:p>
  </w:footnote>
  <w:footnote w:id="104">
    <w:p w14:paraId="24D61300"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art 26(3).</w:t>
      </w:r>
    </w:p>
  </w:footnote>
  <w:footnote w:id="105">
    <w:p w14:paraId="43A3A1F8"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art 26(4).</w:t>
      </w:r>
    </w:p>
  </w:footnote>
  <w:footnote w:id="106">
    <w:p w14:paraId="77897F0E"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28.</w:t>
      </w:r>
    </w:p>
  </w:footnote>
  <w:footnote w:id="107">
    <w:p w14:paraId="70DC45BA"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27.</w:t>
      </w:r>
    </w:p>
  </w:footnote>
  <w:footnote w:id="108">
    <w:p w14:paraId="4D6BE456"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i/>
          <w:sz w:val="16"/>
          <w:szCs w:val="16"/>
        </w:rPr>
        <w:t xml:space="preserve"> Ibid</w:t>
      </w:r>
      <w:r w:rsidRPr="00862CA9">
        <w:rPr>
          <w:rFonts w:ascii="Bell MT" w:hAnsi="Bell MT"/>
          <w:sz w:val="16"/>
          <w:szCs w:val="16"/>
        </w:rPr>
        <w:t xml:space="preserve">, art 1(II); </w:t>
      </w:r>
      <w:r w:rsidRPr="00862CA9">
        <w:rPr>
          <w:rFonts w:ascii="Bell MT" w:hAnsi="Bell MT"/>
          <w:sz w:val="16"/>
          <w:szCs w:val="16"/>
        </w:rPr>
        <w:t>The agreement imposes a three-year cut-off period for submission of an arbitration claim. CCIA Agreement, art 28(2).</w:t>
      </w:r>
    </w:p>
  </w:footnote>
  <w:footnote w:id="109">
    <w:p w14:paraId="3F238325" w14:textId="77777777" w:rsidR="001C325B" w:rsidRPr="00862CA9" w:rsidRDefault="001C325B" w:rsidP="001C325B">
      <w:pPr>
        <w:pStyle w:val="FootnoteText"/>
        <w:jc w:val="both"/>
        <w:rPr>
          <w:rFonts w:ascii="Bell MT" w:hAnsi="Bell MT" w:cs="Times New Roman"/>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sz w:val="16"/>
          <w:szCs w:val="16"/>
        </w:rPr>
        <w:t>Treaty of the Southern African Development Community art. 5(1</w:t>
      </w:r>
      <w:r w:rsidRPr="00862CA9">
        <w:rPr>
          <w:rFonts w:ascii="Bell MT" w:eastAsia="Times New Roman" w:hAnsi="Bell MT" w:cs="Times New Roman"/>
          <w:sz w:val="16"/>
          <w:szCs w:val="16"/>
        </w:rPr>
        <w:t xml:space="preserve">)(a), Aug. 17, 1992, 32 I.L.M. 116; The objectives of the SADC are </w:t>
      </w:r>
      <w:r w:rsidRPr="00862CA9">
        <w:rPr>
          <w:rFonts w:ascii="Bell MT" w:eastAsia="Times New Roman" w:hAnsi="Bell MT" w:cs="Times New Roman"/>
          <w:i/>
          <w:iCs/>
          <w:sz w:val="16"/>
          <w:szCs w:val="16"/>
        </w:rPr>
        <w:t>inter alia</w:t>
      </w:r>
      <w:r w:rsidRPr="00862CA9">
        <w:rPr>
          <w:rFonts w:ascii="Bell MT" w:eastAsia="Times New Roman" w:hAnsi="Bell MT" w:cs="Times New Roman"/>
          <w:sz w:val="16"/>
          <w:szCs w:val="16"/>
        </w:rPr>
        <w:t xml:space="preserve"> to “achieve development and economic growth, alleviate poverty, enhance the standard and quality of life of the peoples of Southern Africa and support the socially disadvantaged through regional integration.” </w:t>
      </w:r>
      <w:r w:rsidRPr="00862CA9">
        <w:rPr>
          <w:rFonts w:ascii="Bell MT" w:hAnsi="Bell MT" w:cs="Times New Roman"/>
          <w:sz w:val="16"/>
          <w:szCs w:val="16"/>
        </w:rPr>
        <w:t>SADC Protocol on Finance and Investment (signed 18 August 2006, entered into force 16 April 2010) &lt;www.sadc.int/files/4213/5332/6872/Protocol_on_Finance__Investment2006.pdf&gt; accessed 17 July 2017.</w:t>
      </w:r>
    </w:p>
  </w:footnote>
  <w:footnote w:id="110">
    <w:p w14:paraId="506AFC5B"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It should be noted, however that in </w:t>
      </w:r>
      <w:r w:rsidRPr="00862CA9">
        <w:rPr>
          <w:rFonts w:ascii="Bell MT" w:eastAsia="Times New Roman" w:hAnsi="Bell MT" w:cs="Times New Roman"/>
          <w:i/>
          <w:iCs/>
          <w:sz w:val="16"/>
          <w:szCs w:val="16"/>
        </w:rPr>
        <w:t xml:space="preserve">Mike Campbell </w:t>
      </w:r>
      <w:r w:rsidRPr="00862CA9">
        <w:rPr>
          <w:rFonts w:ascii="Bell MT" w:eastAsia="Times New Roman" w:hAnsi="Bell MT" w:cs="Times New Roman"/>
          <w:iCs/>
          <w:sz w:val="16"/>
          <w:szCs w:val="16"/>
        </w:rPr>
        <w:t>v.</w:t>
      </w:r>
      <w:r w:rsidRPr="00862CA9">
        <w:rPr>
          <w:rFonts w:ascii="Bell MT" w:eastAsia="Times New Roman" w:hAnsi="Bell MT" w:cs="Times New Roman"/>
          <w:i/>
          <w:iCs/>
          <w:sz w:val="16"/>
          <w:szCs w:val="16"/>
        </w:rPr>
        <w:t xml:space="preserve"> Zimbabwe</w:t>
      </w:r>
      <w:r w:rsidRPr="00862CA9">
        <w:rPr>
          <w:rFonts w:ascii="Bell MT" w:eastAsia="Times New Roman" w:hAnsi="Bell MT" w:cs="Times New Roman"/>
          <w:sz w:val="16"/>
          <w:szCs w:val="16"/>
        </w:rPr>
        <w:t xml:space="preserve"> (Case No SADCT 2/07), the Tribunal found the Government of Zimbabwe in breach of its treaty obligations and ordered it to protect the investments and pay the evicted farm owners a fair compensation. The SADC Tribunal was subsequently suspended.</w:t>
      </w:r>
    </w:p>
  </w:footnote>
  <w:footnote w:id="111">
    <w:p w14:paraId="336007B3"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Supra</w:t>
      </w:r>
      <w:r w:rsidRPr="00862CA9">
        <w:rPr>
          <w:rFonts w:ascii="Bell MT" w:hAnsi="Bell MT"/>
          <w:sz w:val="16"/>
          <w:szCs w:val="16"/>
        </w:rPr>
        <w:t xml:space="preserve"> 92. In August 2016, SADC Member States adopted an amended version of the Protocol on Finance and Investment, which is yet to be ratified. For more details see Luke Eric Peterson, ‘Investigation: In Aftermath of Investor Arbitration Against Lesotho, SADC Member-States Amend Investment Treaty so as to Remove ISDS and Limit Protections’ (</w:t>
      </w:r>
      <w:r w:rsidRPr="00862CA9">
        <w:rPr>
          <w:rFonts w:ascii="Bell MT" w:hAnsi="Bell MT"/>
          <w:sz w:val="16"/>
          <w:szCs w:val="16"/>
        </w:rPr>
        <w:t>IAReporter, 20 February 2017) &lt;www.iareporter.com/articles/investigation-in-aftermath-of-investor-arbitration-against-lesotho-sadc-member-states-amend-investment-treaty-so-as-to-remove-isds-and-limit-protections/&gt; accessed 21 February 2017.</w:t>
      </w:r>
    </w:p>
  </w:footnote>
  <w:footnote w:id="112">
    <w:p w14:paraId="0614334D"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i/>
          <w:sz w:val="16"/>
          <w:szCs w:val="16"/>
        </w:rPr>
        <w:t>Supra</w:t>
      </w:r>
      <w:r w:rsidRPr="00862CA9">
        <w:rPr>
          <w:rFonts w:ascii="Bell MT" w:eastAsia="Times New Roman" w:hAnsi="Bell MT" w:cs="Times New Roman"/>
          <w:sz w:val="16"/>
          <w:szCs w:val="16"/>
        </w:rPr>
        <w:t xml:space="preserve"> 83. </w:t>
      </w:r>
    </w:p>
  </w:footnote>
  <w:footnote w:id="113">
    <w:p w14:paraId="5000B935"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29.3.</w:t>
      </w:r>
    </w:p>
  </w:footnote>
  <w:footnote w:id="114">
    <w:p w14:paraId="46CE14D9"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i/>
          <w:sz w:val="16"/>
          <w:szCs w:val="16"/>
        </w:rPr>
        <w:t>Ibid</w:t>
      </w:r>
      <w:r w:rsidRPr="00862CA9">
        <w:rPr>
          <w:rFonts w:ascii="Bell MT" w:eastAsia="Times New Roman" w:hAnsi="Bell MT" w:cs="Times New Roman"/>
          <w:sz w:val="16"/>
          <w:szCs w:val="16"/>
        </w:rPr>
        <w:t xml:space="preserve">, </w:t>
      </w:r>
      <w:r w:rsidRPr="00862CA9">
        <w:rPr>
          <w:rFonts w:ascii="Bell MT" w:hAnsi="Bell MT"/>
          <w:sz w:val="16"/>
          <w:szCs w:val="16"/>
        </w:rPr>
        <w:t xml:space="preserve">art </w:t>
      </w:r>
      <w:r w:rsidRPr="00862CA9">
        <w:rPr>
          <w:rFonts w:ascii="Bell MT" w:eastAsia="Times New Roman" w:hAnsi="Bell MT" w:cs="Times New Roman"/>
          <w:sz w:val="16"/>
          <w:szCs w:val="16"/>
        </w:rPr>
        <w:t>29.4(b</w:t>
      </w:r>
      <w:r w:rsidRPr="00862CA9">
        <w:rPr>
          <w:rFonts w:ascii="Bell MT" w:eastAsia="Times New Roman" w:hAnsi="Bell MT" w:cs="Times New Roman"/>
          <w:sz w:val="16"/>
          <w:szCs w:val="16"/>
        </w:rPr>
        <w:t>)(</w:t>
      </w:r>
      <w:r w:rsidRPr="00862CA9">
        <w:rPr>
          <w:rFonts w:ascii="Bell MT" w:eastAsia="Times New Roman" w:hAnsi="Bell MT" w:cs="Times New Roman"/>
          <w:sz w:val="16"/>
          <w:szCs w:val="16"/>
        </w:rPr>
        <w:t>i).</w:t>
      </w:r>
    </w:p>
  </w:footnote>
  <w:footnote w:id="115">
    <w:p w14:paraId="6B02A691"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i/>
          <w:sz w:val="16"/>
          <w:szCs w:val="16"/>
        </w:rPr>
        <w:t>Ibid</w:t>
      </w:r>
      <w:r w:rsidRPr="00862CA9">
        <w:rPr>
          <w:rFonts w:ascii="Bell MT" w:eastAsia="Times New Roman" w:hAnsi="Bell MT" w:cs="Times New Roman"/>
          <w:sz w:val="16"/>
          <w:szCs w:val="16"/>
        </w:rPr>
        <w:t>, art 28(2).</w:t>
      </w:r>
    </w:p>
  </w:footnote>
  <w:footnote w:id="116">
    <w:p w14:paraId="5FBCEB6E"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The SADC Model BIT imposes a three-year cut-off period for submission of an arbitration claim.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29.4.</w:t>
      </w:r>
    </w:p>
  </w:footnote>
  <w:footnote w:id="117">
    <w:p w14:paraId="6DA0C462"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Investment Agreement for the COMESA Common Investment Area, </w:t>
      </w:r>
      <w:r w:rsidRPr="00862CA9">
        <w:rPr>
          <w:rFonts w:ascii="Bell MT" w:hAnsi="Bell MT"/>
          <w:i/>
          <w:sz w:val="16"/>
          <w:szCs w:val="16"/>
        </w:rPr>
        <w:t>supra</w:t>
      </w:r>
      <w:r w:rsidRPr="00862CA9">
        <w:rPr>
          <w:rFonts w:ascii="Bell MT" w:hAnsi="Bell MT"/>
          <w:sz w:val="16"/>
          <w:szCs w:val="16"/>
        </w:rPr>
        <w:t xml:space="preserve"> 82, art 28(1) and SADC Model BIT, </w:t>
      </w:r>
      <w:r w:rsidRPr="00862CA9">
        <w:rPr>
          <w:rFonts w:ascii="Bell MT" w:hAnsi="Bell MT"/>
          <w:i/>
          <w:sz w:val="16"/>
          <w:szCs w:val="16"/>
        </w:rPr>
        <w:t>Ibid</w:t>
      </w:r>
      <w:r w:rsidRPr="00862CA9">
        <w:rPr>
          <w:rFonts w:ascii="Bell MT" w:hAnsi="Bell MT"/>
          <w:sz w:val="16"/>
          <w:szCs w:val="16"/>
        </w:rPr>
        <w:t>, art 29.6.</w:t>
      </w:r>
    </w:p>
  </w:footnote>
  <w:footnote w:id="118">
    <w:p w14:paraId="4B9AD33F"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Investment Agreement for the COMESA Common Investment Area, </w:t>
      </w:r>
      <w:r w:rsidRPr="00862CA9">
        <w:rPr>
          <w:rFonts w:ascii="Bell MT" w:hAnsi="Bell MT"/>
          <w:i/>
          <w:sz w:val="16"/>
          <w:szCs w:val="16"/>
        </w:rPr>
        <w:t>Ibid</w:t>
      </w:r>
      <w:r w:rsidRPr="00862CA9">
        <w:rPr>
          <w:rFonts w:ascii="Bell MT" w:hAnsi="Bell MT"/>
          <w:sz w:val="16"/>
          <w:szCs w:val="16"/>
        </w:rPr>
        <w:t xml:space="preserve">, art 28(3) and SADC Model BIT, </w:t>
      </w:r>
      <w:r w:rsidRPr="00862CA9">
        <w:rPr>
          <w:rFonts w:ascii="Bell MT" w:hAnsi="Bell MT"/>
          <w:i/>
          <w:sz w:val="16"/>
          <w:szCs w:val="16"/>
        </w:rPr>
        <w:t>Ibid</w:t>
      </w:r>
      <w:r w:rsidRPr="00862CA9">
        <w:rPr>
          <w:rFonts w:ascii="Bell MT" w:hAnsi="Bell MT"/>
          <w:sz w:val="16"/>
          <w:szCs w:val="16"/>
        </w:rPr>
        <w:t>, art 29.4(c).</w:t>
      </w:r>
    </w:p>
  </w:footnote>
  <w:footnote w:id="119">
    <w:p w14:paraId="0DA6E43E"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Investment Agreement for the COMESA Common Investment Area, </w:t>
      </w:r>
      <w:r w:rsidRPr="00862CA9">
        <w:rPr>
          <w:rFonts w:ascii="Bell MT" w:hAnsi="Bell MT"/>
          <w:i/>
          <w:sz w:val="16"/>
          <w:szCs w:val="16"/>
        </w:rPr>
        <w:t>Ibid</w:t>
      </w:r>
      <w:r w:rsidRPr="00862CA9">
        <w:rPr>
          <w:rFonts w:ascii="Bell MT" w:hAnsi="Bell MT"/>
          <w:sz w:val="16"/>
          <w:szCs w:val="16"/>
        </w:rPr>
        <w:t>, art 28(9).</w:t>
      </w:r>
    </w:p>
  </w:footnote>
  <w:footnote w:id="120">
    <w:p w14:paraId="568ED585"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SADC Model BIT, </w:t>
      </w:r>
      <w:r w:rsidRPr="00862CA9">
        <w:rPr>
          <w:rFonts w:ascii="Bell MT" w:hAnsi="Bell MT"/>
          <w:i/>
          <w:sz w:val="16"/>
          <w:szCs w:val="16"/>
        </w:rPr>
        <w:t>supra</w:t>
      </w:r>
      <w:r w:rsidRPr="00862CA9">
        <w:rPr>
          <w:rFonts w:ascii="Bell MT" w:hAnsi="Bell MT"/>
          <w:sz w:val="16"/>
          <w:szCs w:val="16"/>
        </w:rPr>
        <w:t xml:space="preserve"> 83, art 19.2. </w:t>
      </w:r>
    </w:p>
  </w:footnote>
  <w:footnote w:id="121">
    <w:p w14:paraId="40A23598"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19.3.</w:t>
      </w:r>
    </w:p>
  </w:footnote>
  <w:footnote w:id="122">
    <w:p w14:paraId="29EEDFBD"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Emphasis"/>
          <w:rFonts w:ascii="Bell MT" w:hAnsi="Bell MT"/>
          <w:sz w:val="16"/>
          <w:szCs w:val="16"/>
        </w:rPr>
        <w:t>ECOWAS</w:t>
      </w:r>
      <w:r w:rsidRPr="00862CA9">
        <w:rPr>
          <w:rStyle w:val="st"/>
          <w:rFonts w:ascii="Bell MT" w:hAnsi="Bell MT"/>
          <w:i/>
          <w:sz w:val="16"/>
          <w:szCs w:val="16"/>
        </w:rPr>
        <w:t xml:space="preserve"> </w:t>
      </w:r>
      <w:r w:rsidRPr="00862CA9">
        <w:rPr>
          <w:rStyle w:val="Emphasis"/>
          <w:rFonts w:ascii="Bell MT" w:hAnsi="Bell MT"/>
          <w:sz w:val="16"/>
          <w:szCs w:val="16"/>
        </w:rPr>
        <w:t>Supplementary Act</w:t>
      </w:r>
      <w:r w:rsidRPr="00862CA9">
        <w:rPr>
          <w:rStyle w:val="st"/>
          <w:rFonts w:ascii="Bell MT" w:hAnsi="Bell MT"/>
          <w:sz w:val="16"/>
          <w:szCs w:val="16"/>
        </w:rPr>
        <w:t xml:space="preserve"> A/SA.3/12/08 on the</w:t>
      </w:r>
      <w:r w:rsidRPr="00862CA9">
        <w:rPr>
          <w:rStyle w:val="st"/>
          <w:rFonts w:ascii="Bell MT" w:hAnsi="Bell MT"/>
          <w:i/>
          <w:sz w:val="16"/>
          <w:szCs w:val="16"/>
        </w:rPr>
        <w:t xml:space="preserve"> </w:t>
      </w:r>
      <w:r w:rsidRPr="00862CA9">
        <w:rPr>
          <w:rStyle w:val="Emphasis"/>
          <w:rFonts w:ascii="Bell MT" w:hAnsi="Bell MT"/>
          <w:sz w:val="16"/>
          <w:szCs w:val="16"/>
        </w:rPr>
        <w:t>Common Investment Rules. &lt;</w:t>
      </w:r>
      <w:hyperlink r:id="rId6" w:history="1">
        <w:r w:rsidRPr="00862CA9">
          <w:rPr>
            <w:rStyle w:val="Hyperlink"/>
            <w:rFonts w:ascii="Bell MT" w:hAnsi="Bell MT"/>
            <w:sz w:val="16"/>
            <w:szCs w:val="16"/>
          </w:rPr>
          <w:t>http://investmentpolicyhub.unctad.org/Download/TreatyFile/3266</w:t>
        </w:r>
      </w:hyperlink>
      <w:r w:rsidRPr="00862CA9">
        <w:rPr>
          <w:rStyle w:val="Hyperlink"/>
          <w:rFonts w:ascii="Bell MT" w:hAnsi="Bell MT"/>
          <w:sz w:val="16"/>
          <w:szCs w:val="16"/>
        </w:rPr>
        <w:t xml:space="preserve"> &gt;</w:t>
      </w:r>
      <w:r w:rsidRPr="00862CA9">
        <w:rPr>
          <w:rStyle w:val="Emphasis"/>
          <w:rFonts w:ascii="Bell MT" w:hAnsi="Bell MT"/>
          <w:sz w:val="16"/>
          <w:szCs w:val="16"/>
        </w:rPr>
        <w:t xml:space="preserve"> Accessed 17 July 2017.  </w:t>
      </w:r>
    </w:p>
  </w:footnote>
  <w:footnote w:id="123">
    <w:p w14:paraId="4C0A0F21"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Emphasis"/>
          <w:rFonts w:ascii="Bell MT" w:hAnsi="Bell MT"/>
          <w:sz w:val="16"/>
          <w:szCs w:val="16"/>
        </w:rPr>
        <w:t xml:space="preserve">Ibid, </w:t>
      </w:r>
      <w:r w:rsidRPr="00862CA9">
        <w:rPr>
          <w:rFonts w:ascii="Bell MT" w:hAnsi="Bell MT"/>
          <w:sz w:val="16"/>
          <w:szCs w:val="16"/>
        </w:rPr>
        <w:t xml:space="preserve">art </w:t>
      </w:r>
      <w:r w:rsidRPr="00862CA9">
        <w:rPr>
          <w:rFonts w:ascii="Bell MT" w:hAnsi="Bell MT"/>
          <w:sz w:val="16"/>
          <w:szCs w:val="16"/>
        </w:rPr>
        <w:t>33.</w:t>
      </w:r>
    </w:p>
  </w:footnote>
  <w:footnote w:id="124">
    <w:p w14:paraId="38F34B0B"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cs="Times New Roman"/>
          <w:sz w:val="16"/>
          <w:szCs w:val="16"/>
        </w:rPr>
        <w:t>East African Community Model Investment Code (2006)</w:t>
      </w:r>
      <w:r w:rsidRPr="00862CA9">
        <w:rPr>
          <w:rFonts w:ascii="Bell MT" w:hAnsi="Bell MT"/>
          <w:sz w:val="16"/>
          <w:szCs w:val="16"/>
        </w:rPr>
        <w:t xml:space="preserve"> &lt;</w:t>
      </w:r>
      <w:hyperlink r:id="rId7" w:history="1">
        <w:r w:rsidRPr="00862CA9">
          <w:rPr>
            <w:rStyle w:val="Hyperlink"/>
            <w:rFonts w:ascii="Bell MT" w:hAnsi="Bell MT" w:cs="Times New Roman"/>
            <w:sz w:val="16"/>
            <w:szCs w:val="16"/>
          </w:rPr>
          <w:t>https://www.tralac.org/images/Resources/EAC/EAC%20Model%20Investment%20Code%202006.pdf</w:t>
        </w:r>
      </w:hyperlink>
      <w:r w:rsidRPr="00862CA9">
        <w:rPr>
          <w:rFonts w:ascii="Bell MT" w:hAnsi="Bell MT" w:cs="Times New Roman"/>
          <w:sz w:val="16"/>
          <w:szCs w:val="16"/>
        </w:rPr>
        <w:t xml:space="preserve"> &gt; accessed 17 July 2017.</w:t>
      </w:r>
    </w:p>
  </w:footnote>
  <w:footnote w:id="125">
    <w:p w14:paraId="6892A79B"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cs="Times New Roman"/>
          <w:i/>
          <w:sz w:val="16"/>
          <w:szCs w:val="16"/>
        </w:rPr>
        <w:t>Ibid</w:t>
      </w:r>
      <w:r w:rsidRPr="00862CA9">
        <w:rPr>
          <w:rFonts w:ascii="Bell MT" w:hAnsi="Bell MT" w:cs="Times New Roman"/>
          <w:sz w:val="16"/>
          <w:szCs w:val="16"/>
        </w:rPr>
        <w:t xml:space="preserve">, part 2. </w:t>
      </w:r>
    </w:p>
  </w:footnote>
  <w:footnote w:id="126">
    <w:p w14:paraId="5D34D181" w14:textId="77777777" w:rsidR="001C325B" w:rsidRPr="00862CA9" w:rsidRDefault="001C325B" w:rsidP="001C325B">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art </w:t>
      </w:r>
      <w:r w:rsidRPr="00862CA9">
        <w:rPr>
          <w:rFonts w:ascii="Bell MT" w:hAnsi="Bell MT"/>
          <w:sz w:val="16"/>
          <w:szCs w:val="16"/>
        </w:rPr>
        <w:t>15.</w:t>
      </w:r>
    </w:p>
  </w:footnote>
  <w:footnote w:id="127">
    <w:p w14:paraId="4E5626CB" w14:textId="77777777" w:rsidR="001C325B" w:rsidRPr="00150470" w:rsidRDefault="001C325B" w:rsidP="001C325B">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i/>
          <w:sz w:val="16"/>
          <w:szCs w:val="16"/>
        </w:rPr>
        <w:t xml:space="preserve"> See</w:t>
      </w:r>
      <w:r w:rsidRPr="00150470">
        <w:rPr>
          <w:rFonts w:ascii="Bell MT" w:hAnsi="Bell MT"/>
          <w:sz w:val="16"/>
          <w:szCs w:val="16"/>
        </w:rPr>
        <w:t xml:space="preserve"> </w:t>
      </w:r>
      <w:r w:rsidRPr="00150470">
        <w:rPr>
          <w:rFonts w:ascii="Bell MT" w:hAnsi="Bell MT"/>
          <w:sz w:val="16"/>
          <w:szCs w:val="16"/>
        </w:rPr>
        <w:t xml:space="preserve">Engela C Schlemmer, An Overview of South Africa’s Bilateral Investment Treaties and Investment Policy (2016) 31 ICSID Review 167. </w:t>
      </w:r>
    </w:p>
  </w:footnote>
  <w:footnote w:id="128">
    <w:p w14:paraId="5A1B06EC" w14:textId="77777777" w:rsidR="001C325B" w:rsidRPr="00150470" w:rsidRDefault="001C325B" w:rsidP="001C325B">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sz w:val="16"/>
          <w:szCs w:val="16"/>
        </w:rPr>
        <w:t xml:space="preserve"> </w:t>
      </w:r>
      <w:r w:rsidRPr="00084002">
        <w:rPr>
          <w:rFonts w:ascii="Bell MT" w:hAnsi="Bell MT"/>
          <w:i/>
          <w:sz w:val="16"/>
          <w:szCs w:val="16"/>
        </w:rPr>
        <w:t>Supra</w:t>
      </w:r>
      <w:r w:rsidRPr="00150470">
        <w:rPr>
          <w:rFonts w:ascii="Bell MT" w:hAnsi="Bell MT"/>
          <w:sz w:val="16"/>
          <w:szCs w:val="16"/>
        </w:rPr>
        <w:t xml:space="preserve"> 79. </w:t>
      </w:r>
      <w:r w:rsidRPr="00150470">
        <w:rPr>
          <w:rFonts w:ascii="Bell MT" w:hAnsi="Bell MT"/>
          <w:i/>
          <w:sz w:val="16"/>
          <w:szCs w:val="16"/>
        </w:rPr>
        <w:t>See also</w:t>
      </w:r>
      <w:r w:rsidRPr="00150470">
        <w:rPr>
          <w:rFonts w:ascii="Bell MT" w:hAnsi="Bell MT"/>
          <w:sz w:val="16"/>
          <w:szCs w:val="16"/>
        </w:rPr>
        <w:t xml:space="preserve"> Tarcisio </w:t>
      </w:r>
      <w:r w:rsidRPr="00150470">
        <w:rPr>
          <w:rFonts w:ascii="Bell MT" w:hAnsi="Bell MT"/>
          <w:sz w:val="16"/>
          <w:szCs w:val="16"/>
        </w:rPr>
        <w:t>Gazzini, Travelling the Domestic Route: The South African Investment Act 2015 (2017) 25 African JICL (forthcoming).</w:t>
      </w:r>
    </w:p>
  </w:footnote>
  <w:footnote w:id="129">
    <w:p w14:paraId="59E56905" w14:textId="77777777" w:rsidR="001C325B" w:rsidRPr="00150470" w:rsidRDefault="001C325B" w:rsidP="001C325B">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sz w:val="16"/>
          <w:szCs w:val="16"/>
        </w:rPr>
        <w:t xml:space="preserve"> SADC recommends the exclusion of ISDS, SADC Model Bilateral Investment Treaty Template with Commentary (2012),</w:t>
      </w:r>
      <w:r w:rsidRPr="00150470">
        <w:rPr>
          <w:rFonts w:ascii="Bell MT" w:hAnsi="Bell MT"/>
          <w:i/>
          <w:sz w:val="16"/>
          <w:szCs w:val="16"/>
        </w:rPr>
        <w:t xml:space="preserve"> supra</w:t>
      </w:r>
      <w:r w:rsidRPr="00150470">
        <w:rPr>
          <w:rFonts w:ascii="Bell MT" w:hAnsi="Bell MT"/>
          <w:sz w:val="16"/>
          <w:szCs w:val="16"/>
        </w:rPr>
        <w:t xml:space="preserve"> 73. </w:t>
      </w:r>
    </w:p>
  </w:footnote>
  <w:footnote w:id="130">
    <w:p w14:paraId="50FAC420" w14:textId="77777777" w:rsidR="001C325B" w:rsidRPr="00150470" w:rsidRDefault="001C325B" w:rsidP="001C325B">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sz w:val="16"/>
          <w:szCs w:val="16"/>
        </w:rPr>
        <w:t xml:space="preserve"> </w:t>
      </w:r>
      <w:r w:rsidRPr="00150470">
        <w:rPr>
          <w:rFonts w:ascii="Bell MT" w:hAnsi="Bell MT"/>
          <w:i/>
          <w:sz w:val="16"/>
          <w:szCs w:val="16"/>
        </w:rPr>
        <w:t>Supra</w:t>
      </w:r>
      <w:r w:rsidRPr="00150470">
        <w:rPr>
          <w:rFonts w:ascii="Bell MT" w:hAnsi="Bell MT"/>
          <w:sz w:val="16"/>
          <w:szCs w:val="16"/>
        </w:rPr>
        <w:t xml:space="preserve"> 82, art</w:t>
      </w:r>
      <w:r w:rsidRPr="00150470">
        <w:rPr>
          <w:rFonts w:ascii="Bell MT" w:eastAsia="Times New Roman" w:hAnsi="Bell MT" w:cs="Times New Roman"/>
          <w:sz w:val="16"/>
          <w:szCs w:val="16"/>
        </w:rPr>
        <w:t xml:space="preserve"> 26.4.</w:t>
      </w:r>
    </w:p>
  </w:footnote>
  <w:footnote w:id="131">
    <w:p w14:paraId="3F42DB43" w14:textId="77777777" w:rsidR="001C325B" w:rsidRPr="00150470" w:rsidRDefault="001C325B" w:rsidP="001C325B">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sz w:val="16"/>
          <w:szCs w:val="16"/>
        </w:rPr>
        <w:t xml:space="preserve"> </w:t>
      </w:r>
      <w:r w:rsidRPr="00150470">
        <w:rPr>
          <w:rFonts w:ascii="Bell MT" w:eastAsia="Times New Roman" w:hAnsi="Bell MT" w:cs="Times New Roman"/>
          <w:i/>
          <w:sz w:val="16"/>
          <w:szCs w:val="16"/>
        </w:rPr>
        <w:t>Supra</w:t>
      </w:r>
      <w:r w:rsidRPr="00150470">
        <w:rPr>
          <w:rFonts w:ascii="Bell MT" w:eastAsia="Times New Roman" w:hAnsi="Bell MT" w:cs="Times New Roman"/>
          <w:sz w:val="16"/>
          <w:szCs w:val="16"/>
        </w:rPr>
        <w:t xml:space="preserve"> 83, art 29.3.</w:t>
      </w:r>
    </w:p>
  </w:footnote>
  <w:footnote w:id="132">
    <w:p w14:paraId="02E278CD" w14:textId="77777777" w:rsidR="001C325B" w:rsidRPr="00150470" w:rsidRDefault="001C325B" w:rsidP="001C325B">
      <w:pPr>
        <w:pStyle w:val="FootnoteText"/>
        <w:jc w:val="both"/>
        <w:rPr>
          <w:rFonts w:ascii="Bell MT" w:hAnsi="Bell MT"/>
          <w:sz w:val="16"/>
          <w:szCs w:val="16"/>
        </w:rPr>
      </w:pPr>
      <w:r w:rsidRPr="00150470">
        <w:rPr>
          <w:rStyle w:val="FootnoteReference"/>
          <w:rFonts w:ascii="Bell MT" w:hAnsi="Bell MT"/>
          <w:sz w:val="16"/>
          <w:szCs w:val="16"/>
        </w:rPr>
        <w:footnoteRef/>
      </w:r>
      <w:r w:rsidRPr="00150470">
        <w:rPr>
          <w:rFonts w:ascii="Bell MT" w:hAnsi="Bell MT"/>
          <w:sz w:val="16"/>
          <w:szCs w:val="16"/>
        </w:rPr>
        <w:t xml:space="preserve"> Mike Campbell v. Zimbabwe, supra 93; See </w:t>
      </w:r>
      <w:r w:rsidRPr="00150470">
        <w:rPr>
          <w:rFonts w:ascii="Bell MT" w:hAnsi="Bell MT"/>
          <w:sz w:val="16"/>
          <w:szCs w:val="16"/>
        </w:rPr>
        <w:t>Dunia Zongwe, The Contribution of Campbell v. Zimbabwe to the Foreign Investment Law on Expropriations (2009) 2(1), Namibia Law Journal, 26.</w:t>
      </w:r>
    </w:p>
  </w:footnote>
  <w:footnote w:id="133">
    <w:p w14:paraId="454113AF"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cs="Helvetica Neue LT Std"/>
          <w:sz w:val="16"/>
          <w:szCs w:val="16"/>
        </w:rPr>
        <w:t xml:space="preserve">See ISCID, Possible Improvements of the Framework for ICSID Arbitration, Discussion paper, (22 October 2004). </w:t>
      </w:r>
    </w:p>
  </w:footnote>
  <w:footnote w:id="134">
    <w:p w14:paraId="6C9CF7CA"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cs="Helvetica Neue LT Std"/>
          <w:sz w:val="16"/>
          <w:szCs w:val="16"/>
        </w:rPr>
        <w:t xml:space="preserve">Christian Tams, An Appealing Option? A Debate about an ICSID Appellate Structure, Essays in Transnational Economic </w:t>
      </w:r>
      <w:r w:rsidRPr="00862CA9">
        <w:rPr>
          <w:rFonts w:ascii="Bell MT" w:hAnsi="Bell MT" w:cs="Helvetica Neue LT Std"/>
          <w:sz w:val="16"/>
          <w:szCs w:val="16"/>
        </w:rPr>
        <w:t>Law( No.57, 2006).</w:t>
      </w:r>
    </w:p>
  </w:footnote>
  <w:footnote w:id="135">
    <w:p w14:paraId="5CDB01B5"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sz w:val="16"/>
          <w:szCs w:val="16"/>
        </w:rPr>
        <w:t xml:space="preserve">Council of the European Union, General Secretariat, Trade Policy Committee, Intra-EU Investment Treaties: Non-paper from Austria, Finland, France, Germany and the Netherlands, 7 April 2016, p. 5, para 12. </w:t>
      </w:r>
    </w:p>
  </w:footnote>
  <w:footnote w:id="136">
    <w:p w14:paraId="58DD6A5F"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European Commission Conceptual paper, </w:t>
      </w:r>
      <w:r w:rsidRPr="00084002">
        <w:rPr>
          <w:rFonts w:ascii="Bell MT" w:hAnsi="Bell MT"/>
          <w:i/>
          <w:sz w:val="16"/>
          <w:szCs w:val="16"/>
        </w:rPr>
        <w:t>supra</w:t>
      </w:r>
      <w:r w:rsidRPr="00862CA9">
        <w:rPr>
          <w:rFonts w:ascii="Bell MT" w:hAnsi="Bell MT"/>
          <w:sz w:val="16"/>
          <w:szCs w:val="16"/>
        </w:rPr>
        <w:t xml:space="preserve"> 9.</w:t>
      </w:r>
    </w:p>
  </w:footnote>
  <w:footnote w:id="137">
    <w:p w14:paraId="4146B4C0"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generally </w:t>
      </w:r>
      <w:r w:rsidRPr="00862CA9">
        <w:rPr>
          <w:rFonts w:ascii="Bell MT" w:hAnsi="Bell MT"/>
          <w:sz w:val="16"/>
          <w:szCs w:val="16"/>
        </w:rPr>
        <w:t xml:space="preserve">Lise Johnson, The Mauritius Convention on Transparency: Comments on the treaty and its role in increasing transparency of investor-State arbitration’ (CCSI Policy Paper, September 2014). </w:t>
      </w:r>
    </w:p>
  </w:footnote>
  <w:footnote w:id="138">
    <w:p w14:paraId="5090F55A"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Gabrielle Kaufmann-Kohler and Michele </w:t>
      </w:r>
      <w:r w:rsidRPr="00862CA9">
        <w:rPr>
          <w:rFonts w:ascii="Bell MT" w:hAnsi="Bell MT"/>
          <w:sz w:val="16"/>
          <w:szCs w:val="16"/>
        </w:rPr>
        <w:t>Potestà., Can the Mauritius Convention serve as a model for the reform of investor-State arbitration in connection with the introduction of a permanent investment tribunal or an appeal mechanism? Analysis and roadmap, Geneva Center for International Dispute Settlement (3 June 2016) 98.</w:t>
      </w:r>
    </w:p>
  </w:footnote>
  <w:footnote w:id="139">
    <w:p w14:paraId="64216219"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Howard Mann and Konrad von </w:t>
      </w:r>
      <w:r w:rsidRPr="00862CA9">
        <w:rPr>
          <w:rFonts w:ascii="Bell MT" w:hAnsi="Bell MT"/>
          <w:sz w:val="16"/>
          <w:szCs w:val="16"/>
        </w:rPr>
        <w:t>Moltke, A southern agenda on investment? Promoting development with balanced rights and obligations for investors, host states and home states. International Institute for Sustainable Development, (2005) Winnipeg, Manitoba. &lt;https://www.iisd.org/sites/default/files/publications/ investment_southern_agenda.pdf &gt; accessed 16 June 2017.</w:t>
      </w:r>
    </w:p>
  </w:footnote>
  <w:footnote w:id="140">
    <w:p w14:paraId="6FBD4234" w14:textId="77777777" w:rsidR="001817C7" w:rsidRPr="00862CA9" w:rsidRDefault="001817C7" w:rsidP="001817C7">
      <w:pPr>
        <w:autoSpaceDE w:val="0"/>
        <w:autoSpaceDN w:val="0"/>
        <w:adjustRightInd w:val="0"/>
        <w:spacing w:after="0" w:line="240" w:lineRule="auto"/>
        <w:jc w:val="both"/>
        <w:rPr>
          <w:rFonts w:ascii="Bell MT" w:hAnsi="Bell MT" w:cs="AdvPTimes"/>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James </w:t>
      </w:r>
      <w:r w:rsidRPr="00862CA9">
        <w:rPr>
          <w:rFonts w:ascii="Bell MT" w:hAnsi="Bell MT" w:cs="AdvPTimes"/>
          <w:sz w:val="16"/>
          <w:szCs w:val="16"/>
        </w:rPr>
        <w:t>Salzman, Labor rights, globalization and institutions: the role and influence of the organization for economic co-operation and development. (2000) Mich J Int Law 21:</w:t>
      </w:r>
      <w:r w:rsidRPr="00862CA9">
        <w:rPr>
          <w:rFonts w:ascii="Bell MT" w:hAnsi="Bell MT"/>
          <w:sz w:val="16"/>
          <w:szCs w:val="16"/>
        </w:rPr>
        <w:t xml:space="preserve"> </w:t>
      </w:r>
      <w:r w:rsidRPr="00862CA9">
        <w:rPr>
          <w:rFonts w:ascii="Bell MT" w:hAnsi="Bell MT" w:cs="AdvPTimes"/>
          <w:sz w:val="16"/>
          <w:szCs w:val="16"/>
        </w:rPr>
        <w:t>769; Nick Mathiason, Poor rattle doors of WTO club. The Guardian, 14 September 2003. &lt;http://www.theguardian.com/business/2003/sep/14/wto.politics&gt; accessed 16 June 2017.</w:t>
      </w:r>
    </w:p>
  </w:footnote>
  <w:footnote w:id="141">
    <w:p w14:paraId="4AA1BF06"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Nocilette Subedi and Surya Butler, </w:t>
      </w:r>
      <w:r w:rsidRPr="00862CA9">
        <w:rPr>
          <w:rFonts w:ascii="Bell MT" w:hAnsi="Bell MT"/>
          <w:sz w:val="16"/>
          <w:szCs w:val="16"/>
        </w:rPr>
        <w:t xml:space="preserve">The Future of International Investment Regulation: Towards a World Investment Organisation? Neth Int Law Rev (2017) 64: 58. </w:t>
      </w:r>
    </w:p>
  </w:footnote>
  <w:footnote w:id="142">
    <w:p w14:paraId="3A2A2604"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sz w:val="16"/>
          <w:szCs w:val="16"/>
        </w:rPr>
        <w:t xml:space="preserve">de </w:t>
      </w:r>
      <w:r w:rsidRPr="00862CA9">
        <w:rPr>
          <w:rFonts w:ascii="Bell MT" w:hAnsi="Bell MT"/>
          <w:sz w:val="16"/>
          <w:szCs w:val="16"/>
        </w:rPr>
        <w:t xml:space="preserve">Zayas Report, </w:t>
      </w:r>
      <w:r w:rsidRPr="00862CA9">
        <w:rPr>
          <w:rFonts w:ascii="Bell MT" w:hAnsi="Bell MT"/>
          <w:i/>
          <w:sz w:val="16"/>
          <w:szCs w:val="16"/>
        </w:rPr>
        <w:t>supra</w:t>
      </w:r>
      <w:r w:rsidRPr="00862CA9">
        <w:rPr>
          <w:rFonts w:ascii="Bell MT" w:hAnsi="Bell MT"/>
          <w:sz w:val="16"/>
          <w:szCs w:val="16"/>
        </w:rPr>
        <w:t xml:space="preserve"> 68. </w:t>
      </w:r>
    </w:p>
  </w:footnote>
  <w:footnote w:id="143">
    <w:p w14:paraId="7E014350"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xml:space="preserve">, Summary 1. </w:t>
      </w:r>
    </w:p>
  </w:footnote>
  <w:footnote w:id="144">
    <w:p w14:paraId="1180486E"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para 27</w:t>
      </w:r>
      <w:r>
        <w:rPr>
          <w:rFonts w:ascii="Bell MT" w:hAnsi="Bell MT"/>
          <w:sz w:val="16"/>
          <w:szCs w:val="16"/>
        </w:rPr>
        <w:t>.</w:t>
      </w:r>
    </w:p>
  </w:footnote>
  <w:footnote w:id="145">
    <w:p w14:paraId="01675AE3"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para 56</w:t>
      </w:r>
      <w:r>
        <w:rPr>
          <w:rFonts w:ascii="Bell MT" w:hAnsi="Bell MT"/>
          <w:sz w:val="16"/>
          <w:szCs w:val="16"/>
        </w:rPr>
        <w:t>.</w:t>
      </w:r>
    </w:p>
  </w:footnote>
  <w:footnote w:id="146">
    <w:p w14:paraId="75166F68"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para 45–50</w:t>
      </w:r>
      <w:r>
        <w:rPr>
          <w:rFonts w:ascii="Bell MT" w:hAnsi="Bell MT"/>
          <w:sz w:val="16"/>
          <w:szCs w:val="16"/>
        </w:rPr>
        <w:t>.</w:t>
      </w:r>
    </w:p>
  </w:footnote>
  <w:footnote w:id="147">
    <w:p w14:paraId="78BCEAC8"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para 41</w:t>
      </w:r>
      <w:r>
        <w:rPr>
          <w:rFonts w:ascii="Bell MT" w:hAnsi="Bell MT"/>
          <w:sz w:val="16"/>
          <w:szCs w:val="16"/>
        </w:rPr>
        <w:t>.</w:t>
      </w:r>
    </w:p>
  </w:footnote>
  <w:footnote w:id="148">
    <w:p w14:paraId="0287E5BC"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Ibid</w:t>
      </w:r>
      <w:r w:rsidRPr="00862CA9">
        <w:rPr>
          <w:rFonts w:ascii="Bell MT" w:hAnsi="Bell MT"/>
          <w:sz w:val="16"/>
          <w:szCs w:val="16"/>
        </w:rPr>
        <w:t>, para 62</w:t>
      </w:r>
      <w:r>
        <w:rPr>
          <w:rFonts w:ascii="Bell MT" w:hAnsi="Bell MT"/>
          <w:sz w:val="16"/>
          <w:szCs w:val="16"/>
        </w:rPr>
        <w:t>.</w:t>
      </w:r>
    </w:p>
  </w:footnote>
  <w:footnote w:id="149">
    <w:p w14:paraId="32850024"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hAnsi="Bell MT"/>
          <w:i/>
          <w:sz w:val="16"/>
          <w:szCs w:val="16"/>
        </w:rPr>
        <w:t xml:space="preserve">Supra 35. </w:t>
      </w:r>
    </w:p>
  </w:footnote>
  <w:footnote w:id="150">
    <w:p w14:paraId="33632A51"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Mariel </w:t>
      </w:r>
      <w:r w:rsidRPr="00862CA9">
        <w:rPr>
          <w:rFonts w:ascii="Bell MT" w:hAnsi="Bell MT"/>
          <w:sz w:val="16"/>
          <w:szCs w:val="16"/>
        </w:rPr>
        <w:t xml:space="preserve">Dimsey, The resolution of international investment disputes: international commerce and arbitration. (2008) Eleven International Publishing, Utrecht, 36–37. </w:t>
      </w:r>
      <w:r w:rsidRPr="00862CA9">
        <w:rPr>
          <w:rFonts w:ascii="Bell MT" w:hAnsi="Bell MT" w:cs="AdvPTimes"/>
          <w:sz w:val="16"/>
          <w:szCs w:val="16"/>
        </w:rPr>
        <w:t xml:space="preserve"> </w:t>
      </w:r>
    </w:p>
  </w:footnote>
  <w:footnote w:id="151">
    <w:p w14:paraId="7E5B299B"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w:t>
      </w:r>
      <w:r w:rsidRPr="00862CA9">
        <w:rPr>
          <w:rFonts w:ascii="Bell MT" w:hAnsi="Bell MT"/>
          <w:sz w:val="16"/>
          <w:szCs w:val="16"/>
        </w:rPr>
        <w:t xml:space="preserve">Muthucumaraswamy Sornarajah, The Case Against a Regime on International Investment Law’ in Leon E Trakman and Nicola W Ranieri, ‘Regionalism in International Investment Law’ (Oxford University Press, 2013) 475, 476-77; Muthucumaraswamy Sornarajah, An International Investment Court: panacea or purgatory? (15 August 2016) 180 </w:t>
      </w:r>
      <w:r w:rsidRPr="00862CA9">
        <w:rPr>
          <w:rFonts w:ascii="Bell MT" w:hAnsi="Bell MT"/>
          <w:iCs/>
          <w:sz w:val="16"/>
          <w:szCs w:val="16"/>
        </w:rPr>
        <w:t>Columbia FDI Perspectives</w:t>
      </w:r>
      <w:r w:rsidRPr="00862CA9">
        <w:rPr>
          <w:rFonts w:ascii="Bell MT" w:hAnsi="Bell MT"/>
          <w:i/>
          <w:iCs/>
          <w:sz w:val="16"/>
          <w:szCs w:val="16"/>
        </w:rPr>
        <w:t xml:space="preserve"> </w:t>
      </w:r>
      <w:r w:rsidRPr="00862CA9">
        <w:rPr>
          <w:rFonts w:ascii="Bell MT" w:hAnsi="Bell MT"/>
          <w:sz w:val="16"/>
          <w:szCs w:val="16"/>
        </w:rPr>
        <w:t xml:space="preserve">(online).  </w:t>
      </w:r>
    </w:p>
  </w:footnote>
  <w:footnote w:id="152">
    <w:p w14:paraId="0A582AC1"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Towards a New Generation of International Investment Policies (IIA Issues Note No 5, July 2013) 7.</w:t>
      </w:r>
    </w:p>
  </w:footnote>
  <w:footnote w:id="153">
    <w:p w14:paraId="736CE2EF"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Investment Policy Framework for Sustainable Development (UNCTAD, 2015) 3.</w:t>
      </w:r>
    </w:p>
  </w:footnote>
  <w:footnote w:id="154">
    <w:p w14:paraId="334AED33"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Investment Policy Framework for Sustainable Development (UNCTAD, 2015) 10. </w:t>
      </w:r>
    </w:p>
  </w:footnote>
  <w:footnote w:id="155">
    <w:p w14:paraId="5C7A9977"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Investment Policy Framework for Sustainable Development (UNCTAD, 2015) 13.</w:t>
      </w:r>
    </w:p>
  </w:footnote>
  <w:footnote w:id="156">
    <w:p w14:paraId="665E3F32"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Xi </w:t>
      </w:r>
      <w:r w:rsidRPr="00862CA9">
        <w:rPr>
          <w:rFonts w:ascii="Bell MT" w:hAnsi="Bell MT"/>
          <w:sz w:val="16"/>
          <w:szCs w:val="16"/>
        </w:rPr>
        <w:t>Jingping, President, People’s Republic of China, G20 Summit 2016, China (1 December 2015).</w:t>
      </w:r>
    </w:p>
  </w:footnote>
  <w:footnote w:id="157">
    <w:p w14:paraId="48AB609E"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Karl </w:t>
      </w:r>
      <w:r w:rsidRPr="00862CA9">
        <w:rPr>
          <w:rFonts w:ascii="Bell MT" w:hAnsi="Bell MT"/>
          <w:sz w:val="16"/>
          <w:szCs w:val="16"/>
        </w:rPr>
        <w:t>Sauvant, China, the G20 and the international investment regime (Selected Works, 21 May 2016) 7; Andrea Goldstein and Alessia Amighini (</w:t>
      </w:r>
      <w:r w:rsidRPr="00862CA9">
        <w:rPr>
          <w:rFonts w:ascii="Bell MT" w:hAnsi="Bell MT"/>
          <w:sz w:val="16"/>
          <w:szCs w:val="16"/>
        </w:rPr>
        <w:t xml:space="preserve">eds), Towards the 2016 G20: Global Analyses and Challenges for the Chinese Presidency’ (2016) 24(4) China and the World Economy 73; Julien Chaisse, China’s Three-Prong Investment Strategy: Bilateral, Regional, and Global Tracks (London: Cambridge University Press, 2017. </w:t>
      </w:r>
    </w:p>
  </w:footnote>
  <w:footnote w:id="158">
    <w:p w14:paraId="71A6661C"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‘UNCTAD facilitates G20 consensus on Guiding Principles for Global Investment Policymaking’ (Press Release, 11 July 2016).</w:t>
      </w:r>
    </w:p>
  </w:footnote>
  <w:footnote w:id="159">
    <w:p w14:paraId="17A842C6"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European Commission Conceptual paper, </w:t>
      </w:r>
      <w:r w:rsidRPr="00862CA9">
        <w:rPr>
          <w:rFonts w:ascii="Bell MT" w:hAnsi="Bell MT"/>
          <w:i/>
          <w:sz w:val="16"/>
          <w:szCs w:val="16"/>
        </w:rPr>
        <w:t>supra</w:t>
      </w:r>
      <w:r w:rsidRPr="00862CA9">
        <w:rPr>
          <w:rFonts w:ascii="Bell MT" w:hAnsi="Bell MT"/>
          <w:sz w:val="16"/>
          <w:szCs w:val="16"/>
        </w:rPr>
        <w:t xml:space="preserve"> 9. p. 4. See also, EU, TTIP </w:t>
      </w:r>
      <w:r w:rsidRPr="00862CA9">
        <w:rPr>
          <w:rFonts w:ascii="Bell MT" w:hAnsi="Bell MT"/>
          <w:sz w:val="16"/>
          <w:szCs w:val="16"/>
        </w:rPr>
        <w:t>ch II – Investment: EU Proposal (12 November 2015) arts 9-11.</w:t>
      </w:r>
    </w:p>
  </w:footnote>
  <w:footnote w:id="160">
    <w:p w14:paraId="2D16707C"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On past failures see, </w:t>
      </w:r>
      <w:r w:rsidRPr="00862CA9">
        <w:rPr>
          <w:rFonts w:ascii="Bell MT" w:hAnsi="Bell MT"/>
          <w:sz w:val="16"/>
          <w:szCs w:val="16"/>
        </w:rPr>
        <w:t xml:space="preserve">Riyaz Dattu, A journey from Havana to Paris: the fifty year quest for the elusive multilateral agreement on investment. (2000) Fordham Law Rev 24(275): 275; Joachim Karl, </w:t>
      </w:r>
      <w:r w:rsidRPr="00862CA9">
        <w:rPr>
          <w:rFonts w:ascii="Bell MT" w:hAnsi="Bell MT"/>
          <w:sz w:val="16"/>
          <w:szCs w:val="16"/>
        </w:rPr>
        <w:t>On the way to multilateral investment rules—some recent policy issues. (2002) ICSID Rev17: 293.</w:t>
      </w:r>
    </w:p>
  </w:footnote>
  <w:footnote w:id="161">
    <w:p w14:paraId="50E6149F"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Kathryn Gordon, Joachim Pohl and Marie Bouchard, </w:t>
      </w:r>
      <w:r w:rsidRPr="00862CA9">
        <w:rPr>
          <w:rFonts w:ascii="Bell MT" w:hAnsi="Bell MT"/>
          <w:iCs/>
          <w:sz w:val="16"/>
          <w:szCs w:val="16"/>
        </w:rPr>
        <w:t xml:space="preserve">Investment Treaty Law, Sustainable Development and Responsible Business Conduct: A Fact Finding Survey </w:t>
      </w:r>
      <w:r w:rsidRPr="00862CA9">
        <w:rPr>
          <w:rFonts w:ascii="Bell MT" w:hAnsi="Bell MT"/>
          <w:sz w:val="16"/>
          <w:szCs w:val="16"/>
        </w:rPr>
        <w:t xml:space="preserve">(OECD Working Paper on International Investment 2014/01) 5-6.  </w:t>
      </w:r>
    </w:p>
  </w:footnote>
  <w:footnote w:id="162">
    <w:p w14:paraId="25B1EDDB"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OECD, Policy Framework for Investment (OECD Publishing, 2015 edition) 3, 11; See, Kathryn Gordon and Joachim Pohl, Investment Treaties Over Time – Treaty Practice and Interpretation in a Changing World (OECD Working Papers on International Investment 2015/02); See, UNCTAD, Taking Stock of IIA Reform (IIA Issues Note No 1, March 2016); UNCTAD, World Investment Report 2015: Reforming International Investment Governance (2015) </w:t>
      </w:r>
      <w:r w:rsidRPr="00862CA9">
        <w:rPr>
          <w:rFonts w:ascii="Bell MT" w:hAnsi="Bell MT"/>
          <w:sz w:val="16"/>
          <w:szCs w:val="16"/>
        </w:rPr>
        <w:t>ch III-IV.</w:t>
      </w:r>
    </w:p>
  </w:footnote>
  <w:footnote w:id="163">
    <w:p w14:paraId="35FEB916"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United Nations Economic Commission for Africa (ECA), Assessing Regional Integration in Africa V: Towards an African Continental Free Trade Area (ECA 2012) 3 &lt;www.unece .org/fileadmin/DAM/trade/TF_JointUNRCsApproach/ECA_RegionalIntegrationInAfrica.pdf&gt; accessed 17 June 2017.</w:t>
      </w:r>
    </w:p>
  </w:footnote>
  <w:footnote w:id="164">
    <w:p w14:paraId="080F4242"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See Agreement Establishing a Tripartite Free Trade Area among the COMESA, EAC and SADC, &lt;www.tralac.org/images/docs/7531/tfta-agreement-june-2015.pdf&gt; accessed</w:t>
      </w:r>
    </w:p>
    <w:p w14:paraId="4C6D9978" w14:textId="77777777" w:rsidR="001817C7" w:rsidRPr="00862CA9" w:rsidRDefault="001817C7" w:rsidP="001817C7">
      <w:pPr>
        <w:pStyle w:val="FootnoteText"/>
        <w:jc w:val="both"/>
        <w:rPr>
          <w:rFonts w:ascii="Bell MT" w:hAnsi="Bell MT"/>
          <w:sz w:val="16"/>
          <w:szCs w:val="16"/>
        </w:rPr>
      </w:pPr>
      <w:r w:rsidRPr="00862CA9">
        <w:rPr>
          <w:rFonts w:ascii="Bell MT" w:hAnsi="Bell MT"/>
          <w:sz w:val="16"/>
          <w:szCs w:val="16"/>
        </w:rPr>
        <w:t>17 July 2017. A protocol on cross-border investment will be adopted in a second negotiation</w:t>
      </w:r>
    </w:p>
    <w:p w14:paraId="23A572FA" w14:textId="77777777" w:rsidR="001817C7" w:rsidRPr="00862CA9" w:rsidRDefault="001817C7" w:rsidP="001817C7">
      <w:pPr>
        <w:pStyle w:val="FootnoteText"/>
        <w:jc w:val="both"/>
        <w:rPr>
          <w:rFonts w:ascii="Bell MT" w:hAnsi="Bell MT"/>
          <w:sz w:val="16"/>
          <w:szCs w:val="16"/>
        </w:rPr>
      </w:pPr>
      <w:r w:rsidRPr="00862CA9">
        <w:rPr>
          <w:rFonts w:ascii="Bell MT" w:hAnsi="Bell MT"/>
          <w:sz w:val="16"/>
          <w:szCs w:val="16"/>
        </w:rPr>
        <w:t xml:space="preserve">Phase. For a general discussion, see </w:t>
      </w:r>
      <w:r w:rsidRPr="00862CA9">
        <w:rPr>
          <w:rFonts w:ascii="Bell MT" w:hAnsi="Bell MT"/>
          <w:sz w:val="16"/>
          <w:szCs w:val="16"/>
        </w:rPr>
        <w:t>Rukia Baruti, Investment Facilitation in Regional Economic Integration in Africa: The Cases of COMESA, EAC and SADC (2017) JWT 18 493–529.</w:t>
      </w:r>
    </w:p>
  </w:footnote>
  <w:footnote w:id="165">
    <w:p w14:paraId="1D38A741" w14:textId="77777777" w:rsidR="001817C7" w:rsidRPr="00862CA9" w:rsidRDefault="001817C7" w:rsidP="001817C7">
      <w:pPr>
        <w:autoSpaceDE w:val="0"/>
        <w:autoSpaceDN w:val="0"/>
        <w:adjustRightInd w:val="0"/>
        <w:spacing w:after="0" w:line="240" w:lineRule="auto"/>
        <w:jc w:val="both"/>
        <w:rPr>
          <w:rFonts w:ascii="Bell MT" w:eastAsiaTheme="minorEastAsia" w:hAnsi="Bell MT" w:cs="Garamond"/>
          <w:sz w:val="16"/>
          <w:szCs w:val="16"/>
          <w:lang w:eastAsia="en-GB"/>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heme="minorEastAsia" w:hAnsi="Bell MT" w:cs="Garamond"/>
          <w:sz w:val="16"/>
          <w:szCs w:val="16"/>
          <w:lang w:eastAsia="en-GB"/>
        </w:rPr>
        <w:t xml:space="preserve">Mark Pearson, </w:t>
      </w:r>
      <w:r w:rsidRPr="00862CA9">
        <w:rPr>
          <w:rFonts w:ascii="Bell MT" w:eastAsiaTheme="minorEastAsia" w:hAnsi="Bell MT" w:cs="Garamond-Italic"/>
          <w:i/>
          <w:iCs/>
          <w:sz w:val="16"/>
          <w:szCs w:val="16"/>
          <w:lang w:eastAsia="en-GB"/>
        </w:rPr>
        <w:t>Trade Facilitation in the COMESA-EAC-SADC Tripartite Free Trade Area. (</w:t>
      </w:r>
      <w:r w:rsidRPr="00862CA9">
        <w:rPr>
          <w:rFonts w:ascii="Bell MT" w:eastAsiaTheme="minorEastAsia" w:hAnsi="Bell MT" w:cs="Garamond"/>
          <w:sz w:val="16"/>
          <w:szCs w:val="16"/>
          <w:lang w:eastAsia="en-GB"/>
        </w:rPr>
        <w:t>tralac. 2011).</w:t>
      </w:r>
    </w:p>
  </w:footnote>
  <w:footnote w:id="166">
    <w:p w14:paraId="21753890" w14:textId="77777777" w:rsidR="001817C7" w:rsidRPr="00084002" w:rsidRDefault="001817C7" w:rsidP="001817C7">
      <w:pPr>
        <w:autoSpaceDE w:val="0"/>
        <w:autoSpaceDN w:val="0"/>
        <w:adjustRightInd w:val="0"/>
        <w:spacing w:after="0" w:line="240" w:lineRule="auto"/>
        <w:jc w:val="both"/>
        <w:rPr>
          <w:rFonts w:ascii="Bell MT" w:eastAsia="Brill-Roman" w:hAnsi="Bell MT" w:cs="Brill-Roman"/>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Brill-Roman" w:hAnsi="Bell MT" w:cs="Brill-Roman"/>
          <w:sz w:val="16"/>
          <w:szCs w:val="16"/>
        </w:rPr>
        <w:t xml:space="preserve">See </w:t>
      </w:r>
      <w:r w:rsidRPr="00862CA9">
        <w:rPr>
          <w:rFonts w:ascii="Bell MT" w:eastAsia="Brill-Roman" w:hAnsi="Bell MT" w:cs="Brill-Roman"/>
          <w:sz w:val="16"/>
          <w:szCs w:val="16"/>
        </w:rPr>
        <w:t>Ilmari Soininen</w:t>
      </w:r>
      <w:r w:rsidRPr="00862CA9">
        <w:rPr>
          <w:rFonts w:ascii="Bell MT" w:eastAsia="Brill-Roman" w:hAnsi="Bell MT" w:cs="Brill-Roman"/>
          <w:sz w:val="16"/>
          <w:szCs w:val="16"/>
        </w:rPr>
        <w:t>,The Continental Free Trade Area: What’s Going On?’ (24 October</w:t>
      </w:r>
      <w:r>
        <w:rPr>
          <w:rFonts w:ascii="Bell MT" w:eastAsia="Brill-Roman" w:hAnsi="Bell MT" w:cs="Brill-Roman"/>
          <w:sz w:val="16"/>
          <w:szCs w:val="16"/>
        </w:rPr>
        <w:t xml:space="preserve"> </w:t>
      </w:r>
      <w:r w:rsidRPr="00862CA9">
        <w:rPr>
          <w:rFonts w:ascii="Bell MT" w:eastAsia="Brill-Roman" w:hAnsi="Bell MT" w:cs="Brill-Roman"/>
          <w:sz w:val="16"/>
          <w:szCs w:val="16"/>
        </w:rPr>
        <w:t>2014) &lt;www.ictsd.org/bridges-news/bridges-africa/news/</w:t>
      </w:r>
      <w:r>
        <w:rPr>
          <w:rFonts w:ascii="Bell MT" w:eastAsia="Brill-Roman" w:hAnsi="Bell MT" w:cs="Brill-Roman"/>
          <w:sz w:val="16"/>
          <w:szCs w:val="16"/>
        </w:rPr>
        <w:t>the-continental-free-trade-area</w:t>
      </w:r>
      <w:r w:rsidRPr="00862CA9">
        <w:rPr>
          <w:rFonts w:ascii="Bell MT" w:eastAsia="Brill-Roman" w:hAnsi="Bell MT" w:cs="Brill-Roman"/>
          <w:sz w:val="16"/>
          <w:szCs w:val="16"/>
        </w:rPr>
        <w:t>-whats-going-on&gt; accessed 17 July 2017.</w:t>
      </w:r>
    </w:p>
  </w:footnote>
  <w:footnote w:id="167">
    <w:p w14:paraId="2907BEE3" w14:textId="77777777" w:rsidR="001817C7" w:rsidRPr="00862CA9" w:rsidRDefault="001817C7" w:rsidP="001817C7">
      <w:pPr>
        <w:autoSpaceDE w:val="0"/>
        <w:autoSpaceDN w:val="0"/>
        <w:adjustRightInd w:val="0"/>
        <w:spacing w:after="0" w:line="240" w:lineRule="auto"/>
        <w:jc w:val="both"/>
        <w:rPr>
          <w:rFonts w:ascii="Bell MT" w:hAnsi="Bell MT" w:cs="Calibri"/>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The Continental Free Trade Area: Making in Work for Africa (No.44, December 2015); UNCTAD, Building the African Continental Free Trade Area: Some Suggestions on the Way Forward (DITC, 2015/1).</w:t>
      </w:r>
    </w:p>
  </w:footnote>
  <w:footnote w:id="168">
    <w:p w14:paraId="2932C463"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UNCTAD, International Investment Agreement Database</w:t>
      </w:r>
      <w:r>
        <w:rPr>
          <w:rFonts w:ascii="Bell MT" w:hAnsi="Bell MT"/>
          <w:sz w:val="16"/>
          <w:szCs w:val="16"/>
        </w:rPr>
        <w:t xml:space="preserve"> &lt;http://investmentpolicyhub</w:t>
      </w:r>
      <w:r w:rsidRPr="00862CA9">
        <w:rPr>
          <w:rFonts w:ascii="Bell MT" w:hAnsi="Bell MT"/>
          <w:sz w:val="16"/>
          <w:szCs w:val="16"/>
        </w:rPr>
        <w:t>.unctad.org/IIA&gt; accessed 17 July 2017.</w:t>
      </w:r>
    </w:p>
  </w:footnote>
  <w:footnote w:id="169">
    <w:p w14:paraId="1BA4CD1A"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st"/>
          <w:rFonts w:ascii="Bell MT" w:hAnsi="Bell MT"/>
          <w:sz w:val="16"/>
          <w:szCs w:val="16"/>
        </w:rPr>
        <w:t xml:space="preserve">UNCTAD, </w:t>
      </w:r>
      <w:r w:rsidRPr="00862CA9">
        <w:rPr>
          <w:rStyle w:val="Emphasis"/>
          <w:rFonts w:ascii="Bell MT" w:hAnsi="Bell MT"/>
          <w:sz w:val="16"/>
          <w:szCs w:val="16"/>
        </w:rPr>
        <w:t>World Investment Report</w:t>
      </w:r>
      <w:r w:rsidRPr="00862CA9">
        <w:rPr>
          <w:rStyle w:val="st"/>
          <w:rFonts w:ascii="Bell MT" w:hAnsi="Bell MT"/>
          <w:sz w:val="16"/>
          <w:szCs w:val="16"/>
        </w:rPr>
        <w:t xml:space="preserve"> (WIR)</w:t>
      </w:r>
      <w:r w:rsidRPr="00862CA9">
        <w:rPr>
          <w:rFonts w:ascii="Bell MT" w:hAnsi="Bell MT"/>
          <w:sz w:val="16"/>
          <w:szCs w:val="16"/>
        </w:rPr>
        <w:t xml:space="preserve">: </w:t>
      </w:r>
      <w:r w:rsidRPr="00862CA9">
        <w:rPr>
          <w:rStyle w:val="st"/>
          <w:rFonts w:ascii="Bell MT" w:hAnsi="Bell MT"/>
          <w:sz w:val="16"/>
          <w:szCs w:val="16"/>
        </w:rPr>
        <w:t>Investor Nationality: Policy Challenges. 22 June 2016, Imprint: New York/Geneva, UN, 41-42.</w:t>
      </w:r>
    </w:p>
  </w:footnote>
  <w:footnote w:id="170">
    <w:p w14:paraId="1C5D2EB2"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st"/>
          <w:rFonts w:ascii="Bell MT" w:hAnsi="Bell MT"/>
          <w:sz w:val="16"/>
          <w:szCs w:val="16"/>
        </w:rPr>
        <w:t xml:space="preserve">UNCTAD, </w:t>
      </w:r>
      <w:r w:rsidRPr="00862CA9">
        <w:rPr>
          <w:rStyle w:val="Emphasis"/>
          <w:rFonts w:ascii="Bell MT" w:hAnsi="Bell MT"/>
          <w:sz w:val="16"/>
          <w:szCs w:val="16"/>
        </w:rPr>
        <w:t>World Investment Report</w:t>
      </w:r>
      <w:r w:rsidRPr="00862CA9">
        <w:rPr>
          <w:rStyle w:val="st"/>
          <w:rFonts w:ascii="Bell MT" w:hAnsi="Bell MT"/>
          <w:sz w:val="16"/>
          <w:szCs w:val="16"/>
        </w:rPr>
        <w:t xml:space="preserve"> (WIR)</w:t>
      </w:r>
      <w:r w:rsidRPr="00862CA9">
        <w:rPr>
          <w:rFonts w:ascii="Bell MT" w:hAnsi="Bell MT"/>
          <w:sz w:val="16"/>
          <w:szCs w:val="16"/>
        </w:rPr>
        <w:t xml:space="preserve">: </w:t>
      </w:r>
      <w:r w:rsidRPr="00862CA9">
        <w:rPr>
          <w:rStyle w:val="st"/>
          <w:rFonts w:ascii="Bell MT" w:hAnsi="Bell MT"/>
          <w:sz w:val="16"/>
          <w:szCs w:val="16"/>
        </w:rPr>
        <w:t>Investor Nationality: Policy Challenges. 22 June 2016, Imprint: New York/Geneva, UN, 27.</w:t>
      </w:r>
    </w:p>
  </w:footnote>
  <w:footnote w:id="171">
    <w:p w14:paraId="3DD52ABF"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st"/>
          <w:rFonts w:ascii="Bell MT" w:hAnsi="Bell MT"/>
          <w:sz w:val="16"/>
          <w:szCs w:val="16"/>
        </w:rPr>
        <w:t xml:space="preserve">UNCTAD, </w:t>
      </w:r>
      <w:r w:rsidRPr="00862CA9">
        <w:rPr>
          <w:rStyle w:val="Emphasis"/>
          <w:rFonts w:ascii="Bell MT" w:hAnsi="Bell MT"/>
          <w:sz w:val="16"/>
          <w:szCs w:val="16"/>
        </w:rPr>
        <w:t>World Investment Report</w:t>
      </w:r>
      <w:r w:rsidRPr="00862CA9">
        <w:rPr>
          <w:rStyle w:val="st"/>
          <w:rFonts w:ascii="Bell MT" w:hAnsi="Bell MT"/>
          <w:sz w:val="16"/>
          <w:szCs w:val="16"/>
        </w:rPr>
        <w:t xml:space="preserve"> (WIR)</w:t>
      </w:r>
      <w:r w:rsidRPr="00862CA9">
        <w:rPr>
          <w:rFonts w:ascii="Bell MT" w:hAnsi="Bell MT"/>
          <w:sz w:val="16"/>
          <w:szCs w:val="16"/>
        </w:rPr>
        <w:t>:</w:t>
      </w:r>
      <w:r w:rsidRPr="00862CA9">
        <w:rPr>
          <w:rStyle w:val="st"/>
          <w:rFonts w:ascii="Bell MT" w:hAnsi="Bell MT"/>
          <w:sz w:val="16"/>
          <w:szCs w:val="16"/>
        </w:rPr>
        <w:t xml:space="preserve"> </w:t>
      </w:r>
      <w:r w:rsidRPr="00862CA9">
        <w:rPr>
          <w:rStyle w:val="Emphasis"/>
          <w:rFonts w:ascii="Bell MT" w:hAnsi="Bell MT"/>
          <w:sz w:val="16"/>
          <w:szCs w:val="16"/>
        </w:rPr>
        <w:t>Non</w:t>
      </w:r>
      <w:r w:rsidRPr="00862CA9">
        <w:rPr>
          <w:rStyle w:val="st"/>
          <w:rFonts w:ascii="Bell MT" w:hAnsi="Bell MT"/>
          <w:sz w:val="16"/>
          <w:szCs w:val="16"/>
        </w:rPr>
        <w:t>-</w:t>
      </w:r>
      <w:r w:rsidRPr="00862CA9">
        <w:rPr>
          <w:rStyle w:val="Emphasis"/>
          <w:rFonts w:ascii="Bell MT" w:hAnsi="Bell MT"/>
          <w:sz w:val="16"/>
          <w:szCs w:val="16"/>
        </w:rPr>
        <w:t>equity modes of international production and development</w:t>
      </w:r>
      <w:r w:rsidRPr="00862CA9">
        <w:rPr>
          <w:rStyle w:val="st"/>
          <w:rFonts w:ascii="Bell MT" w:hAnsi="Bell MT"/>
          <w:sz w:val="16"/>
          <w:szCs w:val="16"/>
        </w:rPr>
        <w:t>. 26 July 2011, Imprint: New York/Geneva, UN, xiv.</w:t>
      </w:r>
    </w:p>
  </w:footnote>
  <w:footnote w:id="172">
    <w:p w14:paraId="35D5B130"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Style w:val="st"/>
          <w:rFonts w:ascii="Bell MT" w:hAnsi="Bell MT"/>
          <w:sz w:val="16"/>
          <w:szCs w:val="16"/>
        </w:rPr>
        <w:t xml:space="preserve">UNCTAD, </w:t>
      </w:r>
      <w:r w:rsidRPr="00862CA9">
        <w:rPr>
          <w:rStyle w:val="Emphasis"/>
          <w:rFonts w:ascii="Bell MT" w:hAnsi="Bell MT"/>
          <w:sz w:val="16"/>
          <w:szCs w:val="16"/>
        </w:rPr>
        <w:t>World Investment Report</w:t>
      </w:r>
      <w:r w:rsidRPr="00862CA9">
        <w:rPr>
          <w:rStyle w:val="st"/>
          <w:rFonts w:ascii="Bell MT" w:hAnsi="Bell MT"/>
          <w:sz w:val="16"/>
          <w:szCs w:val="16"/>
        </w:rPr>
        <w:t xml:space="preserve"> (WIR)</w:t>
      </w:r>
      <w:r w:rsidRPr="00862CA9">
        <w:rPr>
          <w:rFonts w:ascii="Bell MT" w:hAnsi="Bell MT"/>
          <w:sz w:val="16"/>
          <w:szCs w:val="16"/>
        </w:rPr>
        <w:t>:</w:t>
      </w:r>
      <w:r w:rsidRPr="00862CA9">
        <w:rPr>
          <w:rStyle w:val="st"/>
          <w:rFonts w:ascii="Bell MT" w:hAnsi="Bell MT"/>
          <w:sz w:val="16"/>
          <w:szCs w:val="16"/>
        </w:rPr>
        <w:t xml:space="preserve"> </w:t>
      </w:r>
      <w:r w:rsidRPr="00862CA9">
        <w:rPr>
          <w:rStyle w:val="Emphasis"/>
          <w:rFonts w:ascii="Bell MT" w:hAnsi="Bell MT"/>
          <w:sz w:val="16"/>
          <w:szCs w:val="16"/>
        </w:rPr>
        <w:t>Non</w:t>
      </w:r>
      <w:r w:rsidRPr="00862CA9">
        <w:rPr>
          <w:rStyle w:val="st"/>
          <w:rFonts w:ascii="Bell MT" w:hAnsi="Bell MT"/>
          <w:sz w:val="16"/>
          <w:szCs w:val="16"/>
        </w:rPr>
        <w:t>-</w:t>
      </w:r>
      <w:r w:rsidRPr="00862CA9">
        <w:rPr>
          <w:rStyle w:val="Emphasis"/>
          <w:rFonts w:ascii="Bell MT" w:hAnsi="Bell MT"/>
          <w:sz w:val="16"/>
          <w:szCs w:val="16"/>
        </w:rPr>
        <w:t>equity modes of international production and development</w:t>
      </w:r>
      <w:r w:rsidRPr="00862CA9">
        <w:rPr>
          <w:rStyle w:val="st"/>
          <w:rFonts w:ascii="Bell MT" w:hAnsi="Bell MT"/>
          <w:sz w:val="16"/>
          <w:szCs w:val="16"/>
        </w:rPr>
        <w:t>. 26 July 2011, Imprint: New York/Geneva, UN, xiv.</w:t>
      </w:r>
    </w:p>
  </w:footnote>
  <w:footnote w:id="173">
    <w:p w14:paraId="61FB4312"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w:t>
      </w:r>
      <w:r w:rsidRPr="00862CA9">
        <w:rPr>
          <w:rFonts w:ascii="Bell MT" w:eastAsia="Times New Roman" w:hAnsi="Bell MT" w:cs="Times New Roman"/>
          <w:sz w:val="16"/>
          <w:szCs w:val="16"/>
        </w:rPr>
        <w:t xml:space="preserve">Tania </w:t>
      </w:r>
      <w:r w:rsidRPr="00862CA9">
        <w:rPr>
          <w:rFonts w:ascii="Bell MT" w:eastAsia="Times New Roman" w:hAnsi="Bell MT" w:cs="Times New Roman"/>
          <w:sz w:val="16"/>
          <w:szCs w:val="16"/>
        </w:rPr>
        <w:t xml:space="preserve">Voon, Consolidating International Investment Law: The Mega-Regionals as a Pathway </w:t>
      </w:r>
      <w:r w:rsidRPr="00862CA9">
        <w:rPr>
          <w:rFonts w:ascii="Bell MT" w:eastAsia="Times New Roman" w:hAnsi="Bell MT" w:cs="Times New Roman"/>
          <w:sz w:val="16"/>
          <w:szCs w:val="16"/>
        </w:rPr>
        <w:t xml:space="preserve">Towards Multilateral Rules. World Trade Review, </w:t>
      </w:r>
      <w:r w:rsidRPr="00862CA9">
        <w:rPr>
          <w:rFonts w:ascii="Bell MT" w:hAnsi="Bell MT" w:cs="Arial"/>
          <w:sz w:val="16"/>
          <w:szCs w:val="16"/>
          <w:lang w:val="en"/>
        </w:rPr>
        <w:t>34, 1-31.</w:t>
      </w:r>
    </w:p>
  </w:footnote>
  <w:footnote w:id="174">
    <w:p w14:paraId="7F48F20F"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General Agreement on Tariffs and Trade (GATT), 30 October 1947, 55 UNTS 814, art XX; Variable geometry might, alternatively, be understood as referring only to situations where different laws apply to different Members (</w:t>
      </w:r>
      <w:r w:rsidRPr="00862CA9">
        <w:rPr>
          <w:rFonts w:ascii="Bell MT" w:hAnsi="Bell MT"/>
          <w:sz w:val="16"/>
          <w:szCs w:val="16"/>
        </w:rPr>
        <w:t xml:space="preserve">eg under plurilateral WTO agreements as discussed further below). In contrast, for example, the general exceptions in GATT art XX can be seen as allowing variation in fact, while applying the same laws to all WTO Members. </w:t>
      </w:r>
    </w:p>
  </w:footnote>
  <w:footnote w:id="175">
    <w:p w14:paraId="2C7B3890" w14:textId="77777777" w:rsidR="001817C7" w:rsidRPr="00862CA9" w:rsidRDefault="001817C7" w:rsidP="001817C7">
      <w:pPr>
        <w:pStyle w:val="FootnoteText"/>
        <w:jc w:val="both"/>
        <w:rPr>
          <w:rFonts w:ascii="Bell MT" w:hAnsi="Bell MT"/>
          <w:sz w:val="16"/>
          <w:szCs w:val="16"/>
        </w:rPr>
      </w:pPr>
      <w:r w:rsidRPr="00862CA9">
        <w:rPr>
          <w:rStyle w:val="FootnoteReference"/>
          <w:rFonts w:ascii="Bell MT" w:hAnsi="Bell MT"/>
          <w:sz w:val="16"/>
          <w:szCs w:val="16"/>
        </w:rPr>
        <w:footnoteRef/>
      </w:r>
      <w:r w:rsidRPr="00862CA9">
        <w:rPr>
          <w:rFonts w:ascii="Bell MT" w:hAnsi="Bell MT"/>
          <w:sz w:val="16"/>
          <w:szCs w:val="16"/>
        </w:rPr>
        <w:t xml:space="preserve"> James </w:t>
      </w:r>
      <w:r w:rsidRPr="00862CA9">
        <w:rPr>
          <w:rFonts w:ascii="Bell MT" w:hAnsi="Bell MT"/>
          <w:sz w:val="16"/>
          <w:szCs w:val="16"/>
        </w:rPr>
        <w:t>Thuo Gathii, African Regional Trade Agreements as Legal Regimes (Cambrid</w:t>
      </w:r>
      <w:r>
        <w:rPr>
          <w:rFonts w:ascii="Bell MT" w:hAnsi="Bell MT"/>
          <w:sz w:val="16"/>
          <w:szCs w:val="16"/>
        </w:rPr>
        <w:t>ge University Press, 2011) ch 2</w:t>
      </w:r>
      <w:r w:rsidRPr="00862CA9">
        <w:rPr>
          <w:rFonts w:ascii="Bell MT" w:hAnsi="Bell MT"/>
          <w:sz w:val="16"/>
          <w:szCs w:val="16"/>
        </w:rPr>
        <w:t xml:space="preserve"> (‘Variable geometry: A defining aspect of African RTAs’)</w:t>
      </w:r>
    </w:p>
  </w:footnote>
  <w:footnote w:id="176">
    <w:p w14:paraId="0E35C3C2" w14:textId="77777777" w:rsidR="00804087" w:rsidRPr="00CA18E8" w:rsidRDefault="00804087" w:rsidP="00804087">
      <w:pPr>
        <w:pStyle w:val="FootnoteText"/>
        <w:jc w:val="both"/>
        <w:rPr>
          <w:rFonts w:ascii="Bell MT" w:hAnsi="Bell MT"/>
        </w:rPr>
      </w:pPr>
      <w:r w:rsidRPr="00CA18E8">
        <w:rPr>
          <w:rStyle w:val="FootnoteReference"/>
          <w:rFonts w:ascii="Bell MT" w:hAnsi="Bell MT"/>
        </w:rPr>
        <w:footnoteRef/>
      </w:r>
      <w:r w:rsidRPr="00CA18E8">
        <w:rPr>
          <w:rFonts w:ascii="Bell MT" w:hAnsi="Bell MT"/>
        </w:rPr>
        <w:t xml:space="preserve"> Omar Garcia-Bolivar, 'Sovereignty vs. Investment Protection: Back to </w:t>
      </w:r>
      <w:r w:rsidRPr="00CA18E8">
        <w:rPr>
          <w:rFonts w:ascii="Bell MT" w:hAnsi="Bell MT"/>
        </w:rPr>
        <w:t>Calvo?' [2009] 24(2) ICSID Review 464-488</w:t>
      </w:r>
    </w:p>
  </w:footnote>
  <w:footnote w:id="177">
    <w:p w14:paraId="3FA39BFB" w14:textId="77777777" w:rsidR="00804087" w:rsidRPr="00CA18E8" w:rsidRDefault="00804087" w:rsidP="00804087">
      <w:pPr>
        <w:pStyle w:val="FootnoteText"/>
        <w:jc w:val="both"/>
        <w:rPr>
          <w:rFonts w:ascii="Bell MT" w:hAnsi="Bell MT"/>
        </w:rPr>
      </w:pPr>
      <w:r w:rsidRPr="00CA18E8">
        <w:rPr>
          <w:rStyle w:val="FootnoteReference"/>
          <w:rFonts w:ascii="Bell MT" w:hAnsi="Bell MT"/>
        </w:rPr>
        <w:footnoteRef/>
      </w:r>
      <w:r w:rsidRPr="00CA18E8">
        <w:rPr>
          <w:rFonts w:ascii="Bell MT" w:hAnsi="Bell MT"/>
        </w:rPr>
        <w:t xml:space="preserve"> AHRLR 141 (SADC 2007); Mike Campbell (Pvt) Ltd and Others v Republic of Zimbabwe (2/2007) [2008] SADCT 2 (November 28, 2008), Brigitte </w:t>
      </w:r>
      <w:r w:rsidRPr="00CA18E8">
        <w:rPr>
          <w:rFonts w:ascii="Bell MT" w:hAnsi="Bell MT"/>
        </w:rPr>
        <w:t>Weidlich, Zimbabwe pulls out of SADC tribunal, The Namibian, (September 4 2009), http://www.namibian.com.na/index.php?id=57322&amp;page=archive-read</w:t>
      </w:r>
    </w:p>
  </w:footnote>
  <w:footnote w:id="178">
    <w:p w14:paraId="02A3AFFF" w14:textId="77777777" w:rsidR="00804087" w:rsidRDefault="00804087" w:rsidP="00804087">
      <w:pPr>
        <w:pStyle w:val="FootnoteText"/>
        <w:jc w:val="both"/>
      </w:pPr>
      <w:r w:rsidRPr="00CA18E8">
        <w:rPr>
          <w:rStyle w:val="FootnoteReference"/>
          <w:rFonts w:ascii="Bell MT" w:hAnsi="Bell MT"/>
        </w:rPr>
        <w:footnoteRef/>
      </w:r>
      <w:r w:rsidRPr="00CA18E8">
        <w:rPr>
          <w:rFonts w:ascii="Bell MT" w:hAnsi="Bell MT"/>
        </w:rPr>
        <w:t xml:space="preserve"> WTO Ministerial Conference, Doha Ministerial Declaration, WT/MIN(01)/DEC/1, November 20, 2001 available at https://www.wto.org/english/thewto_e/minist_e/min01_e/mindecl_e.htm (accessed on July 5 2017)</w:t>
      </w:r>
    </w:p>
  </w:footnote>
  <w:footnote w:id="179">
    <w:p w14:paraId="5CA38BDF" w14:textId="77777777" w:rsidR="00804087" w:rsidRDefault="00804087" w:rsidP="00804087">
      <w:pPr>
        <w:pStyle w:val="FootnoteText"/>
        <w:jc w:val="both"/>
      </w:pPr>
      <w:r>
        <w:rPr>
          <w:rStyle w:val="FootnoteReference"/>
        </w:rPr>
        <w:footnoteRef/>
      </w:r>
      <w:r>
        <w:t xml:space="preserve"> </w:t>
      </w:r>
      <w:r w:rsidRPr="00D25B67">
        <w:t xml:space="preserve">Laura </w:t>
      </w:r>
      <w:r w:rsidRPr="00D25B67">
        <w:t>Páez, 'Bilateral Investment Treaties and Regional Investment Regulation in Africa: Towards a Continental Investment Area?' (2017) 18 Journal of World Investment and Trade 379–413</w:t>
      </w:r>
    </w:p>
  </w:footnote>
  <w:footnote w:id="180">
    <w:p w14:paraId="0939D9BC" w14:textId="77777777" w:rsidR="00804087" w:rsidRDefault="00804087" w:rsidP="00804087">
      <w:pPr>
        <w:pStyle w:val="FootnoteText"/>
        <w:jc w:val="both"/>
      </w:pPr>
      <w:r>
        <w:rPr>
          <w:rStyle w:val="FootnoteReference"/>
        </w:rPr>
        <w:footnoteRef/>
      </w:r>
      <w:r>
        <w:t xml:space="preserve"> </w:t>
      </w:r>
      <w:r w:rsidRPr="00E11B88">
        <w:t>Makane Mbengue and Stefanie Schacherer, 'The ‘Africanization’ of International Investment Law: The Pan-African Investment Code and the Reform of the International' Investment Regime (2017) 18 Journal of World Investment and Trade 414–448</w:t>
      </w:r>
    </w:p>
  </w:footnote>
  <w:footnote w:id="181">
    <w:p w14:paraId="0B62C51C" w14:textId="77777777" w:rsidR="00804087" w:rsidRDefault="00804087" w:rsidP="00804087">
      <w:pPr>
        <w:pStyle w:val="FootnoteText"/>
        <w:jc w:val="both"/>
      </w:pPr>
      <w:r>
        <w:rPr>
          <w:rStyle w:val="FootnoteReference"/>
        </w:rPr>
        <w:footnoteRef/>
      </w:r>
      <w:r>
        <w:t xml:space="preserve"> </w:t>
      </w:r>
      <w:r w:rsidRPr="000840CB">
        <w:t xml:space="preserve">Erik </w:t>
      </w:r>
      <w:r w:rsidRPr="000840CB">
        <w:t>Denters, 'The Role of African Regional Organizations in the Promotion and Protection of Foreign Investment' (2017) 18 Journal of World Investment and Trade 449–492</w:t>
      </w:r>
    </w:p>
  </w:footnote>
  <w:footnote w:id="182">
    <w:p w14:paraId="67308568" w14:textId="77777777" w:rsidR="00804087" w:rsidRDefault="00804087" w:rsidP="00804087">
      <w:pPr>
        <w:pStyle w:val="FootnoteText"/>
        <w:jc w:val="both"/>
      </w:pPr>
      <w:r>
        <w:rPr>
          <w:rStyle w:val="FootnoteReference"/>
        </w:rPr>
        <w:footnoteRef/>
      </w:r>
      <w:r>
        <w:t xml:space="preserve"> </w:t>
      </w:r>
      <w:r w:rsidRPr="00653A7D">
        <w:t>Rukia Baruti, 'Investment Facilitation in Regional Economic Integration in Africa: The Cases of COMESA, EAC and SADC (2017) 18 Journal of World Investment and Trade 493–529</w:t>
      </w:r>
    </w:p>
  </w:footnote>
  <w:footnote w:id="183">
    <w:p w14:paraId="4B7AD680" w14:textId="77777777" w:rsidR="00804087" w:rsidRDefault="00804087" w:rsidP="00804087">
      <w:pPr>
        <w:pStyle w:val="FootnoteText"/>
        <w:jc w:val="both"/>
      </w:pPr>
      <w:r>
        <w:rPr>
          <w:rStyle w:val="FootnoteReference"/>
        </w:rPr>
        <w:footnoteRef/>
      </w:r>
      <w:r>
        <w:t xml:space="preserve"> Ibid. 27 above </w:t>
      </w:r>
    </w:p>
  </w:footnote>
  <w:footnote w:id="184">
    <w:p w14:paraId="4283BFAC" w14:textId="77777777" w:rsidR="00A775F8" w:rsidRDefault="00A775F8" w:rsidP="00262DB2">
      <w:pPr>
        <w:pStyle w:val="FootnoteText"/>
        <w:jc w:val="both"/>
      </w:pPr>
      <w:r>
        <w:rPr>
          <w:rStyle w:val="FootnoteReference"/>
        </w:rPr>
        <w:footnoteRef/>
      </w:r>
      <w:r>
        <w:t xml:space="preserve"> </w:t>
      </w:r>
      <w:r>
        <w:t xml:space="preserve">Uche Ofodile, 'Africa and the System of Investor-State Dispute Settlement: To Reject or Not to Reject?' (2014) 11(1) AILA, </w:t>
      </w:r>
      <w:r w:rsidRPr="00262DB2">
        <w:t>Gus Van Harten, 'A Case for an International Investment Court' (2008) Osgoode Hall Law School 1-46</w:t>
      </w:r>
      <w:r>
        <w:t xml:space="preserve">, </w:t>
      </w:r>
      <w:r w:rsidRPr="00262DB2">
        <w:t>José Alvarez and Gus Van Harten, 'Investment Treaty Arbitration and Public Law' [2008] 102(4) American Journal of International Law 909</w:t>
      </w:r>
    </w:p>
  </w:footnote>
  <w:footnote w:id="185">
    <w:p w14:paraId="535CF4C9" w14:textId="77777777" w:rsidR="00A775F8" w:rsidRDefault="00A775F8" w:rsidP="005E60B6">
      <w:pPr>
        <w:pStyle w:val="FootnoteText"/>
        <w:jc w:val="both"/>
      </w:pPr>
      <w:r>
        <w:rPr>
          <w:rStyle w:val="FootnoteReference"/>
        </w:rPr>
        <w:footnoteRef/>
      </w:r>
      <w:r>
        <w:t xml:space="preserve"> </w:t>
      </w:r>
      <w:r w:rsidRPr="00906746">
        <w:t>Lisa Anderson, 'Demystifying the Arab Spring: Parsing the Differences Between Tunisia, Egypt, and Libya' [2011] 90(3) Foreign Affairs 2-7</w:t>
      </w:r>
    </w:p>
  </w:footnote>
  <w:footnote w:id="186">
    <w:p w14:paraId="3027B1EA" w14:textId="77777777" w:rsidR="00A775F8" w:rsidRPr="002F0061" w:rsidRDefault="00A775F8" w:rsidP="00A44321">
      <w:pPr>
        <w:pStyle w:val="FootnoteText"/>
        <w:jc w:val="both"/>
        <w:rPr>
          <w:rFonts w:ascii="Bell MT" w:hAnsi="Bell MT"/>
        </w:rPr>
      </w:pPr>
      <w:r w:rsidRPr="002F0061">
        <w:rPr>
          <w:rStyle w:val="FootnoteReference"/>
          <w:rFonts w:ascii="Bell MT" w:hAnsi="Bell MT"/>
        </w:rPr>
        <w:footnoteRef/>
      </w:r>
      <w:r w:rsidRPr="002F0061">
        <w:rPr>
          <w:rFonts w:ascii="Bell MT" w:hAnsi="Bell MT"/>
        </w:rPr>
        <w:t xml:space="preserve"> Graeme Herd, 'The Arab Spring: Challenges, Obstacles and Dilemmas' [2011] 4(10) Connections: The Quarterly Journal 103-120</w:t>
      </w:r>
    </w:p>
  </w:footnote>
  <w:footnote w:id="187">
    <w:p w14:paraId="7DE13140" w14:textId="77777777" w:rsidR="00A775F8" w:rsidRPr="002F0061" w:rsidRDefault="00A775F8" w:rsidP="002F0061">
      <w:pPr>
        <w:pStyle w:val="FootnoteText"/>
        <w:jc w:val="both"/>
        <w:rPr>
          <w:rFonts w:ascii="Bell MT" w:hAnsi="Bell MT"/>
        </w:rPr>
      </w:pPr>
      <w:r w:rsidRPr="002F0061">
        <w:rPr>
          <w:rStyle w:val="FootnoteReference"/>
          <w:rFonts w:ascii="Bell MT" w:hAnsi="Bell MT"/>
        </w:rPr>
        <w:footnoteRef/>
      </w:r>
      <w:r w:rsidRPr="002F0061">
        <w:rPr>
          <w:rFonts w:ascii="Bell MT" w:hAnsi="Bell MT"/>
        </w:rPr>
        <w:t xml:space="preserve"> Hussain </w:t>
      </w:r>
      <w:r w:rsidRPr="002F0061">
        <w:rPr>
          <w:rFonts w:ascii="Bell MT" w:hAnsi="Bell MT"/>
        </w:rPr>
        <w:t>Sajwani, DAMAC Park Avenue for Real Estate Development S.A.E., and DAMAC Gamsha Bay for Development S.A.E. v Arab Republic of Egypt, ICSID Case No. ARB/11/16, See also Veolia Propreté v. Arab Republic of Egypt (ICSID Case No. ARB/12/15), Luke Peterson, 'French company, Veolia, launches claim against Egypt over terminated waste contract and labour wage stabilization promises' (IA Reporter, 27 June</w:t>
      </w:r>
    </w:p>
    <w:p w14:paraId="432B5CE2" w14:textId="77777777" w:rsidR="00A775F8" w:rsidRPr="002F0061" w:rsidRDefault="00A775F8" w:rsidP="002F0061">
      <w:pPr>
        <w:pStyle w:val="FootnoteText"/>
        <w:jc w:val="both"/>
        <w:rPr>
          <w:rFonts w:ascii="Bell MT" w:hAnsi="Bell MT"/>
        </w:rPr>
      </w:pPr>
      <w:r w:rsidRPr="002F0061">
        <w:rPr>
          <w:rFonts w:ascii="Bell MT" w:hAnsi="Bell MT"/>
        </w:rPr>
        <w:t>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1E2C" w14:textId="77777777" w:rsidR="009A1751" w:rsidRPr="00635F17" w:rsidRDefault="009A1751" w:rsidP="009A1751">
    <w:pPr>
      <w:spacing w:line="276" w:lineRule="auto"/>
      <w:jc w:val="both"/>
      <w:rPr>
        <w:rFonts w:ascii="Bell MT" w:hAnsi="Bell MT"/>
        <w:b/>
        <w:color w:val="1F4E79" w:themeColor="accent1" w:themeShade="80"/>
        <w:sz w:val="28"/>
        <w:szCs w:val="28"/>
      </w:rPr>
    </w:pPr>
    <w:r w:rsidRPr="00635F17">
      <w:rPr>
        <w:rFonts w:ascii="Bell MT" w:hAnsi="Bell MT"/>
        <w:b/>
        <w:color w:val="1F4E79" w:themeColor="accent1" w:themeShade="80"/>
        <w:sz w:val="28"/>
        <w:szCs w:val="28"/>
      </w:rPr>
      <w:t>Investor-State Arbitration and African States: Advancing the proposal for a Pan-African Investment Court</w:t>
    </w:r>
  </w:p>
  <w:p w14:paraId="55F25CFE" w14:textId="77777777" w:rsidR="009A1751" w:rsidRDefault="009A1751">
    <w:pPr>
      <w:pStyle w:val="Header"/>
    </w:pPr>
  </w:p>
  <w:p w14:paraId="4DE66266" w14:textId="77777777" w:rsidR="009A1751" w:rsidRDefault="009A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6FF5"/>
    <w:multiLevelType w:val="multilevel"/>
    <w:tmpl w:val="C03670F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0953480"/>
    <w:multiLevelType w:val="hybridMultilevel"/>
    <w:tmpl w:val="E3C0B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641BD8"/>
    <w:multiLevelType w:val="multilevel"/>
    <w:tmpl w:val="CC8A4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B386769"/>
    <w:multiLevelType w:val="hybridMultilevel"/>
    <w:tmpl w:val="CC989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EC47BD"/>
    <w:multiLevelType w:val="hybridMultilevel"/>
    <w:tmpl w:val="21D2B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E5E9E"/>
    <w:multiLevelType w:val="hybridMultilevel"/>
    <w:tmpl w:val="2B12A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E17299"/>
    <w:multiLevelType w:val="multilevel"/>
    <w:tmpl w:val="A912C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BB40C08"/>
    <w:multiLevelType w:val="hybridMultilevel"/>
    <w:tmpl w:val="B6AED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8582394">
    <w:abstractNumId w:val="1"/>
  </w:num>
  <w:num w:numId="2" w16cid:durableId="1084490957">
    <w:abstractNumId w:val="7"/>
  </w:num>
  <w:num w:numId="3" w16cid:durableId="580915541">
    <w:abstractNumId w:val="4"/>
  </w:num>
  <w:num w:numId="4" w16cid:durableId="1972325370">
    <w:abstractNumId w:val="2"/>
  </w:num>
  <w:num w:numId="5" w16cid:durableId="458305615">
    <w:abstractNumId w:val="6"/>
  </w:num>
  <w:num w:numId="6" w16cid:durableId="393817547">
    <w:abstractNumId w:val="0"/>
  </w:num>
  <w:num w:numId="7" w16cid:durableId="410394638">
    <w:abstractNumId w:val="5"/>
  </w:num>
  <w:num w:numId="8" w16cid:durableId="1131750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77"/>
    <w:rsid w:val="00001246"/>
    <w:rsid w:val="000117A9"/>
    <w:rsid w:val="00011DC0"/>
    <w:rsid w:val="000202E5"/>
    <w:rsid w:val="000313E4"/>
    <w:rsid w:val="0003597D"/>
    <w:rsid w:val="00043547"/>
    <w:rsid w:val="000549CD"/>
    <w:rsid w:val="00054ADA"/>
    <w:rsid w:val="000661AB"/>
    <w:rsid w:val="000778D8"/>
    <w:rsid w:val="00081A5C"/>
    <w:rsid w:val="000840CB"/>
    <w:rsid w:val="00090B47"/>
    <w:rsid w:val="000949A5"/>
    <w:rsid w:val="000A0FAA"/>
    <w:rsid w:val="000E4E3D"/>
    <w:rsid w:val="000F0C49"/>
    <w:rsid w:val="001018C4"/>
    <w:rsid w:val="00127260"/>
    <w:rsid w:val="00161609"/>
    <w:rsid w:val="00176B0B"/>
    <w:rsid w:val="001817C7"/>
    <w:rsid w:val="00185C7D"/>
    <w:rsid w:val="00186172"/>
    <w:rsid w:val="00194674"/>
    <w:rsid w:val="00197728"/>
    <w:rsid w:val="00197A2A"/>
    <w:rsid w:val="001B1A43"/>
    <w:rsid w:val="001B338E"/>
    <w:rsid w:val="001B44D7"/>
    <w:rsid w:val="001C325B"/>
    <w:rsid w:val="001C37A0"/>
    <w:rsid w:val="001E3C5E"/>
    <w:rsid w:val="001E7B37"/>
    <w:rsid w:val="0020730F"/>
    <w:rsid w:val="00227934"/>
    <w:rsid w:val="00245FFB"/>
    <w:rsid w:val="00246DE0"/>
    <w:rsid w:val="002619BC"/>
    <w:rsid w:val="00262283"/>
    <w:rsid w:val="00262DB2"/>
    <w:rsid w:val="00263585"/>
    <w:rsid w:val="00270650"/>
    <w:rsid w:val="00293034"/>
    <w:rsid w:val="00297FEE"/>
    <w:rsid w:val="002A4FF0"/>
    <w:rsid w:val="002B0570"/>
    <w:rsid w:val="002B5FD5"/>
    <w:rsid w:val="002B7CBA"/>
    <w:rsid w:val="002C1BB4"/>
    <w:rsid w:val="002D1FF8"/>
    <w:rsid w:val="002E29EB"/>
    <w:rsid w:val="002F0061"/>
    <w:rsid w:val="002F099C"/>
    <w:rsid w:val="002F117C"/>
    <w:rsid w:val="002F51A4"/>
    <w:rsid w:val="002F6386"/>
    <w:rsid w:val="0030460A"/>
    <w:rsid w:val="00312DE8"/>
    <w:rsid w:val="003230FC"/>
    <w:rsid w:val="00340D65"/>
    <w:rsid w:val="0034457B"/>
    <w:rsid w:val="003464FE"/>
    <w:rsid w:val="00351FDB"/>
    <w:rsid w:val="0035225C"/>
    <w:rsid w:val="00353062"/>
    <w:rsid w:val="00361F83"/>
    <w:rsid w:val="0036678D"/>
    <w:rsid w:val="003746D1"/>
    <w:rsid w:val="003764AE"/>
    <w:rsid w:val="00384891"/>
    <w:rsid w:val="00387D73"/>
    <w:rsid w:val="00393591"/>
    <w:rsid w:val="00394872"/>
    <w:rsid w:val="003A0991"/>
    <w:rsid w:val="003B3612"/>
    <w:rsid w:val="003C7F0D"/>
    <w:rsid w:val="00415D13"/>
    <w:rsid w:val="004240B1"/>
    <w:rsid w:val="004459A5"/>
    <w:rsid w:val="00453206"/>
    <w:rsid w:val="00467487"/>
    <w:rsid w:val="00473F89"/>
    <w:rsid w:val="00486DFD"/>
    <w:rsid w:val="0049065A"/>
    <w:rsid w:val="00496D61"/>
    <w:rsid w:val="004A3C10"/>
    <w:rsid w:val="004A6B5D"/>
    <w:rsid w:val="004B12D7"/>
    <w:rsid w:val="004C0EA9"/>
    <w:rsid w:val="004C2EF0"/>
    <w:rsid w:val="004C30BB"/>
    <w:rsid w:val="00505774"/>
    <w:rsid w:val="005126BF"/>
    <w:rsid w:val="005212EE"/>
    <w:rsid w:val="00535DBD"/>
    <w:rsid w:val="0053744E"/>
    <w:rsid w:val="00551D03"/>
    <w:rsid w:val="005A616E"/>
    <w:rsid w:val="005C2AB6"/>
    <w:rsid w:val="005C41CB"/>
    <w:rsid w:val="005D1723"/>
    <w:rsid w:val="005D4835"/>
    <w:rsid w:val="005E60B6"/>
    <w:rsid w:val="006017E1"/>
    <w:rsid w:val="00634966"/>
    <w:rsid w:val="00635F17"/>
    <w:rsid w:val="00636202"/>
    <w:rsid w:val="006461E2"/>
    <w:rsid w:val="006517FE"/>
    <w:rsid w:val="00653A7D"/>
    <w:rsid w:val="0065490B"/>
    <w:rsid w:val="00661423"/>
    <w:rsid w:val="006644DC"/>
    <w:rsid w:val="006811A2"/>
    <w:rsid w:val="00696A74"/>
    <w:rsid w:val="006A74FC"/>
    <w:rsid w:val="006A7AB9"/>
    <w:rsid w:val="006B7749"/>
    <w:rsid w:val="006C310E"/>
    <w:rsid w:val="006C45A2"/>
    <w:rsid w:val="006C4D71"/>
    <w:rsid w:val="006D24FB"/>
    <w:rsid w:val="006D571D"/>
    <w:rsid w:val="006E440F"/>
    <w:rsid w:val="006F1943"/>
    <w:rsid w:val="00711BA0"/>
    <w:rsid w:val="0071459A"/>
    <w:rsid w:val="00716165"/>
    <w:rsid w:val="00721D00"/>
    <w:rsid w:val="00733819"/>
    <w:rsid w:val="0073562A"/>
    <w:rsid w:val="0074034A"/>
    <w:rsid w:val="007416F8"/>
    <w:rsid w:val="007703D6"/>
    <w:rsid w:val="0079373A"/>
    <w:rsid w:val="00797569"/>
    <w:rsid w:val="007B1253"/>
    <w:rsid w:val="007C52D5"/>
    <w:rsid w:val="007C5E70"/>
    <w:rsid w:val="007C6A13"/>
    <w:rsid w:val="007E1B77"/>
    <w:rsid w:val="007E3210"/>
    <w:rsid w:val="007E5AFB"/>
    <w:rsid w:val="007F0C37"/>
    <w:rsid w:val="007F634E"/>
    <w:rsid w:val="007F789D"/>
    <w:rsid w:val="00804087"/>
    <w:rsid w:val="00805010"/>
    <w:rsid w:val="00805E6B"/>
    <w:rsid w:val="00813A38"/>
    <w:rsid w:val="0082737A"/>
    <w:rsid w:val="008332D2"/>
    <w:rsid w:val="00836FD4"/>
    <w:rsid w:val="008402FD"/>
    <w:rsid w:val="00856E67"/>
    <w:rsid w:val="00896F25"/>
    <w:rsid w:val="008C73ED"/>
    <w:rsid w:val="008D1372"/>
    <w:rsid w:val="008D6980"/>
    <w:rsid w:val="008D6C69"/>
    <w:rsid w:val="008F552B"/>
    <w:rsid w:val="00904185"/>
    <w:rsid w:val="00913D3A"/>
    <w:rsid w:val="00931612"/>
    <w:rsid w:val="0094707F"/>
    <w:rsid w:val="009476AB"/>
    <w:rsid w:val="00964CFF"/>
    <w:rsid w:val="009745FC"/>
    <w:rsid w:val="009907D0"/>
    <w:rsid w:val="00991B8F"/>
    <w:rsid w:val="009A1751"/>
    <w:rsid w:val="009A3970"/>
    <w:rsid w:val="009B39A3"/>
    <w:rsid w:val="009C0685"/>
    <w:rsid w:val="009C3327"/>
    <w:rsid w:val="009D3E52"/>
    <w:rsid w:val="00A008E8"/>
    <w:rsid w:val="00A01739"/>
    <w:rsid w:val="00A01EC0"/>
    <w:rsid w:val="00A30CAD"/>
    <w:rsid w:val="00A31F4A"/>
    <w:rsid w:val="00A35147"/>
    <w:rsid w:val="00A4068B"/>
    <w:rsid w:val="00A44321"/>
    <w:rsid w:val="00A775F8"/>
    <w:rsid w:val="00A814E8"/>
    <w:rsid w:val="00A826DA"/>
    <w:rsid w:val="00A92198"/>
    <w:rsid w:val="00AA2150"/>
    <w:rsid w:val="00AB1A11"/>
    <w:rsid w:val="00AC0B90"/>
    <w:rsid w:val="00AC5D40"/>
    <w:rsid w:val="00AC7457"/>
    <w:rsid w:val="00AD13FD"/>
    <w:rsid w:val="00AD6905"/>
    <w:rsid w:val="00AE2A7F"/>
    <w:rsid w:val="00AF7E3C"/>
    <w:rsid w:val="00B155F6"/>
    <w:rsid w:val="00B17550"/>
    <w:rsid w:val="00B225A2"/>
    <w:rsid w:val="00B3481B"/>
    <w:rsid w:val="00B46421"/>
    <w:rsid w:val="00B47968"/>
    <w:rsid w:val="00B51024"/>
    <w:rsid w:val="00B521DF"/>
    <w:rsid w:val="00B63C48"/>
    <w:rsid w:val="00B664E9"/>
    <w:rsid w:val="00B7345F"/>
    <w:rsid w:val="00B74110"/>
    <w:rsid w:val="00B77BB0"/>
    <w:rsid w:val="00B80897"/>
    <w:rsid w:val="00B83051"/>
    <w:rsid w:val="00B97918"/>
    <w:rsid w:val="00BB1C68"/>
    <w:rsid w:val="00BB1E8A"/>
    <w:rsid w:val="00BB2846"/>
    <w:rsid w:val="00BC1E7B"/>
    <w:rsid w:val="00BD2161"/>
    <w:rsid w:val="00BD5002"/>
    <w:rsid w:val="00BD6EA6"/>
    <w:rsid w:val="00BE619F"/>
    <w:rsid w:val="00C06890"/>
    <w:rsid w:val="00C077A5"/>
    <w:rsid w:val="00C145FA"/>
    <w:rsid w:val="00C23EF4"/>
    <w:rsid w:val="00C565B6"/>
    <w:rsid w:val="00C72D2E"/>
    <w:rsid w:val="00C734CC"/>
    <w:rsid w:val="00C74ED2"/>
    <w:rsid w:val="00C765AB"/>
    <w:rsid w:val="00C83A3A"/>
    <w:rsid w:val="00C9265E"/>
    <w:rsid w:val="00C96567"/>
    <w:rsid w:val="00CA18E8"/>
    <w:rsid w:val="00CA2BE4"/>
    <w:rsid w:val="00CB59FE"/>
    <w:rsid w:val="00CC3453"/>
    <w:rsid w:val="00CD60BF"/>
    <w:rsid w:val="00CF095A"/>
    <w:rsid w:val="00CF26E6"/>
    <w:rsid w:val="00D068E5"/>
    <w:rsid w:val="00D22B9D"/>
    <w:rsid w:val="00D25B67"/>
    <w:rsid w:val="00D355AC"/>
    <w:rsid w:val="00D5564D"/>
    <w:rsid w:val="00D6214B"/>
    <w:rsid w:val="00D9161E"/>
    <w:rsid w:val="00DB72F5"/>
    <w:rsid w:val="00DB7ECD"/>
    <w:rsid w:val="00DC616F"/>
    <w:rsid w:val="00DC7188"/>
    <w:rsid w:val="00DD2FA9"/>
    <w:rsid w:val="00DD5214"/>
    <w:rsid w:val="00DD629D"/>
    <w:rsid w:val="00DD7700"/>
    <w:rsid w:val="00DD7BE3"/>
    <w:rsid w:val="00DF3713"/>
    <w:rsid w:val="00E068FA"/>
    <w:rsid w:val="00E11B88"/>
    <w:rsid w:val="00E203E3"/>
    <w:rsid w:val="00E23D81"/>
    <w:rsid w:val="00E424AA"/>
    <w:rsid w:val="00E4737C"/>
    <w:rsid w:val="00E518EA"/>
    <w:rsid w:val="00E55EC9"/>
    <w:rsid w:val="00E6057A"/>
    <w:rsid w:val="00E6066C"/>
    <w:rsid w:val="00E62C68"/>
    <w:rsid w:val="00E8399D"/>
    <w:rsid w:val="00E93545"/>
    <w:rsid w:val="00E95778"/>
    <w:rsid w:val="00EA537B"/>
    <w:rsid w:val="00EB2DF3"/>
    <w:rsid w:val="00EC4051"/>
    <w:rsid w:val="00EE2E94"/>
    <w:rsid w:val="00EE5D29"/>
    <w:rsid w:val="00F000C7"/>
    <w:rsid w:val="00F026BB"/>
    <w:rsid w:val="00F04AF7"/>
    <w:rsid w:val="00F10E73"/>
    <w:rsid w:val="00F153FA"/>
    <w:rsid w:val="00F36120"/>
    <w:rsid w:val="00F47036"/>
    <w:rsid w:val="00F55BE9"/>
    <w:rsid w:val="00F730A1"/>
    <w:rsid w:val="00F7597F"/>
    <w:rsid w:val="00F776F8"/>
    <w:rsid w:val="00F82EE7"/>
    <w:rsid w:val="00F9218B"/>
    <w:rsid w:val="00F929D3"/>
    <w:rsid w:val="00FA2F82"/>
    <w:rsid w:val="00FB34F0"/>
    <w:rsid w:val="00FC01BA"/>
    <w:rsid w:val="00FE33B8"/>
    <w:rsid w:val="00FE3C99"/>
    <w:rsid w:val="00FF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E0151"/>
  <w15:chartTrackingRefBased/>
  <w15:docId w15:val="{8D429A43-EF70-4174-A0E3-17A5B988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077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nota pie Car Car,Texto nota pie Car Car Car Car Car Car,Texto nota pie Car Car Car Car Car,Texto nota pie Car Car Car Car Car Car Car,Texto nota pie Car Car Car,KN Footnote Text - Country Study"/>
    <w:basedOn w:val="Normal"/>
    <w:link w:val="FootnoteTextChar"/>
    <w:uiPriority w:val="99"/>
    <w:unhideWhenUsed/>
    <w:rsid w:val="009B39A3"/>
    <w:pPr>
      <w:spacing w:after="0" w:line="240" w:lineRule="auto"/>
    </w:pPr>
    <w:rPr>
      <w:sz w:val="20"/>
      <w:szCs w:val="20"/>
    </w:rPr>
  </w:style>
  <w:style w:type="character" w:customStyle="1" w:styleId="FootnoteTextChar">
    <w:name w:val="Footnote Text Char"/>
    <w:aliases w:val="Texto nota pie Car Car Char,Texto nota pie Car Car Car Car Car Car Char,Texto nota pie Car Car Car Car Car Char,Texto nota pie Car Car Car Car Car Car Car Char,Texto nota pie Car Car Car Char,KN Footnote Text - Country Study Char"/>
    <w:basedOn w:val="DefaultParagraphFont"/>
    <w:link w:val="FootnoteText"/>
    <w:uiPriority w:val="99"/>
    <w:rsid w:val="009B39A3"/>
    <w:rPr>
      <w:sz w:val="20"/>
      <w:szCs w:val="20"/>
    </w:rPr>
  </w:style>
  <w:style w:type="character" w:styleId="FootnoteReference">
    <w:name w:val="footnote reference"/>
    <w:basedOn w:val="DefaultParagraphFont"/>
    <w:uiPriority w:val="99"/>
    <w:unhideWhenUsed/>
    <w:rsid w:val="009B39A3"/>
    <w:rPr>
      <w:vertAlign w:val="superscript"/>
    </w:rPr>
  </w:style>
  <w:style w:type="character" w:styleId="Hyperlink">
    <w:name w:val="Hyperlink"/>
    <w:basedOn w:val="DefaultParagraphFont"/>
    <w:uiPriority w:val="99"/>
    <w:unhideWhenUsed/>
    <w:rsid w:val="00B83051"/>
    <w:rPr>
      <w:color w:val="0563C1" w:themeColor="hyperlink"/>
      <w:u w:val="single"/>
    </w:rPr>
  </w:style>
  <w:style w:type="paragraph" w:styleId="Header">
    <w:name w:val="header"/>
    <w:basedOn w:val="Normal"/>
    <w:link w:val="HeaderChar"/>
    <w:uiPriority w:val="99"/>
    <w:unhideWhenUsed/>
    <w:rsid w:val="00E42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4AA"/>
  </w:style>
  <w:style w:type="paragraph" w:styleId="Footer">
    <w:name w:val="footer"/>
    <w:basedOn w:val="Normal"/>
    <w:link w:val="FooterChar"/>
    <w:uiPriority w:val="99"/>
    <w:unhideWhenUsed/>
    <w:rsid w:val="00E42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4AA"/>
  </w:style>
  <w:style w:type="paragraph" w:styleId="ListParagraph">
    <w:name w:val="List Paragraph"/>
    <w:basedOn w:val="Normal"/>
    <w:uiPriority w:val="34"/>
    <w:qFormat/>
    <w:rsid w:val="00FB34F0"/>
    <w:pPr>
      <w:ind w:left="720"/>
      <w:contextualSpacing/>
    </w:pPr>
  </w:style>
  <w:style w:type="character" w:customStyle="1" w:styleId="st">
    <w:name w:val="st"/>
    <w:basedOn w:val="DefaultParagraphFont"/>
    <w:rsid w:val="00EE2E94"/>
  </w:style>
  <w:style w:type="character" w:styleId="Emphasis">
    <w:name w:val="Emphasis"/>
    <w:basedOn w:val="DefaultParagraphFont"/>
    <w:uiPriority w:val="20"/>
    <w:qFormat/>
    <w:rsid w:val="00EE2E94"/>
    <w:rPr>
      <w:i/>
      <w:iCs/>
    </w:rPr>
  </w:style>
  <w:style w:type="character" w:customStyle="1" w:styleId="Heading4Char">
    <w:name w:val="Heading 4 Char"/>
    <w:basedOn w:val="DefaultParagraphFont"/>
    <w:link w:val="Heading4"/>
    <w:uiPriority w:val="9"/>
    <w:semiHidden/>
    <w:rsid w:val="00C077A5"/>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077A5"/>
    <w:rPr>
      <w:b/>
      <w:bCs/>
    </w:rPr>
  </w:style>
  <w:style w:type="character" w:customStyle="1" w:styleId="st1">
    <w:name w:val="st1"/>
    <w:basedOn w:val="DefaultParagraphFont"/>
    <w:rsid w:val="00C0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ala.org/new/index.php/key-documents/reports/548-workshop-on-investment-policies-and-strategies-in-the-eac-region/file" TargetMode="External"/><Relationship Id="rId7" Type="http://schemas.openxmlformats.org/officeDocument/2006/relationships/hyperlink" Target="https://www.tralac.org/images/Resources/EAC/EAC%20Model%20Investment%20Code%202006.pdf" TargetMode="External"/><Relationship Id="rId2" Type="http://schemas.openxmlformats.org/officeDocument/2006/relationships/hyperlink" Target="http://investmentpolicyhub.unctad.org/Download/TreatyFile/5409" TargetMode="External"/><Relationship Id="rId1" Type="http://schemas.openxmlformats.org/officeDocument/2006/relationships/hyperlink" Target="http://www.arbitration-icca.org/AV_Library/AV_Library_textformat/ICCA_2012_Singapore_Keynote_Menon.html" TargetMode="External"/><Relationship Id="rId6" Type="http://schemas.openxmlformats.org/officeDocument/2006/relationships/hyperlink" Target="http://investmentpolicyhub.unctad.org/Download/TreatyFile/3266" TargetMode="External"/><Relationship Id="rId5" Type="http://schemas.openxmlformats.org/officeDocument/2006/relationships/hyperlink" Target="http://www.iisd.org/itn/wp%20content/uploads/2012/10/sadc-model-bit-template-final.pdf" TargetMode="External"/><Relationship Id="rId4" Type="http://schemas.openxmlformats.org/officeDocument/2006/relationships/hyperlink" Target="http://www.wipo.int/wipolex/en/other_treaties/text.jsp?file_id=173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16708-2CE0-4886-A249-7DE70FE7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12311</Words>
  <Characters>68707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80857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 Obiajunwa (o.ama129@canterbury.ac.uk)</dc:creator>
  <cp:keywords/>
  <dc:description/>
  <cp:lastModifiedBy>Obiajunwa Ama</cp:lastModifiedBy>
  <cp:revision>2</cp:revision>
  <dcterms:created xsi:type="dcterms:W3CDTF">2024-10-19T05:58:00Z</dcterms:created>
  <dcterms:modified xsi:type="dcterms:W3CDTF">2024-10-19T05:58:00Z</dcterms:modified>
</cp:coreProperties>
</file>