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0268" w14:textId="7EAB99D9" w:rsidR="00191108" w:rsidRDefault="00191108" w:rsidP="008C137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Davenport SJ (2021) Impact of occupational therapy in an integrated adult social care service: Audit of Therapy Outcome Measure Findings. Journal of Integrated Care Available at </w:t>
      </w:r>
      <w:hyperlink r:id="rId10" w:history="1">
        <w:r w:rsidRPr="00233270">
          <w:rPr>
            <w:rStyle w:val="Hyperlink"/>
            <w:b/>
            <w:bCs/>
            <w:sz w:val="24"/>
            <w:szCs w:val="24"/>
          </w:rPr>
          <w:t>https://www.emerald.com/insight/content/doi/10.1108/JICA-04-2021-0020/full/html</w:t>
        </w:r>
      </w:hyperlink>
    </w:p>
    <w:p w14:paraId="3773E8EB" w14:textId="041AB938" w:rsidR="00191108" w:rsidRDefault="00191108" w:rsidP="008C137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Accessed 03/12/21</w:t>
      </w:r>
    </w:p>
    <w:p w14:paraId="72342555" w14:textId="06787570" w:rsidR="008C137B" w:rsidRPr="00191108" w:rsidRDefault="008C137B" w:rsidP="008C137B">
      <w:pPr>
        <w:spacing w:line="360" w:lineRule="auto"/>
        <w:jc w:val="both"/>
        <w:rPr>
          <w:sz w:val="24"/>
          <w:szCs w:val="24"/>
        </w:rPr>
      </w:pPr>
      <w:r w:rsidRPr="00191108">
        <w:rPr>
          <w:b/>
          <w:bCs/>
          <w:sz w:val="24"/>
          <w:szCs w:val="24"/>
        </w:rPr>
        <w:t>Title</w:t>
      </w:r>
      <w:r w:rsidRPr="00191108">
        <w:rPr>
          <w:sz w:val="24"/>
          <w:szCs w:val="24"/>
        </w:rPr>
        <w:t xml:space="preserve">: Impact of occupational therapy in an integrated adult social care service: Audit of </w:t>
      </w:r>
      <w:r w:rsidR="00DD4F05" w:rsidRPr="00191108">
        <w:rPr>
          <w:sz w:val="24"/>
          <w:szCs w:val="24"/>
        </w:rPr>
        <w:t>T</w:t>
      </w:r>
      <w:r w:rsidRPr="00191108">
        <w:rPr>
          <w:sz w:val="24"/>
          <w:szCs w:val="24"/>
        </w:rPr>
        <w:t>herapy Outcome Measure</w:t>
      </w:r>
      <w:r w:rsidR="00BC597A" w:rsidRPr="00191108">
        <w:rPr>
          <w:sz w:val="24"/>
          <w:szCs w:val="24"/>
        </w:rPr>
        <w:t xml:space="preserve"> Findings</w:t>
      </w:r>
      <w:r w:rsidRPr="00191108">
        <w:rPr>
          <w:sz w:val="24"/>
          <w:szCs w:val="24"/>
        </w:rPr>
        <w:t xml:space="preserve">. </w:t>
      </w:r>
    </w:p>
    <w:p w14:paraId="55893101" w14:textId="77777777" w:rsidR="008C137B" w:rsidRPr="00191108" w:rsidRDefault="008C137B" w:rsidP="008C137B">
      <w:pPr>
        <w:spacing w:line="360" w:lineRule="auto"/>
        <w:jc w:val="both"/>
        <w:rPr>
          <w:b/>
          <w:bCs/>
          <w:sz w:val="24"/>
          <w:szCs w:val="24"/>
        </w:rPr>
      </w:pPr>
      <w:r w:rsidRPr="00191108">
        <w:rPr>
          <w:b/>
          <w:bCs/>
          <w:sz w:val="24"/>
          <w:szCs w:val="24"/>
        </w:rPr>
        <w:t>Abstract</w:t>
      </w:r>
    </w:p>
    <w:p w14:paraId="0B29C869" w14:textId="2F73639D" w:rsidR="008C137B" w:rsidRPr="00191108" w:rsidRDefault="008C137B" w:rsidP="008C137B">
      <w:pPr>
        <w:spacing w:line="360" w:lineRule="auto"/>
        <w:jc w:val="both"/>
        <w:rPr>
          <w:sz w:val="24"/>
          <w:szCs w:val="24"/>
        </w:rPr>
      </w:pPr>
      <w:r w:rsidRPr="00191108">
        <w:rPr>
          <w:b/>
          <w:bCs/>
          <w:sz w:val="24"/>
          <w:szCs w:val="24"/>
        </w:rPr>
        <w:t xml:space="preserve">Purpose </w:t>
      </w:r>
      <w:r w:rsidRPr="00191108">
        <w:rPr>
          <w:sz w:val="24"/>
          <w:szCs w:val="24"/>
        </w:rPr>
        <w:t xml:space="preserve">Health and social care services should demonstrate the quality of their interventions for commissioners, patients, and carers, plus </w:t>
      </w:r>
      <w:r w:rsidRPr="00191108">
        <w:rPr>
          <w:rFonts w:cstheme="minorHAnsi"/>
          <w:sz w:val="24"/>
          <w:szCs w:val="24"/>
        </w:rPr>
        <w:t>it is a requirement for occupational therapists to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measure and record outcomes. Use of the “Therapy Outcome Measure” </w:t>
      </w:r>
      <w:r w:rsidR="00E71FA1" w:rsidRPr="00191108">
        <w:rPr>
          <w:rFonts w:cstheme="minorHAnsi"/>
          <w:sz w:val="24"/>
          <w:szCs w:val="24"/>
          <w:shd w:val="clear" w:color="auto" w:fill="FFFFFF"/>
        </w:rPr>
        <w:t xml:space="preserve">standardised tool 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was implemented by an occupational therapy adult social care service to demonstrate outcomes from April 2020, </w:t>
      </w:r>
      <w:r w:rsidR="00FD57C6" w:rsidRPr="00191108">
        <w:rPr>
          <w:rFonts w:cstheme="minorHAnsi"/>
          <w:sz w:val="24"/>
          <w:szCs w:val="24"/>
          <w:shd w:val="clear" w:color="auto" w:fill="FFFFFF"/>
        </w:rPr>
        <w:t>following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integration </w:t>
      </w:r>
      <w:r w:rsidR="00E71FA1" w:rsidRPr="00191108">
        <w:rPr>
          <w:rFonts w:cstheme="minorHAnsi"/>
          <w:sz w:val="24"/>
          <w:szCs w:val="24"/>
          <w:shd w:val="clear" w:color="auto" w:fill="FFFFFF"/>
        </w:rPr>
        <w:t>to a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community NHS Trust.</w:t>
      </w:r>
    </w:p>
    <w:p w14:paraId="5CFA1DD6" w14:textId="0CFBDF31" w:rsidR="008C137B" w:rsidRPr="00191108" w:rsidRDefault="008C137B" w:rsidP="008C137B">
      <w:pPr>
        <w:spacing w:line="360" w:lineRule="auto"/>
        <w:jc w:val="both"/>
        <w:rPr>
          <w:b/>
          <w:bCs/>
          <w:sz w:val="24"/>
          <w:szCs w:val="24"/>
        </w:rPr>
      </w:pPr>
      <w:r w:rsidRPr="00191108">
        <w:rPr>
          <w:b/>
          <w:bCs/>
          <w:sz w:val="24"/>
          <w:szCs w:val="24"/>
        </w:rPr>
        <w:t xml:space="preserve">Design 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The aim was to demonstrate occupational therapy outcomes in adult social care through a local audit of the Therapy Outcome Measure. The objective was to determine if clients improved following occupational therapy intervention in the four domains of impairment, activity, </w:t>
      </w:r>
      <w:proofErr w:type="gramStart"/>
      <w:r w:rsidRPr="00191108">
        <w:rPr>
          <w:rFonts w:cstheme="minorHAnsi"/>
          <w:sz w:val="24"/>
          <w:szCs w:val="24"/>
          <w:shd w:val="clear" w:color="auto" w:fill="FFFFFF"/>
        </w:rPr>
        <w:t>participation</w:t>
      </w:r>
      <w:proofErr w:type="gramEnd"/>
      <w:r w:rsidRPr="00191108">
        <w:rPr>
          <w:rFonts w:cstheme="minorHAnsi"/>
          <w:sz w:val="24"/>
          <w:szCs w:val="24"/>
          <w:shd w:val="clear" w:color="auto" w:fill="FFFFFF"/>
        </w:rPr>
        <w:t xml:space="preserve"> and wellbeing/carer wellbeing. 70 cases were purpo</w:t>
      </w:r>
      <w:r w:rsidR="00007D59" w:rsidRPr="00191108">
        <w:rPr>
          <w:rFonts w:cstheme="minorHAnsi"/>
          <w:sz w:val="24"/>
          <w:szCs w:val="24"/>
          <w:shd w:val="clear" w:color="auto" w:fill="FFFFFF"/>
        </w:rPr>
        <w:t>sively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sampled over a 2-month timeframe, extracting data from the local electronic recording system.</w:t>
      </w:r>
    </w:p>
    <w:p w14:paraId="025795B4" w14:textId="3168778D" w:rsidR="008C137B" w:rsidRPr="00191108" w:rsidRDefault="008C137B" w:rsidP="008C137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91108">
        <w:rPr>
          <w:rFonts w:asciiTheme="minorHAnsi" w:hAnsiTheme="minorHAnsi" w:cstheme="minorHAnsi"/>
          <w:b/>
          <w:bCs/>
          <w:color w:val="auto"/>
        </w:rPr>
        <w:t xml:space="preserve">Findings </w:t>
      </w:r>
      <w:r w:rsidRPr="00191108">
        <w:rPr>
          <w:rFonts w:asciiTheme="minorHAnsi" w:hAnsiTheme="minorHAnsi" w:cstheme="minorHAnsi"/>
          <w:color w:val="auto"/>
        </w:rPr>
        <w:t>Occupational therapy in adult social care clearly makes an impact with their client group and carers. Evidence from the dataset demonstrates clinically significant change, as 93% of clients seen by adult social care occupational therapy staff showed an improvement in at least one therapy outcome measure domain during their whole episode of care. 79% of activity scores, 20% of participation scores and 50% of wellbeing score</w:t>
      </w:r>
      <w:r w:rsidR="00A5627F" w:rsidRPr="00191108">
        <w:rPr>
          <w:rFonts w:asciiTheme="minorHAnsi" w:hAnsiTheme="minorHAnsi" w:cstheme="minorHAnsi"/>
          <w:color w:val="auto"/>
        </w:rPr>
        <w:t>s</w:t>
      </w:r>
      <w:r w:rsidRPr="00191108">
        <w:rPr>
          <w:rFonts w:asciiTheme="minorHAnsi" w:hAnsiTheme="minorHAnsi" w:cstheme="minorHAnsi"/>
          <w:color w:val="auto"/>
        </w:rPr>
        <w:t xml:space="preserve"> improved following intervention. 79% of carer wellbeing scores improved following occupational therapy.</w:t>
      </w:r>
    </w:p>
    <w:p w14:paraId="7516D0A3" w14:textId="77777777" w:rsidR="008C137B" w:rsidRPr="00191108" w:rsidRDefault="008C137B" w:rsidP="008C137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074EEA8B" w14:textId="6BF7BEEF" w:rsidR="008C137B" w:rsidRPr="00191108" w:rsidRDefault="008C137B" w:rsidP="008C137B">
      <w:pPr>
        <w:spacing w:line="360" w:lineRule="auto"/>
        <w:jc w:val="both"/>
        <w:rPr>
          <w:sz w:val="24"/>
          <w:szCs w:val="24"/>
        </w:rPr>
      </w:pPr>
      <w:r w:rsidRPr="00191108">
        <w:rPr>
          <w:b/>
          <w:bCs/>
          <w:sz w:val="24"/>
          <w:szCs w:val="24"/>
        </w:rPr>
        <w:t>Originality</w:t>
      </w:r>
    </w:p>
    <w:p w14:paraId="70B0600D" w14:textId="6AF91FF1" w:rsidR="007F6FFA" w:rsidRPr="00191108" w:rsidRDefault="00820D64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b/>
          <w:bCs/>
          <w:sz w:val="24"/>
          <w:szCs w:val="24"/>
        </w:rPr>
        <w:t xml:space="preserve">Introduction </w:t>
      </w:r>
      <w:r w:rsidR="00433FBA" w:rsidRPr="00191108">
        <w:rPr>
          <w:rFonts w:cstheme="minorHAnsi"/>
          <w:sz w:val="24"/>
          <w:szCs w:val="24"/>
        </w:rPr>
        <w:t>Evidence</w:t>
      </w:r>
      <w:r w:rsidRPr="00191108">
        <w:rPr>
          <w:rFonts w:cstheme="minorHAnsi"/>
          <w:sz w:val="24"/>
          <w:szCs w:val="24"/>
        </w:rPr>
        <w:t xml:space="preserve"> of health service quality </w:t>
      </w:r>
      <w:r w:rsidR="00A93883" w:rsidRPr="00191108">
        <w:rPr>
          <w:rFonts w:cstheme="minorHAnsi"/>
          <w:sz w:val="24"/>
          <w:szCs w:val="24"/>
        </w:rPr>
        <w:t>is</w:t>
      </w:r>
      <w:r w:rsidRPr="00191108">
        <w:rPr>
          <w:rFonts w:cstheme="minorHAnsi"/>
          <w:sz w:val="24"/>
          <w:szCs w:val="24"/>
        </w:rPr>
        <w:t xml:space="preserve"> essential in </w:t>
      </w:r>
      <w:r w:rsidR="00D27105" w:rsidRPr="00191108">
        <w:rPr>
          <w:rFonts w:cstheme="minorHAnsi"/>
          <w:sz w:val="24"/>
          <w:szCs w:val="24"/>
        </w:rPr>
        <w:t>today’s</w:t>
      </w:r>
      <w:r w:rsidRPr="00191108">
        <w:rPr>
          <w:rFonts w:cstheme="minorHAnsi"/>
          <w:sz w:val="24"/>
          <w:szCs w:val="24"/>
        </w:rPr>
        <w:t xml:space="preserve"> health</w:t>
      </w:r>
      <w:r w:rsidR="00D27105" w:rsidRPr="00191108">
        <w:rPr>
          <w:rFonts w:cstheme="minorHAnsi"/>
          <w:sz w:val="24"/>
          <w:szCs w:val="24"/>
        </w:rPr>
        <w:t xml:space="preserve"> and social care </w:t>
      </w:r>
      <w:r w:rsidRPr="00191108">
        <w:rPr>
          <w:rFonts w:cstheme="minorHAnsi"/>
          <w:sz w:val="24"/>
          <w:szCs w:val="24"/>
        </w:rPr>
        <w:t>economy (Health and Social Care Act 2012, Francis</w:t>
      </w:r>
      <w:r w:rsidR="00EF5481" w:rsidRPr="00191108">
        <w:rPr>
          <w:rFonts w:cstheme="minorHAnsi"/>
          <w:sz w:val="24"/>
          <w:szCs w:val="24"/>
        </w:rPr>
        <w:t>,</w:t>
      </w:r>
      <w:r w:rsidRPr="00191108">
        <w:rPr>
          <w:rFonts w:cstheme="minorHAnsi"/>
          <w:sz w:val="24"/>
          <w:szCs w:val="24"/>
        </w:rPr>
        <w:t xml:space="preserve"> 2013)</w:t>
      </w:r>
      <w:r w:rsidR="00E71FA1" w:rsidRPr="00191108">
        <w:rPr>
          <w:rFonts w:cstheme="minorHAnsi"/>
          <w:sz w:val="24"/>
          <w:szCs w:val="24"/>
        </w:rPr>
        <w:t xml:space="preserve"> for accountability</w:t>
      </w:r>
      <w:r w:rsidR="00A93883" w:rsidRPr="00191108">
        <w:rPr>
          <w:rFonts w:cstheme="minorHAnsi"/>
          <w:sz w:val="24"/>
          <w:szCs w:val="24"/>
        </w:rPr>
        <w:t xml:space="preserve"> and quality improvement</w:t>
      </w:r>
      <w:r w:rsidRPr="00191108">
        <w:rPr>
          <w:rFonts w:cstheme="minorHAnsi"/>
          <w:sz w:val="24"/>
          <w:szCs w:val="24"/>
        </w:rPr>
        <w:t xml:space="preserve">.  Allied health professionals (AHPs), nurses and other </w:t>
      </w:r>
      <w:r w:rsidR="00602033" w:rsidRPr="00191108">
        <w:rPr>
          <w:rFonts w:cstheme="minorHAnsi"/>
          <w:sz w:val="24"/>
          <w:szCs w:val="24"/>
        </w:rPr>
        <w:t>clinicians</w:t>
      </w:r>
      <w:r w:rsidRPr="00191108">
        <w:rPr>
          <w:rFonts w:cstheme="minorHAnsi"/>
          <w:sz w:val="24"/>
          <w:szCs w:val="24"/>
        </w:rPr>
        <w:t xml:space="preserve"> must </w:t>
      </w:r>
      <w:r w:rsidR="00D27105" w:rsidRPr="00191108">
        <w:rPr>
          <w:rFonts w:cstheme="minorHAnsi"/>
          <w:sz w:val="24"/>
          <w:szCs w:val="24"/>
        </w:rPr>
        <w:t>report on</w:t>
      </w:r>
      <w:r w:rsidRPr="00191108">
        <w:rPr>
          <w:rFonts w:cstheme="minorHAnsi"/>
          <w:sz w:val="24"/>
          <w:szCs w:val="24"/>
        </w:rPr>
        <w:t xml:space="preserve"> </w:t>
      </w:r>
      <w:r w:rsidRPr="00191108">
        <w:rPr>
          <w:rFonts w:cstheme="minorHAnsi"/>
          <w:sz w:val="24"/>
          <w:szCs w:val="24"/>
        </w:rPr>
        <w:lastRenderedPageBreak/>
        <w:t xml:space="preserve">the effectiveness of their interventions </w:t>
      </w:r>
      <w:r w:rsidR="00D27105" w:rsidRPr="00191108">
        <w:rPr>
          <w:rFonts w:cstheme="minorHAnsi"/>
          <w:sz w:val="24"/>
          <w:szCs w:val="24"/>
        </w:rPr>
        <w:t>to demonstrate impact</w:t>
      </w:r>
      <w:r w:rsidR="004E39DC" w:rsidRPr="00191108">
        <w:rPr>
          <w:rFonts w:cstheme="minorHAnsi"/>
          <w:sz w:val="24"/>
          <w:szCs w:val="24"/>
        </w:rPr>
        <w:t xml:space="preserve"> (Health and Care Professions Council (HCPC) 2018; Pearson</w:t>
      </w:r>
      <w:r w:rsidR="00EF5481" w:rsidRPr="00191108">
        <w:rPr>
          <w:rFonts w:cstheme="minorHAnsi"/>
          <w:sz w:val="24"/>
          <w:szCs w:val="24"/>
        </w:rPr>
        <w:t>,</w:t>
      </w:r>
      <w:r w:rsidR="004E39DC" w:rsidRPr="00191108">
        <w:rPr>
          <w:rFonts w:cstheme="minorHAnsi"/>
          <w:sz w:val="24"/>
          <w:szCs w:val="24"/>
        </w:rPr>
        <w:t xml:space="preserve"> 2017; Caldwell</w:t>
      </w:r>
      <w:r w:rsidR="00734DA3" w:rsidRPr="00191108">
        <w:rPr>
          <w:rFonts w:cstheme="minorHAnsi"/>
          <w:sz w:val="24"/>
          <w:szCs w:val="24"/>
        </w:rPr>
        <w:t xml:space="preserve"> </w:t>
      </w:r>
      <w:r w:rsidR="00734DA3" w:rsidRPr="00191108">
        <w:rPr>
          <w:rFonts w:cstheme="minorHAnsi"/>
          <w:i/>
          <w:iCs/>
          <w:sz w:val="24"/>
          <w:szCs w:val="24"/>
        </w:rPr>
        <w:t>et al.,</w:t>
      </w:r>
      <w:r w:rsidR="004E39DC" w:rsidRPr="00191108">
        <w:rPr>
          <w:rFonts w:cstheme="minorHAnsi"/>
          <w:sz w:val="24"/>
          <w:szCs w:val="24"/>
        </w:rPr>
        <w:t xml:space="preserve"> 2015)</w:t>
      </w:r>
      <w:r w:rsidRPr="00191108">
        <w:rPr>
          <w:rFonts w:cstheme="minorHAnsi"/>
          <w:sz w:val="24"/>
          <w:szCs w:val="24"/>
        </w:rPr>
        <w:t xml:space="preserve">. </w:t>
      </w:r>
      <w:r w:rsidR="00B43807" w:rsidRPr="00191108">
        <w:rPr>
          <w:rFonts w:cstheme="minorHAnsi"/>
          <w:sz w:val="24"/>
          <w:szCs w:val="24"/>
          <w:shd w:val="clear" w:color="auto" w:fill="FFFFFF"/>
        </w:rPr>
        <w:t>Outcome measures can be used to demonstrate client progress and effectiveness of services (Unsworth</w:t>
      </w:r>
      <w:r w:rsidR="00EF5481" w:rsidRPr="00191108">
        <w:rPr>
          <w:rFonts w:cstheme="minorHAnsi"/>
          <w:sz w:val="24"/>
          <w:szCs w:val="24"/>
          <w:shd w:val="clear" w:color="auto" w:fill="FFFFFF"/>
        </w:rPr>
        <w:t>,</w:t>
      </w:r>
      <w:r w:rsidR="00B43807" w:rsidRPr="00191108">
        <w:rPr>
          <w:rFonts w:cstheme="minorHAnsi"/>
          <w:sz w:val="24"/>
          <w:szCs w:val="24"/>
          <w:shd w:val="clear" w:color="auto" w:fill="FFFFFF"/>
        </w:rPr>
        <w:t xml:space="preserve"> 2000), plus data can assist purchasers of services across health and social care commissioning (Enderby</w:t>
      </w:r>
      <w:r w:rsidR="0085205F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5205F" w:rsidRPr="00191108">
        <w:rPr>
          <w:rFonts w:cstheme="minorHAnsi"/>
          <w:i/>
          <w:iCs/>
          <w:sz w:val="24"/>
          <w:szCs w:val="24"/>
          <w:shd w:val="clear" w:color="auto" w:fill="FFFFFF"/>
        </w:rPr>
        <w:t>et al</w:t>
      </w:r>
      <w:r w:rsidR="00EA5FC2" w:rsidRPr="00191108">
        <w:rPr>
          <w:rFonts w:cstheme="minorHAnsi"/>
          <w:i/>
          <w:iCs/>
          <w:sz w:val="24"/>
          <w:szCs w:val="24"/>
          <w:shd w:val="clear" w:color="auto" w:fill="FFFFFF"/>
        </w:rPr>
        <w:t>.</w:t>
      </w:r>
      <w:r w:rsidR="00EF5481" w:rsidRPr="00191108">
        <w:rPr>
          <w:rFonts w:cstheme="minorHAnsi"/>
          <w:i/>
          <w:iCs/>
          <w:sz w:val="24"/>
          <w:szCs w:val="24"/>
          <w:shd w:val="clear" w:color="auto" w:fill="FFFFFF"/>
        </w:rPr>
        <w:t>,</w:t>
      </w:r>
      <w:r w:rsidR="00B43807" w:rsidRPr="00191108">
        <w:rPr>
          <w:rFonts w:cstheme="minorHAnsi"/>
          <w:sz w:val="24"/>
          <w:szCs w:val="24"/>
          <w:shd w:val="clear" w:color="auto" w:fill="FFFFFF"/>
        </w:rPr>
        <w:t xml:space="preserve"> 2003)</w:t>
      </w:r>
      <w:r w:rsidR="00433FBA" w:rsidRPr="00191108">
        <w:rPr>
          <w:rFonts w:cstheme="minorHAnsi"/>
          <w:sz w:val="24"/>
          <w:szCs w:val="24"/>
          <w:shd w:val="clear" w:color="auto" w:fill="FFFFFF"/>
        </w:rPr>
        <w:t xml:space="preserve"> to identify effective services</w:t>
      </w:r>
      <w:r w:rsidR="00B43807" w:rsidRPr="00191108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E71FA1" w:rsidRPr="00191108">
        <w:rPr>
          <w:rFonts w:cstheme="minorHAnsi"/>
          <w:sz w:val="24"/>
          <w:szCs w:val="24"/>
          <w:shd w:val="clear" w:color="auto" w:fill="FFFFFF"/>
        </w:rPr>
        <w:t xml:space="preserve">Medical and social care outcomes differ; medical indictors are concerned with disease, whereas social care focusses on a wider </w:t>
      </w:r>
      <w:r w:rsidR="000937FA" w:rsidRPr="00191108">
        <w:rPr>
          <w:rFonts w:cstheme="minorHAnsi"/>
          <w:sz w:val="24"/>
          <w:szCs w:val="24"/>
          <w:shd w:val="clear" w:color="auto" w:fill="FFFFFF"/>
        </w:rPr>
        <w:t xml:space="preserve">holistic measure of health relating to overall quality of life and maintenance (Dickinson and </w:t>
      </w:r>
      <w:proofErr w:type="spellStart"/>
      <w:r w:rsidR="000937FA" w:rsidRPr="00191108">
        <w:rPr>
          <w:rFonts w:cstheme="minorHAnsi"/>
          <w:sz w:val="24"/>
          <w:szCs w:val="24"/>
          <w:shd w:val="clear" w:color="auto" w:fill="FFFFFF"/>
        </w:rPr>
        <w:t>O’Flynn</w:t>
      </w:r>
      <w:proofErr w:type="spellEnd"/>
      <w:r w:rsidR="000937FA" w:rsidRPr="00191108">
        <w:rPr>
          <w:rFonts w:cstheme="minorHAnsi"/>
          <w:sz w:val="24"/>
          <w:szCs w:val="24"/>
          <w:shd w:val="clear" w:color="auto" w:fill="FFFFFF"/>
        </w:rPr>
        <w:t xml:space="preserve"> 2016).</w:t>
      </w:r>
    </w:p>
    <w:p w14:paraId="76DD5753" w14:textId="05272ABD" w:rsidR="007F6FFA" w:rsidRPr="00191108" w:rsidRDefault="007F6FFA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 xml:space="preserve">Integrated health and social care services </w:t>
      </w:r>
      <w:r w:rsidR="00635054" w:rsidRPr="00191108">
        <w:rPr>
          <w:rFonts w:cstheme="minorHAnsi"/>
          <w:sz w:val="24"/>
          <w:szCs w:val="24"/>
          <w:shd w:val="clear" w:color="auto" w:fill="FFFFFF"/>
        </w:rPr>
        <w:t xml:space="preserve">aim to </w:t>
      </w:r>
      <w:r w:rsidRPr="00191108">
        <w:rPr>
          <w:rFonts w:cstheme="minorHAnsi"/>
          <w:sz w:val="24"/>
          <w:szCs w:val="24"/>
          <w:shd w:val="clear" w:color="auto" w:fill="FFFFFF"/>
        </w:rPr>
        <w:t>promote better co</w:t>
      </w:r>
      <w:r w:rsidR="00635054" w:rsidRPr="00191108">
        <w:rPr>
          <w:rFonts w:cstheme="minorHAnsi"/>
          <w:sz w:val="24"/>
          <w:szCs w:val="24"/>
          <w:shd w:val="clear" w:color="auto" w:fill="FFFFFF"/>
        </w:rPr>
        <w:t>-</w:t>
      </w:r>
      <w:r w:rsidRPr="00191108">
        <w:rPr>
          <w:rFonts w:cstheme="minorHAnsi"/>
          <w:sz w:val="24"/>
          <w:szCs w:val="24"/>
          <w:shd w:val="clear" w:color="auto" w:fill="FFFFFF"/>
        </w:rPr>
        <w:t>ordination of services</w:t>
      </w:r>
      <w:r w:rsidR="00635054" w:rsidRPr="00191108">
        <w:rPr>
          <w:rFonts w:cstheme="minorHAnsi"/>
          <w:sz w:val="24"/>
          <w:szCs w:val="24"/>
          <w:shd w:val="clear" w:color="auto" w:fill="FFFFFF"/>
        </w:rPr>
        <w:t xml:space="preserve"> and continuity of care (Coughlan </w:t>
      </w:r>
      <w:r w:rsidR="00635054" w:rsidRPr="00191108">
        <w:rPr>
          <w:rFonts w:cstheme="minorHAnsi"/>
          <w:i/>
          <w:iCs/>
          <w:sz w:val="24"/>
          <w:szCs w:val="24"/>
          <w:shd w:val="clear" w:color="auto" w:fill="FFFFFF"/>
        </w:rPr>
        <w:t>et al</w:t>
      </w:r>
      <w:r w:rsidR="00A5627F" w:rsidRPr="00191108">
        <w:rPr>
          <w:rFonts w:cstheme="minorHAnsi"/>
          <w:i/>
          <w:iCs/>
          <w:sz w:val="24"/>
          <w:szCs w:val="24"/>
          <w:shd w:val="clear" w:color="auto" w:fill="FFFFFF"/>
        </w:rPr>
        <w:t>.,</w:t>
      </w:r>
      <w:r w:rsidR="00635054" w:rsidRPr="00191108">
        <w:rPr>
          <w:rFonts w:cstheme="minorHAnsi"/>
          <w:sz w:val="24"/>
          <w:szCs w:val="24"/>
          <w:shd w:val="clear" w:color="auto" w:fill="FFFFFF"/>
        </w:rPr>
        <w:t xml:space="preserve"> 2020</w:t>
      </w:r>
      <w:r w:rsidR="0009294C" w:rsidRPr="00191108">
        <w:rPr>
          <w:rFonts w:cstheme="minorHAnsi"/>
          <w:sz w:val="24"/>
          <w:szCs w:val="24"/>
          <w:shd w:val="clear" w:color="auto" w:fill="FFFFFF"/>
        </w:rPr>
        <w:t>)</w:t>
      </w:r>
      <w:r w:rsidR="00350375" w:rsidRPr="00191108">
        <w:rPr>
          <w:rFonts w:cstheme="minorHAnsi"/>
          <w:sz w:val="24"/>
          <w:szCs w:val="24"/>
          <w:shd w:val="clear" w:color="auto" w:fill="FFFFFF"/>
        </w:rPr>
        <w:t>;</w:t>
      </w:r>
      <w:r w:rsidR="00635054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93883" w:rsidRPr="00191108">
        <w:rPr>
          <w:rFonts w:cstheme="minorHAnsi"/>
          <w:sz w:val="24"/>
          <w:szCs w:val="24"/>
          <w:shd w:val="clear" w:color="auto" w:fill="FFFFFF"/>
        </w:rPr>
        <w:t>but</w:t>
      </w:r>
      <w:r w:rsidR="00635054" w:rsidRPr="00191108">
        <w:rPr>
          <w:rFonts w:cstheme="minorHAnsi"/>
          <w:sz w:val="24"/>
          <w:szCs w:val="24"/>
          <w:shd w:val="clear" w:color="auto" w:fill="FFFFFF"/>
        </w:rPr>
        <w:t xml:space="preserve"> bring</w:t>
      </w:r>
      <w:r w:rsidR="00A5627F" w:rsidRPr="00191108">
        <w:rPr>
          <w:rFonts w:cstheme="minorHAnsi"/>
          <w:sz w:val="24"/>
          <w:szCs w:val="24"/>
          <w:shd w:val="clear" w:color="auto" w:fill="FFFFFF"/>
        </w:rPr>
        <w:t>s</w:t>
      </w:r>
      <w:r w:rsidR="00635054" w:rsidRPr="00191108">
        <w:rPr>
          <w:rFonts w:cstheme="minorHAnsi"/>
          <w:sz w:val="24"/>
          <w:szCs w:val="24"/>
          <w:shd w:val="clear" w:color="auto" w:fill="FFFFFF"/>
        </w:rPr>
        <w:t xml:space="preserve"> its own challenges as professionals </w:t>
      </w:r>
      <w:r w:rsidR="0009294C" w:rsidRPr="00191108">
        <w:rPr>
          <w:rFonts w:cstheme="minorHAnsi"/>
          <w:sz w:val="24"/>
          <w:szCs w:val="24"/>
          <w:shd w:val="clear" w:color="auto" w:fill="FFFFFF"/>
        </w:rPr>
        <w:t xml:space="preserve">from various backgrounds </w:t>
      </w:r>
      <w:r w:rsidR="00270C52" w:rsidRPr="00191108">
        <w:rPr>
          <w:rFonts w:cstheme="minorHAnsi"/>
          <w:sz w:val="24"/>
          <w:szCs w:val="24"/>
          <w:shd w:val="clear" w:color="auto" w:fill="FFFFFF"/>
        </w:rPr>
        <w:t>have</w:t>
      </w:r>
      <w:r w:rsidR="00635054" w:rsidRPr="00191108">
        <w:rPr>
          <w:rFonts w:cstheme="minorHAnsi"/>
          <w:sz w:val="24"/>
          <w:szCs w:val="24"/>
          <w:shd w:val="clear" w:color="auto" w:fill="FFFFFF"/>
        </w:rPr>
        <w:t xml:space="preserve"> different philosophies and values (</w:t>
      </w:r>
      <w:r w:rsidR="0009294C" w:rsidRPr="00191108">
        <w:rPr>
          <w:rFonts w:cstheme="minorHAnsi"/>
          <w:sz w:val="24"/>
          <w:szCs w:val="24"/>
          <w:shd w:val="clear" w:color="auto" w:fill="FFFFFF"/>
        </w:rPr>
        <w:t xml:space="preserve">Peck </w:t>
      </w:r>
      <w:r w:rsidR="0009294C" w:rsidRPr="00191108">
        <w:rPr>
          <w:rFonts w:cstheme="minorHAnsi"/>
          <w:i/>
          <w:iCs/>
          <w:sz w:val="24"/>
          <w:szCs w:val="24"/>
          <w:shd w:val="clear" w:color="auto" w:fill="FFFFFF"/>
        </w:rPr>
        <w:t>et al.,</w:t>
      </w:r>
      <w:r w:rsidR="0009294C" w:rsidRPr="00191108">
        <w:rPr>
          <w:rFonts w:cstheme="minorHAnsi"/>
          <w:sz w:val="24"/>
          <w:szCs w:val="24"/>
          <w:shd w:val="clear" w:color="auto" w:fill="FFFFFF"/>
        </w:rPr>
        <w:t xml:space="preserve"> 2001)</w:t>
      </w:r>
      <w:r w:rsidR="00A93883" w:rsidRPr="00191108">
        <w:rPr>
          <w:rFonts w:cstheme="minorHAnsi"/>
          <w:sz w:val="24"/>
          <w:szCs w:val="24"/>
          <w:shd w:val="clear" w:color="auto" w:fill="FFFFFF"/>
        </w:rPr>
        <w:t>.</w:t>
      </w:r>
      <w:r w:rsidR="0009294C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937FA" w:rsidRPr="00191108">
        <w:rPr>
          <w:rFonts w:cstheme="minorHAnsi"/>
          <w:sz w:val="24"/>
          <w:szCs w:val="24"/>
          <w:shd w:val="clear" w:color="auto" w:fill="FFFFFF"/>
        </w:rPr>
        <w:t>Health and social care providers hold different legal, budgetary and accountability frameworks and geographical boundaries may differ (Glasby 2017), although overlapping values exist (Shand and Turner (2019).</w:t>
      </w:r>
      <w:r w:rsidR="00270C52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B0AF042" w14:textId="2D41165A" w:rsidR="00D27105" w:rsidRPr="00191108" w:rsidRDefault="00D27105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</w:rPr>
        <w:t>Use of outcome measures is well documented in occupational therapy</w:t>
      </w:r>
      <w:r w:rsidR="00A02EDA" w:rsidRPr="00191108">
        <w:rPr>
          <w:rFonts w:cstheme="minorHAnsi"/>
          <w:sz w:val="24"/>
          <w:szCs w:val="24"/>
        </w:rPr>
        <w:t>, furthermore i</w:t>
      </w:r>
      <w:r w:rsidRPr="00191108">
        <w:rPr>
          <w:rFonts w:cstheme="minorHAnsi"/>
          <w:sz w:val="24"/>
          <w:szCs w:val="24"/>
        </w:rPr>
        <w:t>t is a requirement for occupational therapists to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measure and record outcomes (Royal College of Occupational Therapists</w:t>
      </w:r>
      <w:r w:rsidR="00403D80" w:rsidRPr="00191108">
        <w:rPr>
          <w:rFonts w:cstheme="minorHAnsi"/>
          <w:sz w:val="24"/>
          <w:szCs w:val="24"/>
          <w:shd w:val="clear" w:color="auto" w:fill="FFFFFF"/>
        </w:rPr>
        <w:t xml:space="preserve"> (RCOT) </w:t>
      </w:r>
      <w:r w:rsidRPr="00191108">
        <w:rPr>
          <w:rFonts w:cstheme="minorHAnsi"/>
          <w:sz w:val="24"/>
          <w:szCs w:val="24"/>
          <w:shd w:val="clear" w:color="auto" w:fill="FFFFFF"/>
        </w:rPr>
        <w:t>2015). The new professional standards for occupational therapy practice, conduct and ethics from RCOT state “</w:t>
      </w:r>
      <w:r w:rsidRPr="00191108">
        <w:rPr>
          <w:rFonts w:cstheme="minorHAnsi"/>
          <w:sz w:val="24"/>
          <w:szCs w:val="24"/>
        </w:rPr>
        <w:t xml:space="preserve">Use outcome measures to monitor, review and demonstrate the ongoing effectiveness of intervention” </w:t>
      </w:r>
      <w:r w:rsidR="00007D59" w:rsidRPr="00191108">
        <w:rPr>
          <w:rFonts w:cstheme="minorHAnsi"/>
          <w:sz w:val="24"/>
          <w:szCs w:val="24"/>
        </w:rPr>
        <w:t>(</w:t>
      </w:r>
      <w:r w:rsidRPr="00191108">
        <w:rPr>
          <w:rFonts w:cstheme="minorHAnsi"/>
          <w:sz w:val="24"/>
          <w:szCs w:val="24"/>
          <w:shd w:val="clear" w:color="auto" w:fill="FFFFFF"/>
        </w:rPr>
        <w:t>RCOT</w:t>
      </w:r>
      <w:r w:rsidR="00007D59" w:rsidRPr="00191108">
        <w:rPr>
          <w:rFonts w:cstheme="minorHAnsi"/>
          <w:sz w:val="24"/>
          <w:szCs w:val="24"/>
          <w:shd w:val="clear" w:color="auto" w:fill="FFFFFF"/>
        </w:rPr>
        <w:t>,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2021</w:t>
      </w:r>
      <w:r w:rsidR="00007D59" w:rsidRPr="00191108">
        <w:rPr>
          <w:rFonts w:cstheme="minorHAnsi"/>
          <w:sz w:val="24"/>
          <w:szCs w:val="24"/>
          <w:shd w:val="clear" w:color="auto" w:fill="FFFFFF"/>
        </w:rPr>
        <w:t xml:space="preserve"> p.16</w:t>
      </w:r>
      <w:r w:rsidRPr="00191108">
        <w:rPr>
          <w:rFonts w:cstheme="minorHAnsi"/>
          <w:sz w:val="24"/>
          <w:szCs w:val="24"/>
          <w:shd w:val="clear" w:color="auto" w:fill="FFFFFF"/>
        </w:rPr>
        <w:t>). A standardised outcome measure has a set and unchanging procedure (RCOT 2015), used by therapists to identify an improvement in client’s function or occupational performance (Laver Fawcett</w:t>
      </w:r>
      <w:r w:rsidR="00EF5481" w:rsidRPr="00191108">
        <w:rPr>
          <w:rFonts w:cstheme="minorHAnsi"/>
          <w:sz w:val="24"/>
          <w:szCs w:val="24"/>
          <w:shd w:val="clear" w:color="auto" w:fill="FFFFFF"/>
        </w:rPr>
        <w:t>,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2007) to determine if the desired therapeutic outcomes have been achieved. </w:t>
      </w:r>
      <w:r w:rsidR="00D92362" w:rsidRPr="00191108">
        <w:rPr>
          <w:rFonts w:cstheme="minorHAnsi"/>
          <w:sz w:val="24"/>
          <w:szCs w:val="24"/>
          <w:shd w:val="clear" w:color="auto" w:fill="FFFFFF"/>
        </w:rPr>
        <w:t>This paper</w:t>
      </w:r>
      <w:r w:rsidR="008C7047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E39DC" w:rsidRPr="00191108">
        <w:rPr>
          <w:rFonts w:cstheme="minorHAnsi"/>
          <w:sz w:val="24"/>
          <w:szCs w:val="24"/>
          <w:shd w:val="clear" w:color="auto" w:fill="FFFFFF"/>
        </w:rPr>
        <w:t xml:space="preserve">describes </w:t>
      </w:r>
      <w:r w:rsidR="00433FBA" w:rsidRPr="00191108">
        <w:rPr>
          <w:rFonts w:cstheme="minorHAnsi"/>
          <w:sz w:val="24"/>
          <w:szCs w:val="24"/>
          <w:shd w:val="clear" w:color="auto" w:fill="FFFFFF"/>
        </w:rPr>
        <w:t>findings</w:t>
      </w:r>
      <w:r w:rsidR="004E39DC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33FBA" w:rsidRPr="00191108">
        <w:rPr>
          <w:rFonts w:cstheme="minorHAnsi"/>
          <w:sz w:val="24"/>
          <w:szCs w:val="24"/>
          <w:shd w:val="clear" w:color="auto" w:fill="FFFFFF"/>
        </w:rPr>
        <w:t>from</w:t>
      </w:r>
      <w:r w:rsidR="004E39DC" w:rsidRPr="00191108">
        <w:rPr>
          <w:rFonts w:cstheme="minorHAnsi"/>
          <w:sz w:val="24"/>
          <w:szCs w:val="24"/>
          <w:shd w:val="clear" w:color="auto" w:fill="FFFFFF"/>
        </w:rPr>
        <w:t xml:space="preserve"> the Therapy Outcome Measure (Enderby and John</w:t>
      </w:r>
      <w:r w:rsidR="00EF5481" w:rsidRPr="00191108">
        <w:rPr>
          <w:rFonts w:cstheme="minorHAnsi"/>
          <w:sz w:val="24"/>
          <w:szCs w:val="24"/>
          <w:shd w:val="clear" w:color="auto" w:fill="FFFFFF"/>
        </w:rPr>
        <w:t>,</w:t>
      </w:r>
      <w:r w:rsidR="004E39DC" w:rsidRPr="00191108">
        <w:rPr>
          <w:rFonts w:cstheme="minorHAnsi"/>
          <w:sz w:val="24"/>
          <w:szCs w:val="24"/>
          <w:shd w:val="clear" w:color="auto" w:fill="FFFFFF"/>
        </w:rPr>
        <w:t xml:space="preserve"> 2015) to illustrate occu</w:t>
      </w:r>
      <w:r w:rsidR="008C7047" w:rsidRPr="00191108">
        <w:rPr>
          <w:rFonts w:cstheme="minorHAnsi"/>
          <w:sz w:val="24"/>
          <w:szCs w:val="24"/>
          <w:shd w:val="clear" w:color="auto" w:fill="FFFFFF"/>
        </w:rPr>
        <w:t>pational therapy outcomes in adult social care</w:t>
      </w:r>
      <w:r w:rsidR="00D45C9D" w:rsidRPr="00191108">
        <w:rPr>
          <w:rFonts w:cstheme="minorHAnsi"/>
          <w:sz w:val="24"/>
          <w:szCs w:val="24"/>
          <w:shd w:val="clear" w:color="auto" w:fill="FFFFFF"/>
        </w:rPr>
        <w:t xml:space="preserve"> through </w:t>
      </w:r>
      <w:r w:rsidR="00403D80" w:rsidRPr="00191108">
        <w:rPr>
          <w:rFonts w:cstheme="minorHAnsi"/>
          <w:sz w:val="24"/>
          <w:szCs w:val="24"/>
          <w:shd w:val="clear" w:color="auto" w:fill="FFFFFF"/>
        </w:rPr>
        <w:t xml:space="preserve">a quality improvement </w:t>
      </w:r>
      <w:r w:rsidR="009664D5" w:rsidRPr="00191108">
        <w:rPr>
          <w:rFonts w:cstheme="minorHAnsi"/>
          <w:sz w:val="24"/>
          <w:szCs w:val="24"/>
          <w:shd w:val="clear" w:color="auto" w:fill="FFFFFF"/>
        </w:rPr>
        <w:t>au</w:t>
      </w:r>
      <w:r w:rsidR="00D45C9D" w:rsidRPr="00191108">
        <w:rPr>
          <w:rFonts w:cstheme="minorHAnsi"/>
          <w:sz w:val="24"/>
          <w:szCs w:val="24"/>
          <w:shd w:val="clear" w:color="auto" w:fill="FFFFFF"/>
        </w:rPr>
        <w:t>dit</w:t>
      </w:r>
      <w:r w:rsidR="008C7047" w:rsidRPr="00191108">
        <w:rPr>
          <w:rFonts w:cstheme="minorHAnsi"/>
          <w:sz w:val="24"/>
          <w:szCs w:val="24"/>
          <w:shd w:val="clear" w:color="auto" w:fill="FFFFFF"/>
        </w:rPr>
        <w:t>.</w:t>
      </w:r>
      <w:r w:rsidR="00D45C9D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20181ED" w14:textId="77777777" w:rsidR="00B6704C" w:rsidRPr="00191108" w:rsidRDefault="00B6704C" w:rsidP="00872625">
      <w:pPr>
        <w:spacing w:line="360" w:lineRule="auto"/>
        <w:jc w:val="both"/>
        <w:rPr>
          <w:b/>
          <w:bCs/>
          <w:sz w:val="24"/>
          <w:szCs w:val="24"/>
        </w:rPr>
      </w:pPr>
      <w:r w:rsidRPr="00191108">
        <w:rPr>
          <w:i/>
          <w:iCs/>
          <w:sz w:val="24"/>
          <w:szCs w:val="24"/>
        </w:rPr>
        <w:t>Context</w:t>
      </w:r>
      <w:r w:rsidRPr="00191108">
        <w:rPr>
          <w:b/>
          <w:bCs/>
          <w:sz w:val="24"/>
          <w:szCs w:val="24"/>
        </w:rPr>
        <w:t xml:space="preserve"> </w:t>
      </w:r>
    </w:p>
    <w:p w14:paraId="6EE2516A" w14:textId="367773FC" w:rsidR="00B6704C" w:rsidRPr="00191108" w:rsidRDefault="00B6704C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Occupational therapists</w:t>
      </w:r>
      <w:r w:rsidR="00C75BCF" w:rsidRPr="00191108">
        <w:rPr>
          <w:rFonts w:cstheme="minorHAnsi"/>
          <w:sz w:val="24"/>
          <w:szCs w:val="24"/>
        </w:rPr>
        <w:t>, plus support practitioners</w:t>
      </w:r>
      <w:r w:rsidRPr="00191108">
        <w:rPr>
          <w:rFonts w:cstheme="minorHAnsi"/>
          <w:sz w:val="24"/>
          <w:szCs w:val="24"/>
        </w:rPr>
        <w:t xml:space="preserve"> working for the adult social care service covering Wirral local authority were integrated into Wirral </w:t>
      </w:r>
      <w:r w:rsidR="008E7E68" w:rsidRPr="00191108">
        <w:rPr>
          <w:rFonts w:cstheme="minorHAnsi"/>
          <w:sz w:val="24"/>
          <w:szCs w:val="24"/>
        </w:rPr>
        <w:t xml:space="preserve">Community </w:t>
      </w:r>
      <w:r w:rsidRPr="00191108">
        <w:rPr>
          <w:rFonts w:cstheme="minorHAnsi"/>
          <w:sz w:val="24"/>
          <w:szCs w:val="24"/>
        </w:rPr>
        <w:t xml:space="preserve">Health and Care NHS Foundation Trust (WCHC) in 2017. The adult social care occupational therapy </w:t>
      </w:r>
      <w:r w:rsidR="00DB00F3" w:rsidRPr="00191108">
        <w:rPr>
          <w:rFonts w:cstheme="minorHAnsi"/>
          <w:sz w:val="24"/>
          <w:szCs w:val="24"/>
        </w:rPr>
        <w:t>service</w:t>
      </w:r>
      <w:r w:rsidRPr="00191108">
        <w:rPr>
          <w:rFonts w:cstheme="minorHAnsi"/>
          <w:sz w:val="24"/>
          <w:szCs w:val="24"/>
        </w:rPr>
        <w:t xml:space="preserve"> </w:t>
      </w:r>
      <w:r w:rsidR="00270C52" w:rsidRPr="00191108">
        <w:rPr>
          <w:rFonts w:cstheme="minorHAnsi"/>
          <w:sz w:val="24"/>
          <w:szCs w:val="24"/>
        </w:rPr>
        <w:t>comprises</w:t>
      </w:r>
      <w:r w:rsidRPr="00191108">
        <w:rPr>
          <w:rFonts w:cstheme="minorHAnsi"/>
          <w:sz w:val="24"/>
          <w:szCs w:val="24"/>
        </w:rPr>
        <w:t xml:space="preserve"> major adaptations, short term assessment and reablement (STAR), Wirral independence service (Equipment), adult social care team and blue badge independent </w:t>
      </w:r>
      <w:r w:rsidRPr="00191108">
        <w:rPr>
          <w:rFonts w:cstheme="minorHAnsi"/>
          <w:sz w:val="24"/>
          <w:szCs w:val="24"/>
        </w:rPr>
        <w:lastRenderedPageBreak/>
        <w:t xml:space="preserve">mobility assessors. </w:t>
      </w:r>
      <w:r w:rsidR="00EE593F" w:rsidRPr="00191108">
        <w:rPr>
          <w:rFonts w:cstheme="minorHAnsi"/>
          <w:sz w:val="24"/>
          <w:szCs w:val="24"/>
        </w:rPr>
        <w:t>The referral criteria for adult social care includes any adult over the age of 18 who appears to require care and support under the Care Act (</w:t>
      </w:r>
      <w:r w:rsidR="00E454C3" w:rsidRPr="00191108">
        <w:rPr>
          <w:rFonts w:cstheme="minorHAnsi"/>
          <w:sz w:val="24"/>
          <w:szCs w:val="24"/>
        </w:rPr>
        <w:t>Department of Health and Social Care (DHSC)</w:t>
      </w:r>
      <w:r w:rsidR="004F798A" w:rsidRPr="00191108">
        <w:rPr>
          <w:rFonts w:cstheme="minorHAnsi"/>
          <w:sz w:val="24"/>
          <w:szCs w:val="24"/>
        </w:rPr>
        <w:t xml:space="preserve"> </w:t>
      </w:r>
      <w:r w:rsidR="00EE593F" w:rsidRPr="00191108">
        <w:rPr>
          <w:rFonts w:cstheme="minorHAnsi"/>
          <w:sz w:val="24"/>
          <w:szCs w:val="24"/>
        </w:rPr>
        <w:t xml:space="preserve">2014). </w:t>
      </w:r>
      <w:r w:rsidR="005C356C" w:rsidRPr="00191108">
        <w:rPr>
          <w:rFonts w:cstheme="minorHAnsi"/>
          <w:sz w:val="24"/>
          <w:szCs w:val="24"/>
        </w:rPr>
        <w:t>Occupational therapy</w:t>
      </w:r>
      <w:r w:rsidR="004F798A" w:rsidRPr="00191108">
        <w:rPr>
          <w:rFonts w:cstheme="minorHAnsi"/>
          <w:sz w:val="24"/>
          <w:szCs w:val="24"/>
        </w:rPr>
        <w:t xml:space="preserve"> within</w:t>
      </w:r>
      <w:r w:rsidR="005C356C" w:rsidRPr="00191108">
        <w:rPr>
          <w:rFonts w:cstheme="minorHAnsi"/>
          <w:sz w:val="24"/>
          <w:szCs w:val="24"/>
        </w:rPr>
        <w:t xml:space="preserve"> adult social care delivers</w:t>
      </w:r>
      <w:r w:rsidR="009C1CEC" w:rsidRPr="00191108">
        <w:rPr>
          <w:rFonts w:cstheme="minorHAnsi"/>
          <w:sz w:val="24"/>
          <w:szCs w:val="24"/>
        </w:rPr>
        <w:t xml:space="preserve"> interventions to a wide range of adults, often with chronic conditions which impact on their occupational performance. </w:t>
      </w:r>
      <w:r w:rsidR="00EE593F" w:rsidRPr="00191108">
        <w:rPr>
          <w:rFonts w:cstheme="minorHAnsi"/>
          <w:sz w:val="24"/>
          <w:szCs w:val="24"/>
        </w:rPr>
        <w:t>Occupational interventions are aimed at maintaining safety in essential activities of daily living (ADL)</w:t>
      </w:r>
      <w:r w:rsidR="00FD57C6" w:rsidRPr="00191108">
        <w:rPr>
          <w:rFonts w:cstheme="minorHAnsi"/>
          <w:sz w:val="24"/>
          <w:szCs w:val="24"/>
        </w:rPr>
        <w:t>,</w:t>
      </w:r>
      <w:r w:rsidR="000E7D68" w:rsidRPr="00191108">
        <w:rPr>
          <w:rFonts w:cstheme="minorHAnsi"/>
          <w:sz w:val="24"/>
          <w:szCs w:val="24"/>
        </w:rPr>
        <w:t xml:space="preserve"> </w:t>
      </w:r>
      <w:r w:rsidR="00FD57C6" w:rsidRPr="00191108">
        <w:rPr>
          <w:rFonts w:cstheme="minorHAnsi"/>
          <w:sz w:val="24"/>
          <w:szCs w:val="24"/>
        </w:rPr>
        <w:t>f</w:t>
      </w:r>
      <w:r w:rsidR="000E7D68" w:rsidRPr="00191108">
        <w:rPr>
          <w:rFonts w:cstheme="minorHAnsi"/>
          <w:sz w:val="24"/>
          <w:szCs w:val="24"/>
        </w:rPr>
        <w:t xml:space="preserve">or </w:t>
      </w:r>
      <w:r w:rsidR="00602033" w:rsidRPr="00191108">
        <w:rPr>
          <w:rFonts w:cstheme="minorHAnsi"/>
          <w:sz w:val="24"/>
          <w:szCs w:val="24"/>
        </w:rPr>
        <w:t>example,</w:t>
      </w:r>
      <w:r w:rsidR="00EE593F" w:rsidRPr="00191108">
        <w:rPr>
          <w:rFonts w:cstheme="minorHAnsi"/>
          <w:sz w:val="24"/>
          <w:szCs w:val="24"/>
        </w:rPr>
        <w:t xml:space="preserve"> falls prevention, moving and handling</w:t>
      </w:r>
      <w:r w:rsidR="000E7D68" w:rsidRPr="00191108">
        <w:rPr>
          <w:rFonts w:cstheme="minorHAnsi"/>
          <w:sz w:val="24"/>
          <w:szCs w:val="24"/>
        </w:rPr>
        <w:t xml:space="preserve"> solutions such as hoist and specialist sling provision or bed mobility solutions</w:t>
      </w:r>
      <w:r w:rsidR="00EE593F" w:rsidRPr="00191108">
        <w:rPr>
          <w:rFonts w:cstheme="minorHAnsi"/>
          <w:sz w:val="24"/>
          <w:szCs w:val="24"/>
        </w:rPr>
        <w:t xml:space="preserve">, </w:t>
      </w:r>
      <w:r w:rsidR="00FD6406" w:rsidRPr="00191108">
        <w:rPr>
          <w:rFonts w:cstheme="minorHAnsi"/>
          <w:sz w:val="24"/>
          <w:szCs w:val="24"/>
        </w:rPr>
        <w:t>major adaptations</w:t>
      </w:r>
      <w:r w:rsidR="000E7D68" w:rsidRPr="00191108">
        <w:rPr>
          <w:rFonts w:cstheme="minorHAnsi"/>
          <w:sz w:val="24"/>
          <w:szCs w:val="24"/>
        </w:rPr>
        <w:t xml:space="preserve"> for example level access shower, stairlift</w:t>
      </w:r>
      <w:r w:rsidR="00270C52" w:rsidRPr="00191108">
        <w:rPr>
          <w:rFonts w:cstheme="minorHAnsi"/>
          <w:sz w:val="24"/>
          <w:szCs w:val="24"/>
        </w:rPr>
        <w:t>s, through floor lifts</w:t>
      </w:r>
      <w:r w:rsidR="000E7D68" w:rsidRPr="00191108">
        <w:rPr>
          <w:rFonts w:cstheme="minorHAnsi"/>
          <w:sz w:val="24"/>
          <w:szCs w:val="24"/>
        </w:rPr>
        <w:t xml:space="preserve"> and ramping</w:t>
      </w:r>
      <w:r w:rsidR="00FD6406" w:rsidRPr="00191108">
        <w:rPr>
          <w:rFonts w:cstheme="minorHAnsi"/>
          <w:sz w:val="24"/>
          <w:szCs w:val="24"/>
        </w:rPr>
        <w:t xml:space="preserve">, </w:t>
      </w:r>
      <w:r w:rsidR="000E7D68" w:rsidRPr="00191108">
        <w:rPr>
          <w:rFonts w:cstheme="minorHAnsi"/>
          <w:sz w:val="24"/>
          <w:szCs w:val="24"/>
        </w:rPr>
        <w:t xml:space="preserve">specialist </w:t>
      </w:r>
      <w:r w:rsidR="00EE593F" w:rsidRPr="00191108">
        <w:rPr>
          <w:rFonts w:cstheme="minorHAnsi"/>
          <w:sz w:val="24"/>
          <w:szCs w:val="24"/>
        </w:rPr>
        <w:t xml:space="preserve">seating </w:t>
      </w:r>
      <w:r w:rsidR="000E7D68" w:rsidRPr="00191108">
        <w:rPr>
          <w:rFonts w:cstheme="minorHAnsi"/>
          <w:sz w:val="24"/>
          <w:szCs w:val="24"/>
        </w:rPr>
        <w:t xml:space="preserve">provision </w:t>
      </w:r>
      <w:r w:rsidR="00EE593F" w:rsidRPr="00191108">
        <w:rPr>
          <w:rFonts w:cstheme="minorHAnsi"/>
          <w:sz w:val="24"/>
          <w:szCs w:val="24"/>
        </w:rPr>
        <w:t xml:space="preserve">and </w:t>
      </w:r>
      <w:r w:rsidR="000E7D68" w:rsidRPr="00191108">
        <w:rPr>
          <w:rFonts w:cstheme="minorHAnsi"/>
          <w:sz w:val="24"/>
          <w:szCs w:val="24"/>
        </w:rPr>
        <w:t xml:space="preserve">liaison with local </w:t>
      </w:r>
      <w:r w:rsidR="00EE593F" w:rsidRPr="00191108">
        <w:rPr>
          <w:rFonts w:cstheme="minorHAnsi"/>
          <w:sz w:val="24"/>
          <w:szCs w:val="24"/>
        </w:rPr>
        <w:t>housing s</w:t>
      </w:r>
      <w:r w:rsidR="000E7D68" w:rsidRPr="00191108">
        <w:rPr>
          <w:rFonts w:cstheme="minorHAnsi"/>
          <w:sz w:val="24"/>
          <w:szCs w:val="24"/>
        </w:rPr>
        <w:t xml:space="preserve">ervices, plus </w:t>
      </w:r>
      <w:r w:rsidR="00730575" w:rsidRPr="00191108">
        <w:rPr>
          <w:rFonts w:cstheme="minorHAnsi"/>
          <w:sz w:val="24"/>
          <w:szCs w:val="24"/>
        </w:rPr>
        <w:t xml:space="preserve">“low level” ADL equipment and reviews </w:t>
      </w:r>
      <w:r w:rsidR="00BC597A" w:rsidRPr="00191108">
        <w:rPr>
          <w:rFonts w:cstheme="minorHAnsi"/>
          <w:sz w:val="24"/>
          <w:szCs w:val="24"/>
        </w:rPr>
        <w:t>for</w:t>
      </w:r>
      <w:r w:rsidR="00730575" w:rsidRPr="00191108">
        <w:rPr>
          <w:rFonts w:cstheme="minorHAnsi"/>
          <w:sz w:val="24"/>
          <w:szCs w:val="24"/>
        </w:rPr>
        <w:t xml:space="preserve"> levels of care packages</w:t>
      </w:r>
      <w:r w:rsidR="000E7D68" w:rsidRPr="00191108">
        <w:rPr>
          <w:rFonts w:cstheme="minorHAnsi"/>
          <w:sz w:val="24"/>
          <w:szCs w:val="24"/>
        </w:rPr>
        <w:t>.</w:t>
      </w:r>
      <w:r w:rsidR="00EE593F" w:rsidRPr="00191108">
        <w:rPr>
          <w:rFonts w:cstheme="minorHAnsi"/>
          <w:sz w:val="24"/>
          <w:szCs w:val="24"/>
        </w:rPr>
        <w:t xml:space="preserve"> </w:t>
      </w:r>
      <w:r w:rsidR="000E7D68" w:rsidRPr="00191108">
        <w:rPr>
          <w:rFonts w:cstheme="minorHAnsi"/>
          <w:sz w:val="24"/>
          <w:szCs w:val="24"/>
        </w:rPr>
        <w:t xml:space="preserve">Interventions can consist of telephone advice, </w:t>
      </w:r>
      <w:r w:rsidR="00FD57C6" w:rsidRPr="00191108">
        <w:rPr>
          <w:rFonts w:cstheme="minorHAnsi"/>
          <w:sz w:val="24"/>
          <w:szCs w:val="24"/>
        </w:rPr>
        <w:t xml:space="preserve">or </w:t>
      </w:r>
      <w:r w:rsidR="000E7D68" w:rsidRPr="00191108">
        <w:rPr>
          <w:rFonts w:cstheme="minorHAnsi"/>
          <w:sz w:val="24"/>
          <w:szCs w:val="24"/>
        </w:rPr>
        <w:t xml:space="preserve">one or more visits depending on complexity. Cases can remain on caseloads from approximately one week to more than 3 months. </w:t>
      </w:r>
      <w:r w:rsidR="00917B32" w:rsidRPr="00191108">
        <w:rPr>
          <w:rFonts w:cstheme="minorHAnsi"/>
          <w:sz w:val="24"/>
          <w:szCs w:val="24"/>
        </w:rPr>
        <w:t xml:space="preserve">Adult social care is not a rehabilitation </w:t>
      </w:r>
      <w:r w:rsidR="00795C8A" w:rsidRPr="00191108">
        <w:rPr>
          <w:rFonts w:cstheme="minorHAnsi"/>
          <w:sz w:val="24"/>
          <w:szCs w:val="24"/>
        </w:rPr>
        <w:t xml:space="preserve">or intermediate care </w:t>
      </w:r>
      <w:r w:rsidR="00B24D9B" w:rsidRPr="00191108">
        <w:rPr>
          <w:rFonts w:cstheme="minorHAnsi"/>
          <w:sz w:val="24"/>
          <w:szCs w:val="24"/>
        </w:rPr>
        <w:t>service;</w:t>
      </w:r>
      <w:r w:rsidR="00FD57C6" w:rsidRPr="00191108">
        <w:rPr>
          <w:rFonts w:cstheme="minorHAnsi"/>
          <w:sz w:val="24"/>
          <w:szCs w:val="24"/>
        </w:rPr>
        <w:t xml:space="preserve"> however</w:t>
      </w:r>
      <w:r w:rsidR="00730575" w:rsidRPr="00191108">
        <w:rPr>
          <w:rFonts w:cstheme="minorHAnsi"/>
          <w:sz w:val="24"/>
          <w:szCs w:val="24"/>
        </w:rPr>
        <w:t>,</w:t>
      </w:r>
      <w:r w:rsidR="00FD57C6" w:rsidRPr="00191108">
        <w:rPr>
          <w:rFonts w:cstheme="minorHAnsi"/>
          <w:sz w:val="24"/>
          <w:szCs w:val="24"/>
        </w:rPr>
        <w:t xml:space="preserve"> these s</w:t>
      </w:r>
      <w:r w:rsidR="00730575" w:rsidRPr="00191108">
        <w:rPr>
          <w:rFonts w:cstheme="minorHAnsi"/>
          <w:sz w:val="24"/>
          <w:szCs w:val="24"/>
        </w:rPr>
        <w:t>pecialisms</w:t>
      </w:r>
      <w:r w:rsidR="00FD57C6" w:rsidRPr="00191108">
        <w:rPr>
          <w:rFonts w:cstheme="minorHAnsi"/>
          <w:sz w:val="24"/>
          <w:szCs w:val="24"/>
        </w:rPr>
        <w:t xml:space="preserve"> are provided by the Trust</w:t>
      </w:r>
      <w:r w:rsidR="00917B32" w:rsidRPr="00191108">
        <w:rPr>
          <w:rFonts w:cstheme="minorHAnsi"/>
          <w:sz w:val="24"/>
          <w:szCs w:val="24"/>
        </w:rPr>
        <w:t xml:space="preserve">. </w:t>
      </w:r>
      <w:r w:rsidRPr="00191108">
        <w:rPr>
          <w:rFonts w:cstheme="minorHAnsi"/>
          <w:sz w:val="24"/>
          <w:szCs w:val="24"/>
        </w:rPr>
        <w:t>The Therapy Outcome Measure (Enderby and John 2015) was already in use across AHP services within the Trust</w:t>
      </w:r>
      <w:r w:rsidR="00EE593F" w:rsidRPr="00191108">
        <w:rPr>
          <w:rFonts w:cstheme="minorHAnsi"/>
          <w:sz w:val="24"/>
          <w:szCs w:val="24"/>
        </w:rPr>
        <w:t xml:space="preserve"> </w:t>
      </w:r>
      <w:r w:rsidR="004F798A" w:rsidRPr="00191108">
        <w:rPr>
          <w:rFonts w:cstheme="minorHAnsi"/>
          <w:sz w:val="24"/>
          <w:szCs w:val="24"/>
        </w:rPr>
        <w:t>up</w:t>
      </w:r>
      <w:r w:rsidR="00EE593F" w:rsidRPr="00191108">
        <w:rPr>
          <w:rFonts w:cstheme="minorHAnsi"/>
          <w:sz w:val="24"/>
          <w:szCs w:val="24"/>
        </w:rPr>
        <w:t>on integration</w:t>
      </w:r>
      <w:r w:rsidR="00353DB8" w:rsidRPr="00191108">
        <w:rPr>
          <w:rFonts w:cstheme="minorHAnsi"/>
          <w:sz w:val="24"/>
          <w:szCs w:val="24"/>
        </w:rPr>
        <w:t xml:space="preserve"> to measure outcomes</w:t>
      </w:r>
      <w:r w:rsidRPr="00191108">
        <w:rPr>
          <w:rFonts w:cstheme="minorHAnsi"/>
          <w:sz w:val="24"/>
          <w:szCs w:val="24"/>
        </w:rPr>
        <w:t xml:space="preserve">. </w:t>
      </w:r>
      <w:r w:rsidR="00270C52" w:rsidRPr="00191108">
        <w:rPr>
          <w:rFonts w:cstheme="minorHAnsi"/>
          <w:sz w:val="24"/>
          <w:szCs w:val="24"/>
        </w:rPr>
        <w:t xml:space="preserve">Prior to integration the local </w:t>
      </w:r>
      <w:r w:rsidR="00353DB8" w:rsidRPr="00191108">
        <w:rPr>
          <w:rFonts w:cstheme="minorHAnsi"/>
          <w:sz w:val="24"/>
          <w:szCs w:val="24"/>
        </w:rPr>
        <w:t xml:space="preserve">adult social care </w:t>
      </w:r>
      <w:r w:rsidR="00270C52" w:rsidRPr="00191108">
        <w:rPr>
          <w:rFonts w:cstheme="minorHAnsi"/>
          <w:sz w:val="24"/>
          <w:szCs w:val="24"/>
        </w:rPr>
        <w:t>approach to quality improvement was informal, utilising referral and waiting list data</w:t>
      </w:r>
      <w:r w:rsidR="00353DB8" w:rsidRPr="00191108">
        <w:rPr>
          <w:rFonts w:cstheme="minorHAnsi"/>
          <w:sz w:val="24"/>
          <w:szCs w:val="24"/>
        </w:rPr>
        <w:t xml:space="preserve"> and</w:t>
      </w:r>
      <w:r w:rsidR="00270C52" w:rsidRPr="00191108">
        <w:rPr>
          <w:rFonts w:cstheme="minorHAnsi"/>
          <w:sz w:val="24"/>
          <w:szCs w:val="24"/>
        </w:rPr>
        <w:t xml:space="preserve"> qualitative client/carer feedback. </w:t>
      </w:r>
      <w:r w:rsidR="009664D5" w:rsidRPr="00191108">
        <w:rPr>
          <w:rFonts w:cstheme="minorHAnsi"/>
          <w:sz w:val="24"/>
          <w:szCs w:val="24"/>
        </w:rPr>
        <w:t xml:space="preserve">The </w:t>
      </w:r>
      <w:r w:rsidR="00730575" w:rsidRPr="00191108">
        <w:rPr>
          <w:rFonts w:cstheme="minorHAnsi"/>
          <w:sz w:val="24"/>
          <w:szCs w:val="24"/>
        </w:rPr>
        <w:t xml:space="preserve">author initiated implementation of the </w:t>
      </w:r>
      <w:r w:rsidR="009664D5" w:rsidRPr="00191108">
        <w:rPr>
          <w:rFonts w:cstheme="minorHAnsi"/>
          <w:sz w:val="24"/>
          <w:szCs w:val="24"/>
        </w:rPr>
        <w:t xml:space="preserve">Therapy Outcome Measure </w:t>
      </w:r>
      <w:r w:rsidR="00730575" w:rsidRPr="00191108">
        <w:rPr>
          <w:rFonts w:cstheme="minorHAnsi"/>
          <w:sz w:val="24"/>
          <w:szCs w:val="24"/>
        </w:rPr>
        <w:t xml:space="preserve">as part of post graduate studies. The measure </w:t>
      </w:r>
      <w:r w:rsidR="009664D5" w:rsidRPr="00191108">
        <w:rPr>
          <w:rFonts w:cstheme="minorHAnsi"/>
          <w:sz w:val="24"/>
          <w:szCs w:val="24"/>
        </w:rPr>
        <w:t>was a</w:t>
      </w:r>
      <w:r w:rsidR="00433FBA" w:rsidRPr="00191108">
        <w:rPr>
          <w:rFonts w:cstheme="minorHAnsi"/>
          <w:sz w:val="24"/>
          <w:szCs w:val="24"/>
        </w:rPr>
        <w:t>ccepted by the adult social care service</w:t>
      </w:r>
      <w:r w:rsidR="009664D5" w:rsidRPr="00191108">
        <w:rPr>
          <w:rFonts w:cstheme="minorHAnsi"/>
          <w:sz w:val="24"/>
          <w:szCs w:val="24"/>
        </w:rPr>
        <w:t xml:space="preserve"> </w:t>
      </w:r>
      <w:r w:rsidR="00353DB8" w:rsidRPr="00191108">
        <w:rPr>
          <w:rFonts w:cstheme="minorHAnsi"/>
          <w:sz w:val="24"/>
          <w:szCs w:val="24"/>
        </w:rPr>
        <w:t>in 2018 as a new service development</w:t>
      </w:r>
      <w:r w:rsidR="00730575" w:rsidRPr="00191108">
        <w:rPr>
          <w:rFonts w:cstheme="minorHAnsi"/>
          <w:sz w:val="24"/>
          <w:szCs w:val="24"/>
        </w:rPr>
        <w:t>,</w:t>
      </w:r>
      <w:r w:rsidR="009664D5" w:rsidRPr="00191108">
        <w:rPr>
          <w:rFonts w:cstheme="minorHAnsi"/>
          <w:sz w:val="24"/>
          <w:szCs w:val="24"/>
        </w:rPr>
        <w:t xml:space="preserve"> </w:t>
      </w:r>
      <w:r w:rsidR="00BC597A" w:rsidRPr="00191108">
        <w:rPr>
          <w:rFonts w:cstheme="minorHAnsi"/>
          <w:sz w:val="24"/>
          <w:szCs w:val="24"/>
        </w:rPr>
        <w:t xml:space="preserve">and </w:t>
      </w:r>
      <w:r w:rsidR="009664D5" w:rsidRPr="00191108">
        <w:rPr>
          <w:rFonts w:cstheme="minorHAnsi"/>
          <w:sz w:val="24"/>
          <w:szCs w:val="24"/>
        </w:rPr>
        <w:t>as part</w:t>
      </w:r>
      <w:r w:rsidRPr="00191108">
        <w:rPr>
          <w:rFonts w:cstheme="minorHAnsi"/>
          <w:sz w:val="24"/>
          <w:szCs w:val="24"/>
        </w:rPr>
        <w:t xml:space="preserve"> of the integration agenda with the Trust</w:t>
      </w:r>
      <w:r w:rsidR="00BC597A" w:rsidRPr="00191108">
        <w:rPr>
          <w:rFonts w:cstheme="minorHAnsi"/>
          <w:sz w:val="24"/>
          <w:szCs w:val="24"/>
        </w:rPr>
        <w:t>.</w:t>
      </w:r>
      <w:r w:rsidR="00730575" w:rsidRPr="00191108">
        <w:rPr>
          <w:rFonts w:cstheme="minorHAnsi"/>
          <w:sz w:val="24"/>
          <w:szCs w:val="24"/>
        </w:rPr>
        <w:t xml:space="preserve"> </w:t>
      </w:r>
      <w:r w:rsidR="00BC597A" w:rsidRPr="00191108">
        <w:rPr>
          <w:rFonts w:cstheme="minorHAnsi"/>
          <w:sz w:val="24"/>
          <w:szCs w:val="24"/>
        </w:rPr>
        <w:t>S</w:t>
      </w:r>
      <w:r w:rsidR="00730575" w:rsidRPr="00191108">
        <w:rPr>
          <w:rFonts w:cstheme="minorHAnsi"/>
          <w:sz w:val="24"/>
          <w:szCs w:val="24"/>
        </w:rPr>
        <w:t>taff were trained</w:t>
      </w:r>
      <w:r w:rsidR="0058045A" w:rsidRPr="00191108">
        <w:rPr>
          <w:rFonts w:cstheme="minorHAnsi"/>
          <w:sz w:val="24"/>
          <w:szCs w:val="24"/>
        </w:rPr>
        <w:t xml:space="preserve"> and </w:t>
      </w:r>
      <w:r w:rsidR="00730575" w:rsidRPr="00191108">
        <w:rPr>
          <w:rFonts w:cstheme="minorHAnsi"/>
          <w:sz w:val="24"/>
          <w:szCs w:val="24"/>
        </w:rPr>
        <w:t xml:space="preserve">the measure </w:t>
      </w:r>
      <w:r w:rsidR="0058045A" w:rsidRPr="00191108">
        <w:rPr>
          <w:rFonts w:cstheme="minorHAnsi"/>
          <w:sz w:val="24"/>
          <w:szCs w:val="24"/>
        </w:rPr>
        <w:t>was adopted for mandatory</w:t>
      </w:r>
      <w:r w:rsidR="002138B3" w:rsidRPr="00191108">
        <w:rPr>
          <w:rFonts w:cstheme="minorHAnsi"/>
          <w:sz w:val="24"/>
          <w:szCs w:val="24"/>
        </w:rPr>
        <w:t xml:space="preserve"> electronic</w:t>
      </w:r>
      <w:r w:rsidR="0058045A" w:rsidRPr="00191108">
        <w:rPr>
          <w:rFonts w:cstheme="minorHAnsi"/>
          <w:sz w:val="24"/>
          <w:szCs w:val="24"/>
        </w:rPr>
        <w:t xml:space="preserve"> recording by occupational therapy </w:t>
      </w:r>
      <w:r w:rsidR="00602033" w:rsidRPr="00191108">
        <w:rPr>
          <w:rFonts w:cstheme="minorHAnsi"/>
          <w:sz w:val="24"/>
          <w:szCs w:val="24"/>
        </w:rPr>
        <w:t>practitioners</w:t>
      </w:r>
      <w:r w:rsidR="0058045A" w:rsidRPr="00191108">
        <w:rPr>
          <w:rFonts w:cstheme="minorHAnsi"/>
          <w:sz w:val="24"/>
          <w:szCs w:val="24"/>
        </w:rPr>
        <w:t xml:space="preserve"> from April 2020.</w:t>
      </w:r>
    </w:p>
    <w:p w14:paraId="6323EB9A" w14:textId="2C9AB370" w:rsidR="00B6704C" w:rsidRPr="00191108" w:rsidRDefault="00B6704C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i/>
          <w:iCs/>
          <w:sz w:val="24"/>
          <w:szCs w:val="24"/>
        </w:rPr>
        <w:t xml:space="preserve">Therapy Outcome Measure </w:t>
      </w:r>
      <w:r w:rsidR="00433FBA" w:rsidRPr="00191108">
        <w:rPr>
          <w:rFonts w:cstheme="minorHAnsi"/>
          <w:i/>
          <w:iCs/>
          <w:sz w:val="24"/>
          <w:szCs w:val="24"/>
        </w:rPr>
        <w:t>(Enderby and John 2015)</w:t>
      </w:r>
    </w:p>
    <w:p w14:paraId="7D19A3A6" w14:textId="5562368E" w:rsidR="007A4820" w:rsidRPr="00191108" w:rsidRDefault="00B6704C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The </w:t>
      </w:r>
      <w:r w:rsidR="007A4820" w:rsidRPr="00191108">
        <w:rPr>
          <w:rFonts w:cstheme="minorHAnsi"/>
          <w:sz w:val="24"/>
          <w:szCs w:val="24"/>
        </w:rPr>
        <w:t>T</w:t>
      </w:r>
      <w:r w:rsidRPr="00191108">
        <w:rPr>
          <w:rFonts w:cstheme="minorHAnsi"/>
          <w:sz w:val="24"/>
          <w:szCs w:val="24"/>
        </w:rPr>
        <w:t xml:space="preserve">herapy </w:t>
      </w:r>
      <w:r w:rsidR="007A4820" w:rsidRPr="00191108">
        <w:rPr>
          <w:rFonts w:cstheme="minorHAnsi"/>
          <w:sz w:val="24"/>
          <w:szCs w:val="24"/>
        </w:rPr>
        <w:t>O</w:t>
      </w:r>
      <w:r w:rsidRPr="00191108">
        <w:rPr>
          <w:rFonts w:cstheme="minorHAnsi"/>
          <w:sz w:val="24"/>
          <w:szCs w:val="24"/>
        </w:rPr>
        <w:t xml:space="preserve">utcome </w:t>
      </w:r>
      <w:r w:rsidR="007A4820" w:rsidRPr="00191108">
        <w:rPr>
          <w:rFonts w:cstheme="minorHAnsi"/>
          <w:sz w:val="24"/>
          <w:szCs w:val="24"/>
        </w:rPr>
        <w:t>M</w:t>
      </w:r>
      <w:r w:rsidRPr="00191108">
        <w:rPr>
          <w:rFonts w:cstheme="minorHAnsi"/>
          <w:sz w:val="24"/>
          <w:szCs w:val="24"/>
        </w:rPr>
        <w:t xml:space="preserve">easure </w:t>
      </w:r>
      <w:r w:rsidR="00882775" w:rsidRPr="00191108">
        <w:rPr>
          <w:rFonts w:cstheme="minorHAnsi"/>
          <w:sz w:val="24"/>
          <w:szCs w:val="24"/>
        </w:rPr>
        <w:t xml:space="preserve">(TOM) </w:t>
      </w:r>
      <w:r w:rsidRPr="00191108">
        <w:rPr>
          <w:rFonts w:cstheme="minorHAnsi"/>
          <w:sz w:val="24"/>
          <w:szCs w:val="24"/>
        </w:rPr>
        <w:t xml:space="preserve">is a standardized therapist reported tool, used to </w:t>
      </w:r>
      <w:proofErr w:type="gramStart"/>
      <w:r w:rsidRPr="00191108">
        <w:rPr>
          <w:rFonts w:cstheme="minorHAnsi"/>
          <w:sz w:val="24"/>
          <w:szCs w:val="24"/>
        </w:rPr>
        <w:t>measure</w:t>
      </w:r>
      <w:proofErr w:type="gramEnd"/>
      <w:r w:rsidRPr="00191108">
        <w:rPr>
          <w:rFonts w:cstheme="minorHAnsi"/>
          <w:sz w:val="24"/>
          <w:szCs w:val="24"/>
        </w:rPr>
        <w:t xml:space="preserve"> and record outcomes in </w:t>
      </w:r>
      <w:r w:rsidR="007A4820" w:rsidRPr="00191108">
        <w:rPr>
          <w:rFonts w:cstheme="minorHAnsi"/>
          <w:sz w:val="24"/>
          <w:szCs w:val="24"/>
        </w:rPr>
        <w:t xml:space="preserve">client </w:t>
      </w:r>
      <w:r w:rsidRPr="00191108">
        <w:rPr>
          <w:rFonts w:cstheme="minorHAnsi"/>
          <w:sz w:val="24"/>
          <w:szCs w:val="24"/>
        </w:rPr>
        <w:t xml:space="preserve">care. </w:t>
      </w:r>
      <w:r w:rsidR="007A4820" w:rsidRPr="00191108">
        <w:rPr>
          <w:rFonts w:cstheme="minorHAnsi"/>
          <w:sz w:val="24"/>
          <w:szCs w:val="24"/>
        </w:rPr>
        <w:t xml:space="preserve">It enables professionals from different disciplines in health and social care to measure the difficulties and abilities of their users. </w:t>
      </w:r>
      <w:r w:rsidRPr="00191108">
        <w:rPr>
          <w:rFonts w:cstheme="minorHAnsi"/>
          <w:sz w:val="24"/>
          <w:szCs w:val="24"/>
        </w:rPr>
        <w:t xml:space="preserve">The tool measures 4 domains of a person’s life before and after intervention by the professional; </w:t>
      </w:r>
      <w:r w:rsidR="00403D80" w:rsidRPr="00191108">
        <w:rPr>
          <w:rFonts w:cstheme="minorHAnsi"/>
          <w:sz w:val="24"/>
          <w:szCs w:val="24"/>
        </w:rPr>
        <w:t>i</w:t>
      </w:r>
      <w:r w:rsidRPr="00191108">
        <w:rPr>
          <w:rFonts w:cstheme="minorHAnsi"/>
          <w:sz w:val="24"/>
          <w:szCs w:val="24"/>
        </w:rPr>
        <w:t xml:space="preserve">mpairment, </w:t>
      </w:r>
      <w:r w:rsidR="00403D80" w:rsidRPr="00191108">
        <w:rPr>
          <w:rFonts w:cstheme="minorHAnsi"/>
          <w:sz w:val="24"/>
          <w:szCs w:val="24"/>
        </w:rPr>
        <w:t>a</w:t>
      </w:r>
      <w:r w:rsidRPr="00191108">
        <w:rPr>
          <w:rFonts w:cstheme="minorHAnsi"/>
          <w:sz w:val="24"/>
          <w:szCs w:val="24"/>
        </w:rPr>
        <w:t xml:space="preserve">ctivity, </w:t>
      </w:r>
      <w:proofErr w:type="gramStart"/>
      <w:r w:rsidR="00403D80" w:rsidRPr="00191108">
        <w:rPr>
          <w:rFonts w:cstheme="minorHAnsi"/>
          <w:sz w:val="24"/>
          <w:szCs w:val="24"/>
        </w:rPr>
        <w:t>p</w:t>
      </w:r>
      <w:r w:rsidRPr="00191108">
        <w:rPr>
          <w:rFonts w:cstheme="minorHAnsi"/>
          <w:sz w:val="24"/>
          <w:szCs w:val="24"/>
        </w:rPr>
        <w:t>articipation</w:t>
      </w:r>
      <w:proofErr w:type="gramEnd"/>
      <w:r w:rsidRPr="00191108">
        <w:rPr>
          <w:rFonts w:cstheme="minorHAnsi"/>
          <w:sz w:val="24"/>
          <w:szCs w:val="24"/>
        </w:rPr>
        <w:t xml:space="preserve"> and </w:t>
      </w:r>
      <w:r w:rsidR="00403D80" w:rsidRPr="00191108">
        <w:rPr>
          <w:rFonts w:cstheme="minorHAnsi"/>
          <w:sz w:val="24"/>
          <w:szCs w:val="24"/>
        </w:rPr>
        <w:t>w</w:t>
      </w:r>
      <w:r w:rsidR="00CA7E13" w:rsidRPr="00191108">
        <w:rPr>
          <w:rFonts w:cstheme="minorHAnsi"/>
          <w:sz w:val="24"/>
          <w:szCs w:val="24"/>
        </w:rPr>
        <w:t>ellbeing</w:t>
      </w:r>
      <w:r w:rsidRPr="00191108">
        <w:rPr>
          <w:rFonts w:cstheme="minorHAnsi"/>
          <w:sz w:val="24"/>
          <w:szCs w:val="24"/>
        </w:rPr>
        <w:t xml:space="preserve"> of client/carer. </w:t>
      </w:r>
      <w:r w:rsidR="007A4820" w:rsidRPr="00191108">
        <w:rPr>
          <w:rFonts w:cstheme="minorHAnsi"/>
          <w:sz w:val="24"/>
          <w:szCs w:val="24"/>
        </w:rPr>
        <w:t>These domains are based on the description from the World Health Organisation’s International Code of Classification of Disability and Function (WHO, ICF 2001).</w:t>
      </w:r>
    </w:p>
    <w:p w14:paraId="61EE4CDB" w14:textId="5505F195" w:rsidR="00C4725E" w:rsidRPr="00191108" w:rsidRDefault="00AF4DB5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Scoring is completed using </w:t>
      </w:r>
      <w:r w:rsidR="00403D80" w:rsidRPr="00191108">
        <w:rPr>
          <w:rFonts w:cstheme="minorHAnsi"/>
          <w:sz w:val="24"/>
          <w:szCs w:val="24"/>
        </w:rPr>
        <w:t>one of a</w:t>
      </w:r>
      <w:r w:rsidRPr="00191108">
        <w:rPr>
          <w:rFonts w:cstheme="minorHAnsi"/>
          <w:sz w:val="24"/>
          <w:szCs w:val="24"/>
        </w:rPr>
        <w:t xml:space="preserve"> range of “adapted scales”, which align to the client’s main medical diagnosis. </w:t>
      </w:r>
      <w:r w:rsidR="00BC5CB4" w:rsidRPr="00191108">
        <w:rPr>
          <w:rFonts w:cstheme="minorHAnsi"/>
          <w:sz w:val="24"/>
          <w:szCs w:val="24"/>
        </w:rPr>
        <w:t xml:space="preserve">50 adapted scales are available for scoring with another 17 in development </w:t>
      </w:r>
      <w:r w:rsidR="00BC5CB4" w:rsidRPr="00191108">
        <w:rPr>
          <w:rFonts w:cstheme="minorHAnsi"/>
          <w:sz w:val="24"/>
          <w:szCs w:val="24"/>
        </w:rPr>
        <w:lastRenderedPageBreak/>
        <w:t xml:space="preserve">(Enderby and John 2019). </w:t>
      </w:r>
      <w:r w:rsidR="00C4725E" w:rsidRPr="00191108">
        <w:rPr>
          <w:rFonts w:cstheme="minorHAnsi"/>
          <w:sz w:val="24"/>
          <w:szCs w:val="24"/>
        </w:rPr>
        <w:t>The authors have also developed the “Core Scale” for assessors to utilise in situations where the diagnosis is unclear or to use alongside an adapted scale to support decision-making</w:t>
      </w:r>
      <w:r w:rsidR="001D6369" w:rsidRPr="00191108">
        <w:rPr>
          <w:rFonts w:cstheme="minorHAnsi"/>
          <w:sz w:val="24"/>
          <w:szCs w:val="24"/>
        </w:rPr>
        <w:t>, or where an adapted scale is not available or is inappropriate (Enderby and John</w:t>
      </w:r>
      <w:r w:rsidR="00EF5481" w:rsidRPr="00191108">
        <w:rPr>
          <w:rFonts w:cstheme="minorHAnsi"/>
          <w:sz w:val="24"/>
          <w:szCs w:val="24"/>
        </w:rPr>
        <w:t>,</w:t>
      </w:r>
      <w:r w:rsidR="001D6369" w:rsidRPr="00191108">
        <w:rPr>
          <w:rFonts w:cstheme="minorHAnsi"/>
          <w:sz w:val="24"/>
          <w:szCs w:val="24"/>
        </w:rPr>
        <w:t xml:space="preserve"> 2019). </w:t>
      </w:r>
    </w:p>
    <w:p w14:paraId="5F1647D9" w14:textId="10404375" w:rsidR="00B6704C" w:rsidRDefault="00AF4DB5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Scoring is completed at initial assessment and at </w:t>
      </w:r>
      <w:r w:rsidR="00353DB8" w:rsidRPr="00191108">
        <w:rPr>
          <w:rFonts w:cstheme="minorHAnsi"/>
          <w:sz w:val="24"/>
          <w:szCs w:val="24"/>
        </w:rPr>
        <w:t>close of occupational therapy provision,</w:t>
      </w:r>
      <w:r w:rsidRPr="00191108">
        <w:rPr>
          <w:rFonts w:cstheme="minorHAnsi"/>
          <w:sz w:val="24"/>
          <w:szCs w:val="24"/>
        </w:rPr>
        <w:t xml:space="preserve"> to provide </w:t>
      </w:r>
      <w:r w:rsidR="00353DB8" w:rsidRPr="00191108">
        <w:rPr>
          <w:rFonts w:cstheme="minorHAnsi"/>
          <w:sz w:val="24"/>
          <w:szCs w:val="24"/>
        </w:rPr>
        <w:t>two</w:t>
      </w:r>
      <w:r w:rsidRPr="00191108">
        <w:rPr>
          <w:rFonts w:cstheme="minorHAnsi"/>
          <w:sz w:val="24"/>
          <w:szCs w:val="24"/>
        </w:rPr>
        <w:t xml:space="preserve"> scores.</w:t>
      </w:r>
      <w:r w:rsidR="00560414" w:rsidRPr="00191108">
        <w:rPr>
          <w:rFonts w:cstheme="minorHAnsi"/>
          <w:sz w:val="24"/>
          <w:szCs w:val="24"/>
        </w:rPr>
        <w:t xml:space="preserve"> An intermediate score can also be made although this is not</w:t>
      </w:r>
      <w:r w:rsidR="00353DB8" w:rsidRPr="00191108">
        <w:rPr>
          <w:rFonts w:cstheme="minorHAnsi"/>
          <w:sz w:val="24"/>
          <w:szCs w:val="24"/>
        </w:rPr>
        <w:t xml:space="preserve"> utilised locally.</w:t>
      </w:r>
      <w:r w:rsidR="00D2481C" w:rsidRPr="00191108">
        <w:rPr>
          <w:rFonts w:cstheme="minorHAnsi"/>
          <w:sz w:val="24"/>
          <w:szCs w:val="24"/>
        </w:rPr>
        <w:t xml:space="preserve"> </w:t>
      </w:r>
      <w:r w:rsidRPr="00191108">
        <w:rPr>
          <w:rFonts w:cstheme="minorHAnsi"/>
          <w:sz w:val="24"/>
          <w:szCs w:val="24"/>
        </w:rPr>
        <w:t xml:space="preserve"> </w:t>
      </w:r>
      <w:r w:rsidR="00B6704C" w:rsidRPr="00191108">
        <w:rPr>
          <w:rFonts w:cstheme="minorHAnsi"/>
          <w:sz w:val="24"/>
          <w:szCs w:val="24"/>
        </w:rPr>
        <w:t xml:space="preserve">The </w:t>
      </w:r>
      <w:r w:rsidR="008C7047" w:rsidRPr="00191108">
        <w:rPr>
          <w:rFonts w:cstheme="minorHAnsi"/>
          <w:sz w:val="24"/>
          <w:szCs w:val="24"/>
        </w:rPr>
        <w:t>domains are</w:t>
      </w:r>
      <w:r w:rsidR="00B6704C" w:rsidRPr="00191108">
        <w:rPr>
          <w:rFonts w:cstheme="minorHAnsi"/>
          <w:sz w:val="24"/>
          <w:szCs w:val="24"/>
        </w:rPr>
        <w:t xml:space="preserve"> </w:t>
      </w:r>
      <w:r w:rsidR="008C7047" w:rsidRPr="00191108">
        <w:rPr>
          <w:rFonts w:cstheme="minorHAnsi"/>
          <w:sz w:val="24"/>
          <w:szCs w:val="24"/>
        </w:rPr>
        <w:t>scored</w:t>
      </w:r>
      <w:r w:rsidR="00B6704C" w:rsidRPr="00191108">
        <w:rPr>
          <w:rFonts w:cstheme="minorHAnsi"/>
          <w:sz w:val="24"/>
          <w:szCs w:val="24"/>
        </w:rPr>
        <w:t xml:space="preserve"> from zero (</w:t>
      </w:r>
      <w:r w:rsidR="00D45C9D" w:rsidRPr="00191108">
        <w:rPr>
          <w:rFonts w:cstheme="minorHAnsi"/>
          <w:sz w:val="24"/>
          <w:szCs w:val="24"/>
        </w:rPr>
        <w:t>profound</w:t>
      </w:r>
      <w:r w:rsidR="00B6704C" w:rsidRPr="00191108">
        <w:rPr>
          <w:rFonts w:cstheme="minorHAnsi"/>
          <w:sz w:val="24"/>
          <w:szCs w:val="24"/>
        </w:rPr>
        <w:t xml:space="preserve">) up to 5 (high/normal) on an </w:t>
      </w:r>
      <w:r w:rsidR="006B7B53" w:rsidRPr="00191108">
        <w:rPr>
          <w:rFonts w:cstheme="minorHAnsi"/>
          <w:sz w:val="24"/>
          <w:szCs w:val="24"/>
        </w:rPr>
        <w:t xml:space="preserve">11-point </w:t>
      </w:r>
      <w:r w:rsidR="00B6704C" w:rsidRPr="00191108">
        <w:rPr>
          <w:rFonts w:cstheme="minorHAnsi"/>
          <w:sz w:val="24"/>
          <w:szCs w:val="24"/>
        </w:rPr>
        <w:t>ordinal scale</w:t>
      </w:r>
      <w:r w:rsidR="00520B27" w:rsidRPr="00191108">
        <w:rPr>
          <w:rFonts w:cstheme="minorHAnsi"/>
          <w:sz w:val="24"/>
          <w:szCs w:val="24"/>
        </w:rPr>
        <w:t xml:space="preserve"> (Table 1)</w:t>
      </w:r>
      <w:r w:rsidR="00B6704C" w:rsidRPr="00191108">
        <w:rPr>
          <w:rFonts w:cstheme="minorHAnsi"/>
          <w:sz w:val="24"/>
          <w:szCs w:val="24"/>
        </w:rPr>
        <w:t xml:space="preserve"> with use of 0.5 markers</w:t>
      </w:r>
      <w:r w:rsidR="00520B27" w:rsidRPr="00191108">
        <w:rPr>
          <w:rFonts w:cstheme="minorHAnsi"/>
          <w:sz w:val="24"/>
          <w:szCs w:val="24"/>
        </w:rPr>
        <w:t>.</w:t>
      </w:r>
      <w:r w:rsidR="008C7047" w:rsidRPr="00191108">
        <w:rPr>
          <w:rFonts w:cstheme="minorHAnsi"/>
          <w:sz w:val="24"/>
          <w:szCs w:val="24"/>
        </w:rPr>
        <w:t xml:space="preserve"> </w:t>
      </w:r>
      <w:r w:rsidR="00822F99" w:rsidRPr="00191108">
        <w:rPr>
          <w:rFonts w:cstheme="minorHAnsi"/>
          <w:sz w:val="24"/>
          <w:szCs w:val="24"/>
        </w:rPr>
        <w:t>Ordinal variable</w:t>
      </w:r>
      <w:r w:rsidR="00472786" w:rsidRPr="00191108">
        <w:rPr>
          <w:rFonts w:cstheme="minorHAnsi"/>
          <w:sz w:val="24"/>
          <w:szCs w:val="24"/>
        </w:rPr>
        <w:t xml:space="preserve">s </w:t>
      </w:r>
      <w:r w:rsidR="00DB00F3" w:rsidRPr="00191108">
        <w:rPr>
          <w:rFonts w:cstheme="minorHAnsi"/>
          <w:sz w:val="24"/>
          <w:szCs w:val="24"/>
        </w:rPr>
        <w:t>are</w:t>
      </w:r>
      <w:r w:rsidR="00472786" w:rsidRPr="00191108">
        <w:rPr>
          <w:rFonts w:cstheme="minorHAnsi"/>
          <w:sz w:val="24"/>
          <w:szCs w:val="24"/>
        </w:rPr>
        <w:t xml:space="preserve"> rank</w:t>
      </w:r>
      <w:r w:rsidR="004C7A8D" w:rsidRPr="00191108">
        <w:rPr>
          <w:rFonts w:cstheme="minorHAnsi"/>
          <w:sz w:val="24"/>
          <w:szCs w:val="24"/>
        </w:rPr>
        <w:t xml:space="preserve"> </w:t>
      </w:r>
      <w:r w:rsidR="00472786" w:rsidRPr="00191108">
        <w:rPr>
          <w:rFonts w:cstheme="minorHAnsi"/>
          <w:sz w:val="24"/>
          <w:szCs w:val="24"/>
        </w:rPr>
        <w:t xml:space="preserve">ordered, but the distances across categories are not equal within the </w:t>
      </w:r>
      <w:r w:rsidR="00BA0A94" w:rsidRPr="00191108">
        <w:rPr>
          <w:rFonts w:cstheme="minorHAnsi"/>
          <w:sz w:val="24"/>
          <w:szCs w:val="24"/>
        </w:rPr>
        <w:t>scale (Bryman</w:t>
      </w:r>
      <w:r w:rsidR="00EF5481" w:rsidRPr="00191108">
        <w:rPr>
          <w:rFonts w:cstheme="minorHAnsi"/>
          <w:sz w:val="24"/>
          <w:szCs w:val="24"/>
        </w:rPr>
        <w:t>,</w:t>
      </w:r>
      <w:r w:rsidR="00BA0A94" w:rsidRPr="00191108">
        <w:rPr>
          <w:rFonts w:cstheme="minorHAnsi"/>
          <w:sz w:val="24"/>
          <w:szCs w:val="24"/>
        </w:rPr>
        <w:t xml:space="preserve"> 2008).</w:t>
      </w:r>
      <w:r w:rsidR="00CF2CC7" w:rsidRPr="00191108">
        <w:rPr>
          <w:rFonts w:cstheme="minorHAnsi"/>
          <w:sz w:val="24"/>
          <w:szCs w:val="24"/>
        </w:rPr>
        <w:t xml:space="preserve"> </w:t>
      </w:r>
      <w:r w:rsidR="00BA0A94" w:rsidRPr="00191108">
        <w:rPr>
          <w:rFonts w:cstheme="minorHAnsi"/>
          <w:sz w:val="24"/>
          <w:szCs w:val="24"/>
        </w:rPr>
        <w:t xml:space="preserve"> </w:t>
      </w:r>
      <w:r w:rsidR="008C7047" w:rsidRPr="00191108">
        <w:rPr>
          <w:rFonts w:cstheme="minorHAnsi"/>
          <w:sz w:val="24"/>
          <w:szCs w:val="24"/>
        </w:rPr>
        <w:t xml:space="preserve">Zero represents a profound score with </w:t>
      </w:r>
      <w:r w:rsidR="00353DB8" w:rsidRPr="00191108">
        <w:rPr>
          <w:rFonts w:cstheme="minorHAnsi"/>
          <w:sz w:val="24"/>
          <w:szCs w:val="24"/>
        </w:rPr>
        <w:t>five</w:t>
      </w:r>
      <w:r w:rsidR="008C7047" w:rsidRPr="00191108">
        <w:rPr>
          <w:rFonts w:cstheme="minorHAnsi"/>
          <w:sz w:val="24"/>
          <w:szCs w:val="24"/>
        </w:rPr>
        <w:t xml:space="preserve"> representing normal according to age, </w:t>
      </w:r>
      <w:proofErr w:type="gramStart"/>
      <w:r w:rsidRPr="00191108">
        <w:rPr>
          <w:rFonts w:cstheme="minorHAnsi"/>
          <w:sz w:val="24"/>
          <w:szCs w:val="24"/>
        </w:rPr>
        <w:t>sex</w:t>
      </w:r>
      <w:proofErr w:type="gramEnd"/>
      <w:r w:rsidR="008C7047" w:rsidRPr="00191108">
        <w:rPr>
          <w:rFonts w:cstheme="minorHAnsi"/>
          <w:sz w:val="24"/>
          <w:szCs w:val="24"/>
        </w:rPr>
        <w:t xml:space="preserve"> and culture</w:t>
      </w:r>
      <w:r w:rsidRPr="00191108">
        <w:rPr>
          <w:rFonts w:cstheme="minorHAnsi"/>
          <w:sz w:val="24"/>
          <w:szCs w:val="24"/>
        </w:rPr>
        <w:t xml:space="preserve"> (Enderby and John</w:t>
      </w:r>
      <w:r w:rsidR="00EF5481" w:rsidRPr="00191108">
        <w:rPr>
          <w:rFonts w:cstheme="minorHAnsi"/>
          <w:sz w:val="24"/>
          <w:szCs w:val="24"/>
        </w:rPr>
        <w:t>,</w:t>
      </w:r>
      <w:r w:rsidRPr="00191108">
        <w:rPr>
          <w:rFonts w:cstheme="minorHAnsi"/>
          <w:sz w:val="24"/>
          <w:szCs w:val="24"/>
        </w:rPr>
        <w:t xml:space="preserve"> 2015). The integers are defined with semantic operational code descriptors on the “adapted scales” to classify the severity of the difficulty. The 0.5 markers are not defined, allowing the assessor to </w:t>
      </w:r>
      <w:r w:rsidR="00474DC8" w:rsidRPr="00191108">
        <w:rPr>
          <w:rFonts w:cstheme="minorHAnsi"/>
          <w:sz w:val="24"/>
          <w:szCs w:val="24"/>
        </w:rPr>
        <w:t>judge</w:t>
      </w:r>
      <w:r w:rsidRPr="00191108">
        <w:rPr>
          <w:rFonts w:cstheme="minorHAnsi"/>
          <w:sz w:val="24"/>
          <w:szCs w:val="24"/>
        </w:rPr>
        <w:t xml:space="preserve"> if their client is slightly better or worse than the descriptor level. </w:t>
      </w:r>
      <w:r w:rsidR="00BC5CB4" w:rsidRPr="00191108">
        <w:rPr>
          <w:rFonts w:cstheme="minorHAnsi"/>
          <w:sz w:val="24"/>
          <w:szCs w:val="24"/>
        </w:rPr>
        <w:t>For the TOM, the measure of clinically significant change is set at 0.5 (Enderby and John</w:t>
      </w:r>
      <w:r w:rsidR="00EF5481" w:rsidRPr="00191108">
        <w:rPr>
          <w:rFonts w:cstheme="minorHAnsi"/>
          <w:sz w:val="24"/>
          <w:szCs w:val="24"/>
        </w:rPr>
        <w:t>,</w:t>
      </w:r>
      <w:r w:rsidR="00BC5CB4" w:rsidRPr="00191108">
        <w:rPr>
          <w:rFonts w:cstheme="minorHAnsi"/>
          <w:sz w:val="24"/>
          <w:szCs w:val="24"/>
        </w:rPr>
        <w:t xml:space="preserve"> 2019).</w:t>
      </w:r>
    </w:p>
    <w:p w14:paraId="6904C680" w14:textId="77777777" w:rsidR="00191108" w:rsidRDefault="00191108" w:rsidP="00191108">
      <w:r>
        <w:rPr>
          <w:noProof/>
        </w:rPr>
        <w:drawing>
          <wp:inline distT="0" distB="0" distL="0" distR="0" wp14:anchorId="6EC597A6" wp14:editId="2D57BDE8">
            <wp:extent cx="4572000" cy="2775857"/>
            <wp:effectExtent l="0" t="0" r="0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AA96108-9388-4462-B057-84AEFB17C5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4009D1" w14:textId="77777777" w:rsidR="00191108" w:rsidRDefault="00191108" w:rsidP="00191108">
      <w:r>
        <w:t xml:space="preserve">Figure 1 Adapted Scales Used </w:t>
      </w:r>
    </w:p>
    <w:p w14:paraId="0C689621" w14:textId="77777777" w:rsidR="00191108" w:rsidRPr="00191108" w:rsidRDefault="00191108" w:rsidP="008726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BDE5B0" w14:textId="26594490" w:rsidR="003E7BAE" w:rsidRPr="00191108" w:rsidRDefault="003E7BAE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Using the ordinal scale, </w:t>
      </w:r>
      <w:r w:rsidR="00E2791A" w:rsidRPr="00191108">
        <w:rPr>
          <w:rFonts w:cstheme="minorHAnsi"/>
          <w:sz w:val="24"/>
          <w:szCs w:val="24"/>
        </w:rPr>
        <w:t>the rank order is inferred but not the relative size (</w:t>
      </w:r>
      <w:r w:rsidR="00C332C9" w:rsidRPr="00191108">
        <w:rPr>
          <w:rFonts w:cstheme="minorHAnsi"/>
          <w:sz w:val="24"/>
          <w:szCs w:val="24"/>
        </w:rPr>
        <w:t>Whittaker and Williamson</w:t>
      </w:r>
      <w:r w:rsidR="00EF5481" w:rsidRPr="00191108">
        <w:rPr>
          <w:rFonts w:cstheme="minorHAnsi"/>
          <w:sz w:val="24"/>
          <w:szCs w:val="24"/>
        </w:rPr>
        <w:t>,</w:t>
      </w:r>
      <w:r w:rsidR="00C332C9" w:rsidRPr="00191108">
        <w:rPr>
          <w:rFonts w:cstheme="minorHAnsi"/>
          <w:sz w:val="24"/>
          <w:szCs w:val="24"/>
        </w:rPr>
        <w:t xml:space="preserve"> </w:t>
      </w:r>
      <w:r w:rsidR="00FA373F" w:rsidRPr="00191108">
        <w:rPr>
          <w:rFonts w:cstheme="minorHAnsi"/>
          <w:sz w:val="24"/>
          <w:szCs w:val="24"/>
        </w:rPr>
        <w:t xml:space="preserve">2011), for example a </w:t>
      </w:r>
      <w:r w:rsidR="00C2595C" w:rsidRPr="00191108">
        <w:rPr>
          <w:rFonts w:cstheme="minorHAnsi"/>
          <w:sz w:val="24"/>
          <w:szCs w:val="24"/>
        </w:rPr>
        <w:t>client</w:t>
      </w:r>
      <w:r w:rsidR="00FA373F" w:rsidRPr="00191108">
        <w:rPr>
          <w:rFonts w:cstheme="minorHAnsi"/>
          <w:sz w:val="24"/>
          <w:szCs w:val="24"/>
        </w:rPr>
        <w:t xml:space="preserve"> who is</w:t>
      </w:r>
      <w:r w:rsidR="006424C3" w:rsidRPr="00191108">
        <w:rPr>
          <w:rFonts w:cstheme="minorHAnsi"/>
          <w:sz w:val="24"/>
          <w:szCs w:val="24"/>
        </w:rPr>
        <w:t xml:space="preserve"> score</w:t>
      </w:r>
      <w:r w:rsidR="00FA373F" w:rsidRPr="00191108">
        <w:rPr>
          <w:rFonts w:cstheme="minorHAnsi"/>
          <w:sz w:val="24"/>
          <w:szCs w:val="24"/>
        </w:rPr>
        <w:t>d to be 4</w:t>
      </w:r>
      <w:r w:rsidR="006424C3" w:rsidRPr="00191108">
        <w:rPr>
          <w:rFonts w:cstheme="minorHAnsi"/>
          <w:sz w:val="24"/>
          <w:szCs w:val="24"/>
        </w:rPr>
        <w:t xml:space="preserve"> (mild)</w:t>
      </w:r>
      <w:r w:rsidR="00FA373F" w:rsidRPr="00191108">
        <w:rPr>
          <w:rFonts w:cstheme="minorHAnsi"/>
          <w:sz w:val="24"/>
          <w:szCs w:val="24"/>
        </w:rPr>
        <w:t xml:space="preserve"> is not necessarily twice as able as a person who is scored 2</w:t>
      </w:r>
      <w:r w:rsidR="00F139E6" w:rsidRPr="00191108">
        <w:rPr>
          <w:rFonts w:cstheme="minorHAnsi"/>
          <w:sz w:val="24"/>
          <w:szCs w:val="24"/>
        </w:rPr>
        <w:t xml:space="preserve"> (severe/moderate)</w:t>
      </w:r>
      <w:r w:rsidR="00FA373F" w:rsidRPr="00191108">
        <w:rPr>
          <w:rFonts w:cstheme="minorHAnsi"/>
          <w:sz w:val="24"/>
          <w:szCs w:val="24"/>
        </w:rPr>
        <w:t xml:space="preserve"> on the ordinal scale.</w:t>
      </w:r>
    </w:p>
    <w:p w14:paraId="266B9340" w14:textId="1804BC70" w:rsidR="00FB0CE4" w:rsidRPr="00191108" w:rsidRDefault="00FB0CE4" w:rsidP="0087262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91108">
        <w:rPr>
          <w:rFonts w:cstheme="minorHAnsi"/>
          <w:b/>
          <w:bCs/>
          <w:sz w:val="24"/>
          <w:szCs w:val="24"/>
        </w:rPr>
        <w:lastRenderedPageBreak/>
        <w:t>Methods</w:t>
      </w:r>
    </w:p>
    <w:p w14:paraId="58132A35" w14:textId="77777777" w:rsidR="00FB0CE4" w:rsidRPr="00191108" w:rsidRDefault="00FB0CE4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i/>
          <w:iCs/>
          <w:sz w:val="24"/>
          <w:szCs w:val="24"/>
        </w:rPr>
        <w:t>Audit aim and objectives</w:t>
      </w:r>
    </w:p>
    <w:p w14:paraId="72470539" w14:textId="47E70FB3" w:rsidR="00FB0CE4" w:rsidRPr="00191108" w:rsidRDefault="00FB0CE4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Audit is well recognised as a pillar of clinical governance in the NHS (Buth and D’Cruz</w:t>
      </w:r>
      <w:r w:rsidR="00EF5481" w:rsidRPr="00191108">
        <w:rPr>
          <w:rFonts w:cstheme="minorHAnsi"/>
          <w:sz w:val="24"/>
          <w:szCs w:val="24"/>
        </w:rPr>
        <w:t>,</w:t>
      </w:r>
      <w:r w:rsidRPr="00191108">
        <w:rPr>
          <w:rFonts w:cstheme="minorHAnsi"/>
          <w:sz w:val="24"/>
          <w:szCs w:val="24"/>
        </w:rPr>
        <w:t xml:space="preserve"> 2012), </w:t>
      </w:r>
      <w:r w:rsidR="0058045A" w:rsidRPr="00191108">
        <w:rPr>
          <w:rFonts w:cstheme="minorHAnsi"/>
          <w:sz w:val="24"/>
          <w:szCs w:val="24"/>
        </w:rPr>
        <w:t>providing</w:t>
      </w:r>
      <w:r w:rsidRPr="00191108">
        <w:rPr>
          <w:rFonts w:cstheme="minorHAnsi"/>
          <w:sz w:val="24"/>
          <w:szCs w:val="24"/>
        </w:rPr>
        <w:t xml:space="preserve"> a quality improvement process that seeks to improve patient care and outcomes through systematic </w:t>
      </w:r>
      <w:r w:rsidR="00CB1668" w:rsidRPr="00191108">
        <w:rPr>
          <w:rFonts w:cstheme="minorHAnsi"/>
          <w:sz w:val="24"/>
          <w:szCs w:val="24"/>
        </w:rPr>
        <w:t>critical analysis</w:t>
      </w:r>
      <w:r w:rsidR="00E72552" w:rsidRPr="00191108">
        <w:rPr>
          <w:rFonts w:cstheme="minorHAnsi"/>
          <w:sz w:val="24"/>
          <w:szCs w:val="24"/>
        </w:rPr>
        <w:t xml:space="preserve"> (</w:t>
      </w:r>
      <w:r w:rsidR="00FD0E7E" w:rsidRPr="00191108">
        <w:rPr>
          <w:rFonts w:cstheme="minorHAnsi"/>
          <w:sz w:val="24"/>
          <w:szCs w:val="24"/>
        </w:rPr>
        <w:t>Bowling</w:t>
      </w:r>
      <w:r w:rsidR="00EF5481" w:rsidRPr="00191108">
        <w:rPr>
          <w:rFonts w:cstheme="minorHAnsi"/>
          <w:sz w:val="24"/>
          <w:szCs w:val="24"/>
        </w:rPr>
        <w:t>,</w:t>
      </w:r>
      <w:r w:rsidR="00FD0E7E" w:rsidRPr="00191108">
        <w:rPr>
          <w:rFonts w:cstheme="minorHAnsi"/>
          <w:sz w:val="24"/>
          <w:szCs w:val="24"/>
        </w:rPr>
        <w:t xml:space="preserve"> </w:t>
      </w:r>
      <w:r w:rsidR="004E620B" w:rsidRPr="00191108">
        <w:rPr>
          <w:rFonts w:cstheme="minorHAnsi"/>
          <w:sz w:val="24"/>
          <w:szCs w:val="24"/>
        </w:rPr>
        <w:t>2009)</w:t>
      </w:r>
      <w:r w:rsidRPr="00191108">
        <w:rPr>
          <w:rFonts w:cstheme="minorHAnsi"/>
          <w:sz w:val="24"/>
          <w:szCs w:val="24"/>
        </w:rPr>
        <w:t>.</w:t>
      </w:r>
      <w:r w:rsidR="00BD4D2C" w:rsidRPr="00191108">
        <w:rPr>
          <w:rFonts w:cstheme="minorHAnsi"/>
          <w:sz w:val="24"/>
          <w:szCs w:val="24"/>
        </w:rPr>
        <w:t xml:space="preserve"> For th</w:t>
      </w:r>
      <w:r w:rsidR="00E454C3" w:rsidRPr="00191108">
        <w:rPr>
          <w:rFonts w:cstheme="minorHAnsi"/>
          <w:sz w:val="24"/>
          <w:szCs w:val="24"/>
        </w:rPr>
        <w:t>is</w:t>
      </w:r>
      <w:r w:rsidR="00BD4D2C" w:rsidRPr="00191108">
        <w:rPr>
          <w:rFonts w:cstheme="minorHAnsi"/>
          <w:sz w:val="24"/>
          <w:szCs w:val="24"/>
        </w:rPr>
        <w:t xml:space="preserve"> adult social </w:t>
      </w:r>
      <w:r w:rsidR="004F798A" w:rsidRPr="00191108">
        <w:rPr>
          <w:rFonts w:cstheme="minorHAnsi"/>
          <w:sz w:val="24"/>
          <w:szCs w:val="24"/>
        </w:rPr>
        <w:t xml:space="preserve">care </w:t>
      </w:r>
      <w:r w:rsidR="00BD4D2C" w:rsidRPr="00191108">
        <w:rPr>
          <w:rFonts w:cstheme="minorHAnsi"/>
          <w:sz w:val="24"/>
          <w:szCs w:val="24"/>
        </w:rPr>
        <w:t xml:space="preserve">setting within the NHS, the need </w:t>
      </w:r>
      <w:r w:rsidR="00E454C3" w:rsidRPr="00191108">
        <w:rPr>
          <w:rFonts w:cstheme="minorHAnsi"/>
          <w:sz w:val="24"/>
          <w:szCs w:val="24"/>
        </w:rPr>
        <w:t>to</w:t>
      </w:r>
      <w:r w:rsidR="00BD4D2C" w:rsidRPr="00191108">
        <w:rPr>
          <w:rFonts w:cstheme="minorHAnsi"/>
          <w:sz w:val="24"/>
          <w:szCs w:val="24"/>
        </w:rPr>
        <w:t xml:space="preserve"> audit is underpinned by </w:t>
      </w:r>
      <w:r w:rsidR="00E454C3" w:rsidRPr="00191108">
        <w:rPr>
          <w:rFonts w:cstheme="minorHAnsi"/>
          <w:sz w:val="24"/>
          <w:szCs w:val="24"/>
        </w:rPr>
        <w:t>High Quality Care for All (DHSC 2008)</w:t>
      </w:r>
      <w:r w:rsidR="00474DC8" w:rsidRPr="00191108">
        <w:rPr>
          <w:rFonts w:cstheme="minorHAnsi"/>
          <w:sz w:val="24"/>
          <w:szCs w:val="24"/>
        </w:rPr>
        <w:t xml:space="preserve"> and </w:t>
      </w:r>
      <w:r w:rsidR="002D5848" w:rsidRPr="00191108">
        <w:rPr>
          <w:rFonts w:cstheme="minorHAnsi"/>
          <w:sz w:val="24"/>
          <w:szCs w:val="24"/>
        </w:rPr>
        <w:t>provid</w:t>
      </w:r>
      <w:r w:rsidR="00474DC8" w:rsidRPr="00191108">
        <w:rPr>
          <w:rFonts w:cstheme="minorHAnsi"/>
          <w:sz w:val="24"/>
          <w:szCs w:val="24"/>
        </w:rPr>
        <w:t>es</w:t>
      </w:r>
      <w:r w:rsidR="002D5848" w:rsidRPr="00191108">
        <w:rPr>
          <w:rFonts w:cstheme="minorHAnsi"/>
          <w:sz w:val="24"/>
          <w:szCs w:val="24"/>
        </w:rPr>
        <w:t xml:space="preserve"> evidence for</w:t>
      </w:r>
      <w:r w:rsidR="00E454C3" w:rsidRPr="00191108">
        <w:rPr>
          <w:rFonts w:cstheme="minorHAnsi"/>
          <w:sz w:val="24"/>
          <w:szCs w:val="24"/>
        </w:rPr>
        <w:t xml:space="preserve"> on-going inspection from the independent regulator Care Quality Commission (CQC) to ensure services are effective. Audit is further reinforced by</w:t>
      </w:r>
      <w:r w:rsidRPr="00191108">
        <w:rPr>
          <w:rFonts w:cstheme="minorHAnsi"/>
          <w:sz w:val="24"/>
          <w:szCs w:val="24"/>
        </w:rPr>
        <w:t xml:space="preserve"> NICE (National Institute for Clinical Excellence) (2021) pathway: Peoples Experience in Adult Social Care Services, </w:t>
      </w:r>
      <w:r w:rsidR="00E454C3" w:rsidRPr="00191108">
        <w:rPr>
          <w:rFonts w:cstheme="minorHAnsi"/>
          <w:sz w:val="24"/>
          <w:szCs w:val="24"/>
        </w:rPr>
        <w:t xml:space="preserve">which </w:t>
      </w:r>
      <w:r w:rsidRPr="00191108">
        <w:rPr>
          <w:rFonts w:cstheme="minorHAnsi"/>
          <w:sz w:val="24"/>
          <w:szCs w:val="24"/>
        </w:rPr>
        <w:t>suggest</w:t>
      </w:r>
      <w:r w:rsidR="00E454C3" w:rsidRPr="00191108">
        <w:rPr>
          <w:rFonts w:cstheme="minorHAnsi"/>
          <w:sz w:val="24"/>
          <w:szCs w:val="24"/>
        </w:rPr>
        <w:t>s</w:t>
      </w:r>
      <w:r w:rsidRPr="00191108">
        <w:rPr>
          <w:rFonts w:cstheme="minorHAnsi"/>
          <w:sz w:val="24"/>
          <w:szCs w:val="24"/>
        </w:rPr>
        <w:t xml:space="preserve"> practitioners learn through audit and service evaluation.</w:t>
      </w:r>
      <w:r w:rsidR="00555F98" w:rsidRPr="00191108">
        <w:rPr>
          <w:rFonts w:cstheme="minorHAnsi"/>
          <w:sz w:val="24"/>
          <w:szCs w:val="24"/>
        </w:rPr>
        <w:t xml:space="preserve"> </w:t>
      </w:r>
    </w:p>
    <w:p w14:paraId="29A050F9" w14:textId="2462FD1A" w:rsidR="00FB0CE4" w:rsidRPr="00191108" w:rsidRDefault="00755774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>Therefore, t</w:t>
      </w:r>
      <w:r w:rsidR="00FB0CE4" w:rsidRPr="00191108">
        <w:rPr>
          <w:rFonts w:cstheme="minorHAnsi"/>
          <w:sz w:val="24"/>
          <w:szCs w:val="24"/>
          <w:shd w:val="clear" w:color="auto" w:fill="FFFFFF"/>
        </w:rPr>
        <w:t>he aim of thi</w:t>
      </w:r>
      <w:r w:rsidR="00353DB8" w:rsidRPr="00191108">
        <w:rPr>
          <w:rFonts w:cstheme="minorHAnsi"/>
          <w:sz w:val="24"/>
          <w:szCs w:val="24"/>
          <w:shd w:val="clear" w:color="auto" w:fill="FFFFFF"/>
        </w:rPr>
        <w:t>s</w:t>
      </w:r>
      <w:r w:rsidR="00701B03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B0CE4" w:rsidRPr="00191108">
        <w:rPr>
          <w:rFonts w:cstheme="minorHAnsi"/>
          <w:sz w:val="24"/>
          <w:szCs w:val="24"/>
          <w:shd w:val="clear" w:color="auto" w:fill="FFFFFF"/>
        </w:rPr>
        <w:t xml:space="preserve">audit </w:t>
      </w:r>
      <w:r w:rsidR="000F3A69" w:rsidRPr="00191108">
        <w:rPr>
          <w:rFonts w:cstheme="minorHAnsi"/>
          <w:sz w:val="24"/>
          <w:szCs w:val="24"/>
          <w:shd w:val="clear" w:color="auto" w:fill="FFFFFF"/>
        </w:rPr>
        <w:t>was</w:t>
      </w:r>
      <w:r w:rsidR="00FB0CE4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8045A" w:rsidRPr="00191108">
        <w:rPr>
          <w:rFonts w:cstheme="minorHAnsi"/>
          <w:sz w:val="24"/>
          <w:szCs w:val="24"/>
          <w:shd w:val="clear" w:color="auto" w:fill="FFFFFF"/>
        </w:rPr>
        <w:t>t</w:t>
      </w:r>
      <w:r w:rsidR="00FB0CE4" w:rsidRPr="00191108">
        <w:rPr>
          <w:rFonts w:cstheme="minorHAnsi"/>
          <w:sz w:val="24"/>
          <w:szCs w:val="24"/>
          <w:shd w:val="clear" w:color="auto" w:fill="FFFFFF"/>
        </w:rPr>
        <w:t>o demonstrate occupational therapy outcomes in adult social care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 xml:space="preserve"> through use of the Therapy Outcome Measure </w:t>
      </w:r>
      <w:r w:rsidR="00701B03" w:rsidRPr="00191108">
        <w:rPr>
          <w:rFonts w:cstheme="minorHAnsi"/>
          <w:sz w:val="24"/>
          <w:szCs w:val="24"/>
          <w:shd w:val="clear" w:color="auto" w:fill="FFFFFF"/>
        </w:rPr>
        <w:t>f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>indings</w:t>
      </w:r>
      <w:r w:rsidR="00FB0CE4" w:rsidRPr="00191108">
        <w:rPr>
          <w:rFonts w:cstheme="minorHAnsi"/>
          <w:sz w:val="24"/>
          <w:szCs w:val="24"/>
          <w:shd w:val="clear" w:color="auto" w:fill="FFFFFF"/>
        </w:rPr>
        <w:t xml:space="preserve">. The objective </w:t>
      </w:r>
      <w:r w:rsidR="000F3A69" w:rsidRPr="00191108">
        <w:rPr>
          <w:rFonts w:cstheme="minorHAnsi"/>
          <w:sz w:val="24"/>
          <w:szCs w:val="24"/>
          <w:shd w:val="clear" w:color="auto" w:fill="FFFFFF"/>
        </w:rPr>
        <w:t>wa</w:t>
      </w:r>
      <w:r w:rsidR="00A60B6B" w:rsidRPr="00191108">
        <w:rPr>
          <w:rFonts w:cstheme="minorHAnsi"/>
          <w:sz w:val="24"/>
          <w:szCs w:val="24"/>
          <w:shd w:val="clear" w:color="auto" w:fill="FFFFFF"/>
        </w:rPr>
        <w:t>s</w:t>
      </w:r>
      <w:r w:rsidR="00FB0CE4" w:rsidRPr="00191108">
        <w:rPr>
          <w:rFonts w:cstheme="minorHAnsi"/>
          <w:sz w:val="24"/>
          <w:szCs w:val="24"/>
          <w:shd w:val="clear" w:color="auto" w:fill="FFFFFF"/>
        </w:rPr>
        <w:t xml:space="preserve"> to </w:t>
      </w:r>
      <w:r w:rsidR="00E251FD" w:rsidRPr="00191108">
        <w:rPr>
          <w:rFonts w:cstheme="minorHAnsi"/>
          <w:sz w:val="24"/>
          <w:szCs w:val="24"/>
          <w:shd w:val="clear" w:color="auto" w:fill="FFFFFF"/>
        </w:rPr>
        <w:t>determine if</w:t>
      </w:r>
      <w:r w:rsidR="00FB0CE4" w:rsidRPr="00191108">
        <w:rPr>
          <w:rFonts w:cstheme="minorHAnsi"/>
          <w:sz w:val="24"/>
          <w:szCs w:val="24"/>
          <w:shd w:val="clear" w:color="auto" w:fill="FFFFFF"/>
        </w:rPr>
        <w:t xml:space="preserve"> clients improved following occupational therapy intervention in the four </w:t>
      </w:r>
      <w:r w:rsidR="00A60B6B" w:rsidRPr="00191108">
        <w:rPr>
          <w:rFonts w:cstheme="minorHAnsi"/>
          <w:sz w:val="24"/>
          <w:szCs w:val="24"/>
          <w:shd w:val="clear" w:color="auto" w:fill="FFFFFF"/>
        </w:rPr>
        <w:t>TOM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B0CE4" w:rsidRPr="00191108">
        <w:rPr>
          <w:rFonts w:cstheme="minorHAnsi"/>
          <w:sz w:val="24"/>
          <w:szCs w:val="24"/>
          <w:shd w:val="clear" w:color="auto" w:fill="FFFFFF"/>
        </w:rPr>
        <w:t xml:space="preserve">domains of impairment, activity, </w:t>
      </w:r>
      <w:proofErr w:type="gramStart"/>
      <w:r w:rsidR="00FB0CE4" w:rsidRPr="00191108">
        <w:rPr>
          <w:rFonts w:cstheme="minorHAnsi"/>
          <w:sz w:val="24"/>
          <w:szCs w:val="24"/>
          <w:shd w:val="clear" w:color="auto" w:fill="FFFFFF"/>
        </w:rPr>
        <w:t>participation</w:t>
      </w:r>
      <w:proofErr w:type="gramEnd"/>
      <w:r w:rsidR="00FB0CE4" w:rsidRPr="00191108">
        <w:rPr>
          <w:rFonts w:cstheme="minorHAnsi"/>
          <w:sz w:val="24"/>
          <w:szCs w:val="24"/>
          <w:shd w:val="clear" w:color="auto" w:fill="FFFFFF"/>
        </w:rPr>
        <w:t xml:space="preserve"> and wellbeing/carer wellbeing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 xml:space="preserve"> from </w:t>
      </w:r>
      <w:r w:rsidR="00353DB8" w:rsidRPr="00191108">
        <w:rPr>
          <w:rFonts w:cstheme="minorHAnsi"/>
          <w:sz w:val="24"/>
          <w:szCs w:val="24"/>
          <w:shd w:val="clear" w:color="auto" w:fill="FFFFFF"/>
        </w:rPr>
        <w:t>seventy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 xml:space="preserve"> TOM cases</w:t>
      </w:r>
      <w:r w:rsidR="00FB0CE4" w:rsidRPr="00191108">
        <w:rPr>
          <w:rFonts w:cstheme="minorHAnsi"/>
          <w:sz w:val="24"/>
          <w:szCs w:val="24"/>
          <w:shd w:val="clear" w:color="auto" w:fill="FFFFFF"/>
        </w:rPr>
        <w:t>.</w:t>
      </w:r>
    </w:p>
    <w:p w14:paraId="078933E6" w14:textId="4D1EBF9D" w:rsidR="008068BF" w:rsidRPr="00191108" w:rsidRDefault="008068BF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91108">
        <w:rPr>
          <w:rFonts w:cstheme="minorHAnsi"/>
          <w:i/>
          <w:iCs/>
          <w:sz w:val="24"/>
          <w:szCs w:val="24"/>
          <w:shd w:val="clear" w:color="auto" w:fill="FFFFFF"/>
        </w:rPr>
        <w:t>Ethical Considerations</w:t>
      </w:r>
    </w:p>
    <w:p w14:paraId="411796BD" w14:textId="5A95D067" w:rsidR="00516819" w:rsidRPr="00191108" w:rsidRDefault="008068BF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 xml:space="preserve">Ethical approval was not required for this internal NHS Trust audit. </w:t>
      </w:r>
      <w:r w:rsidR="00B32AD8" w:rsidRPr="00191108">
        <w:rPr>
          <w:rFonts w:cstheme="minorHAnsi"/>
          <w:sz w:val="24"/>
          <w:szCs w:val="24"/>
        </w:rPr>
        <w:t xml:space="preserve">Specialist services manager approval for the audit was obtained and a clinical audit registration form </w:t>
      </w:r>
      <w:r w:rsidR="00474DC8" w:rsidRPr="00191108">
        <w:rPr>
          <w:rFonts w:cstheme="minorHAnsi"/>
          <w:sz w:val="24"/>
          <w:szCs w:val="24"/>
        </w:rPr>
        <w:t xml:space="preserve">completed for </w:t>
      </w:r>
      <w:r w:rsidR="00B32AD8" w:rsidRPr="00191108">
        <w:rPr>
          <w:rFonts w:cstheme="minorHAnsi"/>
          <w:sz w:val="24"/>
          <w:szCs w:val="24"/>
        </w:rPr>
        <w:t xml:space="preserve">the quality and patient safety audit lead for the Trust prior to commencement. The registration form was processed under a local scoring system to ensure high quality. The audit was approved </w:t>
      </w:r>
      <w:r w:rsidR="00433FBA" w:rsidRPr="00191108">
        <w:rPr>
          <w:rFonts w:cstheme="minorHAnsi"/>
          <w:sz w:val="24"/>
          <w:szCs w:val="24"/>
        </w:rPr>
        <w:t xml:space="preserve">as a quality improvement initiative </w:t>
      </w:r>
      <w:r w:rsidR="00B32AD8" w:rsidRPr="00191108">
        <w:rPr>
          <w:rFonts w:cstheme="minorHAnsi"/>
          <w:sz w:val="24"/>
          <w:szCs w:val="24"/>
        </w:rPr>
        <w:t xml:space="preserve">as </w:t>
      </w:r>
      <w:r w:rsidR="00701B03" w:rsidRPr="00191108">
        <w:rPr>
          <w:rFonts w:cstheme="minorHAnsi"/>
          <w:sz w:val="24"/>
          <w:szCs w:val="24"/>
        </w:rPr>
        <w:t xml:space="preserve">the </w:t>
      </w:r>
      <w:r w:rsidR="00882775" w:rsidRPr="00191108">
        <w:rPr>
          <w:rFonts w:cstheme="minorHAnsi"/>
          <w:sz w:val="24"/>
          <w:szCs w:val="24"/>
        </w:rPr>
        <w:t>TOM</w:t>
      </w:r>
      <w:r w:rsidR="00B32AD8" w:rsidRPr="00191108">
        <w:rPr>
          <w:rFonts w:cstheme="minorHAnsi"/>
          <w:sz w:val="24"/>
          <w:szCs w:val="24"/>
        </w:rPr>
        <w:t xml:space="preserve"> was new to the service</w:t>
      </w:r>
      <w:r w:rsidR="00353DB8" w:rsidRPr="00191108">
        <w:rPr>
          <w:rFonts w:cstheme="minorHAnsi"/>
          <w:sz w:val="24"/>
          <w:szCs w:val="24"/>
        </w:rPr>
        <w:t xml:space="preserve">, and re-auditing could be </w:t>
      </w:r>
      <w:r w:rsidR="00FD57C6" w:rsidRPr="00191108">
        <w:rPr>
          <w:rFonts w:cstheme="minorHAnsi"/>
          <w:sz w:val="24"/>
          <w:szCs w:val="24"/>
        </w:rPr>
        <w:t>implemented</w:t>
      </w:r>
      <w:r w:rsidR="00433FBA" w:rsidRPr="00191108">
        <w:rPr>
          <w:rFonts w:cstheme="minorHAnsi"/>
          <w:sz w:val="24"/>
          <w:szCs w:val="24"/>
        </w:rPr>
        <w:t>.</w:t>
      </w:r>
    </w:p>
    <w:p w14:paraId="1CBB3AAE" w14:textId="23748DF8" w:rsidR="00CD0E83" w:rsidRPr="00191108" w:rsidRDefault="00CD0E83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i/>
          <w:iCs/>
          <w:sz w:val="24"/>
          <w:szCs w:val="24"/>
        </w:rPr>
        <w:t>Sampling</w:t>
      </w:r>
    </w:p>
    <w:p w14:paraId="4B0451BC" w14:textId="4F964D93" w:rsidR="006B7B53" w:rsidRPr="00191108" w:rsidRDefault="00421580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 xml:space="preserve">All </w:t>
      </w:r>
      <w:r w:rsidR="00A81251" w:rsidRPr="00191108">
        <w:rPr>
          <w:rFonts w:cstheme="minorHAnsi"/>
          <w:sz w:val="24"/>
          <w:szCs w:val="24"/>
          <w:shd w:val="clear" w:color="auto" w:fill="FFFFFF"/>
        </w:rPr>
        <w:t>client</w:t>
      </w:r>
      <w:r w:rsidR="00E251FD" w:rsidRPr="00191108">
        <w:rPr>
          <w:rFonts w:cstheme="minorHAnsi"/>
          <w:sz w:val="24"/>
          <w:szCs w:val="24"/>
          <w:shd w:val="clear" w:color="auto" w:fill="FFFFFF"/>
        </w:rPr>
        <w:t>s</w:t>
      </w:r>
      <w:r w:rsidR="00A81251" w:rsidRPr="00191108">
        <w:rPr>
          <w:rFonts w:cstheme="minorHAnsi"/>
          <w:sz w:val="24"/>
          <w:szCs w:val="24"/>
          <w:shd w:val="clear" w:color="auto" w:fill="FFFFFF"/>
        </w:rPr>
        <w:t xml:space="preserve"> seen by occupational therapy</w:t>
      </w:r>
      <w:r w:rsidR="00E251FD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81251" w:rsidRPr="00191108">
        <w:rPr>
          <w:rFonts w:cstheme="minorHAnsi"/>
          <w:sz w:val="24"/>
          <w:szCs w:val="24"/>
          <w:shd w:val="clear" w:color="auto" w:fill="FFFFFF"/>
        </w:rPr>
        <w:t>teams</w:t>
      </w:r>
      <w:r w:rsidR="00316248" w:rsidRPr="00191108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B0037B" w:rsidRPr="00191108">
        <w:rPr>
          <w:rFonts w:cstheme="minorHAnsi"/>
          <w:sz w:val="24"/>
          <w:szCs w:val="24"/>
        </w:rPr>
        <w:t>major adaptations, short term assessment and reablement (STAR), Wirral independence service (</w:t>
      </w:r>
      <w:r w:rsidR="00FD57C6" w:rsidRPr="00191108">
        <w:rPr>
          <w:rFonts w:cstheme="minorHAnsi"/>
          <w:sz w:val="24"/>
          <w:szCs w:val="24"/>
        </w:rPr>
        <w:t>e</w:t>
      </w:r>
      <w:r w:rsidR="00B0037B" w:rsidRPr="00191108">
        <w:rPr>
          <w:rFonts w:cstheme="minorHAnsi"/>
          <w:sz w:val="24"/>
          <w:szCs w:val="24"/>
        </w:rPr>
        <w:t>quipment), and adult social care team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are defined as the population. </w:t>
      </w:r>
      <w:r w:rsidR="00433FBA" w:rsidRPr="00191108">
        <w:rPr>
          <w:rFonts w:cstheme="minorHAnsi"/>
          <w:sz w:val="24"/>
          <w:szCs w:val="24"/>
          <w:shd w:val="clear" w:color="auto" w:fill="FFFFFF"/>
        </w:rPr>
        <w:t xml:space="preserve">Between 40-70 records could be audited under the Trust </w:t>
      </w:r>
      <w:r w:rsidR="00D70C47" w:rsidRPr="00191108">
        <w:rPr>
          <w:rFonts w:cstheme="minorHAnsi"/>
          <w:sz w:val="24"/>
          <w:szCs w:val="24"/>
          <w:shd w:val="clear" w:color="auto" w:fill="FFFFFF"/>
        </w:rPr>
        <w:t>q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 xml:space="preserve">uality and </w:t>
      </w:r>
      <w:r w:rsidR="00D70C47" w:rsidRPr="00191108">
        <w:rPr>
          <w:rFonts w:cstheme="minorHAnsi"/>
          <w:sz w:val="24"/>
          <w:szCs w:val="24"/>
          <w:shd w:val="clear" w:color="auto" w:fill="FFFFFF"/>
        </w:rPr>
        <w:t>g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 xml:space="preserve">overnance </w:t>
      </w:r>
      <w:r w:rsidR="00D70C47" w:rsidRPr="00191108">
        <w:rPr>
          <w:rFonts w:cstheme="minorHAnsi"/>
          <w:sz w:val="24"/>
          <w:szCs w:val="24"/>
          <w:shd w:val="clear" w:color="auto" w:fill="FFFFFF"/>
        </w:rPr>
        <w:t>s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 xml:space="preserve">ervice. </w:t>
      </w:r>
      <w:r w:rsidRPr="00191108">
        <w:rPr>
          <w:rFonts w:cstheme="minorHAnsi"/>
          <w:sz w:val="24"/>
          <w:szCs w:val="24"/>
          <w:shd w:val="clear" w:color="auto" w:fill="FFFFFF"/>
        </w:rPr>
        <w:t>The audit purpos</w:t>
      </w:r>
      <w:r w:rsidR="00007D59" w:rsidRPr="00191108">
        <w:rPr>
          <w:rFonts w:cstheme="minorHAnsi"/>
          <w:sz w:val="24"/>
          <w:szCs w:val="24"/>
          <w:shd w:val="clear" w:color="auto" w:fill="FFFFFF"/>
        </w:rPr>
        <w:t>ively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sampled </w:t>
      </w:r>
      <w:r w:rsidR="00A81251" w:rsidRPr="00191108">
        <w:rPr>
          <w:rFonts w:cstheme="minorHAnsi"/>
          <w:sz w:val="24"/>
          <w:szCs w:val="24"/>
        </w:rPr>
        <w:t xml:space="preserve">70 clients </w:t>
      </w:r>
      <w:r w:rsidR="00882775" w:rsidRPr="00191108">
        <w:rPr>
          <w:rFonts w:cstheme="minorHAnsi"/>
          <w:sz w:val="24"/>
          <w:szCs w:val="24"/>
        </w:rPr>
        <w:t>from October</w:t>
      </w:r>
      <w:r w:rsidR="00DB00F3" w:rsidRPr="00191108">
        <w:rPr>
          <w:rFonts w:cstheme="minorHAnsi"/>
          <w:sz w:val="24"/>
          <w:szCs w:val="24"/>
        </w:rPr>
        <w:t>/September</w:t>
      </w:r>
      <w:r w:rsidR="00882775" w:rsidRPr="00191108">
        <w:rPr>
          <w:rFonts w:cstheme="minorHAnsi"/>
          <w:sz w:val="24"/>
          <w:szCs w:val="24"/>
        </w:rPr>
        <w:t xml:space="preserve"> 2020 </w:t>
      </w:r>
      <w:r w:rsidRPr="00191108">
        <w:rPr>
          <w:rFonts w:cstheme="minorHAnsi"/>
          <w:sz w:val="24"/>
          <w:szCs w:val="24"/>
        </w:rPr>
        <w:t xml:space="preserve">with </w:t>
      </w:r>
      <w:r w:rsidR="00B0037B" w:rsidRPr="00191108">
        <w:rPr>
          <w:rFonts w:cstheme="minorHAnsi"/>
          <w:sz w:val="24"/>
          <w:szCs w:val="24"/>
        </w:rPr>
        <w:t xml:space="preserve">finalised </w:t>
      </w:r>
      <w:r w:rsidR="0014247E" w:rsidRPr="00191108">
        <w:rPr>
          <w:rFonts w:cstheme="minorHAnsi"/>
          <w:sz w:val="24"/>
          <w:szCs w:val="24"/>
        </w:rPr>
        <w:t>TOM</w:t>
      </w:r>
      <w:r w:rsidRPr="00191108">
        <w:rPr>
          <w:rFonts w:cstheme="minorHAnsi"/>
          <w:sz w:val="24"/>
          <w:szCs w:val="24"/>
        </w:rPr>
        <w:t xml:space="preserve"> scores included in the sample</w:t>
      </w:r>
      <w:r w:rsidR="00A81251" w:rsidRPr="00191108">
        <w:rPr>
          <w:rFonts w:cstheme="minorHAnsi"/>
          <w:sz w:val="24"/>
          <w:szCs w:val="24"/>
        </w:rPr>
        <w:t xml:space="preserve">. </w:t>
      </w:r>
      <w:r w:rsidRPr="00191108">
        <w:rPr>
          <w:rFonts w:cstheme="minorHAnsi"/>
          <w:sz w:val="24"/>
          <w:szCs w:val="24"/>
        </w:rPr>
        <w:t xml:space="preserve">Exclusion criteria </w:t>
      </w:r>
      <w:r w:rsidR="00DB00F3" w:rsidRPr="00191108">
        <w:rPr>
          <w:rFonts w:cstheme="minorHAnsi"/>
          <w:sz w:val="24"/>
          <w:szCs w:val="24"/>
        </w:rPr>
        <w:lastRenderedPageBreak/>
        <w:t>comprised</w:t>
      </w:r>
      <w:r w:rsidRPr="00191108">
        <w:rPr>
          <w:rFonts w:cstheme="minorHAnsi"/>
          <w:sz w:val="24"/>
          <w:szCs w:val="24"/>
        </w:rPr>
        <w:t xml:space="preserve"> clients seen under the Independent Mobility Assessor service (blue badge), which was delivered through Wirral </w:t>
      </w:r>
      <w:r w:rsidR="00D70C47" w:rsidRPr="00191108">
        <w:rPr>
          <w:rFonts w:cstheme="minorHAnsi"/>
          <w:sz w:val="24"/>
          <w:szCs w:val="24"/>
        </w:rPr>
        <w:t>c</w:t>
      </w:r>
      <w:r w:rsidRPr="00191108">
        <w:rPr>
          <w:rFonts w:cstheme="minorHAnsi"/>
          <w:sz w:val="24"/>
          <w:szCs w:val="24"/>
        </w:rPr>
        <w:t>ouncil</w:t>
      </w:r>
      <w:r w:rsidR="00DB00F3" w:rsidRPr="00191108">
        <w:rPr>
          <w:rFonts w:cstheme="minorHAnsi"/>
          <w:sz w:val="24"/>
          <w:szCs w:val="24"/>
        </w:rPr>
        <w:t>,</w:t>
      </w:r>
      <w:r w:rsidRPr="00191108">
        <w:rPr>
          <w:rFonts w:cstheme="minorHAnsi"/>
          <w:sz w:val="24"/>
          <w:szCs w:val="24"/>
        </w:rPr>
        <w:t xml:space="preserve"> as this service was not running </w:t>
      </w:r>
      <w:r w:rsidR="00882775" w:rsidRPr="00191108">
        <w:rPr>
          <w:rFonts w:cstheme="minorHAnsi"/>
          <w:sz w:val="24"/>
          <w:szCs w:val="24"/>
        </w:rPr>
        <w:t>TOM</w:t>
      </w:r>
      <w:r w:rsidRPr="00191108">
        <w:rPr>
          <w:rFonts w:cstheme="minorHAnsi"/>
          <w:sz w:val="24"/>
          <w:szCs w:val="24"/>
        </w:rPr>
        <w:t xml:space="preserve">. </w:t>
      </w:r>
    </w:p>
    <w:p w14:paraId="1B703B9C" w14:textId="64C5B0C4" w:rsidR="00CD0E83" w:rsidRPr="00191108" w:rsidRDefault="00CD0E83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i/>
          <w:iCs/>
          <w:sz w:val="24"/>
          <w:szCs w:val="24"/>
        </w:rPr>
        <w:t xml:space="preserve">Data Collection </w:t>
      </w:r>
      <w:r w:rsidR="009664D5" w:rsidRPr="00191108">
        <w:rPr>
          <w:rFonts w:cstheme="minorHAnsi"/>
          <w:i/>
          <w:iCs/>
          <w:sz w:val="24"/>
          <w:szCs w:val="24"/>
        </w:rPr>
        <w:t>Method</w:t>
      </w:r>
    </w:p>
    <w:p w14:paraId="085067B6" w14:textId="0645E9EE" w:rsidR="00FB0CE4" w:rsidRPr="00191108" w:rsidRDefault="002138B3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The </w:t>
      </w:r>
      <w:r w:rsidR="002D5848" w:rsidRPr="00191108">
        <w:rPr>
          <w:rFonts w:cstheme="minorHAnsi"/>
          <w:sz w:val="24"/>
          <w:szCs w:val="24"/>
        </w:rPr>
        <w:t>T</w:t>
      </w:r>
      <w:r w:rsidRPr="00191108">
        <w:rPr>
          <w:rFonts w:cstheme="minorHAnsi"/>
          <w:sz w:val="24"/>
          <w:szCs w:val="24"/>
        </w:rPr>
        <w:t xml:space="preserve">herapy </w:t>
      </w:r>
      <w:r w:rsidR="002D5848" w:rsidRPr="00191108">
        <w:rPr>
          <w:rFonts w:cstheme="minorHAnsi"/>
          <w:sz w:val="24"/>
          <w:szCs w:val="24"/>
        </w:rPr>
        <w:t>O</w:t>
      </w:r>
      <w:r w:rsidRPr="00191108">
        <w:rPr>
          <w:rFonts w:cstheme="minorHAnsi"/>
          <w:sz w:val="24"/>
          <w:szCs w:val="24"/>
        </w:rPr>
        <w:t xml:space="preserve">utcome </w:t>
      </w:r>
      <w:r w:rsidR="002D5848" w:rsidRPr="00191108">
        <w:rPr>
          <w:rFonts w:cstheme="minorHAnsi"/>
          <w:sz w:val="24"/>
          <w:szCs w:val="24"/>
        </w:rPr>
        <w:t>M</w:t>
      </w:r>
      <w:r w:rsidRPr="00191108">
        <w:rPr>
          <w:rFonts w:cstheme="minorHAnsi"/>
          <w:sz w:val="24"/>
          <w:szCs w:val="24"/>
        </w:rPr>
        <w:t>easure</w:t>
      </w:r>
      <w:r w:rsidR="00FB0CE4" w:rsidRPr="00191108">
        <w:rPr>
          <w:rFonts w:cstheme="minorHAnsi"/>
          <w:sz w:val="24"/>
          <w:szCs w:val="24"/>
        </w:rPr>
        <w:t xml:space="preserve"> records for clients were taken from the adult social care recording system </w:t>
      </w:r>
      <w:r w:rsidRPr="00191108">
        <w:rPr>
          <w:rFonts w:cstheme="minorHAnsi"/>
          <w:sz w:val="24"/>
          <w:szCs w:val="24"/>
        </w:rPr>
        <w:t>“Liquid Logic” (</w:t>
      </w:r>
      <w:hyperlink r:id="rId12" w:history="1">
        <w:r w:rsidRPr="00191108">
          <w:rPr>
            <w:rStyle w:val="Hyperlink"/>
            <w:rFonts w:cstheme="minorHAnsi"/>
            <w:color w:val="auto"/>
            <w:sz w:val="24"/>
            <w:szCs w:val="24"/>
          </w:rPr>
          <w:t>https://www.liquidlogic.co.uk/</w:t>
        </w:r>
      </w:hyperlink>
      <w:r w:rsidRPr="00191108">
        <w:rPr>
          <w:rFonts w:cstheme="minorHAnsi"/>
          <w:sz w:val="24"/>
          <w:szCs w:val="24"/>
        </w:rPr>
        <w:t>)</w:t>
      </w:r>
      <w:r w:rsidR="006C4FC0" w:rsidRPr="00191108">
        <w:rPr>
          <w:rFonts w:cstheme="minorHAnsi"/>
          <w:sz w:val="24"/>
          <w:szCs w:val="24"/>
        </w:rPr>
        <w:t xml:space="preserve"> by </w:t>
      </w:r>
      <w:r w:rsidR="00B0037B" w:rsidRPr="00191108">
        <w:rPr>
          <w:rFonts w:cstheme="minorHAnsi"/>
          <w:sz w:val="24"/>
          <w:szCs w:val="24"/>
        </w:rPr>
        <w:t>a</w:t>
      </w:r>
      <w:r w:rsidR="00FA7495" w:rsidRPr="00191108">
        <w:rPr>
          <w:rFonts w:cstheme="minorHAnsi"/>
          <w:sz w:val="24"/>
          <w:szCs w:val="24"/>
        </w:rPr>
        <w:t xml:space="preserve"> </w:t>
      </w:r>
      <w:r w:rsidR="006C4FC0" w:rsidRPr="00191108">
        <w:rPr>
          <w:rFonts w:cstheme="minorHAnsi"/>
          <w:sz w:val="24"/>
          <w:szCs w:val="24"/>
        </w:rPr>
        <w:t>Trust information analyst.</w:t>
      </w:r>
      <w:r w:rsidRPr="00191108">
        <w:rPr>
          <w:rFonts w:cstheme="minorHAnsi"/>
          <w:sz w:val="24"/>
          <w:szCs w:val="24"/>
        </w:rPr>
        <w:t xml:space="preserve"> </w:t>
      </w:r>
      <w:r w:rsidR="00813093" w:rsidRPr="00191108">
        <w:rPr>
          <w:rFonts w:cstheme="minorHAnsi"/>
          <w:sz w:val="24"/>
          <w:szCs w:val="24"/>
        </w:rPr>
        <w:t>R</w:t>
      </w:r>
      <w:r w:rsidR="006C4FC0" w:rsidRPr="00191108">
        <w:rPr>
          <w:rFonts w:cstheme="minorHAnsi"/>
          <w:sz w:val="24"/>
          <w:szCs w:val="24"/>
        </w:rPr>
        <w:t xml:space="preserve">ecords from </w:t>
      </w:r>
      <w:r w:rsidR="00813093" w:rsidRPr="00191108">
        <w:rPr>
          <w:rFonts w:cstheme="minorHAnsi"/>
          <w:sz w:val="24"/>
          <w:szCs w:val="24"/>
        </w:rPr>
        <w:t>client</w:t>
      </w:r>
      <w:r w:rsidR="00FA7495" w:rsidRPr="00191108">
        <w:rPr>
          <w:rFonts w:cstheme="minorHAnsi"/>
          <w:sz w:val="24"/>
          <w:szCs w:val="24"/>
        </w:rPr>
        <w:t>’s</w:t>
      </w:r>
      <w:r w:rsidR="00813093" w:rsidRPr="00191108">
        <w:rPr>
          <w:rFonts w:cstheme="minorHAnsi"/>
          <w:sz w:val="24"/>
          <w:szCs w:val="24"/>
        </w:rPr>
        <w:t xml:space="preserve"> </w:t>
      </w:r>
      <w:r w:rsidR="006C4FC0" w:rsidRPr="00191108">
        <w:rPr>
          <w:rFonts w:cstheme="minorHAnsi"/>
          <w:sz w:val="24"/>
          <w:szCs w:val="24"/>
        </w:rPr>
        <w:t xml:space="preserve">cases were examined </w:t>
      </w:r>
      <w:r w:rsidR="00FA7495" w:rsidRPr="00191108">
        <w:rPr>
          <w:rFonts w:cstheme="minorHAnsi"/>
          <w:sz w:val="24"/>
          <w:szCs w:val="24"/>
        </w:rPr>
        <w:t xml:space="preserve">from the end of October 2020, working backwards until </w:t>
      </w:r>
      <w:r w:rsidR="00734DA3" w:rsidRPr="00191108">
        <w:rPr>
          <w:rFonts w:cstheme="minorHAnsi"/>
          <w:sz w:val="24"/>
          <w:szCs w:val="24"/>
        </w:rPr>
        <w:t xml:space="preserve">beginning of September 2020 to identify </w:t>
      </w:r>
      <w:r w:rsidR="00FA7495" w:rsidRPr="00191108">
        <w:rPr>
          <w:rFonts w:cstheme="minorHAnsi"/>
          <w:sz w:val="24"/>
          <w:szCs w:val="24"/>
        </w:rPr>
        <w:t>the sample of 70 cases with a</w:t>
      </w:r>
      <w:r w:rsidR="00613997" w:rsidRPr="00191108">
        <w:rPr>
          <w:rFonts w:cstheme="minorHAnsi"/>
          <w:sz w:val="24"/>
          <w:szCs w:val="24"/>
        </w:rPr>
        <w:t>n initial and final</w:t>
      </w:r>
      <w:r w:rsidR="00FA7495" w:rsidRPr="00191108">
        <w:rPr>
          <w:rFonts w:cstheme="minorHAnsi"/>
          <w:sz w:val="24"/>
          <w:szCs w:val="24"/>
        </w:rPr>
        <w:t xml:space="preserve"> </w:t>
      </w:r>
      <w:r w:rsidR="0014247E" w:rsidRPr="00191108">
        <w:rPr>
          <w:rFonts w:cstheme="minorHAnsi"/>
          <w:sz w:val="24"/>
          <w:szCs w:val="24"/>
        </w:rPr>
        <w:t>TOM</w:t>
      </w:r>
      <w:r w:rsidR="00FA7495" w:rsidRPr="00191108">
        <w:rPr>
          <w:rFonts w:cstheme="minorHAnsi"/>
          <w:sz w:val="24"/>
          <w:szCs w:val="24"/>
        </w:rPr>
        <w:t xml:space="preserve"> score.</w:t>
      </w:r>
      <w:r w:rsidR="00813093" w:rsidRPr="00191108">
        <w:rPr>
          <w:rFonts w:cstheme="minorHAnsi"/>
          <w:sz w:val="24"/>
          <w:szCs w:val="24"/>
        </w:rPr>
        <w:t xml:space="preserve"> </w:t>
      </w:r>
      <w:r w:rsidR="0014247E" w:rsidRPr="00191108">
        <w:rPr>
          <w:rFonts w:cstheme="minorHAnsi"/>
          <w:sz w:val="24"/>
          <w:szCs w:val="24"/>
        </w:rPr>
        <w:t>TOM</w:t>
      </w:r>
      <w:r w:rsidR="00813093" w:rsidRPr="00191108">
        <w:rPr>
          <w:rFonts w:cstheme="minorHAnsi"/>
          <w:sz w:val="24"/>
          <w:szCs w:val="24"/>
        </w:rPr>
        <w:t xml:space="preserve"> data</w:t>
      </w:r>
      <w:r w:rsidR="00B0037B" w:rsidRPr="00191108">
        <w:rPr>
          <w:rFonts w:cstheme="minorHAnsi"/>
          <w:sz w:val="24"/>
          <w:szCs w:val="24"/>
        </w:rPr>
        <w:t xml:space="preserve"> was extracted</w:t>
      </w:r>
      <w:r w:rsidR="00813093" w:rsidRPr="00191108">
        <w:rPr>
          <w:rFonts w:cstheme="minorHAnsi"/>
          <w:sz w:val="24"/>
          <w:szCs w:val="24"/>
        </w:rPr>
        <w:t xml:space="preserve"> from the occupational therapy </w:t>
      </w:r>
      <w:r w:rsidR="00FB0CE4" w:rsidRPr="00191108">
        <w:rPr>
          <w:rFonts w:cstheme="minorHAnsi"/>
          <w:sz w:val="24"/>
          <w:szCs w:val="24"/>
        </w:rPr>
        <w:t>activities of daily living, (ADL), manual handling, bed safety and seating assessment documents and a stand</w:t>
      </w:r>
      <w:r w:rsidRPr="00191108">
        <w:rPr>
          <w:rFonts w:cstheme="minorHAnsi"/>
          <w:sz w:val="24"/>
          <w:szCs w:val="24"/>
        </w:rPr>
        <w:t>-</w:t>
      </w:r>
      <w:r w:rsidR="00FB0CE4" w:rsidRPr="00191108">
        <w:rPr>
          <w:rFonts w:cstheme="minorHAnsi"/>
          <w:sz w:val="24"/>
          <w:szCs w:val="24"/>
        </w:rPr>
        <w:t xml:space="preserve">alone </w:t>
      </w:r>
      <w:r w:rsidR="0014247E" w:rsidRPr="00191108">
        <w:rPr>
          <w:rFonts w:cstheme="minorHAnsi"/>
          <w:sz w:val="24"/>
          <w:szCs w:val="24"/>
        </w:rPr>
        <w:t>TOM</w:t>
      </w:r>
      <w:r w:rsidR="00FB0CE4" w:rsidRPr="00191108">
        <w:rPr>
          <w:rFonts w:cstheme="minorHAnsi"/>
          <w:sz w:val="24"/>
          <w:szCs w:val="24"/>
        </w:rPr>
        <w:t xml:space="preserve"> record document. </w:t>
      </w:r>
      <w:r w:rsidR="0014247E" w:rsidRPr="00191108">
        <w:rPr>
          <w:rFonts w:cstheme="minorHAnsi"/>
          <w:sz w:val="24"/>
          <w:szCs w:val="24"/>
        </w:rPr>
        <w:t>TOM</w:t>
      </w:r>
      <w:r w:rsidR="009D36B9" w:rsidRPr="00191108">
        <w:rPr>
          <w:rFonts w:cstheme="minorHAnsi"/>
          <w:sz w:val="24"/>
          <w:szCs w:val="24"/>
        </w:rPr>
        <w:t xml:space="preserve"> data was placed onto </w:t>
      </w:r>
      <w:r w:rsidR="00E065AC" w:rsidRPr="00191108">
        <w:rPr>
          <w:rFonts w:cstheme="minorHAnsi"/>
          <w:sz w:val="24"/>
          <w:szCs w:val="24"/>
        </w:rPr>
        <w:t xml:space="preserve">a </w:t>
      </w:r>
      <w:r w:rsidR="00284198" w:rsidRPr="00191108">
        <w:rPr>
          <w:rFonts w:cstheme="minorHAnsi"/>
          <w:sz w:val="24"/>
          <w:szCs w:val="24"/>
        </w:rPr>
        <w:t>excel</w:t>
      </w:r>
      <w:r w:rsidR="009D36B9" w:rsidRPr="00191108">
        <w:rPr>
          <w:rFonts w:cstheme="minorHAnsi"/>
          <w:sz w:val="24"/>
          <w:szCs w:val="24"/>
        </w:rPr>
        <w:t xml:space="preserve"> spreadsheet </w:t>
      </w:r>
      <w:r w:rsidR="00E065AC" w:rsidRPr="00191108">
        <w:rPr>
          <w:rFonts w:cstheme="minorHAnsi"/>
          <w:sz w:val="24"/>
          <w:szCs w:val="24"/>
        </w:rPr>
        <w:t>for analysis.</w:t>
      </w:r>
    </w:p>
    <w:p w14:paraId="0F6FEC9D" w14:textId="1BEEE405" w:rsidR="002138B3" w:rsidRPr="00191108" w:rsidRDefault="002138B3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A </w:t>
      </w:r>
      <w:r w:rsidR="00E065AC" w:rsidRPr="00191108">
        <w:rPr>
          <w:rFonts w:cstheme="minorHAnsi"/>
          <w:sz w:val="24"/>
          <w:szCs w:val="24"/>
        </w:rPr>
        <w:t xml:space="preserve">Trust </w:t>
      </w:r>
      <w:r w:rsidRPr="00191108">
        <w:rPr>
          <w:rFonts w:cstheme="minorHAnsi"/>
          <w:sz w:val="24"/>
          <w:szCs w:val="24"/>
        </w:rPr>
        <w:t xml:space="preserve">audit report was produced by the quality review team and finalised by </w:t>
      </w:r>
      <w:r w:rsidR="00882775" w:rsidRPr="00191108">
        <w:rPr>
          <w:rFonts w:cstheme="minorHAnsi"/>
          <w:sz w:val="24"/>
          <w:szCs w:val="24"/>
        </w:rPr>
        <w:t>the author</w:t>
      </w:r>
      <w:r w:rsidRPr="00191108">
        <w:rPr>
          <w:rFonts w:cstheme="minorHAnsi"/>
          <w:sz w:val="24"/>
          <w:szCs w:val="24"/>
        </w:rPr>
        <w:t>.</w:t>
      </w:r>
    </w:p>
    <w:p w14:paraId="4522AD1B" w14:textId="36AE4BCA" w:rsidR="00CD0E83" w:rsidRPr="00191108" w:rsidRDefault="00CD0E83" w:rsidP="0087262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91108">
        <w:rPr>
          <w:rFonts w:cstheme="minorHAnsi"/>
          <w:b/>
          <w:bCs/>
          <w:sz w:val="24"/>
          <w:szCs w:val="24"/>
        </w:rPr>
        <w:t>Results</w:t>
      </w:r>
    </w:p>
    <w:p w14:paraId="0DCF7DA6" w14:textId="7D8CA9AD" w:rsidR="00A84D16" w:rsidRDefault="00267DEC" w:rsidP="00A84D16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Demographic </w:t>
      </w:r>
      <w:r w:rsidR="00EC4409" w:rsidRPr="00191108">
        <w:rPr>
          <w:rFonts w:cstheme="minorHAnsi"/>
          <w:sz w:val="24"/>
          <w:szCs w:val="24"/>
        </w:rPr>
        <w:t>r</w:t>
      </w:r>
      <w:r w:rsidR="00A84D16" w:rsidRPr="00191108">
        <w:rPr>
          <w:rFonts w:cstheme="minorHAnsi"/>
          <w:sz w:val="24"/>
          <w:szCs w:val="24"/>
        </w:rPr>
        <w:t xml:space="preserve">esults </w:t>
      </w:r>
      <w:r w:rsidR="00EC4409" w:rsidRPr="00191108">
        <w:rPr>
          <w:rFonts w:cstheme="minorHAnsi"/>
          <w:sz w:val="24"/>
          <w:szCs w:val="24"/>
        </w:rPr>
        <w:t>by sex show</w:t>
      </w:r>
      <w:r w:rsidR="00A84D16" w:rsidRPr="00191108">
        <w:rPr>
          <w:rFonts w:cstheme="minorHAnsi"/>
          <w:sz w:val="24"/>
          <w:szCs w:val="24"/>
        </w:rPr>
        <w:t xml:space="preserve"> 46% (n=32) male and 54% (n=38) female. The range of medical conditions found is noted in Table </w:t>
      </w:r>
      <w:r w:rsidR="00D33F28" w:rsidRPr="00191108">
        <w:rPr>
          <w:rFonts w:cstheme="minorHAnsi"/>
          <w:sz w:val="24"/>
          <w:szCs w:val="24"/>
        </w:rPr>
        <w:t>2</w:t>
      </w:r>
      <w:r w:rsidR="00A84D16" w:rsidRPr="00191108">
        <w:rPr>
          <w:rFonts w:cstheme="minorHAnsi"/>
          <w:sz w:val="24"/>
          <w:szCs w:val="24"/>
        </w:rPr>
        <w:t xml:space="preserve">; over half of sample had a </w:t>
      </w:r>
      <w:r w:rsidR="00613997" w:rsidRPr="00191108">
        <w:rPr>
          <w:rFonts w:cstheme="minorHAnsi"/>
          <w:sz w:val="24"/>
          <w:szCs w:val="24"/>
        </w:rPr>
        <w:t>m</w:t>
      </w:r>
      <w:r w:rsidR="00EC4409" w:rsidRPr="00191108">
        <w:rPr>
          <w:rFonts w:cstheme="minorHAnsi"/>
          <w:sz w:val="24"/>
          <w:szCs w:val="24"/>
        </w:rPr>
        <w:t>usculoskeletal</w:t>
      </w:r>
      <w:r w:rsidR="00A84D16" w:rsidRPr="00191108">
        <w:rPr>
          <w:rFonts w:cstheme="minorHAnsi"/>
          <w:sz w:val="24"/>
          <w:szCs w:val="24"/>
        </w:rPr>
        <w:t xml:space="preserve"> condition, plus over one third had</w:t>
      </w:r>
      <w:r w:rsidR="005B4E1F" w:rsidRPr="00191108">
        <w:rPr>
          <w:rFonts w:cstheme="minorHAnsi"/>
          <w:sz w:val="24"/>
          <w:szCs w:val="24"/>
        </w:rPr>
        <w:t xml:space="preserve"> </w:t>
      </w:r>
      <w:r w:rsidR="00A84D16" w:rsidRPr="00191108">
        <w:rPr>
          <w:rFonts w:cstheme="minorHAnsi"/>
          <w:sz w:val="24"/>
          <w:szCs w:val="24"/>
        </w:rPr>
        <w:t>a neurological condition</w:t>
      </w:r>
      <w:r w:rsidR="00EC4409" w:rsidRPr="00191108">
        <w:rPr>
          <w:rFonts w:cstheme="minorHAnsi"/>
          <w:sz w:val="24"/>
          <w:szCs w:val="24"/>
        </w:rPr>
        <w:t xml:space="preserve"> and </w:t>
      </w:r>
      <w:r w:rsidR="005B4E1F" w:rsidRPr="00191108">
        <w:rPr>
          <w:rFonts w:cstheme="minorHAnsi"/>
          <w:sz w:val="24"/>
          <w:szCs w:val="24"/>
        </w:rPr>
        <w:t xml:space="preserve">60% of clients had multiple medical conditions. 3% had an unclear diagnosis or no condition. </w:t>
      </w:r>
      <w:r w:rsidR="00A84D16" w:rsidRPr="00191108">
        <w:rPr>
          <w:rFonts w:cstheme="minorHAnsi"/>
          <w:sz w:val="24"/>
          <w:szCs w:val="24"/>
        </w:rPr>
        <w:t xml:space="preserve">Age distribution is shown in table </w:t>
      </w:r>
      <w:r w:rsidR="00D33F28" w:rsidRPr="00191108">
        <w:rPr>
          <w:rFonts w:cstheme="minorHAnsi"/>
          <w:sz w:val="24"/>
          <w:szCs w:val="24"/>
        </w:rPr>
        <w:t>3</w:t>
      </w:r>
      <w:r w:rsidR="005B4E1F" w:rsidRPr="00191108">
        <w:rPr>
          <w:rFonts w:cstheme="minorHAnsi"/>
          <w:sz w:val="24"/>
          <w:szCs w:val="24"/>
        </w:rPr>
        <w:t xml:space="preserve">; </w:t>
      </w:r>
      <w:r w:rsidR="00A84D16" w:rsidRPr="00191108">
        <w:rPr>
          <w:rFonts w:cstheme="minorHAnsi"/>
          <w:sz w:val="24"/>
          <w:szCs w:val="24"/>
        </w:rPr>
        <w:t>70% of the sample were over age 61 and a quarter were over age 81</w:t>
      </w:r>
      <w:r w:rsidR="005B4E1F" w:rsidRPr="00191108">
        <w:rPr>
          <w:rFonts w:cstheme="minorHAnsi"/>
          <w:sz w:val="24"/>
          <w:szCs w:val="24"/>
        </w:rPr>
        <w:t xml:space="preserve">. </w:t>
      </w:r>
      <w:r w:rsidR="00EC4409" w:rsidRPr="00191108">
        <w:rPr>
          <w:rFonts w:cstheme="minorHAnsi"/>
          <w:sz w:val="24"/>
          <w:szCs w:val="24"/>
        </w:rPr>
        <w:t>Figure 1</w:t>
      </w:r>
      <w:r w:rsidR="005B4E1F" w:rsidRPr="00191108">
        <w:rPr>
          <w:rFonts w:cstheme="minorHAnsi"/>
          <w:sz w:val="24"/>
          <w:szCs w:val="24"/>
        </w:rPr>
        <w:t xml:space="preserve"> displays the TOM adapted scales utilised by practitioners</w:t>
      </w:r>
      <w:r w:rsidR="00EC4409" w:rsidRPr="00191108">
        <w:rPr>
          <w:rFonts w:cstheme="minorHAnsi"/>
          <w:sz w:val="24"/>
          <w:szCs w:val="24"/>
        </w:rPr>
        <w:t xml:space="preserve">; </w:t>
      </w:r>
      <w:r w:rsidR="00C75BCF" w:rsidRPr="00191108">
        <w:rPr>
          <w:rFonts w:cstheme="minorHAnsi"/>
          <w:sz w:val="24"/>
          <w:szCs w:val="24"/>
        </w:rPr>
        <w:t>most utilised</w:t>
      </w:r>
      <w:r w:rsidR="00613997" w:rsidRPr="00191108">
        <w:rPr>
          <w:rFonts w:cstheme="minorHAnsi"/>
          <w:sz w:val="24"/>
          <w:szCs w:val="24"/>
        </w:rPr>
        <w:t xml:space="preserve"> was the multifactorial conditions scale</w:t>
      </w:r>
      <w:r w:rsidR="00D33F28" w:rsidRPr="00191108">
        <w:rPr>
          <w:rFonts w:cstheme="minorHAnsi"/>
          <w:sz w:val="24"/>
          <w:szCs w:val="24"/>
        </w:rPr>
        <w:t xml:space="preserve"> which reflects the range of </w:t>
      </w:r>
      <w:r w:rsidR="00474DC8" w:rsidRPr="00191108">
        <w:rPr>
          <w:rFonts w:cstheme="minorHAnsi"/>
          <w:sz w:val="24"/>
          <w:szCs w:val="24"/>
        </w:rPr>
        <w:t xml:space="preserve">multiple </w:t>
      </w:r>
      <w:r w:rsidR="00D33F28" w:rsidRPr="00191108">
        <w:rPr>
          <w:rFonts w:cstheme="minorHAnsi"/>
          <w:sz w:val="24"/>
          <w:szCs w:val="24"/>
        </w:rPr>
        <w:t>conditions encountered</w:t>
      </w:r>
      <w:r w:rsidR="00613997" w:rsidRPr="00191108">
        <w:rPr>
          <w:rFonts w:cstheme="minorHAnsi"/>
          <w:sz w:val="24"/>
          <w:szCs w:val="24"/>
        </w:rPr>
        <w:t>.</w:t>
      </w:r>
      <w:r w:rsidR="00FB4B36" w:rsidRPr="00191108">
        <w:rPr>
          <w:rFonts w:cstheme="minorHAnsi"/>
          <w:sz w:val="24"/>
          <w:szCs w:val="24"/>
        </w:rPr>
        <w:t xml:space="preserve"> 9</w:t>
      </w:r>
      <w:r w:rsidR="009975DA" w:rsidRPr="00191108">
        <w:rPr>
          <w:rFonts w:cstheme="minorHAnsi"/>
          <w:sz w:val="24"/>
          <w:szCs w:val="24"/>
        </w:rPr>
        <w:t>4</w:t>
      </w:r>
      <w:r w:rsidR="00FB4B36" w:rsidRPr="00191108">
        <w:rPr>
          <w:rFonts w:cstheme="minorHAnsi"/>
          <w:sz w:val="24"/>
          <w:szCs w:val="24"/>
        </w:rPr>
        <w:t>% of cases audited had a completed TOM score within a 2</w:t>
      </w:r>
      <w:r w:rsidR="00C75BCF" w:rsidRPr="00191108">
        <w:rPr>
          <w:rFonts w:cstheme="minorHAnsi"/>
          <w:sz w:val="24"/>
          <w:szCs w:val="24"/>
        </w:rPr>
        <w:t>-</w:t>
      </w:r>
      <w:r w:rsidR="00FB4B36" w:rsidRPr="00191108">
        <w:rPr>
          <w:rFonts w:cstheme="minorHAnsi"/>
          <w:sz w:val="24"/>
          <w:szCs w:val="24"/>
        </w:rPr>
        <w:t>week timeframe.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275"/>
      </w:tblGrid>
      <w:tr w:rsidR="00191108" w14:paraId="38BF0424" w14:textId="77777777" w:rsidTr="00C9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4E48EDD" w14:textId="77777777" w:rsidR="00191108" w:rsidRPr="00F46221" w:rsidRDefault="00191108" w:rsidP="00C94D02">
            <w:r w:rsidRPr="00F46221">
              <w:t>Medical Diagnosis</w:t>
            </w:r>
          </w:p>
        </w:tc>
        <w:tc>
          <w:tcPr>
            <w:tcW w:w="1418" w:type="dxa"/>
          </w:tcPr>
          <w:p w14:paraId="6F497984" w14:textId="77777777" w:rsidR="00191108" w:rsidRPr="00F46221" w:rsidRDefault="00191108" w:rsidP="00C94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6221">
              <w:t>Number of clients</w:t>
            </w:r>
            <w:r>
              <w:t xml:space="preserve"> n=70</w:t>
            </w:r>
          </w:p>
        </w:tc>
        <w:tc>
          <w:tcPr>
            <w:tcW w:w="1275" w:type="dxa"/>
          </w:tcPr>
          <w:p w14:paraId="70C7B6DC" w14:textId="77777777" w:rsidR="00191108" w:rsidRPr="00F46221" w:rsidRDefault="00191108" w:rsidP="00C94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46221">
              <w:rPr>
                <w:b w:val="0"/>
                <w:bCs w:val="0"/>
              </w:rPr>
              <w:t>%</w:t>
            </w:r>
          </w:p>
        </w:tc>
      </w:tr>
      <w:tr w:rsidR="00191108" w14:paraId="76BEA677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0EBA6A" w14:textId="77777777" w:rsidR="00191108" w:rsidRDefault="00191108" w:rsidP="00C94D02">
            <w:r>
              <w:t>Musculoskeletal</w:t>
            </w:r>
          </w:p>
        </w:tc>
        <w:tc>
          <w:tcPr>
            <w:tcW w:w="1418" w:type="dxa"/>
          </w:tcPr>
          <w:p w14:paraId="3712261C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75" w:type="dxa"/>
          </w:tcPr>
          <w:p w14:paraId="4E4CE374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</w:tr>
      <w:tr w:rsidR="00191108" w14:paraId="4C4155E2" w14:textId="77777777" w:rsidTr="00C9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B050E75" w14:textId="77777777" w:rsidR="00191108" w:rsidRDefault="00191108" w:rsidP="00C94D02">
            <w:r>
              <w:t>Neurological incl. stroke, epilepsy, brain injury</w:t>
            </w:r>
          </w:p>
        </w:tc>
        <w:tc>
          <w:tcPr>
            <w:tcW w:w="1418" w:type="dxa"/>
          </w:tcPr>
          <w:p w14:paraId="5C084F48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275" w:type="dxa"/>
          </w:tcPr>
          <w:p w14:paraId="45D66083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</w:tr>
      <w:tr w:rsidR="00191108" w14:paraId="37BAFFBD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188A635" w14:textId="77777777" w:rsidR="00191108" w:rsidRDefault="00191108" w:rsidP="00C94D02">
            <w:r>
              <w:t>Heart</w:t>
            </w:r>
          </w:p>
        </w:tc>
        <w:tc>
          <w:tcPr>
            <w:tcW w:w="1418" w:type="dxa"/>
          </w:tcPr>
          <w:p w14:paraId="725CF054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75" w:type="dxa"/>
          </w:tcPr>
          <w:p w14:paraId="727CC5BE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191108" w14:paraId="18BB8698" w14:textId="77777777" w:rsidTr="00C9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F1B6ED" w14:textId="77777777" w:rsidR="00191108" w:rsidRDefault="00191108" w:rsidP="00C94D02">
            <w:r>
              <w:t>Respiratory</w:t>
            </w:r>
          </w:p>
        </w:tc>
        <w:tc>
          <w:tcPr>
            <w:tcW w:w="1418" w:type="dxa"/>
          </w:tcPr>
          <w:p w14:paraId="23035D98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75" w:type="dxa"/>
          </w:tcPr>
          <w:p w14:paraId="532A4C3C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191108" w14:paraId="57BEE3DE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D27452A" w14:textId="77777777" w:rsidR="00191108" w:rsidRDefault="00191108" w:rsidP="00C94D02">
            <w:r>
              <w:t>Visual Impairment</w:t>
            </w:r>
          </w:p>
        </w:tc>
        <w:tc>
          <w:tcPr>
            <w:tcW w:w="1418" w:type="dxa"/>
          </w:tcPr>
          <w:p w14:paraId="16955532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75" w:type="dxa"/>
          </w:tcPr>
          <w:p w14:paraId="79F2193B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191108" w14:paraId="415F4701" w14:textId="77777777" w:rsidTr="00C9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138AA2B" w14:textId="77777777" w:rsidR="00191108" w:rsidRDefault="00191108" w:rsidP="00C94D02">
            <w:r>
              <w:t>Mental Health</w:t>
            </w:r>
          </w:p>
        </w:tc>
        <w:tc>
          <w:tcPr>
            <w:tcW w:w="1418" w:type="dxa"/>
          </w:tcPr>
          <w:p w14:paraId="05E50A64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275" w:type="dxa"/>
          </w:tcPr>
          <w:p w14:paraId="3ECC5ED7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191108" w14:paraId="2A22322E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F33D696" w14:textId="77777777" w:rsidR="00191108" w:rsidRDefault="00191108" w:rsidP="00C94D02">
            <w:r>
              <w:t>Learning Disability</w:t>
            </w:r>
          </w:p>
        </w:tc>
        <w:tc>
          <w:tcPr>
            <w:tcW w:w="1418" w:type="dxa"/>
          </w:tcPr>
          <w:p w14:paraId="02BC47E9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75" w:type="dxa"/>
          </w:tcPr>
          <w:p w14:paraId="0C1F5C3C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191108" w14:paraId="06E4F832" w14:textId="77777777" w:rsidTr="00C9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CEBEB03" w14:textId="77777777" w:rsidR="00191108" w:rsidRDefault="00191108" w:rsidP="00C94D02">
            <w:r>
              <w:t>Cancer</w:t>
            </w:r>
          </w:p>
        </w:tc>
        <w:tc>
          <w:tcPr>
            <w:tcW w:w="1418" w:type="dxa"/>
          </w:tcPr>
          <w:p w14:paraId="01A3BAA8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75" w:type="dxa"/>
          </w:tcPr>
          <w:p w14:paraId="013C71C3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191108" w14:paraId="72605E4F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912578A" w14:textId="77777777" w:rsidR="00191108" w:rsidRDefault="00191108" w:rsidP="00C94D02">
            <w:r>
              <w:t>Amputee/reduced mobility</w:t>
            </w:r>
          </w:p>
        </w:tc>
        <w:tc>
          <w:tcPr>
            <w:tcW w:w="1418" w:type="dxa"/>
          </w:tcPr>
          <w:p w14:paraId="6FB50B44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5" w:type="dxa"/>
          </w:tcPr>
          <w:p w14:paraId="0F7E110A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191108" w14:paraId="36A98C5B" w14:textId="77777777" w:rsidTr="00C9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60EE6F2" w14:textId="77777777" w:rsidR="00191108" w:rsidRDefault="00191108" w:rsidP="00C94D02">
            <w:r>
              <w:t>Dementia</w:t>
            </w:r>
          </w:p>
        </w:tc>
        <w:tc>
          <w:tcPr>
            <w:tcW w:w="1418" w:type="dxa"/>
          </w:tcPr>
          <w:p w14:paraId="34BEC1A2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75" w:type="dxa"/>
          </w:tcPr>
          <w:p w14:paraId="1517371A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191108" w14:paraId="71550E19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17A4378" w14:textId="77777777" w:rsidR="00191108" w:rsidRDefault="00191108" w:rsidP="00C94D02">
            <w:r>
              <w:t>Other incl. digestive condition, HIV/AIDS, Hearing impairment, tracheostomy, allergy, Asperger’s/autism, liver disease.</w:t>
            </w:r>
          </w:p>
        </w:tc>
        <w:tc>
          <w:tcPr>
            <w:tcW w:w="1418" w:type="dxa"/>
          </w:tcPr>
          <w:p w14:paraId="6A7B2636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75" w:type="dxa"/>
          </w:tcPr>
          <w:p w14:paraId="1175DABC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</w:tbl>
    <w:p w14:paraId="670AD0F0" w14:textId="77777777" w:rsidR="00191108" w:rsidRDefault="00191108" w:rsidP="00191108">
      <w:r>
        <w:lastRenderedPageBreak/>
        <w:t>Table 2. Range of Medical Conditions noted in sample</w:t>
      </w:r>
    </w:p>
    <w:p w14:paraId="4E4F91C1" w14:textId="77777777" w:rsidR="00191108" w:rsidRDefault="00191108" w:rsidP="00191108">
      <w:r>
        <w:t>Table 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46"/>
        <w:gridCol w:w="764"/>
        <w:gridCol w:w="551"/>
      </w:tblGrid>
      <w:tr w:rsidR="00191108" w14:paraId="586E0CA2" w14:textId="77777777" w:rsidTr="00C9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977F9D" w14:textId="77777777" w:rsidR="00191108" w:rsidRDefault="00191108" w:rsidP="00C94D02">
            <w:r>
              <w:t>Age</w:t>
            </w:r>
          </w:p>
        </w:tc>
        <w:tc>
          <w:tcPr>
            <w:tcW w:w="764" w:type="dxa"/>
          </w:tcPr>
          <w:p w14:paraId="18079676" w14:textId="77777777" w:rsidR="00191108" w:rsidRDefault="00191108" w:rsidP="00C94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  <w:tc>
          <w:tcPr>
            <w:tcW w:w="512" w:type="dxa"/>
          </w:tcPr>
          <w:p w14:paraId="7623D9F9" w14:textId="77777777" w:rsidR="00191108" w:rsidRDefault="00191108" w:rsidP="00C94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</w:tr>
      <w:tr w:rsidR="00191108" w14:paraId="627B5FA0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E78157" w14:textId="77777777" w:rsidR="00191108" w:rsidRDefault="00191108" w:rsidP="00C94D02">
            <w:r>
              <w:t>18-30</w:t>
            </w:r>
          </w:p>
        </w:tc>
        <w:tc>
          <w:tcPr>
            <w:tcW w:w="764" w:type="dxa"/>
          </w:tcPr>
          <w:p w14:paraId="1C599BF5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12" w:type="dxa"/>
          </w:tcPr>
          <w:p w14:paraId="34C0C612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191108" w14:paraId="0BB3E829" w14:textId="77777777" w:rsidTr="00C9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107B15" w14:textId="77777777" w:rsidR="00191108" w:rsidRDefault="00191108" w:rsidP="00C94D02">
            <w:r>
              <w:t>31-40</w:t>
            </w:r>
          </w:p>
        </w:tc>
        <w:tc>
          <w:tcPr>
            <w:tcW w:w="764" w:type="dxa"/>
          </w:tcPr>
          <w:p w14:paraId="3D4E9511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12" w:type="dxa"/>
          </w:tcPr>
          <w:p w14:paraId="0AB98F1C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191108" w14:paraId="5E211D9A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FDE2F36" w14:textId="77777777" w:rsidR="00191108" w:rsidRDefault="00191108" w:rsidP="00C94D02">
            <w:r>
              <w:t>41-50</w:t>
            </w:r>
          </w:p>
        </w:tc>
        <w:tc>
          <w:tcPr>
            <w:tcW w:w="764" w:type="dxa"/>
          </w:tcPr>
          <w:p w14:paraId="59C5D493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12" w:type="dxa"/>
          </w:tcPr>
          <w:p w14:paraId="157900D1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191108" w14:paraId="27C5E4FA" w14:textId="77777777" w:rsidTr="00C9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798852" w14:textId="77777777" w:rsidR="00191108" w:rsidRDefault="00191108" w:rsidP="00C94D02">
            <w:r>
              <w:t>51-60</w:t>
            </w:r>
          </w:p>
        </w:tc>
        <w:tc>
          <w:tcPr>
            <w:tcW w:w="764" w:type="dxa"/>
          </w:tcPr>
          <w:p w14:paraId="4C6F706E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512" w:type="dxa"/>
          </w:tcPr>
          <w:p w14:paraId="6A39001A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191108" w14:paraId="146302E7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EE0423" w14:textId="77777777" w:rsidR="00191108" w:rsidRDefault="00191108" w:rsidP="00C94D02">
            <w:r>
              <w:t>61-70</w:t>
            </w:r>
          </w:p>
        </w:tc>
        <w:tc>
          <w:tcPr>
            <w:tcW w:w="764" w:type="dxa"/>
          </w:tcPr>
          <w:p w14:paraId="5F21B131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512" w:type="dxa"/>
          </w:tcPr>
          <w:p w14:paraId="2A979605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191108" w14:paraId="00B62DA5" w14:textId="77777777" w:rsidTr="00C9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731D87" w14:textId="77777777" w:rsidR="00191108" w:rsidRDefault="00191108" w:rsidP="00C94D02">
            <w:r>
              <w:t>71-80</w:t>
            </w:r>
          </w:p>
        </w:tc>
        <w:tc>
          <w:tcPr>
            <w:tcW w:w="764" w:type="dxa"/>
          </w:tcPr>
          <w:p w14:paraId="1C409412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512" w:type="dxa"/>
          </w:tcPr>
          <w:p w14:paraId="747D29B6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191108" w14:paraId="19862BB4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01D699" w14:textId="77777777" w:rsidR="00191108" w:rsidRDefault="00191108" w:rsidP="00C94D02">
            <w:r>
              <w:t>81-90</w:t>
            </w:r>
          </w:p>
        </w:tc>
        <w:tc>
          <w:tcPr>
            <w:tcW w:w="764" w:type="dxa"/>
          </w:tcPr>
          <w:p w14:paraId="2992AC9D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512" w:type="dxa"/>
          </w:tcPr>
          <w:p w14:paraId="7AF4B9BB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191108" w14:paraId="6474AD76" w14:textId="77777777" w:rsidTr="00C94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475A1A" w14:textId="77777777" w:rsidR="00191108" w:rsidRDefault="00191108" w:rsidP="00C94D02">
            <w:r>
              <w:t>90+</w:t>
            </w:r>
          </w:p>
        </w:tc>
        <w:tc>
          <w:tcPr>
            <w:tcW w:w="764" w:type="dxa"/>
          </w:tcPr>
          <w:p w14:paraId="0B587CC0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12" w:type="dxa"/>
          </w:tcPr>
          <w:p w14:paraId="5CB69B67" w14:textId="77777777" w:rsidR="00191108" w:rsidRDefault="00191108" w:rsidP="00C9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191108" w14:paraId="39D54002" w14:textId="77777777" w:rsidTr="00C9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2F690C" w14:textId="77777777" w:rsidR="00191108" w:rsidRDefault="00191108" w:rsidP="00C94D02">
            <w:r>
              <w:t>Total</w:t>
            </w:r>
          </w:p>
        </w:tc>
        <w:tc>
          <w:tcPr>
            <w:tcW w:w="764" w:type="dxa"/>
          </w:tcPr>
          <w:p w14:paraId="14DDE1C1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512" w:type="dxa"/>
          </w:tcPr>
          <w:p w14:paraId="1F2A6E46" w14:textId="77777777" w:rsidR="00191108" w:rsidRDefault="00191108" w:rsidP="00C9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</w:tbl>
    <w:p w14:paraId="450558A1" w14:textId="77777777" w:rsidR="00191108" w:rsidRDefault="00191108" w:rsidP="00191108"/>
    <w:p w14:paraId="7925F266" w14:textId="77777777" w:rsidR="00191108" w:rsidRDefault="00191108" w:rsidP="00191108">
      <w:r>
        <w:t>Table 3. Age distribution of sample</w:t>
      </w:r>
    </w:p>
    <w:p w14:paraId="3FD1320F" w14:textId="77777777" w:rsidR="00191108" w:rsidRDefault="00191108" w:rsidP="00191108"/>
    <w:p w14:paraId="0A7E2EBF" w14:textId="406FB665" w:rsidR="00FB20E8" w:rsidRPr="00191108" w:rsidRDefault="00FB20E8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i/>
          <w:iCs/>
          <w:sz w:val="24"/>
          <w:szCs w:val="24"/>
        </w:rPr>
        <w:t>Improvement</w:t>
      </w:r>
    </w:p>
    <w:p w14:paraId="64359A4C" w14:textId="2CC589F9" w:rsidR="00C75BCF" w:rsidRDefault="00C75BCF" w:rsidP="00C75BCF">
      <w:pPr>
        <w:spacing w:line="360" w:lineRule="auto"/>
        <w:jc w:val="both"/>
        <w:rPr>
          <w:sz w:val="24"/>
          <w:szCs w:val="24"/>
        </w:rPr>
      </w:pPr>
      <w:r w:rsidRPr="00191108">
        <w:rPr>
          <w:sz w:val="24"/>
          <w:szCs w:val="24"/>
        </w:rPr>
        <w:t>100% of clients showed an improvement or remained at the same level following occupational therapy intervention, in domains of impairment, participation and carer wellbeing</w:t>
      </w:r>
      <w:r w:rsidR="00A82D2A" w:rsidRPr="00191108">
        <w:rPr>
          <w:sz w:val="24"/>
          <w:szCs w:val="24"/>
        </w:rPr>
        <w:t>.</w:t>
      </w:r>
      <w:r w:rsidRPr="00191108">
        <w:rPr>
          <w:sz w:val="24"/>
          <w:szCs w:val="24"/>
        </w:rPr>
        <w:t xml:space="preserve"> </w:t>
      </w:r>
      <w:r w:rsidR="00DC5BD8" w:rsidRPr="00191108">
        <w:rPr>
          <w:sz w:val="24"/>
          <w:szCs w:val="24"/>
        </w:rPr>
        <w:t xml:space="preserve">(Table 4). </w:t>
      </w:r>
      <w:r w:rsidR="00A82D2A" w:rsidRPr="00191108">
        <w:rPr>
          <w:sz w:val="24"/>
          <w:szCs w:val="24"/>
        </w:rPr>
        <w:t>Notably, 55 clients improved in activity domain and 35 improved in wellbeing.</w:t>
      </w:r>
    </w:p>
    <w:p w14:paraId="67CF187A" w14:textId="77777777" w:rsidR="007274AD" w:rsidRDefault="007274AD" w:rsidP="007274AD">
      <w:r>
        <w:t>Table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453"/>
        <w:gridCol w:w="1417"/>
        <w:gridCol w:w="1559"/>
      </w:tblGrid>
      <w:tr w:rsidR="007274AD" w14:paraId="0C7BC585" w14:textId="77777777" w:rsidTr="00C94D02">
        <w:tc>
          <w:tcPr>
            <w:tcW w:w="1803" w:type="dxa"/>
          </w:tcPr>
          <w:p w14:paraId="0EEAEBB2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2594">
              <w:rPr>
                <w:rFonts w:cstheme="minorHAnsi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1453" w:type="dxa"/>
          </w:tcPr>
          <w:p w14:paraId="6560CA4D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2594">
              <w:rPr>
                <w:rFonts w:cstheme="minorHAnsi"/>
                <w:b/>
                <w:bCs/>
                <w:sz w:val="24"/>
                <w:szCs w:val="24"/>
              </w:rPr>
              <w:t>Lower score</w:t>
            </w:r>
          </w:p>
        </w:tc>
        <w:tc>
          <w:tcPr>
            <w:tcW w:w="1417" w:type="dxa"/>
          </w:tcPr>
          <w:p w14:paraId="4D3DE67B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2594">
              <w:rPr>
                <w:rFonts w:cstheme="minorHAnsi"/>
                <w:b/>
                <w:bCs/>
                <w:sz w:val="24"/>
                <w:szCs w:val="24"/>
              </w:rPr>
              <w:t>Same score</w:t>
            </w:r>
          </w:p>
        </w:tc>
        <w:tc>
          <w:tcPr>
            <w:tcW w:w="1559" w:type="dxa"/>
          </w:tcPr>
          <w:p w14:paraId="5ABFD5D9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2594">
              <w:rPr>
                <w:rFonts w:cstheme="minorHAnsi"/>
                <w:b/>
                <w:bCs/>
                <w:sz w:val="24"/>
                <w:szCs w:val="24"/>
              </w:rPr>
              <w:t>Higher score</w:t>
            </w:r>
          </w:p>
        </w:tc>
      </w:tr>
      <w:tr w:rsidR="007274AD" w14:paraId="5234721C" w14:textId="77777777" w:rsidTr="00C94D02">
        <w:tc>
          <w:tcPr>
            <w:tcW w:w="1803" w:type="dxa"/>
          </w:tcPr>
          <w:p w14:paraId="03553113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2594">
              <w:rPr>
                <w:rFonts w:cstheme="minorHAnsi"/>
                <w:b/>
                <w:bCs/>
                <w:sz w:val="24"/>
                <w:szCs w:val="24"/>
              </w:rPr>
              <w:t>Impairment</w:t>
            </w:r>
          </w:p>
        </w:tc>
        <w:tc>
          <w:tcPr>
            <w:tcW w:w="1453" w:type="dxa"/>
          </w:tcPr>
          <w:p w14:paraId="76484A64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59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E5AC9C7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594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14:paraId="0BFBB3FC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59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274AD" w14:paraId="3B117A70" w14:textId="77777777" w:rsidTr="00C94D02">
        <w:tc>
          <w:tcPr>
            <w:tcW w:w="1803" w:type="dxa"/>
          </w:tcPr>
          <w:p w14:paraId="410A726A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2594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453" w:type="dxa"/>
          </w:tcPr>
          <w:p w14:paraId="48D428F8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34917B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1BDD7EE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7274AD" w14:paraId="2C766553" w14:textId="77777777" w:rsidTr="00C94D02">
        <w:tc>
          <w:tcPr>
            <w:tcW w:w="1803" w:type="dxa"/>
          </w:tcPr>
          <w:p w14:paraId="2892DE46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2594">
              <w:rPr>
                <w:rFonts w:cstheme="minorHAnsi"/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453" w:type="dxa"/>
          </w:tcPr>
          <w:p w14:paraId="2565F720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3C65C58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7BD16E03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7274AD" w14:paraId="285E5823" w14:textId="77777777" w:rsidTr="00C94D02">
        <w:tc>
          <w:tcPr>
            <w:tcW w:w="1803" w:type="dxa"/>
          </w:tcPr>
          <w:p w14:paraId="5519DAEC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2594">
              <w:rPr>
                <w:rFonts w:cstheme="minorHAnsi"/>
                <w:b/>
                <w:bCs/>
                <w:sz w:val="24"/>
                <w:szCs w:val="24"/>
              </w:rPr>
              <w:t>Wellbeing client</w:t>
            </w:r>
          </w:p>
        </w:tc>
        <w:tc>
          <w:tcPr>
            <w:tcW w:w="1453" w:type="dxa"/>
          </w:tcPr>
          <w:p w14:paraId="5BF06B4C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1511B1A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0F897BC8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7274AD" w14:paraId="4AC4D739" w14:textId="77777777" w:rsidTr="00C94D02">
        <w:tc>
          <w:tcPr>
            <w:tcW w:w="1803" w:type="dxa"/>
          </w:tcPr>
          <w:p w14:paraId="4667FE32" w14:textId="77777777" w:rsidR="007274AD" w:rsidRPr="00D42594" w:rsidRDefault="007274AD" w:rsidP="00C94D0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42594">
              <w:rPr>
                <w:rFonts w:cstheme="minorHAnsi"/>
                <w:b/>
                <w:bCs/>
                <w:sz w:val="24"/>
                <w:szCs w:val="24"/>
              </w:rPr>
              <w:t>Wellbeing carer (</w:t>
            </w:r>
            <w:r w:rsidRPr="00D4259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</w:t>
            </w:r>
            <w:r w:rsidRPr="00D42594">
              <w:rPr>
                <w:rFonts w:cstheme="minorHAnsi"/>
                <w:b/>
                <w:bCs/>
                <w:sz w:val="24"/>
                <w:szCs w:val="24"/>
              </w:rPr>
              <w:t>=14)</w:t>
            </w:r>
          </w:p>
        </w:tc>
        <w:tc>
          <w:tcPr>
            <w:tcW w:w="1453" w:type="dxa"/>
          </w:tcPr>
          <w:p w14:paraId="1E8FA8F2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8510B28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825BCB3" w14:textId="77777777" w:rsidR="007274AD" w:rsidRDefault="007274AD" w:rsidP="00C94D0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</w:tbl>
    <w:p w14:paraId="7C818862" w14:textId="77777777" w:rsidR="007274AD" w:rsidRDefault="007274AD" w:rsidP="007274A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4 Frequency of final TOM scores compared to original score.</w:t>
      </w:r>
    </w:p>
    <w:p w14:paraId="105A2046" w14:textId="77777777" w:rsidR="007274AD" w:rsidRDefault="007274AD" w:rsidP="007274AD"/>
    <w:p w14:paraId="314AEA21" w14:textId="77777777" w:rsidR="00191108" w:rsidRPr="00191108" w:rsidRDefault="00191108" w:rsidP="00C75BCF">
      <w:pPr>
        <w:spacing w:line="360" w:lineRule="auto"/>
        <w:jc w:val="both"/>
        <w:rPr>
          <w:sz w:val="24"/>
          <w:szCs w:val="24"/>
        </w:rPr>
      </w:pPr>
    </w:p>
    <w:p w14:paraId="58BE2D39" w14:textId="77777777" w:rsidR="007274AD" w:rsidRDefault="00DC5BD8" w:rsidP="00C75BCF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lastRenderedPageBreak/>
        <w:t xml:space="preserve">Figure 2 demonstrates </w:t>
      </w:r>
      <w:r w:rsidR="00C75BCF" w:rsidRPr="00191108">
        <w:rPr>
          <w:rFonts w:cstheme="minorHAnsi"/>
          <w:sz w:val="24"/>
          <w:szCs w:val="24"/>
        </w:rPr>
        <w:t>9</w:t>
      </w:r>
      <w:r w:rsidR="00A82D2A" w:rsidRPr="00191108">
        <w:rPr>
          <w:rFonts w:cstheme="minorHAnsi"/>
          <w:sz w:val="24"/>
          <w:szCs w:val="24"/>
        </w:rPr>
        <w:t>4</w:t>
      </w:r>
      <w:r w:rsidR="00C75BCF" w:rsidRPr="00191108">
        <w:rPr>
          <w:rFonts w:cstheme="minorHAnsi"/>
          <w:sz w:val="24"/>
          <w:szCs w:val="24"/>
        </w:rPr>
        <w:t xml:space="preserve">% of </w:t>
      </w:r>
      <w:r w:rsidRPr="00191108">
        <w:rPr>
          <w:rFonts w:cstheme="minorHAnsi"/>
          <w:sz w:val="24"/>
          <w:szCs w:val="24"/>
        </w:rPr>
        <w:t>the sample</w:t>
      </w:r>
      <w:r w:rsidR="00C75BCF" w:rsidRPr="00191108">
        <w:rPr>
          <w:rFonts w:cstheme="minorHAnsi"/>
          <w:sz w:val="24"/>
          <w:szCs w:val="24"/>
        </w:rPr>
        <w:t xml:space="preserve"> showed an improvement in at least one domain, 4</w:t>
      </w:r>
      <w:r w:rsidR="00A82D2A" w:rsidRPr="00191108">
        <w:rPr>
          <w:rFonts w:cstheme="minorHAnsi"/>
          <w:sz w:val="24"/>
          <w:szCs w:val="24"/>
        </w:rPr>
        <w:t>0</w:t>
      </w:r>
      <w:r w:rsidR="00C75BCF" w:rsidRPr="00191108">
        <w:rPr>
          <w:rFonts w:cstheme="minorHAnsi"/>
          <w:sz w:val="24"/>
          <w:szCs w:val="24"/>
        </w:rPr>
        <w:t>% showed an improvement in 2 or more domains. 1% showed an improvement in all 4 domains. (Figure 2). This is in line with expectations for th</w:t>
      </w:r>
      <w:r w:rsidR="00A82D2A" w:rsidRPr="00191108">
        <w:rPr>
          <w:rFonts w:cstheme="minorHAnsi"/>
          <w:sz w:val="24"/>
          <w:szCs w:val="24"/>
        </w:rPr>
        <w:t>e</w:t>
      </w:r>
      <w:r w:rsidR="00C75BCF" w:rsidRPr="00191108">
        <w:rPr>
          <w:rFonts w:cstheme="minorHAnsi"/>
          <w:sz w:val="24"/>
          <w:szCs w:val="24"/>
        </w:rPr>
        <w:t xml:space="preserve"> service which works with people with long-term conditions who are not expected demonstrate improvement in medical status.</w:t>
      </w:r>
    </w:p>
    <w:p w14:paraId="37C1CCC0" w14:textId="77777777" w:rsidR="007274AD" w:rsidRDefault="007274AD" w:rsidP="007274AD">
      <w:r>
        <w:t>Figure 2</w:t>
      </w:r>
    </w:p>
    <w:p w14:paraId="20D8BE4A" w14:textId="77777777" w:rsidR="007274AD" w:rsidRDefault="007274AD" w:rsidP="007274AD">
      <w:r>
        <w:rPr>
          <w:noProof/>
        </w:rPr>
        <w:drawing>
          <wp:inline distT="0" distB="0" distL="0" distR="0" wp14:anchorId="3608DCDF" wp14:editId="0D0E3580">
            <wp:extent cx="4761230" cy="3017520"/>
            <wp:effectExtent l="0" t="0" r="1270" b="0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61A6F" w14:textId="77F3A2EC" w:rsidR="00C75BCF" w:rsidRPr="00191108" w:rsidRDefault="00C75BCF" w:rsidP="00C75BCF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 </w:t>
      </w:r>
    </w:p>
    <w:p w14:paraId="79E0CDDE" w14:textId="7A0C9C91" w:rsidR="00C75BCF" w:rsidRPr="00191108" w:rsidRDefault="00C75BCF" w:rsidP="00C75BCF">
      <w:pPr>
        <w:spacing w:line="360" w:lineRule="auto"/>
        <w:jc w:val="both"/>
        <w:rPr>
          <w:sz w:val="24"/>
          <w:szCs w:val="24"/>
        </w:rPr>
      </w:pPr>
      <w:r w:rsidRPr="00191108">
        <w:rPr>
          <w:sz w:val="24"/>
          <w:szCs w:val="24"/>
        </w:rPr>
        <w:t xml:space="preserve">The audit found that data could be extracted to show outcomes for clients with specific conditions as sufficient sample was identified. In this audit, clients with multiple long-term conditions (37/70), musculoskeletal (33/70) and mental health conditions (11/70) were specified. Improvement in at least one domain </w:t>
      </w:r>
      <w:r w:rsidR="00A82D2A" w:rsidRPr="00191108">
        <w:rPr>
          <w:sz w:val="24"/>
          <w:szCs w:val="24"/>
        </w:rPr>
        <w:t xml:space="preserve">following occupational therapy </w:t>
      </w:r>
      <w:r w:rsidRPr="00191108">
        <w:rPr>
          <w:sz w:val="24"/>
          <w:szCs w:val="24"/>
        </w:rPr>
        <w:t>occurred for the following client groups: those with multiple long-term conditions 92%, clients with musculoskeletal conditions 94% and clients with mental health conditions, 91%.</w:t>
      </w:r>
    </w:p>
    <w:p w14:paraId="6DB0D364" w14:textId="6AE505B6" w:rsidR="00DC5BD8" w:rsidRPr="00191108" w:rsidRDefault="00DC5BD8" w:rsidP="00872625">
      <w:pPr>
        <w:spacing w:line="360" w:lineRule="auto"/>
        <w:jc w:val="both"/>
        <w:rPr>
          <w:i/>
          <w:iCs/>
          <w:sz w:val="24"/>
          <w:szCs w:val="24"/>
        </w:rPr>
      </w:pPr>
      <w:r w:rsidRPr="00191108">
        <w:rPr>
          <w:i/>
          <w:iCs/>
          <w:sz w:val="24"/>
          <w:szCs w:val="24"/>
        </w:rPr>
        <w:t>Deterioration</w:t>
      </w:r>
    </w:p>
    <w:p w14:paraId="2E344D7F" w14:textId="399FDBB9" w:rsidR="00DC5BD8" w:rsidRPr="00191108" w:rsidRDefault="00DC5BD8" w:rsidP="00DC5BD8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sz w:val="24"/>
          <w:szCs w:val="24"/>
        </w:rPr>
        <w:t xml:space="preserve">Three clients deteriorated in activity domain and </w:t>
      </w:r>
      <w:r w:rsidR="00237DC4" w:rsidRPr="00191108">
        <w:rPr>
          <w:sz w:val="24"/>
          <w:szCs w:val="24"/>
        </w:rPr>
        <w:t>one</w:t>
      </w:r>
      <w:r w:rsidRPr="00191108">
        <w:rPr>
          <w:sz w:val="24"/>
          <w:szCs w:val="24"/>
        </w:rPr>
        <w:t xml:space="preserve"> in wellbeing (table 4). </w:t>
      </w:r>
      <w:r w:rsidRPr="00191108">
        <w:rPr>
          <w:rFonts w:cstheme="minorHAnsi"/>
          <w:sz w:val="24"/>
          <w:szCs w:val="24"/>
        </w:rPr>
        <w:t xml:space="preserve">Five clients did not show an improvement in any domain, (Figure 2) but of these 3 client’s domain levels remained the same. Clients seen by this service may deteriorate in their impairment which may account for this result. </w:t>
      </w:r>
    </w:p>
    <w:p w14:paraId="63E21D3E" w14:textId="24E94111" w:rsidR="00F07F18" w:rsidRPr="00191108" w:rsidRDefault="00F07F18" w:rsidP="00DC5BD8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i/>
          <w:iCs/>
          <w:sz w:val="24"/>
          <w:szCs w:val="24"/>
        </w:rPr>
        <w:t>Impairment</w:t>
      </w:r>
    </w:p>
    <w:p w14:paraId="3FEF99BE" w14:textId="75C7EC80" w:rsidR="00105B06" w:rsidRDefault="00F07F18" w:rsidP="00872625">
      <w:pPr>
        <w:spacing w:line="360" w:lineRule="auto"/>
        <w:jc w:val="both"/>
        <w:rPr>
          <w:sz w:val="24"/>
          <w:szCs w:val="24"/>
        </w:rPr>
      </w:pPr>
      <w:r w:rsidRPr="00191108">
        <w:rPr>
          <w:sz w:val="24"/>
          <w:szCs w:val="24"/>
        </w:rPr>
        <w:lastRenderedPageBreak/>
        <w:t>A bar and whisker chart (figure 3) to show quartile distributions, indicat</w:t>
      </w:r>
      <w:r w:rsidR="00474DC8" w:rsidRPr="00191108">
        <w:rPr>
          <w:sz w:val="24"/>
          <w:szCs w:val="24"/>
        </w:rPr>
        <w:t>es</w:t>
      </w:r>
      <w:r w:rsidRPr="00191108">
        <w:rPr>
          <w:sz w:val="24"/>
          <w:szCs w:val="24"/>
        </w:rPr>
        <w:t xml:space="preserve"> pre and post impairment scores were largely unchanged by occupational therapy. </w:t>
      </w:r>
      <w:r w:rsidR="00105B06" w:rsidRPr="00191108">
        <w:rPr>
          <w:sz w:val="24"/>
          <w:szCs w:val="24"/>
        </w:rPr>
        <w:t>Impairment scores relate to body structures and functions for example cardiovascular, neurological, cognitive</w:t>
      </w:r>
      <w:r w:rsidR="009B229B" w:rsidRPr="00191108">
        <w:rPr>
          <w:sz w:val="24"/>
          <w:szCs w:val="24"/>
        </w:rPr>
        <w:t>, respiratory</w:t>
      </w:r>
      <w:r w:rsidR="00105B06" w:rsidRPr="00191108">
        <w:rPr>
          <w:sz w:val="24"/>
          <w:szCs w:val="24"/>
        </w:rPr>
        <w:t xml:space="preserve">. Occupational therapy in adult social care does not seek to provide direct medical intervention relating to bodily impairment, as it is not a rehabilitation service and does not have a medical focus. </w:t>
      </w:r>
      <w:r w:rsidR="005846DD" w:rsidRPr="00191108">
        <w:rPr>
          <w:sz w:val="24"/>
          <w:szCs w:val="24"/>
        </w:rPr>
        <w:t xml:space="preserve">The median </w:t>
      </w:r>
      <w:r w:rsidR="00EB23AA" w:rsidRPr="00191108">
        <w:rPr>
          <w:sz w:val="24"/>
          <w:szCs w:val="24"/>
        </w:rPr>
        <w:t xml:space="preserve">for pre and post impairment scores is 3.5. </w:t>
      </w:r>
      <w:r w:rsidR="009B229B" w:rsidRPr="00191108">
        <w:rPr>
          <w:sz w:val="24"/>
          <w:szCs w:val="24"/>
        </w:rPr>
        <w:t xml:space="preserve"> </w:t>
      </w:r>
    </w:p>
    <w:p w14:paraId="6A4B5F9C" w14:textId="77777777" w:rsidR="007274AD" w:rsidRDefault="007274AD" w:rsidP="007274AD">
      <w:r>
        <w:rPr>
          <w:noProof/>
        </w:rPr>
        <mc:AlternateContent>
          <mc:Choice Requires="cx1">
            <w:drawing>
              <wp:inline distT="0" distB="0" distL="0" distR="0" wp14:anchorId="689FD2CA" wp14:editId="56667788">
                <wp:extent cx="5731510" cy="3119120"/>
                <wp:effectExtent l="0" t="0" r="2540" b="5080"/>
                <wp:docPr id="3" name="Char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64411B-EA85-4E92-9CA3-A24F7C2216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4"/>
                  </a:graphicData>
                </a:graphic>
              </wp:inline>
            </w:drawing>
          </mc:Choice>
          <mc:Fallback>
            <w:drawing>
              <wp:inline distT="0" distB="0" distL="0" distR="0" wp14:anchorId="689FD2CA" wp14:editId="56667788">
                <wp:extent cx="5731510" cy="3119120"/>
                <wp:effectExtent l="0" t="0" r="2540" b="5080"/>
                <wp:docPr id="3" name="Char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64411B-EA85-4E92-9CA3-A24F7C221611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hart 3">
                          <a:extLst>
                            <a:ext uri="{FF2B5EF4-FFF2-40B4-BE49-F238E27FC236}">
                              <a16:creationId xmlns:a16="http://schemas.microsoft.com/office/drawing/2014/main" id="{FE64411B-EA85-4E92-9CA3-A24F7C221611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311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1C8EF80" w14:textId="77777777" w:rsidR="007274AD" w:rsidRPr="00191108" w:rsidRDefault="007274AD" w:rsidP="00872625">
      <w:pPr>
        <w:spacing w:line="360" w:lineRule="auto"/>
        <w:jc w:val="both"/>
        <w:rPr>
          <w:sz w:val="24"/>
          <w:szCs w:val="24"/>
        </w:rPr>
      </w:pPr>
    </w:p>
    <w:p w14:paraId="74E37E10" w14:textId="1AAF4203" w:rsidR="00CA7E13" w:rsidRPr="00191108" w:rsidRDefault="009B229B" w:rsidP="00872625">
      <w:pPr>
        <w:spacing w:line="360" w:lineRule="auto"/>
        <w:jc w:val="both"/>
        <w:rPr>
          <w:i/>
          <w:iCs/>
          <w:sz w:val="24"/>
          <w:szCs w:val="24"/>
        </w:rPr>
      </w:pPr>
      <w:r w:rsidRPr="00191108">
        <w:rPr>
          <w:i/>
          <w:iCs/>
          <w:sz w:val="24"/>
          <w:szCs w:val="24"/>
        </w:rPr>
        <w:t>Activity</w:t>
      </w:r>
    </w:p>
    <w:p w14:paraId="50841A45" w14:textId="6134535E" w:rsidR="009B229B" w:rsidRPr="00191108" w:rsidRDefault="0032647B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sz w:val="24"/>
          <w:szCs w:val="24"/>
        </w:rPr>
        <w:t>The TOM is based on the positive language of the ICF</w:t>
      </w:r>
      <w:r w:rsidR="00C4725E" w:rsidRPr="00191108">
        <w:rPr>
          <w:sz w:val="24"/>
          <w:szCs w:val="24"/>
        </w:rPr>
        <w:t xml:space="preserve"> </w:t>
      </w:r>
      <w:r w:rsidR="00C4725E" w:rsidRPr="00191108">
        <w:rPr>
          <w:rFonts w:cstheme="minorHAnsi"/>
          <w:sz w:val="24"/>
          <w:szCs w:val="24"/>
        </w:rPr>
        <w:t>(WHO, ICF 2001).</w:t>
      </w:r>
      <w:r w:rsidRPr="00191108">
        <w:rPr>
          <w:sz w:val="24"/>
          <w:szCs w:val="24"/>
        </w:rPr>
        <w:t xml:space="preserve"> Under the ICF, disability </w:t>
      </w:r>
      <w:r w:rsidR="00C8161E" w:rsidRPr="00191108">
        <w:rPr>
          <w:sz w:val="24"/>
          <w:szCs w:val="24"/>
        </w:rPr>
        <w:t xml:space="preserve">is </w:t>
      </w:r>
      <w:r w:rsidRPr="00191108">
        <w:rPr>
          <w:sz w:val="24"/>
          <w:szCs w:val="24"/>
        </w:rPr>
        <w:t>named activity and includes factors such as communication, movement, domestic and personal activities of daily living.</w:t>
      </w:r>
      <w:r w:rsidR="00C8161E" w:rsidRPr="00191108">
        <w:rPr>
          <w:sz w:val="24"/>
          <w:szCs w:val="24"/>
        </w:rPr>
        <w:t xml:space="preserve"> These are relevant factors for intervention for occupational therapists.</w:t>
      </w:r>
      <w:r w:rsidRPr="00191108">
        <w:rPr>
          <w:sz w:val="24"/>
          <w:szCs w:val="24"/>
        </w:rPr>
        <w:t xml:space="preserve"> Activity is the degree to which a person</w:t>
      </w:r>
      <w:r w:rsidR="00C4725E" w:rsidRPr="00191108">
        <w:rPr>
          <w:sz w:val="24"/>
          <w:szCs w:val="24"/>
        </w:rPr>
        <w:t>’</w:t>
      </w:r>
      <w:r w:rsidRPr="00191108">
        <w:rPr>
          <w:sz w:val="24"/>
          <w:szCs w:val="24"/>
        </w:rPr>
        <w:t xml:space="preserve">s impairment affects their ability to perform a task or function compared to someone of the same </w:t>
      </w:r>
      <w:r w:rsidRPr="00191108">
        <w:rPr>
          <w:rFonts w:cstheme="minorHAnsi"/>
          <w:sz w:val="24"/>
          <w:szCs w:val="24"/>
        </w:rPr>
        <w:t xml:space="preserve">age, </w:t>
      </w:r>
      <w:proofErr w:type="gramStart"/>
      <w:r w:rsidRPr="00191108">
        <w:rPr>
          <w:rFonts w:cstheme="minorHAnsi"/>
          <w:sz w:val="24"/>
          <w:szCs w:val="24"/>
        </w:rPr>
        <w:t>sex</w:t>
      </w:r>
      <w:proofErr w:type="gramEnd"/>
      <w:r w:rsidRPr="00191108">
        <w:rPr>
          <w:rFonts w:cstheme="minorHAnsi"/>
          <w:sz w:val="24"/>
          <w:szCs w:val="24"/>
        </w:rPr>
        <w:t xml:space="preserve"> and culture without the medical condition.</w:t>
      </w:r>
      <w:r w:rsidR="00F8362A" w:rsidRPr="00191108">
        <w:rPr>
          <w:rFonts w:cstheme="minorHAnsi"/>
          <w:sz w:val="24"/>
          <w:szCs w:val="24"/>
        </w:rPr>
        <w:t xml:space="preserve"> </w:t>
      </w:r>
      <w:r w:rsidR="00AF41C4" w:rsidRPr="00191108">
        <w:rPr>
          <w:rFonts w:cstheme="minorHAnsi"/>
          <w:sz w:val="24"/>
          <w:szCs w:val="24"/>
        </w:rPr>
        <w:t>In adult social care</w:t>
      </w:r>
      <w:r w:rsidR="00D63DFD" w:rsidRPr="00191108">
        <w:rPr>
          <w:rFonts w:cstheme="minorHAnsi"/>
          <w:sz w:val="24"/>
          <w:szCs w:val="24"/>
        </w:rPr>
        <w:t xml:space="preserve">, </w:t>
      </w:r>
      <w:r w:rsidR="00FA1B6D" w:rsidRPr="00191108">
        <w:rPr>
          <w:rFonts w:cstheme="minorHAnsi"/>
          <w:sz w:val="24"/>
          <w:szCs w:val="24"/>
        </w:rPr>
        <w:t>an activity example</w:t>
      </w:r>
      <w:r w:rsidR="00AF41C4" w:rsidRPr="00191108">
        <w:rPr>
          <w:rFonts w:cstheme="minorHAnsi"/>
          <w:sz w:val="24"/>
          <w:szCs w:val="24"/>
        </w:rPr>
        <w:t xml:space="preserve"> could be a client</w:t>
      </w:r>
      <w:r w:rsidR="007F17CD" w:rsidRPr="00191108">
        <w:rPr>
          <w:rFonts w:cstheme="minorHAnsi"/>
          <w:sz w:val="24"/>
          <w:szCs w:val="24"/>
        </w:rPr>
        <w:t>’</w:t>
      </w:r>
      <w:r w:rsidR="00AF41C4" w:rsidRPr="00191108">
        <w:rPr>
          <w:rFonts w:cstheme="minorHAnsi"/>
          <w:sz w:val="24"/>
          <w:szCs w:val="24"/>
        </w:rPr>
        <w:t xml:space="preserve">s ability to </w:t>
      </w:r>
      <w:r w:rsidR="00206559" w:rsidRPr="00191108">
        <w:rPr>
          <w:rFonts w:cstheme="minorHAnsi"/>
          <w:sz w:val="24"/>
          <w:szCs w:val="24"/>
        </w:rPr>
        <w:t xml:space="preserve">manage </w:t>
      </w:r>
      <w:r w:rsidR="00237DC4" w:rsidRPr="00191108">
        <w:rPr>
          <w:rFonts w:cstheme="minorHAnsi"/>
          <w:sz w:val="24"/>
          <w:szCs w:val="24"/>
        </w:rPr>
        <w:t>independent bed mobility</w:t>
      </w:r>
      <w:r w:rsidR="00206559" w:rsidRPr="00191108">
        <w:rPr>
          <w:rFonts w:cstheme="minorHAnsi"/>
          <w:sz w:val="24"/>
          <w:szCs w:val="24"/>
        </w:rPr>
        <w:t xml:space="preserve">. </w:t>
      </w:r>
      <w:r w:rsidR="00F8362A" w:rsidRPr="00191108">
        <w:rPr>
          <w:rFonts w:cstheme="minorHAnsi"/>
          <w:sz w:val="24"/>
          <w:szCs w:val="24"/>
        </w:rPr>
        <w:t>A profound (0) score descriptor is unable to perform tasks/totally dependent on others</w:t>
      </w:r>
      <w:r w:rsidR="008D785D" w:rsidRPr="00191108">
        <w:rPr>
          <w:rFonts w:cstheme="minorHAnsi"/>
          <w:sz w:val="24"/>
          <w:szCs w:val="24"/>
        </w:rPr>
        <w:t xml:space="preserve">, whereas a </w:t>
      </w:r>
      <w:r w:rsidR="00F8362A" w:rsidRPr="00191108">
        <w:rPr>
          <w:rFonts w:cstheme="minorHAnsi"/>
          <w:sz w:val="24"/>
          <w:szCs w:val="24"/>
        </w:rPr>
        <w:t>normal (5) score is age</w:t>
      </w:r>
      <w:r w:rsidR="00AF41C4" w:rsidRPr="00191108">
        <w:rPr>
          <w:rFonts w:cstheme="minorHAnsi"/>
          <w:sz w:val="24"/>
          <w:szCs w:val="24"/>
        </w:rPr>
        <w:t>-</w:t>
      </w:r>
      <w:r w:rsidR="00F8362A" w:rsidRPr="00191108">
        <w:rPr>
          <w:rFonts w:cstheme="minorHAnsi"/>
          <w:sz w:val="24"/>
          <w:szCs w:val="24"/>
        </w:rPr>
        <w:t xml:space="preserve">appropriate ability to function/perform task. </w:t>
      </w:r>
      <w:r w:rsidR="00C4725E" w:rsidRPr="00191108">
        <w:rPr>
          <w:rFonts w:cstheme="minorHAnsi"/>
          <w:sz w:val="24"/>
          <w:szCs w:val="24"/>
        </w:rPr>
        <w:t xml:space="preserve">Figure </w:t>
      </w:r>
      <w:r w:rsidR="00F07F18" w:rsidRPr="00191108">
        <w:rPr>
          <w:rFonts w:cstheme="minorHAnsi"/>
          <w:sz w:val="24"/>
          <w:szCs w:val="24"/>
        </w:rPr>
        <w:t>3</w:t>
      </w:r>
      <w:r w:rsidR="00C4725E" w:rsidRPr="00191108">
        <w:rPr>
          <w:rFonts w:cstheme="minorHAnsi"/>
          <w:sz w:val="24"/>
          <w:szCs w:val="24"/>
        </w:rPr>
        <w:t xml:space="preserve"> shows the </w:t>
      </w:r>
      <w:r w:rsidR="00F07F18" w:rsidRPr="00191108">
        <w:rPr>
          <w:rFonts w:cstheme="minorHAnsi"/>
          <w:sz w:val="24"/>
          <w:szCs w:val="24"/>
        </w:rPr>
        <w:t xml:space="preserve">spread of changes in pre and post activity scores. </w:t>
      </w:r>
      <w:r w:rsidR="00942E80" w:rsidRPr="00191108">
        <w:rPr>
          <w:rFonts w:cstheme="minorHAnsi"/>
          <w:sz w:val="24"/>
          <w:szCs w:val="24"/>
        </w:rPr>
        <w:t>The median point for the pre activity score</w:t>
      </w:r>
      <w:r w:rsidR="00FF6F3B" w:rsidRPr="00191108">
        <w:rPr>
          <w:rFonts w:cstheme="minorHAnsi"/>
          <w:sz w:val="24"/>
          <w:szCs w:val="24"/>
        </w:rPr>
        <w:t xml:space="preserve"> is 3, and post activity median is 3.5</w:t>
      </w:r>
      <w:r w:rsidR="00EA5B51" w:rsidRPr="00191108">
        <w:rPr>
          <w:rFonts w:cstheme="minorHAnsi"/>
          <w:sz w:val="24"/>
          <w:szCs w:val="24"/>
        </w:rPr>
        <w:t xml:space="preserve"> which represents clinically significant change.</w:t>
      </w:r>
      <w:r w:rsidR="00FF6F3B" w:rsidRPr="00191108">
        <w:rPr>
          <w:rFonts w:cstheme="minorHAnsi"/>
          <w:sz w:val="24"/>
          <w:szCs w:val="24"/>
        </w:rPr>
        <w:t xml:space="preserve"> </w:t>
      </w:r>
      <w:r w:rsidR="00C4725E" w:rsidRPr="00191108">
        <w:rPr>
          <w:rFonts w:cstheme="minorHAnsi"/>
          <w:sz w:val="24"/>
          <w:szCs w:val="24"/>
        </w:rPr>
        <w:t xml:space="preserve">The </w:t>
      </w:r>
      <w:r w:rsidR="001D6369" w:rsidRPr="00191108">
        <w:rPr>
          <w:rFonts w:cstheme="minorHAnsi"/>
          <w:sz w:val="24"/>
          <w:szCs w:val="24"/>
        </w:rPr>
        <w:t>TOM c</w:t>
      </w:r>
      <w:r w:rsidR="00C4725E" w:rsidRPr="00191108">
        <w:rPr>
          <w:rFonts w:cstheme="minorHAnsi"/>
          <w:sz w:val="24"/>
          <w:szCs w:val="24"/>
        </w:rPr>
        <w:t xml:space="preserve">ore scale defines a level 3 activity function </w:t>
      </w:r>
      <w:r w:rsidR="00C4725E" w:rsidRPr="00191108">
        <w:rPr>
          <w:rFonts w:cstheme="minorHAnsi"/>
          <w:sz w:val="24"/>
          <w:szCs w:val="24"/>
        </w:rPr>
        <w:lastRenderedPageBreak/>
        <w:t xml:space="preserve">as “Can undertake task/function in familiar situation but requires some verbal/physical assistance.” </w:t>
      </w:r>
      <w:r w:rsidR="00F07F18" w:rsidRPr="00191108">
        <w:rPr>
          <w:rFonts w:cstheme="minorHAnsi"/>
          <w:sz w:val="24"/>
          <w:szCs w:val="24"/>
        </w:rPr>
        <w:t>Twelve</w:t>
      </w:r>
      <w:r w:rsidR="00C8161E" w:rsidRPr="00191108">
        <w:rPr>
          <w:rFonts w:cstheme="minorHAnsi"/>
          <w:sz w:val="24"/>
          <w:szCs w:val="24"/>
        </w:rPr>
        <w:t xml:space="preserve"> clients </w:t>
      </w:r>
      <w:r w:rsidR="00F07F18" w:rsidRPr="00191108">
        <w:rPr>
          <w:rFonts w:cstheme="minorHAnsi"/>
          <w:sz w:val="24"/>
          <w:szCs w:val="24"/>
        </w:rPr>
        <w:t xml:space="preserve">from the sample (Table 4) showed no improvement in </w:t>
      </w:r>
      <w:r w:rsidR="00C8161E" w:rsidRPr="00191108">
        <w:rPr>
          <w:rFonts w:cstheme="minorHAnsi"/>
          <w:sz w:val="24"/>
          <w:szCs w:val="24"/>
        </w:rPr>
        <w:t>activity domain score following occupational therapy intervention. Of this sample, 75% (</w:t>
      </w:r>
      <w:r w:rsidR="00C8161E" w:rsidRPr="00191108">
        <w:rPr>
          <w:rFonts w:cstheme="minorHAnsi"/>
          <w:i/>
          <w:iCs/>
          <w:sz w:val="24"/>
          <w:szCs w:val="24"/>
        </w:rPr>
        <w:t>n</w:t>
      </w:r>
      <w:r w:rsidR="00C8161E" w:rsidRPr="00191108">
        <w:rPr>
          <w:rFonts w:cstheme="minorHAnsi"/>
          <w:sz w:val="24"/>
          <w:szCs w:val="24"/>
        </w:rPr>
        <w:t>=9) improved in wellbeing client scores which</w:t>
      </w:r>
      <w:r w:rsidR="00D63DFD" w:rsidRPr="00191108">
        <w:rPr>
          <w:rFonts w:cstheme="minorHAnsi"/>
          <w:sz w:val="24"/>
          <w:szCs w:val="24"/>
        </w:rPr>
        <w:t xml:space="preserve"> </w:t>
      </w:r>
      <w:r w:rsidR="00C8161E" w:rsidRPr="00191108">
        <w:rPr>
          <w:rFonts w:cstheme="minorHAnsi"/>
          <w:sz w:val="24"/>
          <w:szCs w:val="24"/>
        </w:rPr>
        <w:t>demonstrates</w:t>
      </w:r>
      <w:r w:rsidR="00D63DFD" w:rsidRPr="00191108">
        <w:rPr>
          <w:rFonts w:cstheme="minorHAnsi"/>
          <w:sz w:val="24"/>
          <w:szCs w:val="24"/>
        </w:rPr>
        <w:t xml:space="preserve"> </w:t>
      </w:r>
      <w:r w:rsidR="00474DC8" w:rsidRPr="00191108">
        <w:rPr>
          <w:rFonts w:cstheme="minorHAnsi"/>
          <w:sz w:val="24"/>
          <w:szCs w:val="24"/>
        </w:rPr>
        <w:t xml:space="preserve">wider </w:t>
      </w:r>
      <w:r w:rsidR="00D63DFD" w:rsidRPr="00191108">
        <w:rPr>
          <w:rFonts w:cstheme="minorHAnsi"/>
          <w:sz w:val="24"/>
          <w:szCs w:val="24"/>
        </w:rPr>
        <w:t>health impact</w:t>
      </w:r>
      <w:r w:rsidR="00C8161E" w:rsidRPr="00191108">
        <w:rPr>
          <w:rFonts w:cstheme="minorHAnsi"/>
          <w:sz w:val="24"/>
          <w:szCs w:val="24"/>
        </w:rPr>
        <w:t>.</w:t>
      </w:r>
    </w:p>
    <w:p w14:paraId="5C9C0C99" w14:textId="797F6194" w:rsidR="00E62BB7" w:rsidRPr="00191108" w:rsidRDefault="00E62BB7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i/>
          <w:iCs/>
          <w:sz w:val="24"/>
          <w:szCs w:val="24"/>
        </w:rPr>
        <w:t>Participation</w:t>
      </w:r>
    </w:p>
    <w:p w14:paraId="26CF7490" w14:textId="5E66BA34" w:rsidR="00E62BB7" w:rsidRPr="00191108" w:rsidRDefault="001D6369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The part</w:t>
      </w:r>
      <w:r w:rsidR="00E62BB7" w:rsidRPr="00191108">
        <w:rPr>
          <w:rFonts w:cstheme="minorHAnsi"/>
          <w:sz w:val="24"/>
          <w:szCs w:val="24"/>
        </w:rPr>
        <w:t xml:space="preserve">icipation </w:t>
      </w:r>
      <w:r w:rsidRPr="00191108">
        <w:rPr>
          <w:rFonts w:cstheme="minorHAnsi"/>
          <w:sz w:val="24"/>
          <w:szCs w:val="24"/>
        </w:rPr>
        <w:t xml:space="preserve">domain </w:t>
      </w:r>
      <w:r w:rsidR="00E62BB7" w:rsidRPr="00191108">
        <w:rPr>
          <w:rFonts w:cstheme="minorHAnsi"/>
          <w:sz w:val="24"/>
          <w:szCs w:val="24"/>
        </w:rPr>
        <w:t xml:space="preserve">is </w:t>
      </w:r>
      <w:r w:rsidRPr="00191108">
        <w:rPr>
          <w:rFonts w:cstheme="minorHAnsi"/>
          <w:sz w:val="24"/>
          <w:szCs w:val="24"/>
        </w:rPr>
        <w:t xml:space="preserve">concerned with </w:t>
      </w:r>
      <w:r w:rsidR="00F8362A" w:rsidRPr="00191108">
        <w:rPr>
          <w:rFonts w:cstheme="minorHAnsi"/>
          <w:sz w:val="24"/>
          <w:szCs w:val="24"/>
        </w:rPr>
        <w:t xml:space="preserve">the function of the client </w:t>
      </w:r>
      <w:r w:rsidR="00537E76" w:rsidRPr="00191108">
        <w:rPr>
          <w:rFonts w:cstheme="minorHAnsi"/>
          <w:sz w:val="24"/>
          <w:szCs w:val="24"/>
        </w:rPr>
        <w:t>with</w:t>
      </w:r>
      <w:r w:rsidR="00F8362A" w:rsidRPr="00191108">
        <w:rPr>
          <w:rFonts w:cstheme="minorHAnsi"/>
          <w:sz w:val="24"/>
          <w:szCs w:val="24"/>
        </w:rPr>
        <w:t>in their social context. It inc</w:t>
      </w:r>
      <w:r w:rsidR="00537E76" w:rsidRPr="00191108">
        <w:rPr>
          <w:rFonts w:cstheme="minorHAnsi"/>
          <w:sz w:val="24"/>
          <w:szCs w:val="24"/>
        </w:rPr>
        <w:t>orporates</w:t>
      </w:r>
      <w:r w:rsidR="00F8362A" w:rsidRPr="00191108">
        <w:rPr>
          <w:rFonts w:cstheme="minorHAnsi"/>
          <w:sz w:val="24"/>
          <w:szCs w:val="24"/>
        </w:rPr>
        <w:t xml:space="preserve"> the amount of social participation, interaction, autonomy and control the client can exercise over their environment. </w:t>
      </w:r>
      <w:r w:rsidR="00DC10B9" w:rsidRPr="00191108">
        <w:rPr>
          <w:rFonts w:cstheme="minorHAnsi"/>
          <w:sz w:val="24"/>
          <w:szCs w:val="24"/>
        </w:rPr>
        <w:t xml:space="preserve">In occupational therapy </w:t>
      </w:r>
      <w:r w:rsidR="00537E76" w:rsidRPr="00191108">
        <w:rPr>
          <w:rFonts w:cstheme="minorHAnsi"/>
          <w:sz w:val="24"/>
          <w:szCs w:val="24"/>
        </w:rPr>
        <w:t>a</w:t>
      </w:r>
      <w:r w:rsidR="00387ABA" w:rsidRPr="00191108">
        <w:rPr>
          <w:rFonts w:cstheme="minorHAnsi"/>
          <w:sz w:val="24"/>
          <w:szCs w:val="24"/>
        </w:rPr>
        <w:t>dult social care</w:t>
      </w:r>
      <w:r w:rsidR="00474DC8" w:rsidRPr="00191108">
        <w:rPr>
          <w:rFonts w:cstheme="minorHAnsi"/>
          <w:sz w:val="24"/>
          <w:szCs w:val="24"/>
        </w:rPr>
        <w:t>,</w:t>
      </w:r>
      <w:r w:rsidR="00DC10B9" w:rsidRPr="00191108">
        <w:rPr>
          <w:rFonts w:cstheme="minorHAnsi"/>
          <w:sz w:val="24"/>
          <w:szCs w:val="24"/>
        </w:rPr>
        <w:t xml:space="preserve"> </w:t>
      </w:r>
      <w:r w:rsidR="00387ABA" w:rsidRPr="00191108">
        <w:rPr>
          <w:rFonts w:cstheme="minorHAnsi"/>
          <w:sz w:val="24"/>
          <w:szCs w:val="24"/>
        </w:rPr>
        <w:t>participation</w:t>
      </w:r>
      <w:r w:rsidR="00DC10B9" w:rsidRPr="00191108">
        <w:rPr>
          <w:rFonts w:cstheme="minorHAnsi"/>
          <w:sz w:val="24"/>
          <w:szCs w:val="24"/>
        </w:rPr>
        <w:t xml:space="preserve"> could be </w:t>
      </w:r>
      <w:r w:rsidR="008D785D" w:rsidRPr="00191108">
        <w:rPr>
          <w:rFonts w:cstheme="minorHAnsi"/>
          <w:sz w:val="24"/>
          <w:szCs w:val="24"/>
        </w:rPr>
        <w:t xml:space="preserve">the </w:t>
      </w:r>
      <w:r w:rsidR="00237DC4" w:rsidRPr="00191108">
        <w:rPr>
          <w:rFonts w:cstheme="minorHAnsi"/>
          <w:sz w:val="24"/>
          <w:szCs w:val="24"/>
        </w:rPr>
        <w:t>mental capacity</w:t>
      </w:r>
      <w:r w:rsidR="00BB35FF" w:rsidRPr="00191108">
        <w:rPr>
          <w:rFonts w:cstheme="minorHAnsi"/>
          <w:sz w:val="24"/>
          <w:szCs w:val="24"/>
        </w:rPr>
        <w:t xml:space="preserve"> to </w:t>
      </w:r>
      <w:proofErr w:type="gramStart"/>
      <w:r w:rsidR="00BB35FF" w:rsidRPr="00191108">
        <w:rPr>
          <w:rFonts w:cstheme="minorHAnsi"/>
          <w:sz w:val="24"/>
          <w:szCs w:val="24"/>
        </w:rPr>
        <w:t xml:space="preserve">make a </w:t>
      </w:r>
      <w:r w:rsidR="00B5747F" w:rsidRPr="00191108">
        <w:rPr>
          <w:rFonts w:cstheme="minorHAnsi"/>
          <w:sz w:val="24"/>
          <w:szCs w:val="24"/>
        </w:rPr>
        <w:t>decision</w:t>
      </w:r>
      <w:proofErr w:type="gramEnd"/>
      <w:r w:rsidR="00B5747F" w:rsidRPr="00191108">
        <w:rPr>
          <w:rFonts w:cstheme="minorHAnsi"/>
          <w:sz w:val="24"/>
          <w:szCs w:val="24"/>
        </w:rPr>
        <w:t xml:space="preserve"> to opt for a stairlift </w:t>
      </w:r>
      <w:r w:rsidR="00877C2D" w:rsidRPr="00191108">
        <w:rPr>
          <w:rFonts w:cstheme="minorHAnsi"/>
          <w:sz w:val="24"/>
          <w:szCs w:val="24"/>
        </w:rPr>
        <w:t xml:space="preserve">to access essential toilet, bathing and bedroom facilities, </w:t>
      </w:r>
      <w:r w:rsidR="00B5747F" w:rsidRPr="00191108">
        <w:rPr>
          <w:rFonts w:cstheme="minorHAnsi"/>
          <w:sz w:val="24"/>
          <w:szCs w:val="24"/>
        </w:rPr>
        <w:t xml:space="preserve">rather than </w:t>
      </w:r>
      <w:r w:rsidR="00AF41C4" w:rsidRPr="00191108">
        <w:rPr>
          <w:rFonts w:cstheme="minorHAnsi"/>
          <w:sz w:val="24"/>
          <w:szCs w:val="24"/>
        </w:rPr>
        <w:t>rehousing</w:t>
      </w:r>
      <w:r w:rsidR="00BB35FF" w:rsidRPr="00191108">
        <w:rPr>
          <w:rFonts w:cstheme="minorHAnsi"/>
          <w:sz w:val="24"/>
          <w:szCs w:val="24"/>
        </w:rPr>
        <w:t>, taking all environmental, social and political factors into consideration</w:t>
      </w:r>
      <w:r w:rsidR="00AF41C4" w:rsidRPr="00191108">
        <w:rPr>
          <w:rFonts w:cstheme="minorHAnsi"/>
          <w:sz w:val="24"/>
          <w:szCs w:val="24"/>
        </w:rPr>
        <w:t xml:space="preserve">. </w:t>
      </w:r>
      <w:r w:rsidR="00AC2F18" w:rsidRPr="00191108">
        <w:rPr>
          <w:rFonts w:cstheme="minorHAnsi"/>
          <w:sz w:val="24"/>
          <w:szCs w:val="24"/>
        </w:rPr>
        <w:t>Participation</w:t>
      </w:r>
      <w:r w:rsidR="00F8362A" w:rsidRPr="00191108">
        <w:rPr>
          <w:rFonts w:cstheme="minorHAnsi"/>
          <w:sz w:val="24"/>
          <w:szCs w:val="24"/>
        </w:rPr>
        <w:t xml:space="preserve"> can include </w:t>
      </w:r>
      <w:r w:rsidR="00AC2F18" w:rsidRPr="00191108">
        <w:rPr>
          <w:rFonts w:cstheme="minorHAnsi"/>
          <w:sz w:val="24"/>
          <w:szCs w:val="24"/>
        </w:rPr>
        <w:t>a client</w:t>
      </w:r>
      <w:r w:rsidR="00537E76" w:rsidRPr="00191108">
        <w:rPr>
          <w:rFonts w:cstheme="minorHAnsi"/>
          <w:sz w:val="24"/>
          <w:szCs w:val="24"/>
        </w:rPr>
        <w:t>’</w:t>
      </w:r>
      <w:r w:rsidR="00AC2F18" w:rsidRPr="00191108">
        <w:rPr>
          <w:rFonts w:cstheme="minorHAnsi"/>
          <w:sz w:val="24"/>
          <w:szCs w:val="24"/>
        </w:rPr>
        <w:t>s</w:t>
      </w:r>
      <w:r w:rsidR="00F8362A" w:rsidRPr="00191108">
        <w:rPr>
          <w:rFonts w:cstheme="minorHAnsi"/>
          <w:sz w:val="24"/>
          <w:szCs w:val="24"/>
        </w:rPr>
        <w:t xml:space="preserve"> ability to work</w:t>
      </w:r>
      <w:r w:rsidR="00537E76" w:rsidRPr="00191108">
        <w:rPr>
          <w:rFonts w:cstheme="minorHAnsi"/>
          <w:sz w:val="24"/>
          <w:szCs w:val="24"/>
        </w:rPr>
        <w:t xml:space="preserve"> </w:t>
      </w:r>
      <w:r w:rsidR="00F8362A" w:rsidRPr="00191108">
        <w:rPr>
          <w:rFonts w:cstheme="minorHAnsi"/>
          <w:sz w:val="24"/>
          <w:szCs w:val="24"/>
        </w:rPr>
        <w:t>and participat</w:t>
      </w:r>
      <w:r w:rsidR="00AC2F18" w:rsidRPr="00191108">
        <w:rPr>
          <w:rFonts w:cstheme="minorHAnsi"/>
          <w:sz w:val="24"/>
          <w:szCs w:val="24"/>
        </w:rPr>
        <w:t>e</w:t>
      </w:r>
      <w:r w:rsidR="00F8362A" w:rsidRPr="00191108">
        <w:rPr>
          <w:rFonts w:cstheme="minorHAnsi"/>
          <w:sz w:val="24"/>
          <w:szCs w:val="24"/>
        </w:rPr>
        <w:t xml:space="preserve"> in education and recreation. A profound (0) score descriptor would be isolated/no relationships/ no control. A normal (5) score descriptor is integrated and autonomous. A moderate (3) score would indicate </w:t>
      </w:r>
      <w:r w:rsidR="00D63DFD" w:rsidRPr="00191108">
        <w:rPr>
          <w:rFonts w:cstheme="minorHAnsi"/>
          <w:sz w:val="24"/>
          <w:szCs w:val="24"/>
        </w:rPr>
        <w:t xml:space="preserve">a </w:t>
      </w:r>
      <w:r w:rsidR="00F8362A" w:rsidRPr="00191108">
        <w:rPr>
          <w:rFonts w:cstheme="minorHAnsi"/>
          <w:sz w:val="24"/>
          <w:szCs w:val="24"/>
        </w:rPr>
        <w:t xml:space="preserve">client can achieve some integration and has some control over life. </w:t>
      </w:r>
      <w:r w:rsidR="009243C6" w:rsidRPr="00191108">
        <w:rPr>
          <w:rFonts w:cstheme="minorHAnsi"/>
          <w:sz w:val="24"/>
          <w:szCs w:val="24"/>
        </w:rPr>
        <w:t>The audit dataset results show</w:t>
      </w:r>
      <w:r w:rsidR="009B157E" w:rsidRPr="00191108">
        <w:rPr>
          <w:rFonts w:cstheme="minorHAnsi"/>
          <w:sz w:val="24"/>
          <w:szCs w:val="24"/>
        </w:rPr>
        <w:t xml:space="preserve"> 20% of client</w:t>
      </w:r>
      <w:r w:rsidR="009D2E4E" w:rsidRPr="00191108">
        <w:rPr>
          <w:rFonts w:cstheme="minorHAnsi"/>
          <w:sz w:val="24"/>
          <w:szCs w:val="24"/>
        </w:rPr>
        <w:t>’</w:t>
      </w:r>
      <w:r w:rsidR="009B157E" w:rsidRPr="00191108">
        <w:rPr>
          <w:rFonts w:cstheme="minorHAnsi"/>
          <w:sz w:val="24"/>
          <w:szCs w:val="24"/>
        </w:rPr>
        <w:t>s participation scores improved, with the remaining 80</w:t>
      </w:r>
      <w:r w:rsidR="009D2E4E" w:rsidRPr="00191108">
        <w:rPr>
          <w:rFonts w:cstheme="minorHAnsi"/>
          <w:sz w:val="24"/>
          <w:szCs w:val="24"/>
        </w:rPr>
        <w:t xml:space="preserve">% staying the same. </w:t>
      </w:r>
      <w:r w:rsidR="00BE05FF" w:rsidRPr="00191108">
        <w:rPr>
          <w:rFonts w:cstheme="minorHAnsi"/>
          <w:sz w:val="24"/>
          <w:szCs w:val="24"/>
        </w:rPr>
        <w:t xml:space="preserve">The median </w:t>
      </w:r>
      <w:r w:rsidR="000C0C33" w:rsidRPr="00191108">
        <w:rPr>
          <w:rFonts w:cstheme="minorHAnsi"/>
          <w:sz w:val="24"/>
          <w:szCs w:val="24"/>
        </w:rPr>
        <w:t xml:space="preserve">participation </w:t>
      </w:r>
      <w:r w:rsidR="000235DC" w:rsidRPr="00191108">
        <w:rPr>
          <w:rFonts w:cstheme="minorHAnsi"/>
          <w:sz w:val="24"/>
          <w:szCs w:val="24"/>
        </w:rPr>
        <w:t xml:space="preserve">pre-score </w:t>
      </w:r>
      <w:r w:rsidR="00C52F24" w:rsidRPr="00191108">
        <w:rPr>
          <w:rFonts w:cstheme="minorHAnsi"/>
          <w:sz w:val="24"/>
          <w:szCs w:val="24"/>
        </w:rPr>
        <w:t xml:space="preserve">and </w:t>
      </w:r>
      <w:r w:rsidR="000235DC" w:rsidRPr="00191108">
        <w:rPr>
          <w:rFonts w:cstheme="minorHAnsi"/>
          <w:sz w:val="24"/>
          <w:szCs w:val="24"/>
        </w:rPr>
        <w:t>post score is 3.5</w:t>
      </w:r>
      <w:r w:rsidR="00D63DFD" w:rsidRPr="00191108">
        <w:rPr>
          <w:rFonts w:cstheme="minorHAnsi"/>
          <w:sz w:val="24"/>
          <w:szCs w:val="24"/>
        </w:rPr>
        <w:t xml:space="preserve"> showing no clinically significant change</w:t>
      </w:r>
      <w:r w:rsidR="000235DC" w:rsidRPr="00191108">
        <w:rPr>
          <w:rFonts w:cstheme="minorHAnsi"/>
          <w:sz w:val="24"/>
          <w:szCs w:val="24"/>
        </w:rPr>
        <w:t xml:space="preserve">. </w:t>
      </w:r>
    </w:p>
    <w:p w14:paraId="743166E1" w14:textId="4324415B" w:rsidR="00235173" w:rsidRPr="00191108" w:rsidRDefault="00235173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i/>
          <w:iCs/>
          <w:sz w:val="24"/>
          <w:szCs w:val="24"/>
        </w:rPr>
        <w:t>Wellbeing</w:t>
      </w:r>
      <w:r w:rsidR="00DF5426" w:rsidRPr="00191108">
        <w:rPr>
          <w:rFonts w:cstheme="minorHAnsi"/>
          <w:i/>
          <w:iCs/>
          <w:sz w:val="24"/>
          <w:szCs w:val="24"/>
        </w:rPr>
        <w:t xml:space="preserve"> Client</w:t>
      </w:r>
    </w:p>
    <w:p w14:paraId="54CBA88D" w14:textId="35B81ACD" w:rsidR="001F798C" w:rsidRPr="00191108" w:rsidRDefault="00513F53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The wellbeing domain</w:t>
      </w:r>
      <w:r w:rsidR="00992CE2" w:rsidRPr="00191108">
        <w:rPr>
          <w:rFonts w:cstheme="minorHAnsi"/>
          <w:sz w:val="24"/>
          <w:szCs w:val="24"/>
        </w:rPr>
        <w:t xml:space="preserve"> is scored for all clients in the service and is </w:t>
      </w:r>
      <w:r w:rsidR="00257F45" w:rsidRPr="00191108">
        <w:rPr>
          <w:rFonts w:cstheme="minorHAnsi"/>
          <w:sz w:val="24"/>
          <w:szCs w:val="24"/>
        </w:rPr>
        <w:t>an optional score for carers</w:t>
      </w:r>
      <w:r w:rsidR="00B842D6" w:rsidRPr="00191108">
        <w:rPr>
          <w:rFonts w:cstheme="minorHAnsi"/>
          <w:sz w:val="24"/>
          <w:szCs w:val="24"/>
        </w:rPr>
        <w:t xml:space="preserve"> as not all clients will be able to identify a carer</w:t>
      </w:r>
      <w:r w:rsidR="00257F45" w:rsidRPr="00191108">
        <w:rPr>
          <w:rFonts w:cstheme="minorHAnsi"/>
          <w:sz w:val="24"/>
          <w:szCs w:val="24"/>
        </w:rPr>
        <w:t>.</w:t>
      </w:r>
      <w:r w:rsidR="00537E76" w:rsidRPr="00191108">
        <w:rPr>
          <w:rFonts w:cstheme="minorHAnsi"/>
          <w:sz w:val="24"/>
          <w:szCs w:val="24"/>
        </w:rPr>
        <w:t xml:space="preserve"> </w:t>
      </w:r>
      <w:r w:rsidR="00877C2D" w:rsidRPr="00191108">
        <w:rPr>
          <w:rFonts w:cstheme="minorHAnsi"/>
          <w:sz w:val="24"/>
          <w:szCs w:val="24"/>
        </w:rPr>
        <w:t xml:space="preserve">Figure 3 demonstrates the improvement noted in paired TOM client wellbeing scores. </w:t>
      </w:r>
      <w:r w:rsidR="00257F45" w:rsidRPr="00191108">
        <w:rPr>
          <w:rFonts w:cstheme="minorHAnsi"/>
          <w:sz w:val="24"/>
          <w:szCs w:val="24"/>
        </w:rPr>
        <w:t xml:space="preserve"> </w:t>
      </w:r>
      <w:r w:rsidR="00537E76" w:rsidRPr="00191108">
        <w:rPr>
          <w:rFonts w:cstheme="minorHAnsi"/>
          <w:sz w:val="24"/>
          <w:szCs w:val="24"/>
        </w:rPr>
        <w:t xml:space="preserve">Wellbeing </w:t>
      </w:r>
      <w:r w:rsidRPr="00191108">
        <w:rPr>
          <w:rFonts w:cstheme="minorHAnsi"/>
          <w:sz w:val="24"/>
          <w:szCs w:val="24"/>
        </w:rPr>
        <w:t xml:space="preserve">is associated with </w:t>
      </w:r>
      <w:r w:rsidR="002D4807" w:rsidRPr="00191108">
        <w:rPr>
          <w:rFonts w:cstheme="minorHAnsi"/>
          <w:sz w:val="24"/>
          <w:szCs w:val="24"/>
        </w:rPr>
        <w:t>feelings and emotions, burden</w:t>
      </w:r>
      <w:r w:rsidR="00D10B73" w:rsidRPr="00191108">
        <w:rPr>
          <w:rFonts w:cstheme="minorHAnsi"/>
          <w:sz w:val="24"/>
          <w:szCs w:val="24"/>
        </w:rPr>
        <w:t>s</w:t>
      </w:r>
      <w:r w:rsidR="002D4807" w:rsidRPr="00191108">
        <w:rPr>
          <w:rFonts w:cstheme="minorHAnsi"/>
          <w:sz w:val="24"/>
          <w:szCs w:val="24"/>
        </w:rPr>
        <w:t xml:space="preserve"> of care</w:t>
      </w:r>
      <w:r w:rsidR="00537E76" w:rsidRPr="00191108">
        <w:rPr>
          <w:rFonts w:cstheme="minorHAnsi"/>
          <w:sz w:val="24"/>
          <w:szCs w:val="24"/>
        </w:rPr>
        <w:t xml:space="preserve">, </w:t>
      </w:r>
      <w:r w:rsidR="002D4807" w:rsidRPr="00191108">
        <w:rPr>
          <w:rFonts w:cstheme="minorHAnsi"/>
          <w:sz w:val="24"/>
          <w:szCs w:val="24"/>
        </w:rPr>
        <w:t>upset</w:t>
      </w:r>
      <w:r w:rsidR="00D10B73" w:rsidRPr="00191108">
        <w:rPr>
          <w:rFonts w:cstheme="minorHAnsi"/>
          <w:sz w:val="24"/>
          <w:szCs w:val="24"/>
        </w:rPr>
        <w:t>/</w:t>
      </w:r>
      <w:r w:rsidR="002D4807" w:rsidRPr="00191108">
        <w:rPr>
          <w:rFonts w:cstheme="minorHAnsi"/>
          <w:sz w:val="24"/>
          <w:szCs w:val="24"/>
        </w:rPr>
        <w:t>anxiety</w:t>
      </w:r>
      <w:r w:rsidR="006D6F4D" w:rsidRPr="00191108">
        <w:rPr>
          <w:rFonts w:cstheme="minorHAnsi"/>
          <w:sz w:val="24"/>
          <w:szCs w:val="24"/>
        </w:rPr>
        <w:t>/frustration/embarrassment/</w:t>
      </w:r>
      <w:proofErr w:type="gramStart"/>
      <w:r w:rsidR="006D6F4D" w:rsidRPr="00191108">
        <w:rPr>
          <w:rFonts w:cstheme="minorHAnsi"/>
          <w:sz w:val="24"/>
          <w:szCs w:val="24"/>
        </w:rPr>
        <w:t>withdrawal</w:t>
      </w:r>
      <w:proofErr w:type="gramEnd"/>
      <w:r w:rsidR="006D6F4D" w:rsidRPr="00191108">
        <w:rPr>
          <w:rFonts w:cstheme="minorHAnsi"/>
          <w:sz w:val="24"/>
          <w:szCs w:val="24"/>
        </w:rPr>
        <w:t xml:space="preserve"> </w:t>
      </w:r>
      <w:r w:rsidR="002D4807" w:rsidRPr="00191108">
        <w:rPr>
          <w:rFonts w:cstheme="minorHAnsi"/>
          <w:sz w:val="24"/>
          <w:szCs w:val="24"/>
        </w:rPr>
        <w:t xml:space="preserve">and level of distress. </w:t>
      </w:r>
      <w:r w:rsidR="009B59E6" w:rsidRPr="00191108">
        <w:rPr>
          <w:rFonts w:cstheme="minorHAnsi"/>
          <w:sz w:val="24"/>
          <w:szCs w:val="24"/>
        </w:rPr>
        <w:t xml:space="preserve">Wellbeing/distress is measured in severity and frequency. A profound score (0) </w:t>
      </w:r>
      <w:r w:rsidR="003A6C71" w:rsidRPr="00191108">
        <w:rPr>
          <w:rFonts w:cstheme="minorHAnsi"/>
          <w:sz w:val="24"/>
          <w:szCs w:val="24"/>
        </w:rPr>
        <w:t xml:space="preserve">descriptor is </w:t>
      </w:r>
      <w:r w:rsidR="00992CE2" w:rsidRPr="00191108">
        <w:rPr>
          <w:rFonts w:cstheme="minorHAnsi"/>
          <w:sz w:val="24"/>
          <w:szCs w:val="24"/>
        </w:rPr>
        <w:t xml:space="preserve">a client or carer </w:t>
      </w:r>
      <w:r w:rsidR="00B842D6" w:rsidRPr="00191108">
        <w:rPr>
          <w:rFonts w:cstheme="minorHAnsi"/>
          <w:sz w:val="24"/>
          <w:szCs w:val="24"/>
        </w:rPr>
        <w:t xml:space="preserve">with </w:t>
      </w:r>
      <w:r w:rsidR="003A6C71" w:rsidRPr="00191108">
        <w:rPr>
          <w:rFonts w:cstheme="minorHAnsi"/>
          <w:sz w:val="24"/>
          <w:szCs w:val="24"/>
        </w:rPr>
        <w:t xml:space="preserve">constant </w:t>
      </w:r>
      <w:r w:rsidR="00645865" w:rsidRPr="00191108">
        <w:rPr>
          <w:rFonts w:cstheme="minorHAnsi"/>
          <w:sz w:val="24"/>
          <w:szCs w:val="24"/>
        </w:rPr>
        <w:t xml:space="preserve">levels of distress. A normal score (5) on the ordinal scale descriptor is </w:t>
      </w:r>
      <w:r w:rsidR="00B842D6" w:rsidRPr="00191108">
        <w:rPr>
          <w:rFonts w:cstheme="minorHAnsi"/>
          <w:sz w:val="24"/>
          <w:szCs w:val="24"/>
        </w:rPr>
        <w:t>a well-adjusted</w:t>
      </w:r>
      <w:r w:rsidR="00C979B9" w:rsidRPr="00191108">
        <w:rPr>
          <w:rFonts w:cstheme="minorHAnsi"/>
          <w:sz w:val="24"/>
          <w:szCs w:val="24"/>
        </w:rPr>
        <w:t xml:space="preserve"> client</w:t>
      </w:r>
      <w:r w:rsidR="00537E76" w:rsidRPr="00191108">
        <w:rPr>
          <w:rFonts w:cstheme="minorHAnsi"/>
          <w:sz w:val="24"/>
          <w:szCs w:val="24"/>
        </w:rPr>
        <w:t>/carer</w:t>
      </w:r>
      <w:r w:rsidR="00645865" w:rsidRPr="00191108">
        <w:rPr>
          <w:rFonts w:cstheme="minorHAnsi"/>
          <w:sz w:val="24"/>
          <w:szCs w:val="24"/>
        </w:rPr>
        <w:t>, stable and able to cope emotionally. A</w:t>
      </w:r>
      <w:r w:rsidR="00820C00" w:rsidRPr="00191108">
        <w:rPr>
          <w:rFonts w:cstheme="minorHAnsi"/>
          <w:sz w:val="24"/>
          <w:szCs w:val="24"/>
        </w:rPr>
        <w:t xml:space="preserve"> </w:t>
      </w:r>
      <w:r w:rsidR="004D1645" w:rsidRPr="00191108">
        <w:rPr>
          <w:rFonts w:cstheme="minorHAnsi"/>
          <w:sz w:val="24"/>
          <w:szCs w:val="24"/>
        </w:rPr>
        <w:t xml:space="preserve">moderate </w:t>
      </w:r>
      <w:r w:rsidR="00820C00" w:rsidRPr="00191108">
        <w:rPr>
          <w:rFonts w:cstheme="minorHAnsi"/>
          <w:sz w:val="24"/>
          <w:szCs w:val="24"/>
        </w:rPr>
        <w:t xml:space="preserve">score </w:t>
      </w:r>
      <w:r w:rsidR="004D1645" w:rsidRPr="00191108">
        <w:rPr>
          <w:rFonts w:cstheme="minorHAnsi"/>
          <w:sz w:val="24"/>
          <w:szCs w:val="24"/>
        </w:rPr>
        <w:t>(</w:t>
      </w:r>
      <w:r w:rsidR="00820C00" w:rsidRPr="00191108">
        <w:rPr>
          <w:rFonts w:cstheme="minorHAnsi"/>
          <w:sz w:val="24"/>
          <w:szCs w:val="24"/>
        </w:rPr>
        <w:t>3</w:t>
      </w:r>
      <w:r w:rsidR="004D1645" w:rsidRPr="00191108">
        <w:rPr>
          <w:rFonts w:cstheme="minorHAnsi"/>
          <w:sz w:val="24"/>
          <w:szCs w:val="24"/>
        </w:rPr>
        <w:t>)</w:t>
      </w:r>
      <w:r w:rsidR="00820C00" w:rsidRPr="00191108">
        <w:rPr>
          <w:rFonts w:cstheme="minorHAnsi"/>
          <w:sz w:val="24"/>
          <w:szCs w:val="24"/>
        </w:rPr>
        <w:t xml:space="preserve"> is moderate and frequent level</w:t>
      </w:r>
      <w:r w:rsidR="004D1645" w:rsidRPr="00191108">
        <w:rPr>
          <w:rFonts w:cstheme="minorHAnsi"/>
          <w:sz w:val="24"/>
          <w:szCs w:val="24"/>
        </w:rPr>
        <w:t>s</w:t>
      </w:r>
      <w:r w:rsidR="006314B5" w:rsidRPr="00191108">
        <w:rPr>
          <w:rFonts w:cstheme="minorHAnsi"/>
          <w:sz w:val="24"/>
          <w:szCs w:val="24"/>
        </w:rPr>
        <w:t xml:space="preserve"> of distress; </w:t>
      </w:r>
      <w:r w:rsidR="00C979B9" w:rsidRPr="00191108">
        <w:rPr>
          <w:rFonts w:cstheme="minorHAnsi"/>
          <w:sz w:val="24"/>
          <w:szCs w:val="24"/>
        </w:rPr>
        <w:t xml:space="preserve">client </w:t>
      </w:r>
      <w:r w:rsidR="00537E76" w:rsidRPr="00191108">
        <w:rPr>
          <w:rFonts w:cstheme="minorHAnsi"/>
          <w:sz w:val="24"/>
          <w:szCs w:val="24"/>
        </w:rPr>
        <w:t xml:space="preserve">or carer </w:t>
      </w:r>
      <w:r w:rsidR="006314B5" w:rsidRPr="00191108">
        <w:rPr>
          <w:rFonts w:cstheme="minorHAnsi"/>
          <w:sz w:val="24"/>
          <w:szCs w:val="24"/>
        </w:rPr>
        <w:t xml:space="preserve">can control emotions on some situations with support. </w:t>
      </w:r>
      <w:r w:rsidR="00CF385F" w:rsidRPr="00191108">
        <w:rPr>
          <w:rFonts w:cstheme="minorHAnsi"/>
          <w:sz w:val="24"/>
          <w:szCs w:val="24"/>
        </w:rPr>
        <w:t>In adult social care, wellbeing would be expected to improve for clients and carer</w:t>
      </w:r>
      <w:r w:rsidR="00575B00" w:rsidRPr="00191108">
        <w:rPr>
          <w:rFonts w:cstheme="minorHAnsi"/>
          <w:sz w:val="24"/>
          <w:szCs w:val="24"/>
        </w:rPr>
        <w:t xml:space="preserve">s </w:t>
      </w:r>
      <w:r w:rsidR="00537E76" w:rsidRPr="00191108">
        <w:rPr>
          <w:rFonts w:cstheme="minorHAnsi"/>
          <w:sz w:val="24"/>
          <w:szCs w:val="24"/>
        </w:rPr>
        <w:t xml:space="preserve">following occupational therapy, </w:t>
      </w:r>
      <w:r w:rsidR="00575B00" w:rsidRPr="00191108">
        <w:rPr>
          <w:rFonts w:cstheme="minorHAnsi"/>
          <w:sz w:val="24"/>
          <w:szCs w:val="24"/>
        </w:rPr>
        <w:t>due to the type of interventions given to relieve burden</w:t>
      </w:r>
      <w:r w:rsidR="00D2519A" w:rsidRPr="00191108">
        <w:rPr>
          <w:rFonts w:cstheme="minorHAnsi"/>
          <w:sz w:val="24"/>
          <w:szCs w:val="24"/>
        </w:rPr>
        <w:t>s</w:t>
      </w:r>
      <w:r w:rsidR="00537E76" w:rsidRPr="00191108">
        <w:rPr>
          <w:rFonts w:cstheme="minorHAnsi"/>
          <w:sz w:val="24"/>
          <w:szCs w:val="24"/>
        </w:rPr>
        <w:t>. Examples include moving and handling advice</w:t>
      </w:r>
      <w:r w:rsidR="00877C2D" w:rsidRPr="00191108">
        <w:rPr>
          <w:rFonts w:cstheme="minorHAnsi"/>
          <w:sz w:val="24"/>
          <w:szCs w:val="24"/>
        </w:rPr>
        <w:t xml:space="preserve"> and teaching,</w:t>
      </w:r>
      <w:r w:rsidR="00537E76" w:rsidRPr="00191108">
        <w:rPr>
          <w:rFonts w:cstheme="minorHAnsi"/>
          <w:sz w:val="24"/>
          <w:szCs w:val="24"/>
        </w:rPr>
        <w:t xml:space="preserve"> equipment provision, reco</w:t>
      </w:r>
      <w:r w:rsidR="00D2519A" w:rsidRPr="00191108">
        <w:rPr>
          <w:rFonts w:cstheme="minorHAnsi"/>
          <w:sz w:val="24"/>
          <w:szCs w:val="24"/>
        </w:rPr>
        <w:t xml:space="preserve">mmendations for assistive technology to maintain client safety in the home, </w:t>
      </w:r>
      <w:r w:rsidR="00877C2D" w:rsidRPr="00191108">
        <w:rPr>
          <w:rFonts w:cstheme="minorHAnsi"/>
          <w:sz w:val="24"/>
          <w:szCs w:val="24"/>
        </w:rPr>
        <w:t xml:space="preserve">or </w:t>
      </w:r>
      <w:r w:rsidR="009D4DD8" w:rsidRPr="00191108">
        <w:rPr>
          <w:rFonts w:cstheme="minorHAnsi"/>
          <w:sz w:val="24"/>
          <w:szCs w:val="24"/>
        </w:rPr>
        <w:lastRenderedPageBreak/>
        <w:t>provision of rails to reduce frequency of falls</w:t>
      </w:r>
      <w:r w:rsidR="00877C2D" w:rsidRPr="00191108">
        <w:rPr>
          <w:rFonts w:cstheme="minorHAnsi"/>
          <w:sz w:val="24"/>
          <w:szCs w:val="24"/>
        </w:rPr>
        <w:t>.</w:t>
      </w:r>
      <w:r w:rsidR="007C5A62" w:rsidRPr="00191108">
        <w:rPr>
          <w:rFonts w:cstheme="minorHAnsi"/>
          <w:sz w:val="24"/>
          <w:szCs w:val="24"/>
        </w:rPr>
        <w:t xml:space="preserve"> </w:t>
      </w:r>
      <w:r w:rsidR="00D63DFD" w:rsidRPr="00191108">
        <w:rPr>
          <w:rFonts w:cstheme="minorHAnsi"/>
          <w:sz w:val="24"/>
          <w:szCs w:val="24"/>
        </w:rPr>
        <w:t>T</w:t>
      </w:r>
      <w:r w:rsidR="001F798C" w:rsidRPr="00191108">
        <w:rPr>
          <w:rFonts w:cstheme="minorHAnsi"/>
          <w:sz w:val="24"/>
          <w:szCs w:val="24"/>
        </w:rPr>
        <w:t xml:space="preserve">able </w:t>
      </w:r>
      <w:r w:rsidR="00D63DFD" w:rsidRPr="00191108">
        <w:rPr>
          <w:rFonts w:cstheme="minorHAnsi"/>
          <w:sz w:val="24"/>
          <w:szCs w:val="24"/>
        </w:rPr>
        <w:t xml:space="preserve">4 </w:t>
      </w:r>
      <w:r w:rsidR="001F798C" w:rsidRPr="00191108">
        <w:rPr>
          <w:rFonts w:cstheme="minorHAnsi"/>
          <w:sz w:val="24"/>
          <w:szCs w:val="24"/>
        </w:rPr>
        <w:t xml:space="preserve">demonstrates 50% of </w:t>
      </w:r>
      <w:r w:rsidR="00CB13D7" w:rsidRPr="00191108">
        <w:rPr>
          <w:rFonts w:cstheme="minorHAnsi"/>
          <w:sz w:val="24"/>
          <w:szCs w:val="24"/>
        </w:rPr>
        <w:t>client’s</w:t>
      </w:r>
      <w:r w:rsidR="001F798C" w:rsidRPr="00191108">
        <w:rPr>
          <w:rFonts w:cstheme="minorHAnsi"/>
          <w:sz w:val="24"/>
          <w:szCs w:val="24"/>
        </w:rPr>
        <w:t xml:space="preserve"> wellbeing score</w:t>
      </w:r>
      <w:r w:rsidR="009C04E1" w:rsidRPr="00191108">
        <w:rPr>
          <w:rFonts w:cstheme="minorHAnsi"/>
          <w:sz w:val="24"/>
          <w:szCs w:val="24"/>
        </w:rPr>
        <w:t>s improved</w:t>
      </w:r>
      <w:r w:rsidR="00537E76" w:rsidRPr="00191108">
        <w:rPr>
          <w:rFonts w:cstheme="minorHAnsi"/>
          <w:sz w:val="24"/>
          <w:szCs w:val="24"/>
        </w:rPr>
        <w:t xml:space="preserve"> following occupational therapy</w:t>
      </w:r>
      <w:r w:rsidR="00D63DFD" w:rsidRPr="00191108">
        <w:rPr>
          <w:rFonts w:cstheme="minorHAnsi"/>
          <w:sz w:val="24"/>
          <w:szCs w:val="24"/>
        </w:rPr>
        <w:t xml:space="preserve">. </w:t>
      </w:r>
      <w:r w:rsidR="00276796" w:rsidRPr="00191108">
        <w:rPr>
          <w:rFonts w:cstheme="minorHAnsi"/>
          <w:sz w:val="24"/>
          <w:szCs w:val="24"/>
        </w:rPr>
        <w:t>The median</w:t>
      </w:r>
      <w:r w:rsidR="008C3910" w:rsidRPr="00191108">
        <w:rPr>
          <w:rFonts w:cstheme="minorHAnsi"/>
          <w:sz w:val="24"/>
          <w:szCs w:val="24"/>
        </w:rPr>
        <w:t xml:space="preserve"> client wellbeing score is 3.5 and post score is 4</w:t>
      </w:r>
      <w:r w:rsidR="00F57219" w:rsidRPr="00191108">
        <w:rPr>
          <w:rFonts w:cstheme="minorHAnsi"/>
          <w:sz w:val="24"/>
          <w:szCs w:val="24"/>
        </w:rPr>
        <w:t>, again showing clinically significant change</w:t>
      </w:r>
      <w:r w:rsidR="008C3910" w:rsidRPr="00191108">
        <w:rPr>
          <w:rFonts w:cstheme="minorHAnsi"/>
          <w:sz w:val="24"/>
          <w:szCs w:val="24"/>
        </w:rPr>
        <w:t xml:space="preserve">. </w:t>
      </w:r>
      <w:r w:rsidR="008B73E3" w:rsidRPr="00191108">
        <w:rPr>
          <w:rFonts w:cstheme="minorHAnsi"/>
          <w:sz w:val="24"/>
          <w:szCs w:val="24"/>
        </w:rPr>
        <w:t xml:space="preserve">Further data analysis </w:t>
      </w:r>
      <w:r w:rsidR="0044324E" w:rsidRPr="00191108">
        <w:rPr>
          <w:rFonts w:cstheme="minorHAnsi"/>
          <w:sz w:val="24"/>
          <w:szCs w:val="24"/>
        </w:rPr>
        <w:t>of the dataset showed</w:t>
      </w:r>
      <w:r w:rsidR="00F57219" w:rsidRPr="00191108">
        <w:rPr>
          <w:rFonts w:cstheme="minorHAnsi"/>
          <w:sz w:val="24"/>
          <w:szCs w:val="24"/>
        </w:rPr>
        <w:t xml:space="preserve"> impact</w:t>
      </w:r>
      <w:r w:rsidR="0044324E" w:rsidRPr="00191108">
        <w:rPr>
          <w:rFonts w:cstheme="minorHAnsi"/>
          <w:sz w:val="24"/>
          <w:szCs w:val="24"/>
        </w:rPr>
        <w:t xml:space="preserve"> </w:t>
      </w:r>
      <w:r w:rsidR="00537E76" w:rsidRPr="00191108">
        <w:rPr>
          <w:rFonts w:cstheme="minorHAnsi"/>
          <w:sz w:val="24"/>
          <w:szCs w:val="24"/>
        </w:rPr>
        <w:t>for</w:t>
      </w:r>
      <w:r w:rsidR="008B73E3" w:rsidRPr="00191108">
        <w:rPr>
          <w:rFonts w:cstheme="minorHAnsi"/>
          <w:sz w:val="24"/>
          <w:szCs w:val="24"/>
        </w:rPr>
        <w:t xml:space="preserve"> clients with mental health condition</w:t>
      </w:r>
      <w:r w:rsidR="00CB13D7" w:rsidRPr="00191108">
        <w:rPr>
          <w:rFonts w:cstheme="minorHAnsi"/>
          <w:sz w:val="24"/>
          <w:szCs w:val="24"/>
        </w:rPr>
        <w:t>s</w:t>
      </w:r>
      <w:r w:rsidR="0044324E" w:rsidRPr="00191108">
        <w:rPr>
          <w:rFonts w:cstheme="minorHAnsi"/>
          <w:sz w:val="24"/>
          <w:szCs w:val="24"/>
        </w:rPr>
        <w:t>,</w:t>
      </w:r>
      <w:r w:rsidR="00CB13D7" w:rsidRPr="00191108">
        <w:rPr>
          <w:rFonts w:cstheme="minorHAnsi"/>
          <w:sz w:val="24"/>
          <w:szCs w:val="24"/>
        </w:rPr>
        <w:t xml:space="preserve"> (</w:t>
      </w:r>
      <w:r w:rsidR="00CB13D7" w:rsidRPr="00191108">
        <w:rPr>
          <w:rFonts w:cstheme="minorHAnsi"/>
          <w:i/>
          <w:iCs/>
          <w:sz w:val="24"/>
          <w:szCs w:val="24"/>
        </w:rPr>
        <w:t>n</w:t>
      </w:r>
      <w:r w:rsidR="00CB13D7" w:rsidRPr="00191108">
        <w:rPr>
          <w:rFonts w:cstheme="minorHAnsi"/>
          <w:sz w:val="24"/>
          <w:szCs w:val="24"/>
        </w:rPr>
        <w:t>=11)</w:t>
      </w:r>
      <w:r w:rsidR="005B7176" w:rsidRPr="00191108">
        <w:rPr>
          <w:rFonts w:cstheme="minorHAnsi"/>
          <w:sz w:val="24"/>
          <w:szCs w:val="24"/>
        </w:rPr>
        <w:t xml:space="preserve"> 45%</w:t>
      </w:r>
      <w:r w:rsidR="00CB13D7" w:rsidRPr="00191108">
        <w:rPr>
          <w:rFonts w:cstheme="minorHAnsi"/>
          <w:sz w:val="24"/>
          <w:szCs w:val="24"/>
        </w:rPr>
        <w:t xml:space="preserve"> </w:t>
      </w:r>
      <w:r w:rsidR="005B7176" w:rsidRPr="00191108">
        <w:rPr>
          <w:rFonts w:cstheme="minorHAnsi"/>
          <w:sz w:val="24"/>
          <w:szCs w:val="24"/>
        </w:rPr>
        <w:t>improved in their wellbeing following occupational therapy intervention with 55% remaining the same</w:t>
      </w:r>
      <w:r w:rsidR="0044324E" w:rsidRPr="00191108">
        <w:rPr>
          <w:rFonts w:cstheme="minorHAnsi"/>
          <w:sz w:val="24"/>
          <w:szCs w:val="24"/>
        </w:rPr>
        <w:t>.</w:t>
      </w:r>
    </w:p>
    <w:p w14:paraId="6C966A15" w14:textId="36967B6D" w:rsidR="00DF5426" w:rsidRPr="00191108" w:rsidRDefault="00DF5426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91108">
        <w:rPr>
          <w:rFonts w:cstheme="minorHAnsi"/>
          <w:i/>
          <w:iCs/>
          <w:sz w:val="24"/>
          <w:szCs w:val="24"/>
        </w:rPr>
        <w:t>Wellbeing Carer</w:t>
      </w:r>
    </w:p>
    <w:p w14:paraId="62BCEB79" w14:textId="32FE3EAE" w:rsidR="0085163C" w:rsidRPr="00191108" w:rsidRDefault="00F57219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Figure </w:t>
      </w:r>
      <w:r w:rsidR="00B842D6" w:rsidRPr="00191108">
        <w:rPr>
          <w:rFonts w:cstheme="minorHAnsi"/>
          <w:sz w:val="24"/>
          <w:szCs w:val="24"/>
        </w:rPr>
        <w:t>3 also</w:t>
      </w:r>
      <w:r w:rsidRPr="00191108">
        <w:rPr>
          <w:rFonts w:cstheme="minorHAnsi"/>
          <w:sz w:val="24"/>
          <w:szCs w:val="24"/>
        </w:rPr>
        <w:t xml:space="preserve"> indicates spread of changes in TOM paired scores for carer wellbeing. </w:t>
      </w:r>
      <w:r w:rsidR="00874C9A" w:rsidRPr="00191108">
        <w:rPr>
          <w:rFonts w:cstheme="minorHAnsi"/>
          <w:sz w:val="24"/>
          <w:szCs w:val="24"/>
        </w:rPr>
        <w:t xml:space="preserve">11/70 cases showed a carer wellbeing score (16%), which indicates a small sample so should be interpreted with caution. </w:t>
      </w:r>
      <w:r w:rsidR="00E5682F" w:rsidRPr="00191108">
        <w:rPr>
          <w:rFonts w:cstheme="minorHAnsi"/>
          <w:sz w:val="24"/>
          <w:szCs w:val="24"/>
        </w:rPr>
        <w:t xml:space="preserve">The same </w:t>
      </w:r>
      <w:r w:rsidR="00734DA3" w:rsidRPr="00191108">
        <w:rPr>
          <w:rFonts w:cstheme="minorHAnsi"/>
          <w:sz w:val="24"/>
          <w:szCs w:val="24"/>
        </w:rPr>
        <w:t xml:space="preserve">TOM </w:t>
      </w:r>
      <w:r w:rsidR="00E5682F" w:rsidRPr="00191108">
        <w:rPr>
          <w:rFonts w:cstheme="minorHAnsi"/>
          <w:sz w:val="24"/>
          <w:szCs w:val="24"/>
        </w:rPr>
        <w:t>descriptors are used for the carer and client wellbeing scores.</w:t>
      </w:r>
      <w:r w:rsidR="007542CA" w:rsidRPr="00191108">
        <w:rPr>
          <w:rFonts w:cstheme="minorHAnsi"/>
          <w:sz w:val="24"/>
          <w:szCs w:val="24"/>
        </w:rPr>
        <w:t xml:space="preserve"> The service</w:t>
      </w:r>
      <w:r w:rsidR="008E7E68" w:rsidRPr="00191108">
        <w:rPr>
          <w:rFonts w:cstheme="minorHAnsi"/>
          <w:sz w:val="24"/>
          <w:szCs w:val="24"/>
        </w:rPr>
        <w:t xml:space="preserve"> takes </w:t>
      </w:r>
      <w:r w:rsidR="00734DA3" w:rsidRPr="00191108">
        <w:rPr>
          <w:rFonts w:cstheme="minorHAnsi"/>
          <w:sz w:val="24"/>
          <w:szCs w:val="24"/>
        </w:rPr>
        <w:t>many</w:t>
      </w:r>
      <w:r w:rsidR="008E7E68" w:rsidRPr="00191108">
        <w:rPr>
          <w:rFonts w:cstheme="minorHAnsi"/>
          <w:sz w:val="24"/>
          <w:szCs w:val="24"/>
        </w:rPr>
        <w:t xml:space="preserve"> referrals from </w:t>
      </w:r>
      <w:r w:rsidR="002442E9" w:rsidRPr="00191108">
        <w:rPr>
          <w:rFonts w:cstheme="minorHAnsi"/>
          <w:sz w:val="24"/>
          <w:szCs w:val="24"/>
        </w:rPr>
        <w:t>formal and informal carers</w:t>
      </w:r>
      <w:r w:rsidR="00DF7672" w:rsidRPr="00191108">
        <w:rPr>
          <w:rFonts w:cstheme="minorHAnsi"/>
          <w:sz w:val="24"/>
          <w:szCs w:val="24"/>
        </w:rPr>
        <w:t xml:space="preserve"> </w:t>
      </w:r>
      <w:r w:rsidR="008E7E68" w:rsidRPr="00191108">
        <w:rPr>
          <w:rFonts w:cstheme="minorHAnsi"/>
          <w:sz w:val="24"/>
          <w:szCs w:val="24"/>
        </w:rPr>
        <w:t>for</w:t>
      </w:r>
      <w:r w:rsidR="00DF7672" w:rsidRPr="00191108">
        <w:rPr>
          <w:rFonts w:cstheme="minorHAnsi"/>
          <w:sz w:val="24"/>
          <w:szCs w:val="24"/>
        </w:rPr>
        <w:t xml:space="preserve"> collaborative moving and handling work, </w:t>
      </w:r>
      <w:r w:rsidR="007156A8" w:rsidRPr="00191108">
        <w:rPr>
          <w:rFonts w:cstheme="minorHAnsi"/>
          <w:sz w:val="24"/>
          <w:szCs w:val="24"/>
        </w:rPr>
        <w:t xml:space="preserve">liaison with carers regarding major adaptation, seating provision and </w:t>
      </w:r>
      <w:r w:rsidR="00834B3F" w:rsidRPr="00191108">
        <w:rPr>
          <w:rFonts w:cstheme="minorHAnsi"/>
          <w:sz w:val="24"/>
          <w:szCs w:val="24"/>
        </w:rPr>
        <w:t xml:space="preserve">provision of </w:t>
      </w:r>
      <w:r w:rsidR="00874C9A" w:rsidRPr="00191108">
        <w:rPr>
          <w:rFonts w:cstheme="minorHAnsi"/>
          <w:sz w:val="24"/>
          <w:szCs w:val="24"/>
        </w:rPr>
        <w:t>minor</w:t>
      </w:r>
      <w:r w:rsidR="00834B3F" w:rsidRPr="00191108">
        <w:rPr>
          <w:rFonts w:cstheme="minorHAnsi"/>
          <w:sz w:val="24"/>
          <w:szCs w:val="24"/>
        </w:rPr>
        <w:t xml:space="preserve"> equipment and adaptations</w:t>
      </w:r>
      <w:r w:rsidR="00B842D6" w:rsidRPr="00191108">
        <w:rPr>
          <w:rFonts w:cstheme="minorHAnsi"/>
          <w:sz w:val="24"/>
          <w:szCs w:val="24"/>
        </w:rPr>
        <w:t xml:space="preserve"> </w:t>
      </w:r>
      <w:r w:rsidR="00874C9A" w:rsidRPr="00191108">
        <w:rPr>
          <w:rFonts w:cstheme="minorHAnsi"/>
          <w:sz w:val="24"/>
          <w:szCs w:val="24"/>
        </w:rPr>
        <w:t>plus</w:t>
      </w:r>
      <w:r w:rsidR="00B842D6" w:rsidRPr="00191108">
        <w:rPr>
          <w:rFonts w:cstheme="minorHAnsi"/>
          <w:sz w:val="24"/>
          <w:szCs w:val="24"/>
        </w:rPr>
        <w:t xml:space="preserve"> assistive technology</w:t>
      </w:r>
      <w:r w:rsidR="002442E9" w:rsidRPr="00191108">
        <w:rPr>
          <w:rFonts w:cstheme="minorHAnsi"/>
          <w:sz w:val="24"/>
          <w:szCs w:val="24"/>
        </w:rPr>
        <w:t xml:space="preserve">. The TOM carer domain on liquid logic is </w:t>
      </w:r>
      <w:r w:rsidR="005D493D" w:rsidRPr="00191108">
        <w:rPr>
          <w:rFonts w:cstheme="minorHAnsi"/>
          <w:sz w:val="24"/>
          <w:szCs w:val="24"/>
        </w:rPr>
        <w:t xml:space="preserve">a non-mandatory </w:t>
      </w:r>
      <w:r w:rsidR="007B6729" w:rsidRPr="00191108">
        <w:rPr>
          <w:rFonts w:cstheme="minorHAnsi"/>
          <w:sz w:val="24"/>
          <w:szCs w:val="24"/>
        </w:rPr>
        <w:t xml:space="preserve">recording </w:t>
      </w:r>
      <w:r w:rsidR="005D493D" w:rsidRPr="00191108">
        <w:rPr>
          <w:rFonts w:cstheme="minorHAnsi"/>
          <w:sz w:val="24"/>
          <w:szCs w:val="24"/>
        </w:rPr>
        <w:t xml:space="preserve">field </w:t>
      </w:r>
      <w:r w:rsidR="007B6729" w:rsidRPr="00191108">
        <w:rPr>
          <w:rFonts w:cstheme="minorHAnsi"/>
          <w:sz w:val="24"/>
          <w:szCs w:val="24"/>
        </w:rPr>
        <w:t>for practitioner</w:t>
      </w:r>
      <w:r w:rsidR="007C0C3F" w:rsidRPr="00191108">
        <w:rPr>
          <w:rFonts w:cstheme="minorHAnsi"/>
          <w:sz w:val="24"/>
          <w:szCs w:val="24"/>
        </w:rPr>
        <w:t>s</w:t>
      </w:r>
      <w:r w:rsidR="007B6729" w:rsidRPr="00191108">
        <w:rPr>
          <w:rFonts w:cstheme="minorHAnsi"/>
          <w:sz w:val="24"/>
          <w:szCs w:val="24"/>
        </w:rPr>
        <w:t xml:space="preserve"> as</w:t>
      </w:r>
      <w:r w:rsidR="007C0C3F" w:rsidRPr="00191108">
        <w:rPr>
          <w:rFonts w:cstheme="minorHAnsi"/>
          <w:sz w:val="24"/>
          <w:szCs w:val="24"/>
        </w:rPr>
        <w:t xml:space="preserve"> a carer is not always identified.</w:t>
      </w:r>
      <w:r w:rsidR="00F92535" w:rsidRPr="00191108">
        <w:rPr>
          <w:rFonts w:cstheme="minorHAnsi"/>
          <w:sz w:val="24"/>
          <w:szCs w:val="24"/>
        </w:rPr>
        <w:t xml:space="preserve"> </w:t>
      </w:r>
      <w:r w:rsidR="00215A35" w:rsidRPr="00191108">
        <w:rPr>
          <w:rFonts w:cstheme="minorHAnsi"/>
          <w:sz w:val="24"/>
          <w:szCs w:val="24"/>
        </w:rPr>
        <w:t xml:space="preserve">79% of </w:t>
      </w:r>
      <w:r w:rsidR="001B6249" w:rsidRPr="00191108">
        <w:rPr>
          <w:rFonts w:cstheme="minorHAnsi"/>
          <w:sz w:val="24"/>
          <w:szCs w:val="24"/>
        </w:rPr>
        <w:t xml:space="preserve">sampled </w:t>
      </w:r>
      <w:r w:rsidR="00215A35" w:rsidRPr="00191108">
        <w:rPr>
          <w:rFonts w:cstheme="minorHAnsi"/>
          <w:sz w:val="24"/>
          <w:szCs w:val="24"/>
        </w:rPr>
        <w:t>carer wellbeing scores improved following intervention</w:t>
      </w:r>
      <w:r w:rsidR="001B6249" w:rsidRPr="00191108">
        <w:rPr>
          <w:rFonts w:cstheme="minorHAnsi"/>
          <w:sz w:val="24"/>
          <w:szCs w:val="24"/>
        </w:rPr>
        <w:t xml:space="preserve"> (Table 4). </w:t>
      </w:r>
      <w:r w:rsidR="008E26F2" w:rsidRPr="00191108">
        <w:rPr>
          <w:rFonts w:cstheme="minorHAnsi"/>
          <w:sz w:val="24"/>
          <w:szCs w:val="24"/>
        </w:rPr>
        <w:t xml:space="preserve"> The </w:t>
      </w:r>
      <w:r w:rsidR="00AE7B19" w:rsidRPr="00191108">
        <w:rPr>
          <w:rFonts w:cstheme="minorHAnsi"/>
          <w:sz w:val="24"/>
          <w:szCs w:val="24"/>
        </w:rPr>
        <w:t xml:space="preserve">median pre carer wellbeing score was 3, and post </w:t>
      </w:r>
      <w:r w:rsidR="00F948D6" w:rsidRPr="00191108">
        <w:rPr>
          <w:rFonts w:cstheme="minorHAnsi"/>
          <w:sz w:val="24"/>
          <w:szCs w:val="24"/>
        </w:rPr>
        <w:t>score was 4</w:t>
      </w:r>
      <w:r w:rsidR="001B6249" w:rsidRPr="00191108">
        <w:rPr>
          <w:rFonts w:cstheme="minorHAnsi"/>
          <w:sz w:val="24"/>
          <w:szCs w:val="24"/>
        </w:rPr>
        <w:t xml:space="preserve"> again displaying clinically significant change. </w:t>
      </w:r>
    </w:p>
    <w:p w14:paraId="3561CECF" w14:textId="58B56021" w:rsidR="00CD0E83" w:rsidRPr="00191108" w:rsidRDefault="00CD0E83" w:rsidP="0087262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91108">
        <w:rPr>
          <w:rFonts w:cstheme="minorHAnsi"/>
          <w:b/>
          <w:bCs/>
          <w:sz w:val="24"/>
          <w:szCs w:val="24"/>
        </w:rPr>
        <w:t>Discussion</w:t>
      </w:r>
    </w:p>
    <w:p w14:paraId="7B0BBA45" w14:textId="313FE688" w:rsidR="00E5032E" w:rsidRPr="00191108" w:rsidRDefault="0032194E" w:rsidP="00E5032E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</w:rPr>
        <w:t xml:space="preserve">The aim of this study was to </w:t>
      </w:r>
      <w:r w:rsidRPr="00191108">
        <w:rPr>
          <w:rFonts w:cstheme="minorHAnsi"/>
          <w:sz w:val="24"/>
          <w:szCs w:val="24"/>
          <w:shd w:val="clear" w:color="auto" w:fill="FFFFFF"/>
        </w:rPr>
        <w:t>demonstrate occupational therapy outcomes in adult social care</w:t>
      </w:r>
      <w:r w:rsidR="002A2A8F" w:rsidRPr="00191108">
        <w:rPr>
          <w:rFonts w:cstheme="minorHAnsi"/>
          <w:sz w:val="24"/>
          <w:szCs w:val="24"/>
          <w:shd w:val="clear" w:color="auto" w:fill="FFFFFF"/>
        </w:rPr>
        <w:t xml:space="preserve"> through use of the Therapy Outcome Measure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>f</w:t>
      </w:r>
      <w:r w:rsidR="002A2A8F" w:rsidRPr="00191108">
        <w:rPr>
          <w:rFonts w:cstheme="minorHAnsi"/>
          <w:sz w:val="24"/>
          <w:szCs w:val="24"/>
          <w:shd w:val="clear" w:color="auto" w:fill="FFFFFF"/>
        </w:rPr>
        <w:t>indings</w:t>
      </w:r>
      <w:r w:rsidRPr="00191108">
        <w:rPr>
          <w:rFonts w:cstheme="minorHAnsi"/>
          <w:sz w:val="24"/>
          <w:szCs w:val="24"/>
          <w:shd w:val="clear" w:color="auto" w:fill="FFFFFF"/>
        </w:rPr>
        <w:t>.</w:t>
      </w:r>
      <w:r w:rsidR="009E514A" w:rsidRPr="00191108">
        <w:rPr>
          <w:rFonts w:cstheme="minorHAnsi"/>
          <w:sz w:val="24"/>
          <w:szCs w:val="24"/>
          <w:shd w:val="clear" w:color="auto" w:fill="FFFFFF"/>
        </w:rPr>
        <w:t xml:space="preserve"> Evidence from the </w:t>
      </w:r>
      <w:r w:rsidR="00ED0A77" w:rsidRPr="00191108">
        <w:rPr>
          <w:rFonts w:cstheme="minorHAnsi"/>
          <w:sz w:val="24"/>
          <w:szCs w:val="24"/>
          <w:shd w:val="clear" w:color="auto" w:fill="FFFFFF"/>
        </w:rPr>
        <w:t>data</w:t>
      </w:r>
      <w:r w:rsidR="009E514A" w:rsidRPr="00191108">
        <w:rPr>
          <w:rFonts w:cstheme="minorHAnsi"/>
          <w:sz w:val="24"/>
          <w:szCs w:val="24"/>
          <w:shd w:val="clear" w:color="auto" w:fill="FFFFFF"/>
        </w:rPr>
        <w:t xml:space="preserve"> suggests that occupational therapy interventions make an impact for clients and carers i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n the four 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>TOM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domains of impairment, activity, </w:t>
      </w:r>
      <w:proofErr w:type="gramStart"/>
      <w:r w:rsidRPr="00191108">
        <w:rPr>
          <w:rFonts w:cstheme="minorHAnsi"/>
          <w:sz w:val="24"/>
          <w:szCs w:val="24"/>
          <w:shd w:val="clear" w:color="auto" w:fill="FFFFFF"/>
        </w:rPr>
        <w:t>participation</w:t>
      </w:r>
      <w:proofErr w:type="gramEnd"/>
      <w:r w:rsidRPr="00191108">
        <w:rPr>
          <w:rFonts w:cstheme="minorHAnsi"/>
          <w:sz w:val="24"/>
          <w:szCs w:val="24"/>
          <w:shd w:val="clear" w:color="auto" w:fill="FFFFFF"/>
        </w:rPr>
        <w:t xml:space="preserve"> and wellbeing/carer wellbeing</w:t>
      </w:r>
      <w:r w:rsidR="00E1431E" w:rsidRPr="00191108">
        <w:rPr>
          <w:rFonts w:cstheme="minorHAnsi"/>
          <w:sz w:val="24"/>
          <w:szCs w:val="24"/>
          <w:shd w:val="clear" w:color="auto" w:fill="FFFFFF"/>
        </w:rPr>
        <w:t xml:space="preserve"> in the adult social care setting. </w:t>
      </w:r>
      <w:r w:rsidR="00C205F1" w:rsidRPr="00191108">
        <w:rPr>
          <w:rFonts w:cstheme="minorHAnsi"/>
          <w:sz w:val="24"/>
          <w:szCs w:val="24"/>
          <w:shd w:val="clear" w:color="auto" w:fill="FFFFFF"/>
        </w:rPr>
        <w:t xml:space="preserve">However, </w:t>
      </w:r>
      <w:r w:rsidR="007F7E93" w:rsidRPr="00191108">
        <w:rPr>
          <w:rFonts w:cstheme="minorHAnsi"/>
          <w:sz w:val="24"/>
          <w:szCs w:val="24"/>
          <w:shd w:val="clear" w:color="auto" w:fill="FFFFFF"/>
        </w:rPr>
        <w:t xml:space="preserve">without controlling all variables it is difficult to purely attribute all change to occupational therapy. </w:t>
      </w:r>
      <w:r w:rsidR="00F47199" w:rsidRPr="00191108">
        <w:rPr>
          <w:rFonts w:cstheme="minorHAnsi"/>
          <w:sz w:val="24"/>
          <w:szCs w:val="24"/>
          <w:shd w:val="clear" w:color="auto" w:fill="FFFFFF"/>
        </w:rPr>
        <w:t>Using data from TOM allows</w:t>
      </w:r>
      <w:r w:rsidR="008C46C0" w:rsidRPr="00191108">
        <w:rPr>
          <w:rFonts w:cstheme="minorHAnsi"/>
          <w:sz w:val="24"/>
          <w:szCs w:val="24"/>
          <w:shd w:val="clear" w:color="auto" w:fill="FFFFFF"/>
        </w:rPr>
        <w:t xml:space="preserve"> associations between nature and type of services</w:t>
      </w:r>
      <w:r w:rsidR="00E5032E" w:rsidRPr="00191108">
        <w:rPr>
          <w:rFonts w:cstheme="minorHAnsi"/>
          <w:sz w:val="24"/>
          <w:szCs w:val="24"/>
          <w:shd w:val="clear" w:color="auto" w:fill="FFFFFF"/>
        </w:rPr>
        <w:t xml:space="preserve"> and use of benchmarking (Enderby</w:t>
      </w:r>
      <w:r w:rsidR="00EA5FC2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A5FC2" w:rsidRPr="00191108">
        <w:rPr>
          <w:rFonts w:cstheme="minorHAnsi"/>
          <w:i/>
          <w:iCs/>
          <w:sz w:val="24"/>
          <w:szCs w:val="24"/>
          <w:shd w:val="clear" w:color="auto" w:fill="FFFFFF"/>
        </w:rPr>
        <w:t>et al.,</w:t>
      </w:r>
      <w:r w:rsidR="00E5032E" w:rsidRPr="00191108">
        <w:rPr>
          <w:rFonts w:cstheme="minorHAnsi"/>
          <w:sz w:val="24"/>
          <w:szCs w:val="24"/>
          <w:shd w:val="clear" w:color="auto" w:fill="FFFFFF"/>
        </w:rPr>
        <w:t xml:space="preserve"> 2003) across health and social care services can assist in making associations between relationships.</w:t>
      </w:r>
    </w:p>
    <w:p w14:paraId="6D41B250" w14:textId="1FE609B2" w:rsidR="00E5032E" w:rsidRPr="00191108" w:rsidRDefault="005E51C7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 xml:space="preserve"> In </w:t>
      </w:r>
      <w:r w:rsidR="009204E9" w:rsidRPr="00191108">
        <w:rPr>
          <w:rFonts w:cstheme="minorHAnsi"/>
          <w:sz w:val="24"/>
          <w:szCs w:val="24"/>
          <w:shd w:val="clear" w:color="auto" w:fill="FFFFFF"/>
        </w:rPr>
        <w:t xml:space="preserve">integrated 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health and social care, clients will </w:t>
      </w:r>
      <w:r w:rsidR="00913CBB" w:rsidRPr="00191108">
        <w:rPr>
          <w:rFonts w:cstheme="minorHAnsi"/>
          <w:sz w:val="24"/>
          <w:szCs w:val="24"/>
          <w:shd w:val="clear" w:color="auto" w:fill="FFFFFF"/>
        </w:rPr>
        <w:t>potentially receive involvement from GP, community nurse, physiotherapy</w:t>
      </w:r>
      <w:r w:rsidR="00526ACD" w:rsidRPr="00191108">
        <w:rPr>
          <w:rFonts w:cstheme="minorHAnsi"/>
          <w:sz w:val="24"/>
          <w:szCs w:val="24"/>
          <w:shd w:val="clear" w:color="auto" w:fill="FFFFFF"/>
        </w:rPr>
        <w:t>,</w:t>
      </w:r>
      <w:r w:rsidR="00913CBB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26ACD" w:rsidRPr="00191108">
        <w:rPr>
          <w:rFonts w:cstheme="minorHAnsi"/>
          <w:sz w:val="24"/>
          <w:szCs w:val="24"/>
          <w:shd w:val="clear" w:color="auto" w:fill="FFFFFF"/>
        </w:rPr>
        <w:t xml:space="preserve">social </w:t>
      </w:r>
      <w:proofErr w:type="gramStart"/>
      <w:r w:rsidR="00526ACD" w:rsidRPr="00191108">
        <w:rPr>
          <w:rFonts w:cstheme="minorHAnsi"/>
          <w:sz w:val="24"/>
          <w:szCs w:val="24"/>
          <w:shd w:val="clear" w:color="auto" w:fill="FFFFFF"/>
        </w:rPr>
        <w:t>work</w:t>
      </w:r>
      <w:proofErr w:type="gramEnd"/>
      <w:r w:rsidR="00526ACD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13CBB" w:rsidRPr="00191108">
        <w:rPr>
          <w:rFonts w:cstheme="minorHAnsi"/>
          <w:sz w:val="24"/>
          <w:szCs w:val="24"/>
          <w:shd w:val="clear" w:color="auto" w:fill="FFFFFF"/>
        </w:rPr>
        <w:t xml:space="preserve">and </w:t>
      </w:r>
      <w:r w:rsidR="00877C2D" w:rsidRPr="00191108">
        <w:rPr>
          <w:rFonts w:cstheme="minorHAnsi"/>
          <w:sz w:val="24"/>
          <w:szCs w:val="24"/>
          <w:shd w:val="clear" w:color="auto" w:fill="FFFFFF"/>
        </w:rPr>
        <w:t xml:space="preserve">other </w:t>
      </w:r>
      <w:r w:rsidR="00913CBB" w:rsidRPr="00191108">
        <w:rPr>
          <w:rFonts w:cstheme="minorHAnsi"/>
          <w:sz w:val="24"/>
          <w:szCs w:val="24"/>
          <w:shd w:val="clear" w:color="auto" w:fill="FFFFFF"/>
        </w:rPr>
        <w:t>specialist services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 alongside the occupational therapist</w:t>
      </w:r>
      <w:r w:rsidR="00913CBB" w:rsidRPr="00191108">
        <w:rPr>
          <w:rFonts w:cstheme="minorHAnsi"/>
          <w:sz w:val="24"/>
          <w:szCs w:val="24"/>
          <w:shd w:val="clear" w:color="auto" w:fill="FFFFFF"/>
        </w:rPr>
        <w:t xml:space="preserve">, which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>all</w:t>
      </w:r>
      <w:r w:rsidR="00913CBB" w:rsidRPr="00191108">
        <w:rPr>
          <w:rFonts w:cstheme="minorHAnsi"/>
          <w:sz w:val="24"/>
          <w:szCs w:val="24"/>
          <w:shd w:val="clear" w:color="auto" w:fill="FFFFFF"/>
        </w:rPr>
        <w:t xml:space="preserve"> contribut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>e</w:t>
      </w:r>
      <w:r w:rsidR="00913CBB" w:rsidRPr="00191108">
        <w:rPr>
          <w:rFonts w:cstheme="minorHAnsi"/>
          <w:sz w:val="24"/>
          <w:szCs w:val="24"/>
          <w:shd w:val="clear" w:color="auto" w:fill="FFFFFF"/>
        </w:rPr>
        <w:t xml:space="preserve"> to</w:t>
      </w:r>
      <w:r w:rsidR="00526ACD" w:rsidRPr="00191108">
        <w:rPr>
          <w:rFonts w:cstheme="minorHAnsi"/>
          <w:sz w:val="24"/>
          <w:szCs w:val="24"/>
          <w:shd w:val="clear" w:color="auto" w:fill="FFFFFF"/>
        </w:rPr>
        <w:t xml:space="preserve">wards health and wellbeing.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In many cases the TOM scores </w:t>
      </w:r>
      <w:r w:rsidR="00E5032E" w:rsidRPr="00191108">
        <w:rPr>
          <w:rFonts w:cstheme="minorHAnsi"/>
          <w:sz w:val="24"/>
          <w:szCs w:val="24"/>
          <w:shd w:val="clear" w:color="auto" w:fill="FFFFFF"/>
        </w:rPr>
        <w:t xml:space="preserve">have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>result</w:t>
      </w:r>
      <w:r w:rsidR="00E5032E" w:rsidRPr="00191108">
        <w:rPr>
          <w:rFonts w:cstheme="minorHAnsi"/>
          <w:sz w:val="24"/>
          <w:szCs w:val="24"/>
          <w:shd w:val="clear" w:color="auto" w:fill="FFFFFF"/>
        </w:rPr>
        <w:t>ed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 from collective</w:t>
      </w:r>
      <w:r w:rsidR="00E5032E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74C9A" w:rsidRPr="00191108">
        <w:rPr>
          <w:rFonts w:cstheme="minorHAnsi"/>
          <w:sz w:val="24"/>
          <w:szCs w:val="24"/>
          <w:shd w:val="clear" w:color="auto" w:fill="FFFFFF"/>
        </w:rPr>
        <w:t xml:space="preserve">interventions for one activity, for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example the assessment for and provision of </w:t>
      </w:r>
      <w:r w:rsidR="00B24D9B" w:rsidRPr="00191108">
        <w:rPr>
          <w:rFonts w:cstheme="minorHAnsi"/>
          <w:sz w:val="24"/>
          <w:szCs w:val="24"/>
          <w:shd w:val="clear" w:color="auto" w:fill="FFFFFF"/>
        </w:rPr>
        <w:t>moving and handling equipment (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hoist, slings, profiling bed,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lastRenderedPageBreak/>
        <w:t>slide sheets</w:t>
      </w:r>
      <w:r w:rsidR="00874C9A" w:rsidRPr="00191108">
        <w:rPr>
          <w:rFonts w:cstheme="minorHAnsi"/>
          <w:sz w:val="24"/>
          <w:szCs w:val="24"/>
          <w:shd w:val="clear" w:color="auto" w:fill="FFFFFF"/>
        </w:rPr>
        <w:t>, sleep positioning aids</w:t>
      </w:r>
      <w:r w:rsidR="00B24D9B" w:rsidRPr="00191108">
        <w:rPr>
          <w:rFonts w:cstheme="minorHAnsi"/>
          <w:sz w:val="24"/>
          <w:szCs w:val="24"/>
          <w:shd w:val="clear" w:color="auto" w:fill="FFFFFF"/>
        </w:rPr>
        <w:t>)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, plus advice to formal and informal carers.  </w:t>
      </w:r>
      <w:r w:rsidR="00FC429C" w:rsidRPr="00191108">
        <w:rPr>
          <w:rFonts w:cstheme="minorHAnsi"/>
          <w:sz w:val="24"/>
          <w:szCs w:val="24"/>
          <w:shd w:val="clear" w:color="auto" w:fill="FFFFFF"/>
        </w:rPr>
        <w:t>It is also difficult to predict exact sustainability of changes</w:t>
      </w:r>
      <w:r w:rsidR="00F5156D" w:rsidRPr="00191108">
        <w:rPr>
          <w:rFonts w:cstheme="minorHAnsi"/>
          <w:sz w:val="24"/>
          <w:szCs w:val="24"/>
          <w:shd w:val="clear" w:color="auto" w:fill="FFFFFF"/>
        </w:rPr>
        <w:t xml:space="preserve"> identified in the data, </w:t>
      </w:r>
      <w:r w:rsidR="00B24D9B" w:rsidRPr="00191108">
        <w:rPr>
          <w:rFonts w:cstheme="minorHAnsi"/>
          <w:sz w:val="24"/>
          <w:szCs w:val="24"/>
          <w:shd w:val="clear" w:color="auto" w:fill="FFFFFF"/>
        </w:rPr>
        <w:t>as</w:t>
      </w:r>
      <w:r w:rsidR="00F5156D" w:rsidRPr="00191108">
        <w:rPr>
          <w:rFonts w:cstheme="minorHAnsi"/>
          <w:sz w:val="24"/>
          <w:szCs w:val="24"/>
          <w:shd w:val="clear" w:color="auto" w:fill="FFFFFF"/>
        </w:rPr>
        <w:t xml:space="preserve"> the nature of </w:t>
      </w:r>
      <w:r w:rsidR="000F0550" w:rsidRPr="00191108">
        <w:rPr>
          <w:rFonts w:cstheme="minorHAnsi"/>
          <w:sz w:val="24"/>
          <w:szCs w:val="24"/>
          <w:shd w:val="clear" w:color="auto" w:fill="FFFFFF"/>
        </w:rPr>
        <w:t>chronic disease</w:t>
      </w:r>
      <w:r w:rsidR="0026148B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F1B79" w:rsidRPr="00191108">
        <w:rPr>
          <w:rFonts w:cstheme="minorHAnsi"/>
          <w:sz w:val="24"/>
          <w:szCs w:val="24"/>
          <w:shd w:val="clear" w:color="auto" w:fill="FFFFFF"/>
        </w:rPr>
        <w:t>may</w:t>
      </w:r>
      <w:r w:rsidR="0026148B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F4FE0" w:rsidRPr="00191108">
        <w:rPr>
          <w:rFonts w:cstheme="minorHAnsi"/>
          <w:sz w:val="24"/>
          <w:szCs w:val="24"/>
          <w:shd w:val="clear" w:color="auto" w:fill="FFFFFF"/>
        </w:rPr>
        <w:t>cause</w:t>
      </w:r>
      <w:r w:rsidR="0062374C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6148B" w:rsidRPr="00191108">
        <w:rPr>
          <w:rFonts w:cstheme="minorHAnsi"/>
          <w:sz w:val="24"/>
          <w:szCs w:val="24"/>
          <w:shd w:val="clear" w:color="auto" w:fill="FFFFFF"/>
        </w:rPr>
        <w:t>deterioration</w:t>
      </w:r>
      <w:r w:rsidR="0062374C" w:rsidRPr="00191108">
        <w:rPr>
          <w:rFonts w:cstheme="minorHAnsi"/>
          <w:sz w:val="24"/>
          <w:szCs w:val="24"/>
          <w:shd w:val="clear" w:color="auto" w:fill="FFFFFF"/>
        </w:rPr>
        <w:t xml:space="preserve"> o</w:t>
      </w:r>
      <w:r w:rsidR="00DF4FE0" w:rsidRPr="00191108">
        <w:rPr>
          <w:rFonts w:cstheme="minorHAnsi"/>
          <w:sz w:val="24"/>
          <w:szCs w:val="24"/>
          <w:shd w:val="clear" w:color="auto" w:fill="FFFFFF"/>
        </w:rPr>
        <w:t>f</w:t>
      </w:r>
      <w:r w:rsidR="0062374C" w:rsidRPr="00191108">
        <w:rPr>
          <w:rFonts w:cstheme="minorHAnsi"/>
          <w:sz w:val="24"/>
          <w:szCs w:val="24"/>
          <w:shd w:val="clear" w:color="auto" w:fill="FFFFFF"/>
        </w:rPr>
        <w:t xml:space="preserve"> function.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>However, the occupational therapist</w:t>
      </w:r>
      <w:r w:rsidR="00B24D9B" w:rsidRPr="00191108">
        <w:rPr>
          <w:rFonts w:cstheme="minorHAnsi"/>
          <w:sz w:val="24"/>
          <w:szCs w:val="24"/>
          <w:shd w:val="clear" w:color="auto" w:fill="FFFFFF"/>
        </w:rPr>
        <w:t>, within the adult social care role considers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 long term decline in their clinical decision making</w:t>
      </w:r>
      <w:r w:rsidR="00B24D9B" w:rsidRPr="00191108">
        <w:rPr>
          <w:rFonts w:cstheme="minorHAnsi"/>
          <w:sz w:val="24"/>
          <w:szCs w:val="24"/>
          <w:shd w:val="clear" w:color="auto" w:fill="FFFFFF"/>
        </w:rPr>
        <w:t xml:space="preserve"> when making provisions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>.</w:t>
      </w:r>
      <w:r w:rsidR="00B24D9B" w:rsidRPr="00191108">
        <w:rPr>
          <w:rFonts w:cstheme="minorHAnsi"/>
          <w:sz w:val="24"/>
          <w:szCs w:val="24"/>
          <w:shd w:val="clear" w:color="auto" w:fill="FFFFFF"/>
        </w:rPr>
        <w:t xml:space="preserve"> Occupational therapists in the team review provision of equipment if risk is high, for example stand aid hoists, and can note and compare the TOM score if deterioration is found.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D4D5947" w14:textId="63F62A73" w:rsidR="00FB2242" w:rsidRPr="00191108" w:rsidRDefault="00476FFA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>The TOM</w:t>
      </w:r>
      <w:r w:rsidR="00FB2242" w:rsidRPr="00191108">
        <w:rPr>
          <w:rFonts w:cstheme="minorHAnsi"/>
          <w:sz w:val="24"/>
          <w:szCs w:val="24"/>
          <w:shd w:val="clear" w:color="auto" w:fill="FFFFFF"/>
        </w:rPr>
        <w:t xml:space="preserve"> is a quantitative measure and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is </w:t>
      </w:r>
      <w:r w:rsidR="005F59EF" w:rsidRPr="00191108">
        <w:rPr>
          <w:rFonts w:cstheme="minorHAnsi"/>
          <w:sz w:val="24"/>
          <w:szCs w:val="24"/>
          <w:shd w:val="clear" w:color="auto" w:fill="FFFFFF"/>
        </w:rPr>
        <w:t xml:space="preserve">therefore </w:t>
      </w:r>
      <w:r w:rsidR="00FB2242" w:rsidRPr="00191108">
        <w:rPr>
          <w:rFonts w:cstheme="minorHAnsi"/>
          <w:sz w:val="24"/>
          <w:szCs w:val="24"/>
          <w:shd w:val="clear" w:color="auto" w:fill="FFFFFF"/>
        </w:rPr>
        <w:t xml:space="preserve">limited in </w:t>
      </w:r>
      <w:r w:rsidR="001450A1" w:rsidRPr="00191108">
        <w:rPr>
          <w:rFonts w:cstheme="minorHAnsi"/>
          <w:sz w:val="24"/>
          <w:szCs w:val="24"/>
          <w:shd w:val="clear" w:color="auto" w:fill="FFFFFF"/>
        </w:rPr>
        <w:t xml:space="preserve">retrieving the lived experience of the client/carer involved. </w:t>
      </w:r>
      <w:r w:rsidR="00CF3534" w:rsidRPr="00191108">
        <w:rPr>
          <w:rFonts w:cstheme="minorHAnsi"/>
          <w:sz w:val="24"/>
          <w:szCs w:val="24"/>
          <w:shd w:val="clear" w:color="auto" w:fill="FFFFFF"/>
        </w:rPr>
        <w:t xml:space="preserve">Kelly </w:t>
      </w:r>
      <w:r w:rsidR="00CF3534" w:rsidRPr="00191108">
        <w:rPr>
          <w:rFonts w:cstheme="minorHAnsi"/>
          <w:i/>
          <w:iCs/>
          <w:sz w:val="24"/>
          <w:szCs w:val="24"/>
          <w:shd w:val="clear" w:color="auto" w:fill="FFFFFF"/>
        </w:rPr>
        <w:t>et al.,</w:t>
      </w:r>
      <w:r w:rsidR="00CF3534" w:rsidRPr="00191108">
        <w:rPr>
          <w:rFonts w:cstheme="minorHAnsi"/>
          <w:sz w:val="24"/>
          <w:szCs w:val="24"/>
          <w:shd w:val="clear" w:color="auto" w:fill="FFFFFF"/>
        </w:rPr>
        <w:t xml:space="preserve"> (</w:t>
      </w:r>
      <w:r w:rsidR="00335F6E" w:rsidRPr="00191108">
        <w:rPr>
          <w:rFonts w:cstheme="minorHAnsi"/>
          <w:sz w:val="24"/>
          <w:szCs w:val="24"/>
          <w:shd w:val="clear" w:color="auto" w:fill="FFFFFF"/>
        </w:rPr>
        <w:t>2020</w:t>
      </w:r>
      <w:r w:rsidR="00CF3534" w:rsidRPr="00191108">
        <w:rPr>
          <w:rFonts w:cstheme="minorHAnsi"/>
          <w:sz w:val="24"/>
          <w:szCs w:val="24"/>
          <w:shd w:val="clear" w:color="auto" w:fill="FFFFFF"/>
        </w:rPr>
        <w:t>) describes the challenges t</w:t>
      </w:r>
      <w:r w:rsidR="003E0B1C" w:rsidRPr="00191108">
        <w:rPr>
          <w:rFonts w:cstheme="minorHAnsi"/>
          <w:sz w:val="24"/>
          <w:szCs w:val="24"/>
          <w:shd w:val="clear" w:color="auto" w:fill="FFFFFF"/>
        </w:rPr>
        <w:t>o measuring integration whic</w:t>
      </w:r>
      <w:r w:rsidR="005F59EF" w:rsidRPr="00191108">
        <w:rPr>
          <w:rFonts w:cstheme="minorHAnsi"/>
          <w:sz w:val="24"/>
          <w:szCs w:val="24"/>
          <w:shd w:val="clear" w:color="auto" w:fill="FFFFFF"/>
        </w:rPr>
        <w:t>h</w:t>
      </w:r>
      <w:r w:rsidR="003E0B1C" w:rsidRPr="00191108">
        <w:rPr>
          <w:rFonts w:cstheme="minorHAnsi"/>
          <w:sz w:val="24"/>
          <w:szCs w:val="24"/>
          <w:shd w:val="clear" w:color="auto" w:fill="FFFFFF"/>
        </w:rPr>
        <w:t xml:space="preserve"> includes identification of an appropriate tool</w:t>
      </w:r>
      <w:r w:rsidR="005F59EF" w:rsidRPr="00191108">
        <w:rPr>
          <w:rFonts w:cstheme="minorHAnsi"/>
          <w:sz w:val="24"/>
          <w:szCs w:val="24"/>
          <w:shd w:val="clear" w:color="auto" w:fill="FFFFFF"/>
        </w:rPr>
        <w:t>.</w:t>
      </w:r>
      <w:r w:rsidR="003E4227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B6101" w:rsidRPr="00191108">
        <w:rPr>
          <w:rFonts w:cstheme="minorHAnsi"/>
          <w:sz w:val="24"/>
          <w:szCs w:val="24"/>
          <w:shd w:val="clear" w:color="auto" w:fill="FFFFFF"/>
        </w:rPr>
        <w:t xml:space="preserve">Gaining the perspective of the person experiencing care </w:t>
      </w:r>
      <w:r w:rsidR="001F6658" w:rsidRPr="00191108">
        <w:rPr>
          <w:rFonts w:cstheme="minorHAnsi"/>
          <w:sz w:val="24"/>
          <w:szCs w:val="24"/>
          <w:shd w:val="clear" w:color="auto" w:fill="FFFFFF"/>
        </w:rPr>
        <w:t xml:space="preserve">(Crocker </w:t>
      </w:r>
      <w:r w:rsidR="001F6658" w:rsidRPr="00191108">
        <w:rPr>
          <w:rFonts w:cstheme="minorHAnsi"/>
          <w:i/>
          <w:iCs/>
          <w:sz w:val="24"/>
          <w:szCs w:val="24"/>
          <w:shd w:val="clear" w:color="auto" w:fill="FFFFFF"/>
        </w:rPr>
        <w:t>et al.,</w:t>
      </w:r>
      <w:r w:rsidR="001F6658" w:rsidRPr="00191108">
        <w:rPr>
          <w:rFonts w:cstheme="minorHAnsi"/>
          <w:sz w:val="24"/>
          <w:szCs w:val="24"/>
          <w:shd w:val="clear" w:color="auto" w:fill="FFFFFF"/>
        </w:rPr>
        <w:t xml:space="preserve"> 2020)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60CC0" w:rsidRPr="00191108">
        <w:rPr>
          <w:rFonts w:cstheme="minorHAnsi"/>
          <w:sz w:val="24"/>
          <w:szCs w:val="24"/>
          <w:shd w:val="clear" w:color="auto" w:fill="FFFFFF"/>
        </w:rPr>
        <w:t xml:space="preserve">is </w:t>
      </w:r>
      <w:r w:rsidR="00AB04D6" w:rsidRPr="00191108">
        <w:rPr>
          <w:rFonts w:cstheme="minorHAnsi"/>
          <w:sz w:val="24"/>
          <w:szCs w:val="24"/>
          <w:shd w:val="clear" w:color="auto" w:fill="FFFFFF"/>
        </w:rPr>
        <w:t xml:space="preserve">recommended when selecting 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from </w:t>
      </w:r>
      <w:r w:rsidR="00AB04D6" w:rsidRPr="00191108">
        <w:rPr>
          <w:rFonts w:cstheme="minorHAnsi"/>
          <w:sz w:val="24"/>
          <w:szCs w:val="24"/>
          <w:shd w:val="clear" w:color="auto" w:fill="FFFFFF"/>
        </w:rPr>
        <w:t>the</w:t>
      </w:r>
      <w:r w:rsidR="00860CC0" w:rsidRPr="00191108">
        <w:rPr>
          <w:rFonts w:cstheme="minorHAnsi"/>
          <w:sz w:val="24"/>
          <w:szCs w:val="24"/>
          <w:shd w:val="clear" w:color="auto" w:fill="FFFFFF"/>
        </w:rPr>
        <w:t xml:space="preserve"> measures available.</w:t>
      </w:r>
      <w:r w:rsidR="00BF6247" w:rsidRPr="00191108">
        <w:rPr>
          <w:rFonts w:cstheme="minorHAnsi"/>
          <w:sz w:val="24"/>
          <w:szCs w:val="24"/>
          <w:shd w:val="clear" w:color="auto" w:fill="FFFFFF"/>
        </w:rPr>
        <w:t xml:space="preserve"> In this case the TOM was adopted as a pre-existing NHS approach to measuring outcomes and has been </w:t>
      </w:r>
      <w:r w:rsidR="00134DD1" w:rsidRPr="00191108">
        <w:rPr>
          <w:rFonts w:cstheme="minorHAnsi"/>
          <w:sz w:val="24"/>
          <w:szCs w:val="24"/>
          <w:shd w:val="clear" w:color="auto" w:fill="FFFFFF"/>
        </w:rPr>
        <w:t>successfully utilised</w:t>
      </w:r>
      <w:r w:rsidR="0051355D" w:rsidRPr="00191108">
        <w:rPr>
          <w:rFonts w:cstheme="minorHAnsi"/>
          <w:sz w:val="24"/>
          <w:szCs w:val="24"/>
          <w:shd w:val="clear" w:color="auto" w:fill="FFFFFF"/>
        </w:rPr>
        <w:t xml:space="preserve"> upon integration, aided by a cross-AHP TOM networking group. </w:t>
      </w:r>
      <w:r w:rsidR="00134DD1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F55D4" w:rsidRPr="00191108">
        <w:rPr>
          <w:rFonts w:cstheme="minorHAnsi"/>
          <w:sz w:val="24"/>
          <w:szCs w:val="24"/>
          <w:shd w:val="clear" w:color="auto" w:fill="FFFFFF"/>
        </w:rPr>
        <w:t xml:space="preserve">Shand and Turner </w:t>
      </w:r>
      <w:r w:rsidR="008B4C91" w:rsidRPr="00191108">
        <w:rPr>
          <w:rFonts w:cstheme="minorHAnsi"/>
          <w:sz w:val="24"/>
          <w:szCs w:val="24"/>
          <w:shd w:val="clear" w:color="auto" w:fill="FFFFFF"/>
        </w:rPr>
        <w:t xml:space="preserve">(2019) promote this cross-sector collaboration to aid integration, plus </w:t>
      </w:r>
      <w:r w:rsidR="000F7FC8" w:rsidRPr="00191108">
        <w:rPr>
          <w:rFonts w:cstheme="minorHAnsi"/>
          <w:sz w:val="24"/>
          <w:szCs w:val="24"/>
          <w:shd w:val="clear" w:color="auto" w:fill="FFFFFF"/>
        </w:rPr>
        <w:t>inter-sector cooperation is key to sustainable change (</w:t>
      </w:r>
      <w:proofErr w:type="spellStart"/>
      <w:r w:rsidR="000F7FC8" w:rsidRPr="00191108">
        <w:rPr>
          <w:rFonts w:cstheme="minorHAnsi"/>
          <w:sz w:val="24"/>
          <w:szCs w:val="24"/>
          <w:shd w:val="clear" w:color="auto" w:fill="FFFFFF"/>
        </w:rPr>
        <w:t>Klinga</w:t>
      </w:r>
      <w:proofErr w:type="spellEnd"/>
      <w:r w:rsidR="000F7FC8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F7FC8" w:rsidRPr="00191108">
        <w:rPr>
          <w:rFonts w:cstheme="minorHAnsi"/>
          <w:i/>
          <w:iCs/>
          <w:sz w:val="24"/>
          <w:szCs w:val="24"/>
          <w:shd w:val="clear" w:color="auto" w:fill="FFFFFF"/>
        </w:rPr>
        <w:t>et al.,</w:t>
      </w:r>
      <w:r w:rsidR="000F7FC8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B689E" w:rsidRPr="00191108">
        <w:rPr>
          <w:rFonts w:cstheme="minorHAnsi"/>
          <w:sz w:val="24"/>
          <w:szCs w:val="24"/>
          <w:shd w:val="clear" w:color="auto" w:fill="FFFFFF"/>
        </w:rPr>
        <w:t>2018).</w:t>
      </w:r>
    </w:p>
    <w:p w14:paraId="75C75D28" w14:textId="36972EE3" w:rsidR="00E5032E" w:rsidRPr="00191108" w:rsidRDefault="00E5032E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 xml:space="preserve">Adult social care is not a rehabilitative service, however 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 xml:space="preserve">frequent 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liaison with local rehab practitioners 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>occurs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who also scor</w:t>
      </w:r>
      <w:r w:rsidR="00877C2D" w:rsidRPr="00191108">
        <w:rPr>
          <w:rFonts w:cstheme="minorHAnsi"/>
          <w:sz w:val="24"/>
          <w:szCs w:val="24"/>
          <w:shd w:val="clear" w:color="auto" w:fill="FFFFFF"/>
        </w:rPr>
        <w:t>e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the TOM. Further challenges to recording or viewing other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 xml:space="preserve"> professionals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TOM score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>s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result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>s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from use of different electronic patient records within the same Trust.</w:t>
      </w:r>
    </w:p>
    <w:p w14:paraId="7055AF14" w14:textId="20A516CB" w:rsidR="001173F3" w:rsidRPr="00191108" w:rsidRDefault="001173F3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>The time interval of recording TOM reflects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 the speed which a practitioner can pick up a case, assess and make safe provision</w:t>
      </w:r>
      <w:r w:rsidR="00B24D9B" w:rsidRPr="00191108">
        <w:rPr>
          <w:rFonts w:cstheme="minorHAnsi"/>
          <w:sz w:val="24"/>
          <w:szCs w:val="24"/>
          <w:shd w:val="clear" w:color="auto" w:fill="FFFFFF"/>
        </w:rPr>
        <w:t xml:space="preserve"> and follow up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>. The availability of occupational therapy support practitioners within the adult social care team supports the more rapid through put of straightforward cases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 xml:space="preserve"> where change can be quickly noted</w:t>
      </w:r>
      <w:r w:rsidR="00A843DB" w:rsidRPr="00191108">
        <w:rPr>
          <w:rFonts w:cstheme="minorHAnsi"/>
          <w:sz w:val="24"/>
          <w:szCs w:val="24"/>
          <w:shd w:val="clear" w:color="auto" w:fill="FFFFFF"/>
        </w:rPr>
        <w:t xml:space="preserve">, whereas more complex and long-term work is assigned to qualified staff. </w:t>
      </w:r>
    </w:p>
    <w:p w14:paraId="6FA16ACA" w14:textId="3710AB52" w:rsidR="00E1431E" w:rsidRPr="00191108" w:rsidRDefault="00E1431E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91108">
        <w:rPr>
          <w:rFonts w:cstheme="minorHAnsi"/>
          <w:i/>
          <w:iCs/>
          <w:sz w:val="24"/>
          <w:szCs w:val="24"/>
          <w:shd w:val="clear" w:color="auto" w:fill="FFFFFF"/>
        </w:rPr>
        <w:t>Impairment</w:t>
      </w:r>
    </w:p>
    <w:p w14:paraId="410ED4E5" w14:textId="73923183" w:rsidR="008E7E68" w:rsidRPr="00191108" w:rsidRDefault="00812823" w:rsidP="000C2107">
      <w:pPr>
        <w:tabs>
          <w:tab w:val="left" w:pos="127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sz w:val="24"/>
          <w:szCs w:val="24"/>
        </w:rPr>
        <w:t>Results from this audit showed that</w:t>
      </w:r>
      <w:r w:rsidR="00284198" w:rsidRPr="00191108">
        <w:rPr>
          <w:sz w:val="24"/>
          <w:szCs w:val="24"/>
        </w:rPr>
        <w:t xml:space="preserve"> 97</w:t>
      </w:r>
      <w:r w:rsidR="004D01A0" w:rsidRPr="00191108">
        <w:rPr>
          <w:sz w:val="24"/>
          <w:szCs w:val="24"/>
        </w:rPr>
        <w:t>% of client’s impairment levels remai</w:t>
      </w:r>
      <w:r w:rsidRPr="00191108">
        <w:rPr>
          <w:sz w:val="24"/>
          <w:szCs w:val="24"/>
        </w:rPr>
        <w:t>ned</w:t>
      </w:r>
      <w:r w:rsidR="004D01A0" w:rsidRPr="00191108">
        <w:rPr>
          <w:sz w:val="24"/>
          <w:szCs w:val="24"/>
        </w:rPr>
        <w:t xml:space="preserve"> the same</w:t>
      </w:r>
      <w:r w:rsidR="004A47B5" w:rsidRPr="00191108">
        <w:rPr>
          <w:sz w:val="24"/>
          <w:szCs w:val="24"/>
        </w:rPr>
        <w:t xml:space="preserve"> or improved</w:t>
      </w:r>
      <w:r w:rsidR="00284198" w:rsidRPr="00191108">
        <w:rPr>
          <w:sz w:val="24"/>
          <w:szCs w:val="24"/>
        </w:rPr>
        <w:t xml:space="preserve"> (3%)</w:t>
      </w:r>
      <w:r w:rsidR="00B842D6" w:rsidRPr="00191108">
        <w:rPr>
          <w:sz w:val="24"/>
          <w:szCs w:val="24"/>
        </w:rPr>
        <w:t>,</w:t>
      </w:r>
      <w:r w:rsidR="007F613D" w:rsidRPr="00191108">
        <w:rPr>
          <w:sz w:val="24"/>
          <w:szCs w:val="24"/>
        </w:rPr>
        <w:t xml:space="preserve"> reflect</w:t>
      </w:r>
      <w:r w:rsidR="00B842D6" w:rsidRPr="00191108">
        <w:rPr>
          <w:sz w:val="24"/>
          <w:szCs w:val="24"/>
        </w:rPr>
        <w:t>ing</w:t>
      </w:r>
      <w:r w:rsidR="007F613D" w:rsidRPr="00191108">
        <w:rPr>
          <w:sz w:val="24"/>
          <w:szCs w:val="24"/>
        </w:rPr>
        <w:t xml:space="preserve"> the remit of the service</w:t>
      </w:r>
      <w:r w:rsidR="00B31ADF" w:rsidRPr="00191108">
        <w:rPr>
          <w:sz w:val="24"/>
          <w:szCs w:val="24"/>
        </w:rPr>
        <w:t xml:space="preserve">, which does not have a medical or rehabilitative focus. In </w:t>
      </w:r>
      <w:r w:rsidR="000F0667" w:rsidRPr="00191108">
        <w:rPr>
          <w:rFonts w:cstheme="minorHAnsi"/>
          <w:sz w:val="24"/>
          <w:szCs w:val="24"/>
          <w:shd w:val="clear" w:color="auto" w:fill="FFFFFF"/>
        </w:rPr>
        <w:t xml:space="preserve">social care settings, the focus of occupational therapy is often on maintenance of occupational performance rather than improvement (Heaton and Bamford </w:t>
      </w:r>
      <w:r w:rsidR="000F0667" w:rsidRPr="00191108">
        <w:rPr>
          <w:rFonts w:cstheme="minorHAnsi"/>
          <w:sz w:val="24"/>
          <w:szCs w:val="24"/>
          <w:shd w:val="clear" w:color="auto" w:fill="FFFFFF"/>
        </w:rPr>
        <w:lastRenderedPageBreak/>
        <w:t>2001)</w:t>
      </w:r>
      <w:r w:rsidR="00C351A3" w:rsidRPr="00191108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650C23" w:rsidRPr="00191108">
        <w:rPr>
          <w:rFonts w:cstheme="minorHAnsi"/>
          <w:sz w:val="24"/>
          <w:szCs w:val="24"/>
          <w:shd w:val="clear" w:color="auto" w:fill="FFFFFF"/>
        </w:rPr>
        <w:t>Incidentally</w:t>
      </w:r>
      <w:r w:rsidR="008D785D" w:rsidRPr="00191108">
        <w:rPr>
          <w:rFonts w:cstheme="minorHAnsi"/>
          <w:sz w:val="24"/>
          <w:szCs w:val="24"/>
          <w:shd w:val="clear" w:color="auto" w:fill="FFFFFF"/>
        </w:rPr>
        <w:t>,</w:t>
      </w:r>
      <w:r w:rsidR="00650C23" w:rsidRPr="00191108">
        <w:rPr>
          <w:rFonts w:cstheme="minorHAnsi"/>
          <w:sz w:val="24"/>
          <w:szCs w:val="24"/>
          <w:shd w:val="clear" w:color="auto" w:fill="FFFFFF"/>
        </w:rPr>
        <w:t xml:space="preserve"> although the service works with people with deteriorating conditions, the </w:t>
      </w:r>
      <w:r w:rsidR="003D7F6B" w:rsidRPr="00191108">
        <w:rPr>
          <w:rFonts w:cstheme="minorHAnsi"/>
          <w:sz w:val="24"/>
          <w:szCs w:val="24"/>
          <w:shd w:val="clear" w:color="auto" w:fill="FFFFFF"/>
        </w:rPr>
        <w:t xml:space="preserve">audit sample did not identify a decrease </w:t>
      </w:r>
      <w:r w:rsidR="00CF2678" w:rsidRPr="00191108">
        <w:rPr>
          <w:rFonts w:cstheme="minorHAnsi"/>
          <w:sz w:val="24"/>
          <w:szCs w:val="24"/>
          <w:shd w:val="clear" w:color="auto" w:fill="FFFFFF"/>
        </w:rPr>
        <w:t>across</w:t>
      </w:r>
      <w:r w:rsidR="003D7F6B" w:rsidRPr="00191108">
        <w:rPr>
          <w:rFonts w:cstheme="minorHAnsi"/>
          <w:sz w:val="24"/>
          <w:szCs w:val="24"/>
          <w:shd w:val="clear" w:color="auto" w:fill="FFFFFF"/>
        </w:rPr>
        <w:t xml:space="preserve"> impairment scores</w:t>
      </w:r>
      <w:r w:rsidR="00BB297A" w:rsidRPr="00191108">
        <w:rPr>
          <w:rFonts w:cstheme="minorHAnsi"/>
          <w:sz w:val="24"/>
          <w:szCs w:val="24"/>
          <w:shd w:val="clear" w:color="auto" w:fill="FFFFFF"/>
        </w:rPr>
        <w:t>, this</w:t>
      </w:r>
      <w:r w:rsidR="00734F0E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84198" w:rsidRPr="00191108">
        <w:rPr>
          <w:rFonts w:cstheme="minorHAnsi"/>
          <w:sz w:val="24"/>
          <w:szCs w:val="24"/>
          <w:shd w:val="clear" w:color="auto" w:fill="FFFFFF"/>
        </w:rPr>
        <w:t xml:space="preserve">potentially </w:t>
      </w:r>
      <w:r w:rsidR="00734F0E" w:rsidRPr="00191108">
        <w:rPr>
          <w:rFonts w:cstheme="minorHAnsi"/>
          <w:sz w:val="24"/>
          <w:szCs w:val="24"/>
          <w:shd w:val="clear" w:color="auto" w:fill="FFFFFF"/>
        </w:rPr>
        <w:t>reflect</w:t>
      </w:r>
      <w:r w:rsidR="008E7E68" w:rsidRPr="00191108">
        <w:rPr>
          <w:rFonts w:cstheme="minorHAnsi"/>
          <w:sz w:val="24"/>
          <w:szCs w:val="24"/>
          <w:shd w:val="clear" w:color="auto" w:fill="FFFFFF"/>
        </w:rPr>
        <w:t>s</w:t>
      </w:r>
      <w:r w:rsidR="00734F0E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66D51" w:rsidRPr="00191108">
        <w:rPr>
          <w:rFonts w:cstheme="minorHAnsi"/>
          <w:sz w:val="24"/>
          <w:szCs w:val="24"/>
          <w:shd w:val="clear" w:color="auto" w:fill="FFFFFF"/>
        </w:rPr>
        <w:t>the</w:t>
      </w:r>
      <w:r w:rsidR="00284198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B297A" w:rsidRPr="00191108">
        <w:rPr>
          <w:rFonts w:cstheme="minorHAnsi"/>
          <w:sz w:val="24"/>
          <w:szCs w:val="24"/>
          <w:shd w:val="clear" w:color="auto" w:fill="FFFFFF"/>
        </w:rPr>
        <w:t xml:space="preserve">short episode </w:t>
      </w:r>
      <w:r w:rsidR="00F66D51" w:rsidRPr="00191108">
        <w:rPr>
          <w:rFonts w:cstheme="minorHAnsi"/>
          <w:sz w:val="24"/>
          <w:szCs w:val="24"/>
          <w:shd w:val="clear" w:color="auto" w:fill="FFFFFF"/>
        </w:rPr>
        <w:t xml:space="preserve">(Sept/Oct 2020) </w:t>
      </w:r>
      <w:r w:rsidR="00BB297A" w:rsidRPr="00191108">
        <w:rPr>
          <w:rFonts w:cstheme="minorHAnsi"/>
          <w:sz w:val="24"/>
          <w:szCs w:val="24"/>
          <w:shd w:val="clear" w:color="auto" w:fill="FFFFFF"/>
        </w:rPr>
        <w:t>of car</w:t>
      </w:r>
      <w:r w:rsidR="00284198" w:rsidRPr="00191108">
        <w:rPr>
          <w:rFonts w:cstheme="minorHAnsi"/>
          <w:sz w:val="24"/>
          <w:szCs w:val="24"/>
          <w:shd w:val="clear" w:color="auto" w:fill="FFFFFF"/>
        </w:rPr>
        <w:t>e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 xml:space="preserve"> within sample timeframe</w:t>
      </w:r>
      <w:r w:rsidR="003D7F6B" w:rsidRPr="00191108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18F24FFE" w14:textId="70DF94EC" w:rsidR="00516819" w:rsidRPr="00191108" w:rsidRDefault="00344151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>Occupational therapy philosophy is humanist, holistic and client centred (Finlay 2001</w:t>
      </w:r>
      <w:r w:rsidR="002A2A8F" w:rsidRPr="00191108">
        <w:rPr>
          <w:rFonts w:cstheme="minorHAnsi"/>
          <w:sz w:val="24"/>
          <w:szCs w:val="24"/>
          <w:shd w:val="clear" w:color="auto" w:fill="FFFFFF"/>
        </w:rPr>
        <w:t>), promoting</w:t>
      </w:r>
      <w:r w:rsidR="00F50016" w:rsidRPr="00191108">
        <w:rPr>
          <w:rFonts w:cstheme="minorHAnsi"/>
          <w:sz w:val="24"/>
          <w:szCs w:val="24"/>
          <w:shd w:val="clear" w:color="auto" w:fill="FFFFFF"/>
        </w:rPr>
        <w:t xml:space="preserve"> a holistic model of health</w:t>
      </w:r>
      <w:r w:rsidR="00087E0D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0016" w:rsidRPr="00191108">
        <w:rPr>
          <w:rFonts w:cstheme="minorHAnsi"/>
          <w:sz w:val="24"/>
          <w:szCs w:val="24"/>
          <w:shd w:val="clear" w:color="auto" w:fill="FFFFFF"/>
        </w:rPr>
        <w:t>reach</w:t>
      </w:r>
      <w:r w:rsidR="00087E0D" w:rsidRPr="00191108">
        <w:rPr>
          <w:rFonts w:cstheme="minorHAnsi"/>
          <w:sz w:val="24"/>
          <w:szCs w:val="24"/>
          <w:shd w:val="clear" w:color="auto" w:fill="FFFFFF"/>
        </w:rPr>
        <w:t>ing</w:t>
      </w:r>
      <w:r w:rsidR="00F50016" w:rsidRPr="00191108">
        <w:rPr>
          <w:rFonts w:cstheme="minorHAnsi"/>
          <w:sz w:val="24"/>
          <w:szCs w:val="24"/>
          <w:shd w:val="clear" w:color="auto" w:fill="FFFFFF"/>
        </w:rPr>
        <w:t xml:space="preserve"> beyond </w:t>
      </w:r>
      <w:r w:rsidR="002A2A8F" w:rsidRPr="00191108">
        <w:rPr>
          <w:rFonts w:cstheme="minorHAnsi"/>
          <w:sz w:val="24"/>
          <w:szCs w:val="24"/>
          <w:shd w:val="clear" w:color="auto" w:fill="FFFFFF"/>
        </w:rPr>
        <w:t>bodily functions and structures (</w:t>
      </w:r>
      <w:r w:rsidR="00F50016" w:rsidRPr="00191108">
        <w:rPr>
          <w:rFonts w:cstheme="minorHAnsi"/>
          <w:sz w:val="24"/>
          <w:szCs w:val="24"/>
          <w:shd w:val="clear" w:color="auto" w:fill="FFFFFF"/>
        </w:rPr>
        <w:t>impairment</w:t>
      </w:r>
      <w:r w:rsidR="002A2A8F" w:rsidRPr="00191108">
        <w:rPr>
          <w:rFonts w:cstheme="minorHAnsi"/>
          <w:sz w:val="24"/>
          <w:szCs w:val="24"/>
          <w:shd w:val="clear" w:color="auto" w:fill="FFFFFF"/>
        </w:rPr>
        <w:t>)</w:t>
      </w:r>
      <w:r w:rsidR="00F50016" w:rsidRPr="00191108">
        <w:rPr>
          <w:rFonts w:cstheme="minorHAnsi"/>
          <w:sz w:val="24"/>
          <w:szCs w:val="24"/>
          <w:shd w:val="clear" w:color="auto" w:fill="FFFFFF"/>
        </w:rPr>
        <w:t xml:space="preserve"> alone.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>Change in the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50016" w:rsidRPr="00191108">
        <w:rPr>
          <w:rFonts w:cstheme="minorHAnsi"/>
          <w:sz w:val="24"/>
          <w:szCs w:val="24"/>
          <w:shd w:val="clear" w:color="auto" w:fill="FFFFFF"/>
        </w:rPr>
        <w:t xml:space="preserve">TOM </w:t>
      </w:r>
      <w:r w:rsidR="00304BA5" w:rsidRPr="00191108">
        <w:rPr>
          <w:rFonts w:cstheme="minorHAnsi"/>
          <w:sz w:val="24"/>
          <w:szCs w:val="24"/>
          <w:shd w:val="clear" w:color="auto" w:fill="FFFFFF"/>
        </w:rPr>
        <w:t>impairment domain is</w:t>
      </w:r>
      <w:r w:rsidR="00121290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 xml:space="preserve">unlikely compared to </w:t>
      </w:r>
      <w:r w:rsidR="00304BA5" w:rsidRPr="00191108">
        <w:rPr>
          <w:rFonts w:cstheme="minorHAnsi"/>
          <w:sz w:val="24"/>
          <w:szCs w:val="24"/>
          <w:shd w:val="clear" w:color="auto" w:fill="FFFFFF"/>
        </w:rPr>
        <w:t>other domains</w:t>
      </w:r>
      <w:r w:rsidR="00BB297A" w:rsidRPr="00191108">
        <w:rPr>
          <w:rFonts w:cstheme="minorHAnsi"/>
          <w:sz w:val="24"/>
          <w:szCs w:val="24"/>
          <w:shd w:val="clear" w:color="auto" w:fill="FFFFFF"/>
        </w:rPr>
        <w:t>,</w:t>
      </w:r>
      <w:r w:rsidR="007A6840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C1371" w:rsidRPr="00191108">
        <w:rPr>
          <w:rFonts w:cstheme="minorHAnsi"/>
          <w:sz w:val="24"/>
          <w:szCs w:val="24"/>
          <w:shd w:val="clear" w:color="auto" w:fill="FFFFFF"/>
        </w:rPr>
        <w:t xml:space="preserve">but its </w:t>
      </w:r>
      <w:r w:rsidR="007725C6" w:rsidRPr="00191108">
        <w:rPr>
          <w:rFonts w:cstheme="minorHAnsi"/>
          <w:sz w:val="24"/>
          <w:szCs w:val="24"/>
          <w:shd w:val="clear" w:color="auto" w:fill="FFFFFF"/>
        </w:rPr>
        <w:t>use</w:t>
      </w:r>
      <w:r w:rsidR="007C1371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842D6" w:rsidRPr="00191108">
        <w:rPr>
          <w:rFonts w:cstheme="minorHAnsi"/>
          <w:sz w:val="24"/>
          <w:szCs w:val="24"/>
          <w:shd w:val="clear" w:color="auto" w:fill="FFFFFF"/>
        </w:rPr>
        <w:t>demonstrates</w:t>
      </w:r>
      <w:r w:rsidR="007C1371" w:rsidRPr="00191108">
        <w:rPr>
          <w:rFonts w:cstheme="minorHAnsi"/>
          <w:sz w:val="24"/>
          <w:szCs w:val="24"/>
          <w:shd w:val="clear" w:color="auto" w:fill="FFFFFF"/>
        </w:rPr>
        <w:t xml:space="preserve"> the holistic approach of occupational therapy</w:t>
      </w:r>
      <w:r w:rsidR="00B842D6" w:rsidRPr="00191108">
        <w:rPr>
          <w:rFonts w:cstheme="minorHAnsi"/>
          <w:sz w:val="24"/>
          <w:szCs w:val="24"/>
          <w:shd w:val="clear" w:color="auto" w:fill="FFFFFF"/>
        </w:rPr>
        <w:t>, plus t</w:t>
      </w:r>
      <w:r w:rsidR="00565473" w:rsidRPr="00191108">
        <w:rPr>
          <w:rFonts w:cstheme="minorHAnsi"/>
          <w:sz w:val="24"/>
          <w:szCs w:val="24"/>
          <w:shd w:val="clear" w:color="auto" w:fill="FFFFFF"/>
        </w:rPr>
        <w:t>herapists should be rigorous in selecting a measure to ensure the “best fit”</w:t>
      </w:r>
      <w:r w:rsidR="006F1251" w:rsidRPr="00191108">
        <w:rPr>
          <w:rFonts w:cstheme="minorHAnsi"/>
          <w:sz w:val="24"/>
          <w:szCs w:val="24"/>
          <w:shd w:val="clear" w:color="auto" w:fill="FFFFFF"/>
        </w:rPr>
        <w:t xml:space="preserve"> (Corr and Siddons 2005)</w:t>
      </w:r>
      <w:r w:rsidR="00C25A37" w:rsidRPr="00191108">
        <w:rPr>
          <w:rFonts w:cstheme="minorHAnsi"/>
          <w:sz w:val="24"/>
          <w:szCs w:val="24"/>
          <w:shd w:val="clear" w:color="auto" w:fill="FFFFFF"/>
        </w:rPr>
        <w:t xml:space="preserve"> as a single measure of health does not exist (Wade 2009).</w:t>
      </w:r>
      <w:r w:rsidR="00294177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6B5485F" w14:textId="082276F5" w:rsidR="009B229B" w:rsidRPr="00191108" w:rsidRDefault="00DC2BB5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91108">
        <w:rPr>
          <w:rFonts w:cstheme="minorHAnsi"/>
          <w:i/>
          <w:iCs/>
          <w:sz w:val="24"/>
          <w:szCs w:val="24"/>
          <w:shd w:val="clear" w:color="auto" w:fill="FFFFFF"/>
        </w:rPr>
        <w:t xml:space="preserve">Activity </w:t>
      </w:r>
    </w:p>
    <w:p w14:paraId="5E3090D6" w14:textId="6CCD3A9B" w:rsidR="009404B2" w:rsidRPr="00191108" w:rsidRDefault="00284198" w:rsidP="0087262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91108">
        <w:rPr>
          <w:rFonts w:asciiTheme="minorHAnsi" w:hAnsiTheme="minorHAnsi" w:cstheme="minorHAnsi"/>
          <w:color w:val="auto"/>
          <w:shd w:val="clear" w:color="auto" w:fill="FFFFFF"/>
        </w:rPr>
        <w:t>Use of activity is a core tenet of occupational therapy philosophy</w:t>
      </w:r>
      <w:r w:rsidR="00B161A3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wh</w:t>
      </w:r>
      <w:r w:rsidR="007725C6" w:rsidRPr="00191108">
        <w:rPr>
          <w:rFonts w:asciiTheme="minorHAnsi" w:hAnsiTheme="minorHAnsi" w:cstheme="minorHAnsi"/>
          <w:color w:val="auto"/>
          <w:shd w:val="clear" w:color="auto" w:fill="FFFFFF"/>
        </w:rPr>
        <w:t>ich</w:t>
      </w:r>
      <w:r w:rsidR="00B161A3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A25B82" w:rsidRPr="00191108">
        <w:rPr>
          <w:rFonts w:asciiTheme="minorHAnsi" w:hAnsiTheme="minorHAnsi" w:cstheme="minorHAnsi"/>
          <w:color w:val="auto"/>
          <w:shd w:val="clear" w:color="auto" w:fill="FFFFFF"/>
        </w:rPr>
        <w:t>seek</w:t>
      </w:r>
      <w:r w:rsidR="007725C6" w:rsidRPr="00191108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A25B82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to improve occupational performance</w:t>
      </w:r>
      <w:r w:rsidR="00497993" w:rsidRPr="00191108">
        <w:rPr>
          <w:rFonts w:asciiTheme="minorHAnsi" w:hAnsiTheme="minorHAnsi" w:cstheme="minorHAnsi"/>
          <w:color w:val="auto"/>
          <w:shd w:val="clear" w:color="auto" w:fill="FFFFFF"/>
        </w:rPr>
        <w:t>:</w:t>
      </w:r>
      <w:r w:rsidR="00A25B82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the doing of meaningful activities, and tasks through complex interaction between the person and the environment (Baum </w:t>
      </w:r>
      <w:r w:rsidR="00A25B82" w:rsidRPr="00191108">
        <w:rPr>
          <w:rFonts w:asciiTheme="minorHAnsi" w:hAnsiTheme="minorHAnsi" w:cstheme="minorHAnsi"/>
          <w:i/>
          <w:iCs/>
          <w:color w:val="auto"/>
          <w:shd w:val="clear" w:color="auto" w:fill="FFFFFF"/>
        </w:rPr>
        <w:t>et al.,</w:t>
      </w:r>
      <w:r w:rsidR="00A25B82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2011). Use of </w:t>
      </w:r>
      <w:r w:rsidR="00406074" w:rsidRPr="00191108">
        <w:rPr>
          <w:rFonts w:asciiTheme="minorHAnsi" w:hAnsiTheme="minorHAnsi" w:cstheme="minorHAnsi"/>
          <w:color w:val="auto"/>
          <w:shd w:val="clear" w:color="auto" w:fill="FFFFFF"/>
        </w:rPr>
        <w:t>equipment and adaptations support</w:t>
      </w:r>
      <w:r w:rsidR="00C3656A" w:rsidRPr="00191108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406074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essential activity</w:t>
      </w:r>
      <w:r w:rsidR="00872625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7765B3" w:rsidRPr="00191108">
        <w:rPr>
          <w:rFonts w:asciiTheme="minorHAnsi" w:hAnsiTheme="minorHAnsi" w:cstheme="minorHAnsi"/>
          <w:color w:val="auto"/>
          <w:shd w:val="clear" w:color="auto" w:fill="FFFFFF"/>
        </w:rPr>
        <w:t>enabl</w:t>
      </w:r>
      <w:r w:rsidR="00C3656A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ing </w:t>
      </w:r>
      <w:r w:rsidR="007765B3" w:rsidRPr="00191108">
        <w:rPr>
          <w:rFonts w:asciiTheme="minorHAnsi" w:hAnsiTheme="minorHAnsi" w:cstheme="minorHAnsi"/>
          <w:color w:val="auto"/>
          <w:shd w:val="clear" w:color="auto" w:fill="FFFFFF"/>
        </w:rPr>
        <w:t>clients to overcome barriers</w:t>
      </w:r>
      <w:r w:rsidR="00406074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497993" w:rsidRPr="00191108">
        <w:rPr>
          <w:rFonts w:asciiTheme="minorHAnsi" w:hAnsiTheme="minorHAnsi" w:cstheme="minorHAnsi"/>
          <w:color w:val="auto"/>
          <w:shd w:val="clear" w:color="auto" w:fill="FFFFFF"/>
        </w:rPr>
        <w:t>which is the remit</w:t>
      </w:r>
      <w:r w:rsidR="004A02BB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of</w:t>
      </w:r>
      <w:r w:rsidR="00A25B82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the </w:t>
      </w:r>
      <w:r w:rsidR="00406074" w:rsidRPr="00191108">
        <w:rPr>
          <w:rFonts w:asciiTheme="minorHAnsi" w:hAnsiTheme="minorHAnsi" w:cstheme="minorHAnsi"/>
          <w:color w:val="auto"/>
          <w:shd w:val="clear" w:color="auto" w:fill="FFFFFF"/>
        </w:rPr>
        <w:t>o</w:t>
      </w:r>
      <w:r w:rsidR="00A25B82" w:rsidRPr="00191108">
        <w:rPr>
          <w:rFonts w:asciiTheme="minorHAnsi" w:hAnsiTheme="minorHAnsi" w:cstheme="minorHAnsi"/>
          <w:color w:val="auto"/>
          <w:shd w:val="clear" w:color="auto" w:fill="FFFFFF"/>
        </w:rPr>
        <w:t>ccupational therap</w:t>
      </w:r>
      <w:r w:rsidR="002A2A8F" w:rsidRPr="00191108">
        <w:rPr>
          <w:rFonts w:asciiTheme="minorHAnsi" w:hAnsiTheme="minorHAnsi" w:cstheme="minorHAnsi"/>
          <w:color w:val="auto"/>
          <w:shd w:val="clear" w:color="auto" w:fill="FFFFFF"/>
        </w:rPr>
        <w:t>y</w:t>
      </w:r>
      <w:r w:rsidR="00A25B82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role</w:t>
      </w:r>
      <w:r w:rsidR="00406074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in adult social care</w:t>
      </w:r>
      <w:r w:rsidR="00A25B82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. The audit results show </w:t>
      </w:r>
      <w:r w:rsidR="00A25B82" w:rsidRPr="00191108">
        <w:rPr>
          <w:rFonts w:asciiTheme="minorHAnsi" w:hAnsiTheme="minorHAnsi" w:cstheme="minorHAnsi"/>
          <w:color w:val="auto"/>
        </w:rPr>
        <w:t>79</w:t>
      </w:r>
      <w:r w:rsidR="009404B2" w:rsidRPr="00191108">
        <w:rPr>
          <w:rFonts w:asciiTheme="minorHAnsi" w:hAnsiTheme="minorHAnsi" w:cstheme="minorHAnsi"/>
          <w:color w:val="auto"/>
        </w:rPr>
        <w:t>%</w:t>
      </w:r>
      <w:r w:rsidR="009404B2" w:rsidRPr="00191108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404B2" w:rsidRPr="00191108">
        <w:rPr>
          <w:rFonts w:asciiTheme="minorHAnsi" w:hAnsiTheme="minorHAnsi" w:cstheme="minorHAnsi"/>
          <w:color w:val="auto"/>
        </w:rPr>
        <w:t>of clients improve</w:t>
      </w:r>
      <w:r w:rsidR="00406074" w:rsidRPr="00191108">
        <w:rPr>
          <w:rFonts w:asciiTheme="minorHAnsi" w:hAnsiTheme="minorHAnsi" w:cstheme="minorHAnsi"/>
          <w:color w:val="auto"/>
        </w:rPr>
        <w:t>d</w:t>
      </w:r>
      <w:r w:rsidR="009404B2" w:rsidRPr="00191108">
        <w:rPr>
          <w:rFonts w:asciiTheme="minorHAnsi" w:hAnsiTheme="minorHAnsi" w:cstheme="minorHAnsi"/>
          <w:color w:val="auto"/>
        </w:rPr>
        <w:t xml:space="preserve"> </w:t>
      </w:r>
      <w:r w:rsidR="00A25B82" w:rsidRPr="00191108">
        <w:rPr>
          <w:rFonts w:asciiTheme="minorHAnsi" w:hAnsiTheme="minorHAnsi" w:cstheme="minorHAnsi"/>
          <w:color w:val="auto"/>
        </w:rPr>
        <w:t>in the activity domain following occupational therapy intervention</w:t>
      </w:r>
      <w:r w:rsidR="00413217" w:rsidRPr="00191108">
        <w:rPr>
          <w:rFonts w:asciiTheme="minorHAnsi" w:hAnsiTheme="minorHAnsi" w:cstheme="minorHAnsi"/>
          <w:color w:val="auto"/>
        </w:rPr>
        <w:t>. The median point for the pre activity score is 3, and post activity median is 3.5, showing a small but clinically significant change</w:t>
      </w:r>
      <w:r w:rsidR="00C8161E" w:rsidRPr="00191108">
        <w:rPr>
          <w:rFonts w:asciiTheme="minorHAnsi" w:hAnsiTheme="minorHAnsi" w:cstheme="minorHAnsi"/>
          <w:color w:val="auto"/>
        </w:rPr>
        <w:t xml:space="preserve"> (Enderby and John 2015)</w:t>
      </w:r>
      <w:r w:rsidR="004A02BB" w:rsidRPr="00191108">
        <w:rPr>
          <w:rFonts w:asciiTheme="minorHAnsi" w:hAnsiTheme="minorHAnsi" w:cstheme="minorHAnsi"/>
          <w:color w:val="auto"/>
        </w:rPr>
        <w:t xml:space="preserve"> over the sample timefr</w:t>
      </w:r>
      <w:r w:rsidR="00D970BA" w:rsidRPr="00191108">
        <w:rPr>
          <w:rFonts w:asciiTheme="minorHAnsi" w:hAnsiTheme="minorHAnsi" w:cstheme="minorHAnsi"/>
          <w:color w:val="auto"/>
        </w:rPr>
        <w:t xml:space="preserve">ame. Despite </w:t>
      </w:r>
      <w:r w:rsidR="00A21B03" w:rsidRPr="00191108">
        <w:rPr>
          <w:rFonts w:asciiTheme="minorHAnsi" w:hAnsiTheme="minorHAnsi" w:cstheme="minorHAnsi"/>
          <w:color w:val="auto"/>
        </w:rPr>
        <w:t>the</w:t>
      </w:r>
      <w:r w:rsidR="00D970BA" w:rsidRPr="00191108">
        <w:rPr>
          <w:rFonts w:asciiTheme="minorHAnsi" w:hAnsiTheme="minorHAnsi" w:cstheme="minorHAnsi"/>
          <w:color w:val="auto"/>
        </w:rPr>
        <w:t xml:space="preserve"> small change,</w:t>
      </w:r>
      <w:r w:rsidR="00872625" w:rsidRPr="00191108">
        <w:rPr>
          <w:rFonts w:asciiTheme="minorHAnsi" w:hAnsiTheme="minorHAnsi" w:cstheme="minorHAnsi"/>
          <w:color w:val="auto"/>
        </w:rPr>
        <w:t xml:space="preserve"> </w:t>
      </w:r>
      <w:r w:rsidR="00B822B1" w:rsidRPr="00191108">
        <w:rPr>
          <w:rFonts w:asciiTheme="minorHAnsi" w:hAnsiTheme="minorHAnsi" w:cstheme="minorHAnsi"/>
          <w:color w:val="auto"/>
        </w:rPr>
        <w:t>intervention</w:t>
      </w:r>
      <w:r w:rsidR="00F66D51" w:rsidRPr="00191108">
        <w:rPr>
          <w:rFonts w:asciiTheme="minorHAnsi" w:hAnsiTheme="minorHAnsi" w:cstheme="minorHAnsi"/>
          <w:color w:val="auto"/>
        </w:rPr>
        <w:t>s</w:t>
      </w:r>
      <w:r w:rsidR="00B822B1" w:rsidRPr="00191108">
        <w:rPr>
          <w:rFonts w:asciiTheme="minorHAnsi" w:hAnsiTheme="minorHAnsi" w:cstheme="minorHAnsi"/>
          <w:color w:val="auto"/>
        </w:rPr>
        <w:t xml:space="preserve"> </w:t>
      </w:r>
      <w:r w:rsidR="00DF0EEE" w:rsidRPr="00191108">
        <w:rPr>
          <w:rFonts w:asciiTheme="minorHAnsi" w:hAnsiTheme="minorHAnsi" w:cstheme="minorHAnsi"/>
          <w:color w:val="auto"/>
        </w:rPr>
        <w:t>for safe activities</w:t>
      </w:r>
      <w:r w:rsidR="00B822B1" w:rsidRPr="00191108">
        <w:rPr>
          <w:rFonts w:asciiTheme="minorHAnsi" w:hAnsiTheme="minorHAnsi" w:cstheme="minorHAnsi"/>
          <w:color w:val="auto"/>
        </w:rPr>
        <w:t xml:space="preserve"> to enable</w:t>
      </w:r>
      <w:r w:rsidR="00406074" w:rsidRPr="00191108">
        <w:rPr>
          <w:rFonts w:asciiTheme="minorHAnsi" w:hAnsiTheme="minorHAnsi" w:cstheme="minorHAnsi"/>
          <w:color w:val="auto"/>
        </w:rPr>
        <w:t xml:space="preserve"> occupational performance</w:t>
      </w:r>
      <w:r w:rsidR="00F66D51" w:rsidRPr="00191108">
        <w:rPr>
          <w:rFonts w:asciiTheme="minorHAnsi" w:hAnsiTheme="minorHAnsi" w:cstheme="minorHAnsi"/>
          <w:color w:val="auto"/>
        </w:rPr>
        <w:t>,</w:t>
      </w:r>
      <w:r w:rsidR="00A21B03" w:rsidRPr="00191108">
        <w:rPr>
          <w:rFonts w:asciiTheme="minorHAnsi" w:hAnsiTheme="minorHAnsi" w:cstheme="minorHAnsi"/>
          <w:color w:val="auto"/>
        </w:rPr>
        <w:t xml:space="preserve"> such as equipment provision, </w:t>
      </w:r>
      <w:r w:rsidR="00AB45A8" w:rsidRPr="00191108">
        <w:rPr>
          <w:rFonts w:asciiTheme="minorHAnsi" w:hAnsiTheme="minorHAnsi" w:cstheme="minorHAnsi"/>
          <w:color w:val="auto"/>
        </w:rPr>
        <w:t>is</w:t>
      </w:r>
      <w:r w:rsidR="00B822B1" w:rsidRPr="00191108">
        <w:rPr>
          <w:rFonts w:asciiTheme="minorHAnsi" w:hAnsiTheme="minorHAnsi" w:cstheme="minorHAnsi"/>
          <w:color w:val="auto"/>
        </w:rPr>
        <w:t xml:space="preserve"> pivotal </w:t>
      </w:r>
      <w:r w:rsidR="00413217" w:rsidRPr="00191108">
        <w:rPr>
          <w:rFonts w:asciiTheme="minorHAnsi" w:hAnsiTheme="minorHAnsi" w:cstheme="minorHAnsi"/>
          <w:color w:val="auto"/>
        </w:rPr>
        <w:t>to enable and improve activit</w:t>
      </w:r>
      <w:r w:rsidR="00B822B1" w:rsidRPr="00191108">
        <w:rPr>
          <w:rFonts w:asciiTheme="minorHAnsi" w:hAnsiTheme="minorHAnsi" w:cstheme="minorHAnsi"/>
          <w:color w:val="auto"/>
        </w:rPr>
        <w:t xml:space="preserve">y (Forsyth and Hamilton 2008), </w:t>
      </w:r>
      <w:r w:rsidR="00406074" w:rsidRPr="00191108">
        <w:rPr>
          <w:rFonts w:asciiTheme="minorHAnsi" w:hAnsiTheme="minorHAnsi" w:cstheme="minorHAnsi"/>
          <w:color w:val="auto"/>
        </w:rPr>
        <w:t xml:space="preserve">plus assistive technology can be prescribed (Mountain 2004) to enable activities and prevent falls. </w:t>
      </w:r>
    </w:p>
    <w:p w14:paraId="7363447E" w14:textId="14B1EB3F" w:rsidR="00C351A3" w:rsidRPr="00191108" w:rsidRDefault="00D06247" w:rsidP="0087262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Reablement is offered in the STAR </w:t>
      </w:r>
      <w:r w:rsidR="00F66D51" w:rsidRPr="00191108">
        <w:rPr>
          <w:rFonts w:asciiTheme="minorHAnsi" w:hAnsiTheme="minorHAnsi" w:cstheme="minorHAnsi"/>
          <w:color w:val="auto"/>
          <w:shd w:val="clear" w:color="auto" w:fill="FFFFFF"/>
        </w:rPr>
        <w:t>team</w:t>
      </w:r>
      <w:r w:rsidR="002428F9" w:rsidRPr="00191108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872625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however </w:t>
      </w:r>
      <w:r w:rsidR="002428F9" w:rsidRPr="00191108">
        <w:rPr>
          <w:rFonts w:asciiTheme="minorHAnsi" w:hAnsiTheme="minorHAnsi" w:cstheme="minorHAnsi"/>
          <w:color w:val="auto"/>
          <w:shd w:val="clear" w:color="auto" w:fill="FFFFFF"/>
        </w:rPr>
        <w:t>domain</w:t>
      </w:r>
      <w:r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results </w:t>
      </w:r>
      <w:r w:rsidR="002A2A8F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were not available separately and </w:t>
      </w:r>
      <w:r w:rsidRPr="00191108">
        <w:rPr>
          <w:rFonts w:asciiTheme="minorHAnsi" w:hAnsiTheme="minorHAnsi" w:cstheme="minorHAnsi"/>
          <w:color w:val="auto"/>
          <w:shd w:val="clear" w:color="auto" w:fill="FFFFFF"/>
        </w:rPr>
        <w:t>cannot be differentiated to demonstrate STAR outcomes.</w:t>
      </w:r>
      <w:r w:rsidR="00872625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The scope of reablement seeks to improve performance </w:t>
      </w:r>
      <w:r w:rsidR="001C3C01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in daily activities </w:t>
      </w:r>
      <w:r w:rsidR="00872625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(Francis </w:t>
      </w:r>
      <w:r w:rsidR="00872625" w:rsidRPr="00191108">
        <w:rPr>
          <w:rFonts w:asciiTheme="minorHAnsi" w:hAnsiTheme="minorHAnsi" w:cstheme="minorHAnsi"/>
          <w:i/>
          <w:iCs/>
          <w:color w:val="auto"/>
          <w:shd w:val="clear" w:color="auto" w:fill="FFFFFF"/>
        </w:rPr>
        <w:t>et al</w:t>
      </w:r>
      <w:r w:rsidR="001C3C01" w:rsidRPr="00191108">
        <w:rPr>
          <w:rFonts w:asciiTheme="minorHAnsi" w:hAnsiTheme="minorHAnsi" w:cstheme="minorHAnsi"/>
          <w:color w:val="auto"/>
          <w:shd w:val="clear" w:color="auto" w:fill="FFFFFF"/>
        </w:rPr>
        <w:t>.,</w:t>
      </w:r>
      <w:r w:rsidR="00872625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2011)</w:t>
      </w:r>
      <w:r w:rsidR="001C3C01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and can promote independence and reduce re-referral (Littlechild </w:t>
      </w:r>
      <w:r w:rsidR="001C3C01" w:rsidRPr="00191108">
        <w:rPr>
          <w:rFonts w:asciiTheme="minorHAnsi" w:hAnsiTheme="minorHAnsi" w:cstheme="minorHAnsi"/>
          <w:i/>
          <w:iCs/>
          <w:color w:val="auto"/>
          <w:shd w:val="clear" w:color="auto" w:fill="FFFFFF"/>
        </w:rPr>
        <w:t>et al.,</w:t>
      </w:r>
      <w:r w:rsidR="001C3C01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2010). </w:t>
      </w:r>
    </w:p>
    <w:p w14:paraId="304D5F58" w14:textId="7F581EAB" w:rsidR="009B229B" w:rsidRPr="00191108" w:rsidRDefault="00D249F8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91108">
        <w:rPr>
          <w:rFonts w:cstheme="minorHAnsi"/>
          <w:i/>
          <w:iCs/>
          <w:sz w:val="24"/>
          <w:szCs w:val="24"/>
          <w:shd w:val="clear" w:color="auto" w:fill="FFFFFF"/>
        </w:rPr>
        <w:t>Participation</w:t>
      </w:r>
    </w:p>
    <w:p w14:paraId="6519D72F" w14:textId="0CCDD6CD" w:rsidR="0046133B" w:rsidRPr="00191108" w:rsidRDefault="00AC3297" w:rsidP="0046133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91108">
        <w:rPr>
          <w:rFonts w:asciiTheme="minorHAnsi" w:hAnsiTheme="minorHAnsi" w:cstheme="minorHAnsi"/>
          <w:color w:val="auto"/>
          <w:shd w:val="clear" w:color="auto" w:fill="FFFFFF"/>
        </w:rPr>
        <w:t>Enabling participation is</w:t>
      </w:r>
      <w:r w:rsidR="002F533A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a</w:t>
      </w:r>
      <w:r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key focus of </w:t>
      </w:r>
      <w:r w:rsidR="002B32B1" w:rsidRPr="00191108">
        <w:rPr>
          <w:rFonts w:asciiTheme="minorHAnsi" w:hAnsiTheme="minorHAnsi" w:cstheme="minorHAnsi"/>
          <w:color w:val="auto"/>
          <w:shd w:val="clear" w:color="auto" w:fill="FFFFFF"/>
        </w:rPr>
        <w:t>occupation for</w:t>
      </w:r>
      <w:r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the therapist in adult social care</w:t>
      </w:r>
      <w:r w:rsidR="00EC11F0" w:rsidRPr="00191108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9A4274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Practitioners</w:t>
      </w:r>
      <w:r w:rsidR="00914499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aim to enable clients to engage in meaningful roles which support their participation in everyday life</w:t>
      </w:r>
      <w:r w:rsidR="00F533C6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(</w:t>
      </w:r>
      <w:r w:rsidR="00FC3C54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Christiansen and </w:t>
      </w:r>
      <w:r w:rsidR="00FE4CE8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Baum </w:t>
      </w:r>
      <w:r w:rsidR="00B93573" w:rsidRPr="00191108">
        <w:rPr>
          <w:rFonts w:asciiTheme="minorHAnsi" w:hAnsiTheme="minorHAnsi" w:cstheme="minorHAnsi"/>
          <w:color w:val="auto"/>
          <w:shd w:val="clear" w:color="auto" w:fill="FFFFFF"/>
        </w:rPr>
        <w:t>2005</w:t>
      </w:r>
      <w:r w:rsidR="00F533C6" w:rsidRPr="00191108">
        <w:rPr>
          <w:rFonts w:asciiTheme="minorHAnsi" w:hAnsiTheme="minorHAnsi" w:cstheme="minorHAnsi"/>
          <w:color w:val="auto"/>
          <w:shd w:val="clear" w:color="auto" w:fill="FFFFFF"/>
        </w:rPr>
        <w:t>)</w:t>
      </w:r>
      <w:r w:rsidR="009B229B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="004C0FC6" w:rsidRPr="00191108">
        <w:rPr>
          <w:rFonts w:asciiTheme="minorHAnsi" w:hAnsiTheme="minorHAnsi" w:cstheme="minorHAnsi"/>
          <w:color w:val="auto"/>
          <w:shd w:val="clear" w:color="auto" w:fill="FFFFFF"/>
        </w:rPr>
        <w:t>The results show that just</w:t>
      </w:r>
      <w:r w:rsidR="00B93573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C0FC6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20% </w:t>
      </w:r>
      <w:r w:rsidR="004C0FC6" w:rsidRPr="00191108">
        <w:rPr>
          <w:rFonts w:asciiTheme="minorHAnsi" w:hAnsiTheme="minorHAnsi" w:cstheme="minorHAnsi"/>
          <w:color w:val="auto"/>
          <w:shd w:val="clear" w:color="auto" w:fill="FFFFFF"/>
        </w:rPr>
        <w:lastRenderedPageBreak/>
        <w:t xml:space="preserve">(14/70) of client participation scores improved following intervention. </w:t>
      </w:r>
      <w:r w:rsidR="009B12CF" w:rsidRPr="00191108">
        <w:rPr>
          <w:rFonts w:asciiTheme="minorHAnsi" w:hAnsiTheme="minorHAnsi" w:cstheme="minorHAnsi"/>
          <w:color w:val="auto"/>
          <w:shd w:val="clear" w:color="auto" w:fill="FFFFFF"/>
        </w:rPr>
        <w:t>Factors affecting this co</w:t>
      </w:r>
      <w:r w:rsidR="006E20DE" w:rsidRPr="00191108">
        <w:rPr>
          <w:rFonts w:asciiTheme="minorHAnsi" w:hAnsiTheme="minorHAnsi" w:cstheme="minorHAnsi"/>
          <w:color w:val="auto"/>
          <w:shd w:val="clear" w:color="auto" w:fill="FFFFFF"/>
        </w:rPr>
        <w:t>u</w:t>
      </w:r>
      <w:r w:rsidR="009B12CF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ld be the impact of the </w:t>
      </w:r>
      <w:r w:rsidR="00A7266C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covid-19 </w:t>
      </w:r>
      <w:r w:rsidR="009B12CF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pandemic, </w:t>
      </w:r>
      <w:r w:rsidR="006631DC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due to </w:t>
      </w:r>
      <w:r w:rsidR="001720A4" w:rsidRPr="00191108">
        <w:rPr>
          <w:rFonts w:asciiTheme="minorHAnsi" w:hAnsiTheme="minorHAnsi" w:cstheme="minorHAnsi"/>
          <w:color w:val="auto"/>
          <w:shd w:val="clear" w:color="auto" w:fill="FFFFFF"/>
        </w:rPr>
        <w:t>self-</w:t>
      </w:r>
      <w:r w:rsidR="00A7266C" w:rsidRPr="00191108">
        <w:rPr>
          <w:rFonts w:asciiTheme="minorHAnsi" w:hAnsiTheme="minorHAnsi" w:cstheme="minorHAnsi"/>
          <w:color w:val="auto"/>
          <w:shd w:val="clear" w:color="auto" w:fill="FFFFFF"/>
        </w:rPr>
        <w:t>i</w:t>
      </w:r>
      <w:r w:rsidR="009243C6" w:rsidRPr="00191108">
        <w:rPr>
          <w:rFonts w:asciiTheme="minorHAnsi" w:hAnsiTheme="minorHAnsi" w:cstheme="minorHAnsi"/>
          <w:color w:val="auto"/>
          <w:shd w:val="clear" w:color="auto" w:fill="FFFFFF"/>
        </w:rPr>
        <w:t>solati</w:t>
      </w:r>
      <w:r w:rsidR="00A7266C" w:rsidRPr="00191108">
        <w:rPr>
          <w:rFonts w:asciiTheme="minorHAnsi" w:hAnsiTheme="minorHAnsi" w:cstheme="minorHAnsi"/>
          <w:color w:val="auto"/>
          <w:shd w:val="clear" w:color="auto" w:fill="FFFFFF"/>
        </w:rPr>
        <w:t>ng</w:t>
      </w:r>
      <w:r w:rsidR="009243C6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1720A4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or </w:t>
      </w:r>
      <w:r w:rsidR="009243C6" w:rsidRPr="00191108">
        <w:rPr>
          <w:rFonts w:asciiTheme="minorHAnsi" w:hAnsiTheme="minorHAnsi" w:cstheme="minorHAnsi"/>
          <w:color w:val="auto"/>
          <w:shd w:val="clear" w:color="auto" w:fill="FFFFFF"/>
        </w:rPr>
        <w:t>shielding</w:t>
      </w:r>
      <w:r w:rsidR="005C0A23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restrictions</w:t>
      </w:r>
      <w:r w:rsidR="009243C6" w:rsidRPr="00191108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240190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8174F4" w:rsidRPr="00191108">
        <w:rPr>
          <w:rFonts w:asciiTheme="minorHAnsi" w:hAnsiTheme="minorHAnsi" w:cstheme="minorHAnsi"/>
          <w:color w:val="auto"/>
          <w:shd w:val="clear" w:color="auto" w:fill="FFFFFF"/>
        </w:rPr>
        <w:t>Certainly</w:t>
      </w:r>
      <w:r w:rsidR="003D5724" w:rsidRPr="00191108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8174F4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FE4C48" w:rsidRPr="00191108">
        <w:rPr>
          <w:rFonts w:asciiTheme="minorHAnsi" w:hAnsiTheme="minorHAnsi" w:cstheme="minorHAnsi"/>
          <w:color w:val="auto"/>
          <w:shd w:val="clear" w:color="auto" w:fill="FFFFFF"/>
        </w:rPr>
        <w:t>occup</w:t>
      </w:r>
      <w:r w:rsidR="00324EF7" w:rsidRPr="00191108">
        <w:rPr>
          <w:rFonts w:asciiTheme="minorHAnsi" w:hAnsiTheme="minorHAnsi" w:cstheme="minorHAnsi"/>
          <w:color w:val="auto"/>
          <w:shd w:val="clear" w:color="auto" w:fill="FFFFFF"/>
        </w:rPr>
        <w:t>ational deprivation (Whiteford 2000)</w:t>
      </w:r>
      <w:r w:rsidR="004F07AD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caused by the pandemic has</w:t>
      </w:r>
      <w:r w:rsidR="00043AAE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precluded both clients and staff from engaging in occupation</w:t>
      </w:r>
      <w:r w:rsidR="001F6D90" w:rsidRPr="00191108">
        <w:rPr>
          <w:rFonts w:asciiTheme="minorHAnsi" w:hAnsiTheme="minorHAnsi" w:cstheme="minorHAnsi"/>
          <w:color w:val="auto"/>
          <w:shd w:val="clear" w:color="auto" w:fill="FFFFFF"/>
        </w:rPr>
        <w:t>s</w:t>
      </w:r>
      <w:r w:rsidR="00043AAE" w:rsidRPr="00191108">
        <w:rPr>
          <w:rFonts w:asciiTheme="minorHAnsi" w:hAnsiTheme="minorHAnsi" w:cstheme="minorHAnsi"/>
          <w:color w:val="auto"/>
          <w:shd w:val="clear" w:color="auto" w:fill="FFFFFF"/>
        </w:rPr>
        <w:t>, due to circumstances outside their control</w:t>
      </w:r>
      <w:r w:rsidR="003D5724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. However, </w:t>
      </w:r>
      <w:r w:rsidR="006F677F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occupational </w:t>
      </w:r>
      <w:r w:rsidR="003D5724" w:rsidRPr="00191108">
        <w:rPr>
          <w:rFonts w:asciiTheme="minorHAnsi" w:hAnsiTheme="minorHAnsi" w:cstheme="minorHAnsi"/>
          <w:color w:val="auto"/>
          <w:shd w:val="clear" w:color="auto" w:fill="FFFFFF"/>
        </w:rPr>
        <w:t>t</w:t>
      </w:r>
      <w:r w:rsidR="00240190" w:rsidRPr="00191108">
        <w:rPr>
          <w:rFonts w:asciiTheme="minorHAnsi" w:hAnsiTheme="minorHAnsi" w:cstheme="minorHAnsi"/>
          <w:color w:val="auto"/>
          <w:shd w:val="clear" w:color="auto" w:fill="FFFFFF"/>
        </w:rPr>
        <w:t>herapy assessments have continued throughout the pandemi</w:t>
      </w:r>
      <w:r w:rsidR="005467EF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c </w:t>
      </w:r>
      <w:r w:rsidR="006F677F" w:rsidRPr="00191108">
        <w:rPr>
          <w:rFonts w:asciiTheme="minorHAnsi" w:hAnsiTheme="minorHAnsi" w:cstheme="minorHAnsi"/>
          <w:color w:val="auto"/>
          <w:shd w:val="clear" w:color="auto" w:fill="FFFFFF"/>
        </w:rPr>
        <w:t>whether virtual or in-person</w:t>
      </w:r>
      <w:r w:rsidR="005422AA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5467EF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where essential to </w:t>
      </w:r>
      <w:r w:rsidR="0082563E" w:rsidRPr="00191108">
        <w:rPr>
          <w:rFonts w:asciiTheme="minorHAnsi" w:hAnsiTheme="minorHAnsi" w:cstheme="minorHAnsi"/>
          <w:color w:val="auto"/>
          <w:shd w:val="clear" w:color="auto" w:fill="FFFFFF"/>
        </w:rPr>
        <w:t>view environments, fi</w:t>
      </w:r>
      <w:r w:rsidR="005422AA" w:rsidRPr="00191108">
        <w:rPr>
          <w:rFonts w:asciiTheme="minorHAnsi" w:hAnsiTheme="minorHAnsi" w:cstheme="minorHAnsi"/>
          <w:color w:val="auto"/>
          <w:shd w:val="clear" w:color="auto" w:fill="FFFFFF"/>
        </w:rPr>
        <w:t>t</w:t>
      </w:r>
      <w:r w:rsidR="0082563E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equipment and continue with essential moving and hand</w:t>
      </w:r>
      <w:r w:rsidR="008174F4" w:rsidRPr="00191108">
        <w:rPr>
          <w:rFonts w:asciiTheme="minorHAnsi" w:hAnsiTheme="minorHAnsi" w:cstheme="minorHAnsi"/>
          <w:color w:val="auto"/>
          <w:shd w:val="clear" w:color="auto" w:fill="FFFFFF"/>
        </w:rPr>
        <w:t>ling “hands on”</w:t>
      </w:r>
      <w:r w:rsidR="005422AA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tasks.</w:t>
      </w:r>
      <w:r w:rsidR="00723FAF" w:rsidRPr="0019110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14:paraId="5BAB52C9" w14:textId="2B61072F" w:rsidR="00723FAF" w:rsidRPr="00191108" w:rsidRDefault="00723FAF" w:rsidP="0087262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1EC0343" w14:textId="0681824A" w:rsidR="009B229B" w:rsidRPr="00191108" w:rsidRDefault="00661F95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91108">
        <w:rPr>
          <w:rFonts w:cstheme="minorHAnsi"/>
          <w:i/>
          <w:iCs/>
          <w:sz w:val="24"/>
          <w:szCs w:val="24"/>
          <w:shd w:val="clear" w:color="auto" w:fill="FFFFFF"/>
        </w:rPr>
        <w:t>Wellbeing</w:t>
      </w:r>
      <w:r w:rsidR="004F0BEB" w:rsidRPr="00191108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76047B" w:rsidRPr="00191108">
        <w:rPr>
          <w:rFonts w:cstheme="minorHAnsi"/>
          <w:i/>
          <w:iCs/>
          <w:sz w:val="24"/>
          <w:szCs w:val="24"/>
          <w:shd w:val="clear" w:color="auto" w:fill="FFFFFF"/>
        </w:rPr>
        <w:t>Client and Carer</w:t>
      </w:r>
    </w:p>
    <w:p w14:paraId="67A816DA" w14:textId="1322CD4F" w:rsidR="00114AC3" w:rsidRPr="00191108" w:rsidRDefault="0076047B" w:rsidP="0087262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91108">
        <w:rPr>
          <w:rFonts w:asciiTheme="minorHAnsi" w:hAnsiTheme="minorHAnsi" w:cstheme="minorHAnsi"/>
          <w:color w:val="auto"/>
        </w:rPr>
        <w:t xml:space="preserve">The occupational therapist in adult social care works to the Care Act (DHSC 2014) </w:t>
      </w:r>
      <w:r w:rsidR="00FB3E45" w:rsidRPr="00191108">
        <w:rPr>
          <w:rFonts w:asciiTheme="minorHAnsi" w:hAnsiTheme="minorHAnsi" w:cstheme="minorHAnsi"/>
          <w:color w:val="auto"/>
        </w:rPr>
        <w:t>requir</w:t>
      </w:r>
      <w:r w:rsidR="004B5B6A" w:rsidRPr="00191108">
        <w:rPr>
          <w:rFonts w:asciiTheme="minorHAnsi" w:hAnsiTheme="minorHAnsi" w:cstheme="minorHAnsi"/>
          <w:color w:val="auto"/>
        </w:rPr>
        <w:t>ing</w:t>
      </w:r>
      <w:r w:rsidRPr="00191108">
        <w:rPr>
          <w:rFonts w:asciiTheme="minorHAnsi" w:hAnsiTheme="minorHAnsi" w:cstheme="minorHAnsi"/>
          <w:color w:val="auto"/>
        </w:rPr>
        <w:t xml:space="preserve"> the local authority </w:t>
      </w:r>
      <w:r w:rsidR="001B124B" w:rsidRPr="00191108">
        <w:rPr>
          <w:rFonts w:asciiTheme="minorHAnsi" w:hAnsiTheme="minorHAnsi" w:cstheme="minorHAnsi"/>
          <w:color w:val="auto"/>
        </w:rPr>
        <w:t>to</w:t>
      </w:r>
      <w:r w:rsidRPr="00191108">
        <w:rPr>
          <w:rFonts w:asciiTheme="minorHAnsi" w:hAnsiTheme="minorHAnsi" w:cstheme="minorHAnsi"/>
          <w:color w:val="auto"/>
        </w:rPr>
        <w:t xml:space="preserve"> promote wellbeing. </w:t>
      </w:r>
      <w:r w:rsidR="001B124B" w:rsidRPr="00191108">
        <w:rPr>
          <w:rFonts w:asciiTheme="minorHAnsi" w:hAnsiTheme="minorHAnsi" w:cstheme="minorHAnsi"/>
          <w:color w:val="auto"/>
        </w:rPr>
        <w:t>A</w:t>
      </w:r>
      <w:r w:rsidRPr="00191108">
        <w:rPr>
          <w:rFonts w:asciiTheme="minorHAnsi" w:hAnsiTheme="minorHAnsi" w:cstheme="minorHAnsi"/>
          <w:color w:val="auto"/>
        </w:rPr>
        <w:t xml:space="preserve"> close correlation between the philosophy </w:t>
      </w:r>
      <w:r w:rsidR="00EC11F0" w:rsidRPr="00191108">
        <w:rPr>
          <w:rFonts w:asciiTheme="minorHAnsi" w:hAnsiTheme="minorHAnsi" w:cstheme="minorHAnsi"/>
          <w:color w:val="auto"/>
        </w:rPr>
        <w:t xml:space="preserve">of </w:t>
      </w:r>
      <w:r w:rsidRPr="00191108">
        <w:rPr>
          <w:rFonts w:asciiTheme="minorHAnsi" w:hAnsiTheme="minorHAnsi" w:cstheme="minorHAnsi"/>
          <w:color w:val="auto"/>
        </w:rPr>
        <w:t>occupational therapists and the underpinning wellbeing principle of the Care Act (2014)</w:t>
      </w:r>
      <w:r w:rsidR="001B124B" w:rsidRPr="00191108">
        <w:rPr>
          <w:rFonts w:asciiTheme="minorHAnsi" w:hAnsiTheme="minorHAnsi" w:cstheme="minorHAnsi"/>
          <w:color w:val="auto"/>
        </w:rPr>
        <w:t xml:space="preserve"> exists</w:t>
      </w:r>
      <w:r w:rsidR="00CC1DB8" w:rsidRPr="00191108">
        <w:rPr>
          <w:rFonts w:asciiTheme="minorHAnsi" w:hAnsiTheme="minorHAnsi" w:cstheme="minorHAnsi"/>
          <w:color w:val="auto"/>
        </w:rPr>
        <w:t xml:space="preserve">. </w:t>
      </w:r>
      <w:r w:rsidRPr="00191108">
        <w:rPr>
          <w:rFonts w:asciiTheme="minorHAnsi" w:hAnsiTheme="minorHAnsi" w:cstheme="minorHAnsi"/>
          <w:color w:val="auto"/>
        </w:rPr>
        <w:t>Wellbeing is a personally defined dynamic state</w:t>
      </w:r>
      <w:r w:rsidR="00A267A2" w:rsidRPr="00191108">
        <w:rPr>
          <w:rFonts w:asciiTheme="minorHAnsi" w:hAnsiTheme="minorHAnsi" w:cstheme="minorHAnsi"/>
          <w:color w:val="auto"/>
        </w:rPr>
        <w:t xml:space="preserve"> and can be difficult to define such a subjective concept as each person will </w:t>
      </w:r>
      <w:r w:rsidR="00C6139D" w:rsidRPr="00191108">
        <w:rPr>
          <w:rFonts w:asciiTheme="minorHAnsi" w:hAnsiTheme="minorHAnsi" w:cstheme="minorHAnsi"/>
          <w:color w:val="auto"/>
        </w:rPr>
        <w:t xml:space="preserve">uniquely experience </w:t>
      </w:r>
      <w:r w:rsidR="00A267A2" w:rsidRPr="00191108">
        <w:rPr>
          <w:rFonts w:asciiTheme="minorHAnsi" w:hAnsiTheme="minorHAnsi" w:cstheme="minorHAnsi"/>
          <w:color w:val="auto"/>
        </w:rPr>
        <w:t xml:space="preserve">their </w:t>
      </w:r>
      <w:r w:rsidR="00CC1DB8" w:rsidRPr="00191108">
        <w:rPr>
          <w:rFonts w:asciiTheme="minorHAnsi" w:hAnsiTheme="minorHAnsi" w:cstheme="minorHAnsi"/>
          <w:color w:val="auto"/>
        </w:rPr>
        <w:t xml:space="preserve">own </w:t>
      </w:r>
      <w:r w:rsidR="00A267A2" w:rsidRPr="00191108">
        <w:rPr>
          <w:rFonts w:asciiTheme="minorHAnsi" w:hAnsiTheme="minorHAnsi" w:cstheme="minorHAnsi"/>
          <w:color w:val="auto"/>
        </w:rPr>
        <w:t xml:space="preserve">social, </w:t>
      </w:r>
      <w:proofErr w:type="gramStart"/>
      <w:r w:rsidR="00A267A2" w:rsidRPr="00191108">
        <w:rPr>
          <w:rFonts w:asciiTheme="minorHAnsi" w:hAnsiTheme="minorHAnsi" w:cstheme="minorHAnsi"/>
          <w:color w:val="auto"/>
        </w:rPr>
        <w:t>spiritual</w:t>
      </w:r>
      <w:proofErr w:type="gramEnd"/>
      <w:r w:rsidR="00A267A2" w:rsidRPr="00191108">
        <w:rPr>
          <w:rFonts w:asciiTheme="minorHAnsi" w:hAnsiTheme="minorHAnsi" w:cstheme="minorHAnsi"/>
          <w:color w:val="auto"/>
        </w:rPr>
        <w:t xml:space="preserve"> and cultural</w:t>
      </w:r>
      <w:r w:rsidR="00CC1DB8" w:rsidRPr="00191108">
        <w:rPr>
          <w:rFonts w:asciiTheme="minorHAnsi" w:hAnsiTheme="minorHAnsi" w:cstheme="minorHAnsi"/>
          <w:color w:val="auto"/>
        </w:rPr>
        <w:t xml:space="preserve"> state of</w:t>
      </w:r>
      <w:r w:rsidR="00C6139D" w:rsidRPr="00191108">
        <w:rPr>
          <w:rFonts w:asciiTheme="minorHAnsi" w:hAnsiTheme="minorHAnsi" w:cstheme="minorHAnsi"/>
          <w:color w:val="auto"/>
        </w:rPr>
        <w:t xml:space="preserve"> wellbeing (RCOT 2016). In </w:t>
      </w:r>
      <w:r w:rsidRPr="00191108">
        <w:rPr>
          <w:rFonts w:asciiTheme="minorHAnsi" w:hAnsiTheme="minorHAnsi" w:cstheme="minorHAnsi"/>
          <w:color w:val="auto"/>
        </w:rPr>
        <w:t xml:space="preserve">the </w:t>
      </w:r>
      <w:r w:rsidR="00C6139D" w:rsidRPr="00191108">
        <w:rPr>
          <w:rFonts w:asciiTheme="minorHAnsi" w:hAnsiTheme="minorHAnsi" w:cstheme="minorHAnsi"/>
          <w:color w:val="auto"/>
        </w:rPr>
        <w:t>Care A</w:t>
      </w:r>
      <w:r w:rsidRPr="00191108">
        <w:rPr>
          <w:rFonts w:asciiTheme="minorHAnsi" w:hAnsiTheme="minorHAnsi" w:cstheme="minorHAnsi"/>
          <w:color w:val="auto"/>
        </w:rPr>
        <w:t>ct</w:t>
      </w:r>
      <w:r w:rsidR="00C6139D" w:rsidRPr="00191108">
        <w:rPr>
          <w:rFonts w:asciiTheme="minorHAnsi" w:hAnsiTheme="minorHAnsi" w:cstheme="minorHAnsi"/>
          <w:color w:val="auto"/>
        </w:rPr>
        <w:t xml:space="preserve"> (2014)</w:t>
      </w:r>
      <w:r w:rsidR="00F66D51" w:rsidRPr="00191108">
        <w:rPr>
          <w:rFonts w:asciiTheme="minorHAnsi" w:hAnsiTheme="minorHAnsi" w:cstheme="minorHAnsi"/>
          <w:color w:val="auto"/>
        </w:rPr>
        <w:t>,</w:t>
      </w:r>
      <w:r w:rsidR="00C6139D" w:rsidRPr="00191108">
        <w:rPr>
          <w:rFonts w:asciiTheme="minorHAnsi" w:hAnsiTheme="minorHAnsi" w:cstheme="minorHAnsi"/>
          <w:color w:val="auto"/>
        </w:rPr>
        <w:t xml:space="preserve"> wellbeing</w:t>
      </w:r>
      <w:r w:rsidRPr="00191108">
        <w:rPr>
          <w:rFonts w:asciiTheme="minorHAnsi" w:hAnsiTheme="minorHAnsi" w:cstheme="minorHAnsi"/>
          <w:color w:val="auto"/>
        </w:rPr>
        <w:t xml:space="preserve"> relates to factors such as dignity, physical and mental health, protection from abuse and neglect, whilst the TOM uses frequency and severity of distress/upset/anger to stability to define wellbeing. The </w:t>
      </w:r>
      <w:r w:rsidR="007725C6" w:rsidRPr="00191108">
        <w:rPr>
          <w:rFonts w:asciiTheme="minorHAnsi" w:hAnsiTheme="minorHAnsi" w:cstheme="minorHAnsi"/>
          <w:color w:val="auto"/>
        </w:rPr>
        <w:t>sample data</w:t>
      </w:r>
      <w:r w:rsidR="00065632" w:rsidRPr="00191108">
        <w:rPr>
          <w:rFonts w:asciiTheme="minorHAnsi" w:hAnsiTheme="minorHAnsi" w:cstheme="minorHAnsi"/>
          <w:color w:val="auto"/>
        </w:rPr>
        <w:t xml:space="preserve"> demonstrate</w:t>
      </w:r>
      <w:r w:rsidR="007725C6" w:rsidRPr="00191108">
        <w:rPr>
          <w:rFonts w:asciiTheme="minorHAnsi" w:hAnsiTheme="minorHAnsi" w:cstheme="minorHAnsi"/>
          <w:color w:val="auto"/>
        </w:rPr>
        <w:t>s</w:t>
      </w:r>
      <w:r w:rsidR="00065632" w:rsidRPr="00191108">
        <w:rPr>
          <w:rFonts w:asciiTheme="minorHAnsi" w:hAnsiTheme="minorHAnsi" w:cstheme="minorHAnsi"/>
          <w:color w:val="auto"/>
        </w:rPr>
        <w:t xml:space="preserve"> that 50</w:t>
      </w:r>
      <w:r w:rsidR="00B44B77" w:rsidRPr="00191108">
        <w:rPr>
          <w:rFonts w:asciiTheme="minorHAnsi" w:hAnsiTheme="minorHAnsi" w:cstheme="minorHAnsi"/>
          <w:color w:val="auto"/>
        </w:rPr>
        <w:t>%</w:t>
      </w:r>
      <w:r w:rsidR="00B44B77" w:rsidRPr="00191108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44B77" w:rsidRPr="00191108">
        <w:rPr>
          <w:rFonts w:asciiTheme="minorHAnsi" w:hAnsiTheme="minorHAnsi" w:cstheme="minorHAnsi"/>
          <w:color w:val="auto"/>
        </w:rPr>
        <w:t>of clients showed an improvement or same level</w:t>
      </w:r>
      <w:r w:rsidR="00065632" w:rsidRPr="00191108">
        <w:rPr>
          <w:rFonts w:asciiTheme="minorHAnsi" w:hAnsiTheme="minorHAnsi" w:cstheme="minorHAnsi"/>
          <w:color w:val="auto"/>
        </w:rPr>
        <w:t xml:space="preserve"> (49%)</w:t>
      </w:r>
      <w:r w:rsidR="00B44B77" w:rsidRPr="00191108">
        <w:rPr>
          <w:rFonts w:asciiTheme="minorHAnsi" w:hAnsiTheme="minorHAnsi" w:cstheme="minorHAnsi"/>
          <w:color w:val="auto"/>
        </w:rPr>
        <w:t xml:space="preserve"> in client wellbeing</w:t>
      </w:r>
      <w:r w:rsidR="00065632" w:rsidRPr="00191108">
        <w:rPr>
          <w:rFonts w:asciiTheme="minorHAnsi" w:hAnsiTheme="minorHAnsi" w:cstheme="minorHAnsi"/>
          <w:color w:val="auto"/>
        </w:rPr>
        <w:t xml:space="preserve">, which indicates the </w:t>
      </w:r>
      <w:r w:rsidR="007725C6" w:rsidRPr="00191108">
        <w:rPr>
          <w:rFonts w:asciiTheme="minorHAnsi" w:hAnsiTheme="minorHAnsi" w:cstheme="minorHAnsi"/>
          <w:color w:val="auto"/>
        </w:rPr>
        <w:t xml:space="preserve">positive </w:t>
      </w:r>
      <w:r w:rsidR="00065632" w:rsidRPr="00191108">
        <w:rPr>
          <w:rFonts w:asciiTheme="minorHAnsi" w:hAnsiTheme="minorHAnsi" w:cstheme="minorHAnsi"/>
          <w:color w:val="auto"/>
        </w:rPr>
        <w:t>impact</w:t>
      </w:r>
      <w:r w:rsidR="00B44B77" w:rsidRPr="00191108">
        <w:rPr>
          <w:rFonts w:asciiTheme="minorHAnsi" w:hAnsiTheme="minorHAnsi" w:cstheme="minorHAnsi"/>
          <w:color w:val="auto"/>
        </w:rPr>
        <w:t xml:space="preserve"> </w:t>
      </w:r>
      <w:r w:rsidR="00065632" w:rsidRPr="00191108">
        <w:rPr>
          <w:rFonts w:asciiTheme="minorHAnsi" w:hAnsiTheme="minorHAnsi" w:cstheme="minorHAnsi"/>
          <w:color w:val="auto"/>
        </w:rPr>
        <w:t>the local occupational therapy service is making with its client group</w:t>
      </w:r>
      <w:r w:rsidR="00FC5EA3" w:rsidRPr="00191108">
        <w:rPr>
          <w:rFonts w:asciiTheme="minorHAnsi" w:hAnsiTheme="minorHAnsi" w:cstheme="minorHAnsi"/>
          <w:color w:val="auto"/>
        </w:rPr>
        <w:t>.</w:t>
      </w:r>
    </w:p>
    <w:p w14:paraId="36819FCF" w14:textId="23585804" w:rsidR="00114AC3" w:rsidRPr="00191108" w:rsidRDefault="00065632" w:rsidP="0087262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191108">
        <w:rPr>
          <w:rFonts w:asciiTheme="minorHAnsi" w:hAnsiTheme="minorHAnsi" w:cstheme="minorHAnsi"/>
          <w:color w:val="auto"/>
        </w:rPr>
        <w:t>Despite the small sample of carer scores extracted from liquid logic, (11/70), 79</w:t>
      </w:r>
      <w:r w:rsidR="00114AC3" w:rsidRPr="00191108">
        <w:rPr>
          <w:rFonts w:asciiTheme="minorHAnsi" w:hAnsiTheme="minorHAnsi" w:cstheme="minorHAnsi"/>
          <w:color w:val="auto"/>
        </w:rPr>
        <w:t>%</w:t>
      </w:r>
      <w:r w:rsidR="00114AC3" w:rsidRPr="00191108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14AC3" w:rsidRPr="00191108">
        <w:rPr>
          <w:rFonts w:asciiTheme="minorHAnsi" w:hAnsiTheme="minorHAnsi" w:cstheme="minorHAnsi"/>
          <w:color w:val="auto"/>
        </w:rPr>
        <w:t>of c</w:t>
      </w:r>
      <w:r w:rsidRPr="00191108">
        <w:rPr>
          <w:rFonts w:asciiTheme="minorHAnsi" w:hAnsiTheme="minorHAnsi" w:cstheme="minorHAnsi"/>
          <w:color w:val="auto"/>
        </w:rPr>
        <w:t>arer</w:t>
      </w:r>
      <w:r w:rsidR="00114AC3" w:rsidRPr="00191108">
        <w:rPr>
          <w:rFonts w:asciiTheme="minorHAnsi" w:hAnsiTheme="minorHAnsi" w:cstheme="minorHAnsi"/>
          <w:color w:val="auto"/>
        </w:rPr>
        <w:t xml:space="preserve">s showed an improvement </w:t>
      </w:r>
      <w:r w:rsidR="00C554B2" w:rsidRPr="00191108">
        <w:rPr>
          <w:rFonts w:asciiTheme="minorHAnsi" w:hAnsiTheme="minorHAnsi" w:cstheme="minorHAnsi"/>
          <w:color w:val="auto"/>
        </w:rPr>
        <w:t>in</w:t>
      </w:r>
      <w:r w:rsidR="00114AC3" w:rsidRPr="00191108">
        <w:rPr>
          <w:rFonts w:asciiTheme="minorHAnsi" w:hAnsiTheme="minorHAnsi" w:cstheme="minorHAnsi"/>
          <w:color w:val="auto"/>
        </w:rPr>
        <w:t xml:space="preserve"> ‘carer wellbeing’</w:t>
      </w:r>
      <w:r w:rsidR="001D64F8" w:rsidRPr="00191108">
        <w:rPr>
          <w:rFonts w:asciiTheme="minorHAnsi" w:hAnsiTheme="minorHAnsi" w:cstheme="minorHAnsi"/>
          <w:color w:val="auto"/>
        </w:rPr>
        <w:t xml:space="preserve"> with 21% staying the same</w:t>
      </w:r>
      <w:r w:rsidRPr="00191108">
        <w:rPr>
          <w:rFonts w:asciiTheme="minorHAnsi" w:hAnsiTheme="minorHAnsi" w:cstheme="minorHAnsi"/>
          <w:color w:val="auto"/>
        </w:rPr>
        <w:t>.</w:t>
      </w:r>
      <w:r w:rsidR="001D64F8" w:rsidRPr="00191108">
        <w:rPr>
          <w:rFonts w:asciiTheme="minorHAnsi" w:hAnsiTheme="minorHAnsi" w:cstheme="minorHAnsi"/>
          <w:color w:val="auto"/>
        </w:rPr>
        <w:t xml:space="preserve"> Again, no deteriorations </w:t>
      </w:r>
      <w:r w:rsidR="001F6D90" w:rsidRPr="00191108">
        <w:rPr>
          <w:rFonts w:asciiTheme="minorHAnsi" w:hAnsiTheme="minorHAnsi" w:cstheme="minorHAnsi"/>
          <w:color w:val="auto"/>
        </w:rPr>
        <w:t xml:space="preserve">were </w:t>
      </w:r>
      <w:r w:rsidR="001D64F8" w:rsidRPr="00191108">
        <w:rPr>
          <w:rFonts w:asciiTheme="minorHAnsi" w:hAnsiTheme="minorHAnsi" w:cstheme="minorHAnsi"/>
          <w:color w:val="auto"/>
        </w:rPr>
        <w:t>noted in wellbeing</w:t>
      </w:r>
      <w:r w:rsidR="00FC5EA3" w:rsidRPr="00191108">
        <w:rPr>
          <w:rFonts w:asciiTheme="minorHAnsi" w:hAnsiTheme="minorHAnsi" w:cstheme="minorHAnsi"/>
          <w:color w:val="auto"/>
        </w:rPr>
        <w:t xml:space="preserve">, </w:t>
      </w:r>
      <w:r w:rsidR="00C8161E" w:rsidRPr="00191108">
        <w:rPr>
          <w:rFonts w:asciiTheme="minorHAnsi" w:hAnsiTheme="minorHAnsi" w:cstheme="minorHAnsi"/>
          <w:color w:val="auto"/>
        </w:rPr>
        <w:t>demonstrat</w:t>
      </w:r>
      <w:r w:rsidR="00FC5EA3" w:rsidRPr="00191108">
        <w:rPr>
          <w:rFonts w:asciiTheme="minorHAnsi" w:hAnsiTheme="minorHAnsi" w:cstheme="minorHAnsi"/>
          <w:color w:val="auto"/>
        </w:rPr>
        <w:t>ing</w:t>
      </w:r>
      <w:r w:rsidR="00C8161E" w:rsidRPr="00191108">
        <w:rPr>
          <w:rFonts w:asciiTheme="minorHAnsi" w:hAnsiTheme="minorHAnsi" w:cstheme="minorHAnsi"/>
          <w:color w:val="auto"/>
        </w:rPr>
        <w:t xml:space="preserve"> the</w:t>
      </w:r>
      <w:r w:rsidR="001D64F8" w:rsidRPr="00191108">
        <w:rPr>
          <w:rFonts w:asciiTheme="minorHAnsi" w:hAnsiTheme="minorHAnsi" w:cstheme="minorHAnsi"/>
          <w:color w:val="auto"/>
        </w:rPr>
        <w:t xml:space="preserve"> positive </w:t>
      </w:r>
      <w:r w:rsidR="00C8161E" w:rsidRPr="00191108">
        <w:rPr>
          <w:rFonts w:asciiTheme="minorHAnsi" w:hAnsiTheme="minorHAnsi" w:cstheme="minorHAnsi"/>
          <w:color w:val="auto"/>
        </w:rPr>
        <w:t xml:space="preserve">impact of </w:t>
      </w:r>
      <w:r w:rsidR="001D64F8" w:rsidRPr="00191108">
        <w:rPr>
          <w:rFonts w:asciiTheme="minorHAnsi" w:hAnsiTheme="minorHAnsi" w:cstheme="minorHAnsi"/>
          <w:color w:val="auto"/>
        </w:rPr>
        <w:t>the service.</w:t>
      </w:r>
      <w:r w:rsidRPr="00191108">
        <w:rPr>
          <w:rFonts w:asciiTheme="minorHAnsi" w:hAnsiTheme="minorHAnsi" w:cstheme="minorHAnsi"/>
          <w:color w:val="auto"/>
        </w:rPr>
        <w:t xml:space="preserve"> Following the audit, th</w:t>
      </w:r>
      <w:r w:rsidR="001D64F8" w:rsidRPr="00191108">
        <w:rPr>
          <w:rFonts w:asciiTheme="minorHAnsi" w:hAnsiTheme="minorHAnsi" w:cstheme="minorHAnsi"/>
          <w:color w:val="auto"/>
        </w:rPr>
        <w:t xml:space="preserve">e </w:t>
      </w:r>
      <w:r w:rsidR="00EB3178" w:rsidRPr="00191108">
        <w:rPr>
          <w:rFonts w:asciiTheme="minorHAnsi" w:hAnsiTheme="minorHAnsi" w:cstheme="minorHAnsi"/>
          <w:color w:val="auto"/>
        </w:rPr>
        <w:t xml:space="preserve">carer </w:t>
      </w:r>
      <w:r w:rsidR="001D64F8" w:rsidRPr="00191108">
        <w:rPr>
          <w:rFonts w:asciiTheme="minorHAnsi" w:hAnsiTheme="minorHAnsi" w:cstheme="minorHAnsi"/>
          <w:color w:val="auto"/>
        </w:rPr>
        <w:t>sample</w:t>
      </w:r>
      <w:r w:rsidRPr="00191108">
        <w:rPr>
          <w:rFonts w:asciiTheme="minorHAnsi" w:hAnsiTheme="minorHAnsi" w:cstheme="minorHAnsi"/>
          <w:color w:val="auto"/>
        </w:rPr>
        <w:t xml:space="preserve"> data gap was addressed </w:t>
      </w:r>
      <w:r w:rsidR="00EC11F0" w:rsidRPr="00191108">
        <w:rPr>
          <w:rFonts w:asciiTheme="minorHAnsi" w:hAnsiTheme="minorHAnsi" w:cstheme="minorHAnsi"/>
          <w:color w:val="auto"/>
        </w:rPr>
        <w:t>with the</w:t>
      </w:r>
      <w:r w:rsidRPr="00191108">
        <w:rPr>
          <w:rFonts w:asciiTheme="minorHAnsi" w:hAnsiTheme="minorHAnsi" w:cstheme="minorHAnsi"/>
          <w:color w:val="auto"/>
        </w:rPr>
        <w:t xml:space="preserve"> </w:t>
      </w:r>
      <w:r w:rsidR="00294177" w:rsidRPr="00191108">
        <w:rPr>
          <w:rFonts w:asciiTheme="minorHAnsi" w:hAnsiTheme="minorHAnsi" w:cstheme="minorHAnsi"/>
          <w:color w:val="auto"/>
        </w:rPr>
        <w:t>team and written instruction</w:t>
      </w:r>
      <w:r w:rsidR="00EC11F0" w:rsidRPr="00191108">
        <w:rPr>
          <w:rFonts w:asciiTheme="minorHAnsi" w:hAnsiTheme="minorHAnsi" w:cstheme="minorHAnsi"/>
          <w:color w:val="auto"/>
        </w:rPr>
        <w:t>s</w:t>
      </w:r>
      <w:r w:rsidR="00294177" w:rsidRPr="00191108">
        <w:rPr>
          <w:rFonts w:asciiTheme="minorHAnsi" w:hAnsiTheme="minorHAnsi" w:cstheme="minorHAnsi"/>
          <w:color w:val="auto"/>
        </w:rPr>
        <w:t xml:space="preserve"> on liquid logic </w:t>
      </w:r>
      <w:r w:rsidR="00EC11F0" w:rsidRPr="00191108">
        <w:rPr>
          <w:rFonts w:asciiTheme="minorHAnsi" w:hAnsiTheme="minorHAnsi" w:cstheme="minorHAnsi"/>
          <w:color w:val="auto"/>
        </w:rPr>
        <w:t>to</w:t>
      </w:r>
      <w:r w:rsidR="00294177" w:rsidRPr="00191108">
        <w:rPr>
          <w:rFonts w:asciiTheme="minorHAnsi" w:hAnsiTheme="minorHAnsi" w:cstheme="minorHAnsi"/>
          <w:color w:val="auto"/>
        </w:rPr>
        <w:t xml:space="preserve"> promote collection of data on carer wellbeing</w:t>
      </w:r>
      <w:r w:rsidR="00F66D51" w:rsidRPr="00191108">
        <w:rPr>
          <w:rFonts w:asciiTheme="minorHAnsi" w:hAnsiTheme="minorHAnsi" w:cstheme="minorHAnsi"/>
          <w:color w:val="auto"/>
        </w:rPr>
        <w:t xml:space="preserve"> </w:t>
      </w:r>
      <w:r w:rsidR="00EC11F0" w:rsidRPr="00191108">
        <w:rPr>
          <w:rFonts w:asciiTheme="minorHAnsi" w:hAnsiTheme="minorHAnsi" w:cstheme="minorHAnsi"/>
          <w:color w:val="auto"/>
        </w:rPr>
        <w:t>was provided</w:t>
      </w:r>
      <w:r w:rsidR="009447DE" w:rsidRPr="00191108">
        <w:rPr>
          <w:rFonts w:asciiTheme="minorHAnsi" w:hAnsiTheme="minorHAnsi" w:cstheme="minorHAnsi"/>
          <w:color w:val="auto"/>
        </w:rPr>
        <w:t xml:space="preserve">. </w:t>
      </w:r>
    </w:p>
    <w:p w14:paraId="4922F12C" w14:textId="7E5EE27E" w:rsidR="00516819" w:rsidRPr="00191108" w:rsidRDefault="00516819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91108">
        <w:rPr>
          <w:rFonts w:cstheme="minorHAnsi"/>
          <w:i/>
          <w:iCs/>
          <w:sz w:val="24"/>
          <w:szCs w:val="24"/>
          <w:shd w:val="clear" w:color="auto" w:fill="FFFFFF"/>
        </w:rPr>
        <w:t>Limitations</w:t>
      </w:r>
    </w:p>
    <w:p w14:paraId="4610977F" w14:textId="646CE8D5" w:rsidR="00B0037B" w:rsidRPr="00191108" w:rsidRDefault="00E958EA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14634A" w:rsidRPr="00191108">
        <w:rPr>
          <w:rFonts w:cstheme="minorHAnsi"/>
          <w:sz w:val="24"/>
          <w:szCs w:val="24"/>
          <w:shd w:val="clear" w:color="auto" w:fill="FFFFFF"/>
        </w:rPr>
        <w:t>audit d</w:t>
      </w:r>
      <w:r w:rsidR="00516819" w:rsidRPr="00191108">
        <w:rPr>
          <w:rFonts w:cstheme="minorHAnsi"/>
          <w:sz w:val="24"/>
          <w:szCs w:val="24"/>
          <w:shd w:val="clear" w:color="auto" w:fill="FFFFFF"/>
        </w:rPr>
        <w:t xml:space="preserve">id not collect data on uptake from 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>the</w:t>
      </w:r>
      <w:r w:rsidR="00930AFB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16819" w:rsidRPr="00191108">
        <w:rPr>
          <w:rFonts w:cstheme="minorHAnsi"/>
          <w:sz w:val="24"/>
          <w:szCs w:val="24"/>
          <w:shd w:val="clear" w:color="auto" w:fill="FFFFFF"/>
        </w:rPr>
        <w:t>se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>pa</w:t>
      </w:r>
      <w:r w:rsidR="00516819" w:rsidRPr="00191108">
        <w:rPr>
          <w:rFonts w:cstheme="minorHAnsi"/>
          <w:sz w:val="24"/>
          <w:szCs w:val="24"/>
          <w:shd w:val="clear" w:color="auto" w:fill="FFFFFF"/>
        </w:rPr>
        <w:t>rate teams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(Equipment, housing, </w:t>
      </w:r>
      <w:proofErr w:type="gramStart"/>
      <w:r w:rsidRPr="00191108">
        <w:rPr>
          <w:rFonts w:cstheme="minorHAnsi"/>
          <w:sz w:val="24"/>
          <w:szCs w:val="24"/>
          <w:shd w:val="clear" w:color="auto" w:fill="FFFFFF"/>
        </w:rPr>
        <w:t>STAR</w:t>
      </w:r>
      <w:proofErr w:type="gramEnd"/>
      <w:r w:rsidRPr="00191108">
        <w:rPr>
          <w:rFonts w:cstheme="minorHAnsi"/>
          <w:sz w:val="24"/>
          <w:szCs w:val="24"/>
          <w:shd w:val="clear" w:color="auto" w:fill="FFFFFF"/>
        </w:rPr>
        <w:t xml:space="preserve"> and adult social care work) 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>in occupational therapy adult social care</w:t>
      </w:r>
      <w:r w:rsidR="00516819" w:rsidRPr="00191108">
        <w:rPr>
          <w:rFonts w:cstheme="minorHAnsi"/>
          <w:sz w:val="24"/>
          <w:szCs w:val="24"/>
          <w:shd w:val="clear" w:color="auto" w:fill="FFFFFF"/>
        </w:rPr>
        <w:t>.</w:t>
      </w:r>
      <w:r w:rsidR="000821CA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0037B" w:rsidRPr="00191108">
        <w:rPr>
          <w:rFonts w:cstheme="minorHAnsi"/>
          <w:sz w:val="24"/>
          <w:szCs w:val="24"/>
          <w:shd w:val="clear" w:color="auto" w:fill="FFFFFF"/>
        </w:rPr>
        <w:t xml:space="preserve">Potential sampling bias 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 xml:space="preserve">occurred </w:t>
      </w:r>
      <w:r w:rsidR="00B0037B" w:rsidRPr="00191108">
        <w:rPr>
          <w:rFonts w:cstheme="minorHAnsi"/>
          <w:sz w:val="24"/>
          <w:szCs w:val="24"/>
          <w:shd w:val="clear" w:color="auto" w:fill="FFFFFF"/>
        </w:rPr>
        <w:t>as cases with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 xml:space="preserve"> completed</w:t>
      </w:r>
      <w:r w:rsidR="00B0037B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>score</w:t>
      </w:r>
      <w:r w:rsidR="001F6D90" w:rsidRPr="00191108">
        <w:rPr>
          <w:rFonts w:cstheme="minorHAnsi"/>
          <w:sz w:val="24"/>
          <w:szCs w:val="24"/>
          <w:shd w:val="clear" w:color="auto" w:fill="FFFFFF"/>
        </w:rPr>
        <w:t>s only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0037B" w:rsidRPr="00191108">
        <w:rPr>
          <w:rFonts w:cstheme="minorHAnsi"/>
          <w:sz w:val="24"/>
          <w:szCs w:val="24"/>
          <w:shd w:val="clear" w:color="auto" w:fill="FFFFFF"/>
        </w:rPr>
        <w:t xml:space="preserve">were 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>purp</w:t>
      </w:r>
      <w:r w:rsidR="00007D59" w:rsidRPr="00191108">
        <w:rPr>
          <w:rFonts w:cstheme="minorHAnsi"/>
          <w:sz w:val="24"/>
          <w:szCs w:val="24"/>
          <w:shd w:val="clear" w:color="auto" w:fill="FFFFFF"/>
        </w:rPr>
        <w:t>osively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 xml:space="preserve"> sampled. Sampling was </w:t>
      </w:r>
      <w:r w:rsidR="00B0037B" w:rsidRPr="00191108">
        <w:rPr>
          <w:rFonts w:cstheme="minorHAnsi"/>
          <w:sz w:val="24"/>
          <w:szCs w:val="24"/>
          <w:shd w:val="clear" w:color="auto" w:fill="FFFFFF"/>
        </w:rPr>
        <w:t xml:space="preserve">not random which prevented 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>data gathering on</w:t>
      </w:r>
      <w:r w:rsidR="00B0037B" w:rsidRPr="00191108">
        <w:rPr>
          <w:rFonts w:cstheme="minorHAnsi"/>
          <w:sz w:val="24"/>
          <w:szCs w:val="24"/>
          <w:shd w:val="clear" w:color="auto" w:fill="FFFFFF"/>
        </w:rPr>
        <w:t xml:space="preserve"> uptake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 xml:space="preserve"> of TOM across the </w:t>
      </w:r>
      <w:r w:rsidR="00AA023C" w:rsidRPr="00191108">
        <w:rPr>
          <w:rFonts w:cstheme="minorHAnsi"/>
          <w:sz w:val="24"/>
          <w:szCs w:val="24"/>
          <w:shd w:val="clear" w:color="auto" w:fill="FFFFFF"/>
        </w:rPr>
        <w:t>separate teams</w:t>
      </w:r>
      <w:r w:rsidR="00EA0BD2" w:rsidRPr="00191108">
        <w:rPr>
          <w:rFonts w:cstheme="minorHAnsi"/>
          <w:sz w:val="24"/>
          <w:szCs w:val="24"/>
          <w:shd w:val="clear" w:color="auto" w:fill="FFFFFF"/>
        </w:rPr>
        <w:t>.</w:t>
      </w:r>
      <w:r w:rsidR="00E01F6C" w:rsidRPr="00191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01F6C" w:rsidRPr="00191108">
        <w:rPr>
          <w:rFonts w:cstheme="minorHAnsi"/>
          <w:sz w:val="24"/>
          <w:szCs w:val="24"/>
          <w:shd w:val="clear" w:color="auto" w:fill="FFFFFF"/>
        </w:rPr>
        <w:lastRenderedPageBreak/>
        <w:t xml:space="preserve">Additionally, the audit results can </w:t>
      </w:r>
      <w:r w:rsidR="00246A40" w:rsidRPr="00191108">
        <w:rPr>
          <w:rFonts w:cstheme="minorHAnsi"/>
          <w:sz w:val="24"/>
          <w:szCs w:val="24"/>
          <w:shd w:val="clear" w:color="auto" w:fill="FFFFFF"/>
        </w:rPr>
        <w:t xml:space="preserve">only be applied to the setting from which the data was collected, so has limited external validity. </w:t>
      </w:r>
    </w:p>
    <w:p w14:paraId="67446D15" w14:textId="77777777" w:rsidR="00D90BB6" w:rsidRPr="00191108" w:rsidRDefault="00D90BB6" w:rsidP="00872625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91108">
        <w:rPr>
          <w:rFonts w:cstheme="minorHAnsi"/>
          <w:i/>
          <w:iCs/>
          <w:sz w:val="24"/>
          <w:szCs w:val="24"/>
          <w:shd w:val="clear" w:color="auto" w:fill="FFFFFF"/>
        </w:rPr>
        <w:t>Action Plan following Audit</w:t>
      </w:r>
    </w:p>
    <w:p w14:paraId="4719A97A" w14:textId="1F166CCD" w:rsidR="00D90BB6" w:rsidRPr="00191108" w:rsidRDefault="00D90BB6" w:rsidP="0087262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1108">
        <w:rPr>
          <w:rFonts w:cstheme="minorHAnsi"/>
          <w:sz w:val="24"/>
          <w:szCs w:val="24"/>
          <w:shd w:val="clear" w:color="auto" w:fill="FFFFFF"/>
        </w:rPr>
        <w:t>Following initial audit, several improvements were identified for the service which have been implemented. Firstly, revision of the participation</w:t>
      </w:r>
      <w:r w:rsidR="00F80BA3" w:rsidRPr="00191108">
        <w:rPr>
          <w:rFonts w:cstheme="minorHAnsi"/>
          <w:sz w:val="24"/>
          <w:szCs w:val="24"/>
          <w:shd w:val="clear" w:color="auto" w:fill="FFFFFF"/>
        </w:rPr>
        <w:t xml:space="preserve"> domain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was completed with the team to check understanding and clarify the scope of this domain. Secondly, additional wording added to the electronic </w:t>
      </w:r>
      <w:r w:rsidR="00882775" w:rsidRPr="00191108">
        <w:rPr>
          <w:rFonts w:cstheme="minorHAnsi"/>
          <w:sz w:val="24"/>
          <w:szCs w:val="24"/>
          <w:shd w:val="clear" w:color="auto" w:fill="FFFFFF"/>
        </w:rPr>
        <w:t>TOM</w:t>
      </w:r>
      <w:r w:rsidRPr="00191108">
        <w:rPr>
          <w:rFonts w:cstheme="minorHAnsi"/>
          <w:sz w:val="24"/>
          <w:szCs w:val="24"/>
          <w:shd w:val="clear" w:color="auto" w:fill="FFFFFF"/>
        </w:rPr>
        <w:t xml:space="preserve"> record in liquid logic system to capture more optional carer wellbeing measurements by practitioners.</w:t>
      </w:r>
      <w:r w:rsidR="00294177" w:rsidRPr="00191108">
        <w:rPr>
          <w:rFonts w:cstheme="minorHAnsi"/>
          <w:sz w:val="24"/>
          <w:szCs w:val="24"/>
          <w:shd w:val="clear" w:color="auto" w:fill="FFFFFF"/>
        </w:rPr>
        <w:t xml:space="preserve"> Thirdly, the “Trust Information Gateway” dashboard has been </w:t>
      </w:r>
      <w:r w:rsidR="00F80BA3" w:rsidRPr="00191108">
        <w:rPr>
          <w:rFonts w:cstheme="minorHAnsi"/>
          <w:sz w:val="24"/>
          <w:szCs w:val="24"/>
          <w:shd w:val="clear" w:color="auto" w:fill="FFFFFF"/>
        </w:rPr>
        <w:t xml:space="preserve">utilised </w:t>
      </w:r>
      <w:r w:rsidR="00294177" w:rsidRPr="00191108">
        <w:rPr>
          <w:rFonts w:cstheme="minorHAnsi"/>
          <w:sz w:val="24"/>
          <w:szCs w:val="24"/>
          <w:shd w:val="clear" w:color="auto" w:fill="FFFFFF"/>
        </w:rPr>
        <w:t>to demonstrate TOM data per allied health service across the Trust</w:t>
      </w:r>
      <w:r w:rsidR="00CA1F53" w:rsidRPr="00191108">
        <w:rPr>
          <w:rFonts w:cstheme="minorHAnsi"/>
          <w:sz w:val="24"/>
          <w:szCs w:val="24"/>
          <w:shd w:val="clear" w:color="auto" w:fill="FFFFFF"/>
        </w:rPr>
        <w:t xml:space="preserve">, which further supports adult social care and NHS integration. </w:t>
      </w:r>
      <w:r w:rsidR="007C5AC4" w:rsidRPr="00191108">
        <w:rPr>
          <w:rFonts w:cstheme="minorHAnsi"/>
          <w:sz w:val="24"/>
          <w:szCs w:val="24"/>
        </w:rPr>
        <w:t xml:space="preserve">The active use of an outcome measure will continue in line with RCOT (2021) guidance to inform practice and maintain quality. </w:t>
      </w:r>
    </w:p>
    <w:p w14:paraId="6D929E2C" w14:textId="3D80EB7B" w:rsidR="00CD0E83" w:rsidRPr="00191108" w:rsidRDefault="00EA0BD2" w:rsidP="0087262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91108">
        <w:rPr>
          <w:rFonts w:cstheme="minorHAnsi"/>
          <w:b/>
          <w:bCs/>
          <w:sz w:val="24"/>
          <w:szCs w:val="24"/>
        </w:rPr>
        <w:t xml:space="preserve">Conclusion </w:t>
      </w:r>
    </w:p>
    <w:p w14:paraId="542834F3" w14:textId="1C0F85FD" w:rsidR="00EA0BD2" w:rsidRPr="00191108" w:rsidRDefault="00B15EB1" w:rsidP="007C5AC4">
      <w:pPr>
        <w:pStyle w:val="Default"/>
        <w:spacing w:line="360" w:lineRule="auto"/>
        <w:jc w:val="both"/>
        <w:rPr>
          <w:rFonts w:cstheme="minorHAnsi"/>
          <w:color w:val="auto"/>
          <w:sz w:val="23"/>
          <w:szCs w:val="23"/>
        </w:rPr>
      </w:pPr>
      <w:r w:rsidRPr="00191108">
        <w:rPr>
          <w:rFonts w:asciiTheme="minorHAnsi" w:hAnsiTheme="minorHAnsi" w:cstheme="minorHAnsi"/>
          <w:color w:val="auto"/>
        </w:rPr>
        <w:t xml:space="preserve">The data gleaned from the audit of the </w:t>
      </w:r>
      <w:r w:rsidR="001E707E" w:rsidRPr="00191108">
        <w:rPr>
          <w:rFonts w:asciiTheme="minorHAnsi" w:hAnsiTheme="minorHAnsi" w:cstheme="minorHAnsi"/>
          <w:color w:val="auto"/>
        </w:rPr>
        <w:t>Therapy Outcome Measure suggests occupational therapy in an adult social care settin</w:t>
      </w:r>
      <w:r w:rsidR="008A6E34" w:rsidRPr="00191108">
        <w:rPr>
          <w:rFonts w:asciiTheme="minorHAnsi" w:hAnsiTheme="minorHAnsi" w:cstheme="minorHAnsi"/>
          <w:color w:val="auto"/>
        </w:rPr>
        <w:t>g, delivered in an integrated NHS Trust makes an impact with their client group and carers</w:t>
      </w:r>
      <w:r w:rsidR="00D408F7" w:rsidRPr="00191108">
        <w:rPr>
          <w:rFonts w:asciiTheme="minorHAnsi" w:hAnsiTheme="minorHAnsi" w:cstheme="minorHAnsi"/>
          <w:color w:val="auto"/>
        </w:rPr>
        <w:t>.</w:t>
      </w:r>
      <w:r w:rsidR="00F51264" w:rsidRPr="00191108">
        <w:rPr>
          <w:rFonts w:asciiTheme="minorHAnsi" w:hAnsiTheme="minorHAnsi" w:cstheme="minorHAnsi"/>
          <w:color w:val="auto"/>
        </w:rPr>
        <w:t xml:space="preserve"> </w:t>
      </w:r>
      <w:r w:rsidR="004F0BEB" w:rsidRPr="00191108">
        <w:rPr>
          <w:rFonts w:asciiTheme="minorHAnsi" w:hAnsiTheme="minorHAnsi" w:cstheme="minorHAnsi"/>
          <w:color w:val="auto"/>
        </w:rPr>
        <w:t xml:space="preserve">Evidence </w:t>
      </w:r>
      <w:r w:rsidR="00CA1F53" w:rsidRPr="00191108">
        <w:rPr>
          <w:rFonts w:asciiTheme="minorHAnsi" w:hAnsiTheme="minorHAnsi" w:cstheme="minorHAnsi"/>
          <w:color w:val="auto"/>
        </w:rPr>
        <w:t xml:space="preserve">from the </w:t>
      </w:r>
      <w:r w:rsidR="004F0BEB" w:rsidRPr="00191108">
        <w:rPr>
          <w:rFonts w:asciiTheme="minorHAnsi" w:hAnsiTheme="minorHAnsi" w:cstheme="minorHAnsi"/>
          <w:color w:val="auto"/>
        </w:rPr>
        <w:t>TOM data</w:t>
      </w:r>
      <w:r w:rsidR="00CA1F53" w:rsidRPr="00191108">
        <w:rPr>
          <w:rFonts w:asciiTheme="minorHAnsi" w:hAnsiTheme="minorHAnsi" w:cstheme="minorHAnsi"/>
          <w:color w:val="auto"/>
        </w:rPr>
        <w:t xml:space="preserve"> demonstrates clinical</w:t>
      </w:r>
      <w:r w:rsidR="00F80BA3" w:rsidRPr="00191108">
        <w:rPr>
          <w:rFonts w:asciiTheme="minorHAnsi" w:hAnsiTheme="minorHAnsi" w:cstheme="minorHAnsi"/>
          <w:color w:val="auto"/>
        </w:rPr>
        <w:t>ly</w:t>
      </w:r>
      <w:r w:rsidR="00CA1F53" w:rsidRPr="00191108">
        <w:rPr>
          <w:rFonts w:asciiTheme="minorHAnsi" w:hAnsiTheme="minorHAnsi" w:cstheme="minorHAnsi"/>
          <w:color w:val="auto"/>
        </w:rPr>
        <w:t xml:space="preserve"> significant change, as </w:t>
      </w:r>
      <w:r w:rsidR="00F51264" w:rsidRPr="00191108">
        <w:rPr>
          <w:rFonts w:asciiTheme="minorHAnsi" w:hAnsiTheme="minorHAnsi" w:cstheme="minorHAnsi"/>
          <w:color w:val="auto"/>
        </w:rPr>
        <w:t>93% of clients seen by adult social care occupational therapy staff showed an improvement in at least one therapy outcome measure domain during their whole episode of care.</w:t>
      </w:r>
      <w:r w:rsidR="007C5AC4" w:rsidRPr="00191108">
        <w:rPr>
          <w:rFonts w:asciiTheme="minorHAnsi" w:hAnsiTheme="minorHAnsi" w:cstheme="minorHAnsi"/>
          <w:color w:val="auto"/>
        </w:rPr>
        <w:t xml:space="preserve"> </w:t>
      </w:r>
      <w:r w:rsidR="00791901" w:rsidRPr="00191108">
        <w:rPr>
          <w:rFonts w:asciiTheme="minorHAnsi" w:hAnsiTheme="minorHAnsi" w:cstheme="minorHAnsi"/>
          <w:color w:val="auto"/>
        </w:rPr>
        <w:t>This study has illustrated a positive change in practice.</w:t>
      </w:r>
      <w:r w:rsidR="00791901" w:rsidRPr="00191108">
        <w:rPr>
          <w:rFonts w:cstheme="minorHAnsi"/>
          <w:color w:val="auto"/>
          <w:sz w:val="23"/>
          <w:szCs w:val="23"/>
        </w:rPr>
        <w:t xml:space="preserve"> </w:t>
      </w:r>
    </w:p>
    <w:p w14:paraId="04596912" w14:textId="77777777" w:rsidR="007C5AC4" w:rsidRPr="00191108" w:rsidRDefault="007C5AC4" w:rsidP="007C5AC4">
      <w:pPr>
        <w:pStyle w:val="Default"/>
        <w:spacing w:line="360" w:lineRule="auto"/>
        <w:jc w:val="both"/>
        <w:rPr>
          <w:rFonts w:cstheme="minorHAnsi"/>
          <w:color w:val="auto"/>
        </w:rPr>
      </w:pPr>
    </w:p>
    <w:p w14:paraId="5A1DB768" w14:textId="6A83D04D" w:rsidR="00EA0BD2" w:rsidRPr="00191108" w:rsidRDefault="00EA0BD2" w:rsidP="0087262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91108">
        <w:rPr>
          <w:rFonts w:cstheme="minorHAnsi"/>
          <w:b/>
          <w:bCs/>
          <w:sz w:val="24"/>
          <w:szCs w:val="24"/>
        </w:rPr>
        <w:t>Recommendations for occupational therapy, adult social care service.</w:t>
      </w:r>
    </w:p>
    <w:p w14:paraId="38974528" w14:textId="53D5D82E" w:rsidR="00AB3581" w:rsidRPr="00191108" w:rsidRDefault="00EA0BD2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Continue to </w:t>
      </w:r>
      <w:r w:rsidR="00284198" w:rsidRPr="00191108">
        <w:rPr>
          <w:rFonts w:cstheme="minorHAnsi"/>
          <w:sz w:val="24"/>
          <w:szCs w:val="24"/>
        </w:rPr>
        <w:t xml:space="preserve">utilise </w:t>
      </w:r>
      <w:r w:rsidRPr="00191108">
        <w:rPr>
          <w:rFonts w:cstheme="minorHAnsi"/>
          <w:sz w:val="24"/>
          <w:szCs w:val="24"/>
        </w:rPr>
        <w:t xml:space="preserve">the Therapy Outcome Measure to </w:t>
      </w:r>
      <w:r w:rsidR="003F441B" w:rsidRPr="00191108">
        <w:rPr>
          <w:rFonts w:cstheme="minorHAnsi"/>
          <w:sz w:val="24"/>
          <w:szCs w:val="24"/>
        </w:rPr>
        <w:t>develop professional knowledge and confidence (Duncan and Murray</w:t>
      </w:r>
      <w:r w:rsidR="00667420" w:rsidRPr="00191108">
        <w:rPr>
          <w:rFonts w:cstheme="minorHAnsi"/>
          <w:sz w:val="24"/>
          <w:szCs w:val="24"/>
        </w:rPr>
        <w:t xml:space="preserve"> 2012) and to </w:t>
      </w:r>
      <w:r w:rsidRPr="00191108">
        <w:rPr>
          <w:rFonts w:cstheme="minorHAnsi"/>
          <w:sz w:val="24"/>
          <w:szCs w:val="24"/>
        </w:rPr>
        <w:t xml:space="preserve">record and demonstrate impact. </w:t>
      </w:r>
      <w:r w:rsidR="001F6D90" w:rsidRPr="00191108">
        <w:rPr>
          <w:rFonts w:cstheme="minorHAnsi"/>
          <w:sz w:val="24"/>
          <w:szCs w:val="24"/>
        </w:rPr>
        <w:t xml:space="preserve">Continue </w:t>
      </w:r>
      <w:r w:rsidR="00D56603" w:rsidRPr="00191108">
        <w:rPr>
          <w:rFonts w:cstheme="minorHAnsi"/>
          <w:sz w:val="24"/>
          <w:szCs w:val="24"/>
        </w:rPr>
        <w:t xml:space="preserve">audit </w:t>
      </w:r>
      <w:r w:rsidR="001F6D90" w:rsidRPr="00191108">
        <w:rPr>
          <w:rFonts w:cstheme="minorHAnsi"/>
          <w:sz w:val="24"/>
          <w:szCs w:val="24"/>
        </w:rPr>
        <w:t xml:space="preserve">cycle </w:t>
      </w:r>
      <w:r w:rsidR="00AC5FBF" w:rsidRPr="00191108">
        <w:rPr>
          <w:rFonts w:cstheme="minorHAnsi"/>
          <w:sz w:val="24"/>
          <w:szCs w:val="24"/>
        </w:rPr>
        <w:t xml:space="preserve">as a quality improvement measure to determine </w:t>
      </w:r>
      <w:r w:rsidR="00D56603" w:rsidRPr="00191108">
        <w:rPr>
          <w:rFonts w:cstheme="minorHAnsi"/>
          <w:sz w:val="24"/>
          <w:szCs w:val="24"/>
        </w:rPr>
        <w:t xml:space="preserve">if </w:t>
      </w:r>
      <w:r w:rsidR="00FC3AA4" w:rsidRPr="00191108">
        <w:rPr>
          <w:rFonts w:cstheme="minorHAnsi"/>
          <w:sz w:val="24"/>
          <w:szCs w:val="24"/>
        </w:rPr>
        <w:t xml:space="preserve">the </w:t>
      </w:r>
      <w:r w:rsidR="00D56603" w:rsidRPr="00191108">
        <w:rPr>
          <w:rFonts w:cstheme="minorHAnsi"/>
          <w:sz w:val="24"/>
          <w:szCs w:val="24"/>
        </w:rPr>
        <w:t xml:space="preserve">changes implemented </w:t>
      </w:r>
      <w:proofErr w:type="gramStart"/>
      <w:r w:rsidR="00D56603" w:rsidRPr="00191108">
        <w:rPr>
          <w:rFonts w:cstheme="minorHAnsi"/>
          <w:sz w:val="24"/>
          <w:szCs w:val="24"/>
        </w:rPr>
        <w:t>as a result of</w:t>
      </w:r>
      <w:proofErr w:type="gramEnd"/>
      <w:r w:rsidR="00D56603" w:rsidRPr="00191108">
        <w:rPr>
          <w:rFonts w:cstheme="minorHAnsi"/>
          <w:sz w:val="24"/>
          <w:szCs w:val="24"/>
        </w:rPr>
        <w:t xml:space="preserve"> the initial audit have directly led to an improvement of care.</w:t>
      </w:r>
      <w:r w:rsidR="00EA6A8B" w:rsidRPr="00191108">
        <w:rPr>
          <w:rFonts w:cstheme="minorHAnsi"/>
          <w:sz w:val="24"/>
          <w:szCs w:val="24"/>
        </w:rPr>
        <w:t xml:space="preserve"> </w:t>
      </w:r>
      <w:r w:rsidR="00284198" w:rsidRPr="00191108">
        <w:rPr>
          <w:rFonts w:cstheme="minorHAnsi"/>
          <w:sz w:val="24"/>
          <w:szCs w:val="24"/>
        </w:rPr>
        <w:t xml:space="preserve">Also, </w:t>
      </w:r>
      <w:r w:rsidR="00EA6A8B" w:rsidRPr="00191108">
        <w:rPr>
          <w:rFonts w:cstheme="minorHAnsi"/>
          <w:sz w:val="24"/>
          <w:szCs w:val="24"/>
        </w:rPr>
        <w:t>r</w:t>
      </w:r>
      <w:r w:rsidRPr="00191108">
        <w:rPr>
          <w:rFonts w:cstheme="minorHAnsi"/>
          <w:sz w:val="24"/>
          <w:szCs w:val="24"/>
        </w:rPr>
        <w:t xml:space="preserve">e-audit to randomly sample cases to explore uptake of TOM use across the </w:t>
      </w:r>
      <w:r w:rsidR="008872F0" w:rsidRPr="00191108">
        <w:rPr>
          <w:rFonts w:cstheme="minorHAnsi"/>
          <w:sz w:val="24"/>
          <w:szCs w:val="24"/>
        </w:rPr>
        <w:t>teams</w:t>
      </w:r>
      <w:r w:rsidRPr="00191108">
        <w:rPr>
          <w:rFonts w:cstheme="minorHAnsi"/>
          <w:sz w:val="24"/>
          <w:szCs w:val="24"/>
        </w:rPr>
        <w:t xml:space="preserve">. Explore if more carer data is available at re-audit following </w:t>
      </w:r>
      <w:r w:rsidR="00FC3AA4" w:rsidRPr="00191108">
        <w:rPr>
          <w:rFonts w:cstheme="minorHAnsi"/>
          <w:sz w:val="24"/>
          <w:szCs w:val="24"/>
        </w:rPr>
        <w:t xml:space="preserve">the </w:t>
      </w:r>
      <w:r w:rsidR="00F51264" w:rsidRPr="00191108">
        <w:rPr>
          <w:rFonts w:cstheme="minorHAnsi"/>
          <w:sz w:val="24"/>
          <w:szCs w:val="24"/>
        </w:rPr>
        <w:t xml:space="preserve">re-wording on liquid logic system. </w:t>
      </w:r>
      <w:r w:rsidR="00284198" w:rsidRPr="00191108">
        <w:rPr>
          <w:rFonts w:cstheme="minorHAnsi"/>
          <w:sz w:val="24"/>
          <w:szCs w:val="24"/>
        </w:rPr>
        <w:t xml:space="preserve">At re-audit further explore deterioration rates in impairment domain. </w:t>
      </w:r>
      <w:r w:rsidR="00A65909" w:rsidRPr="00191108">
        <w:rPr>
          <w:rFonts w:cstheme="minorHAnsi"/>
          <w:sz w:val="24"/>
          <w:szCs w:val="24"/>
        </w:rPr>
        <w:t>Continue for new staff to be trained in the TOM</w:t>
      </w:r>
      <w:r w:rsidR="009551EA" w:rsidRPr="00191108">
        <w:rPr>
          <w:rFonts w:cstheme="minorHAnsi"/>
          <w:sz w:val="24"/>
          <w:szCs w:val="24"/>
        </w:rPr>
        <w:t xml:space="preserve"> and provide update sessions for existing staff. Continue to develop TOM use across the Trust with the </w:t>
      </w:r>
      <w:r w:rsidR="00F1520F" w:rsidRPr="00191108">
        <w:rPr>
          <w:rFonts w:cstheme="minorHAnsi"/>
          <w:sz w:val="24"/>
          <w:szCs w:val="24"/>
        </w:rPr>
        <w:t xml:space="preserve">local TOM </w:t>
      </w:r>
      <w:r w:rsidR="00F66D51" w:rsidRPr="00191108">
        <w:rPr>
          <w:rFonts w:cstheme="minorHAnsi"/>
          <w:sz w:val="24"/>
          <w:szCs w:val="24"/>
        </w:rPr>
        <w:t xml:space="preserve">AHP </w:t>
      </w:r>
      <w:r w:rsidR="00F1520F" w:rsidRPr="00191108">
        <w:rPr>
          <w:rFonts w:cstheme="minorHAnsi"/>
          <w:sz w:val="24"/>
          <w:szCs w:val="24"/>
        </w:rPr>
        <w:t>network meeting to share good practice</w:t>
      </w:r>
      <w:r w:rsidR="00632174" w:rsidRPr="00191108">
        <w:rPr>
          <w:rFonts w:cstheme="minorHAnsi"/>
          <w:sz w:val="24"/>
          <w:szCs w:val="24"/>
        </w:rPr>
        <w:t>.</w:t>
      </w:r>
    </w:p>
    <w:p w14:paraId="39520468" w14:textId="6134AB13" w:rsidR="00CD0E83" w:rsidRPr="00191108" w:rsidRDefault="00CD0E83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b/>
          <w:bCs/>
          <w:sz w:val="24"/>
          <w:szCs w:val="24"/>
        </w:rPr>
        <w:lastRenderedPageBreak/>
        <w:t xml:space="preserve">References </w:t>
      </w:r>
    </w:p>
    <w:p w14:paraId="335326F1" w14:textId="63185384" w:rsidR="00413217" w:rsidRPr="00191108" w:rsidRDefault="00413217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Baum C, Christiansen C, Bass JL (2011) The Person-Environment-Occupational- Performance (PEOP) Model. In EAS Duncan ed. </w:t>
      </w:r>
      <w:r w:rsidRPr="00191108">
        <w:rPr>
          <w:rFonts w:cstheme="minorHAnsi"/>
          <w:i/>
          <w:iCs/>
          <w:sz w:val="24"/>
          <w:szCs w:val="24"/>
        </w:rPr>
        <w:t>Foundations for Practice in Occupational Therapy</w:t>
      </w:r>
      <w:r w:rsidRPr="00191108">
        <w:rPr>
          <w:rFonts w:cstheme="minorHAnsi"/>
          <w:sz w:val="24"/>
          <w:szCs w:val="24"/>
        </w:rPr>
        <w:t xml:space="preserve"> London Elsevier</w:t>
      </w:r>
    </w:p>
    <w:p w14:paraId="2C8E26EB" w14:textId="37DCE778" w:rsidR="009D79EA" w:rsidRPr="00191108" w:rsidRDefault="009D79EA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Bowling A (20</w:t>
      </w:r>
      <w:r w:rsidR="00AD5BDC" w:rsidRPr="00191108">
        <w:rPr>
          <w:rFonts w:cstheme="minorHAnsi"/>
          <w:sz w:val="24"/>
          <w:szCs w:val="24"/>
        </w:rPr>
        <w:t xml:space="preserve">09) </w:t>
      </w:r>
      <w:r w:rsidR="00AD5BDC" w:rsidRPr="00191108">
        <w:rPr>
          <w:rFonts w:cstheme="minorHAnsi"/>
          <w:i/>
          <w:iCs/>
          <w:sz w:val="24"/>
          <w:szCs w:val="24"/>
        </w:rPr>
        <w:t>Research Methods in Health</w:t>
      </w:r>
      <w:r w:rsidR="00872625" w:rsidRPr="00191108">
        <w:rPr>
          <w:rFonts w:cstheme="minorHAnsi"/>
          <w:i/>
          <w:iCs/>
          <w:sz w:val="24"/>
          <w:szCs w:val="24"/>
        </w:rPr>
        <w:t>.</w:t>
      </w:r>
      <w:r w:rsidR="00AD5BDC" w:rsidRPr="00191108">
        <w:rPr>
          <w:rFonts w:cstheme="minorHAnsi"/>
          <w:sz w:val="24"/>
          <w:szCs w:val="24"/>
        </w:rPr>
        <w:t xml:space="preserve"> Maidenhead Open University Press </w:t>
      </w:r>
    </w:p>
    <w:p w14:paraId="3CE9B4BA" w14:textId="550472DF" w:rsidR="00167B98" w:rsidRPr="00191108" w:rsidRDefault="00167B98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Bryman A (2008) </w:t>
      </w:r>
      <w:r w:rsidRPr="00191108">
        <w:rPr>
          <w:rFonts w:cstheme="minorHAnsi"/>
          <w:i/>
          <w:iCs/>
          <w:sz w:val="24"/>
          <w:szCs w:val="24"/>
        </w:rPr>
        <w:t>Social Research Methods</w:t>
      </w:r>
      <w:r w:rsidR="00872625" w:rsidRPr="00191108">
        <w:rPr>
          <w:rFonts w:cstheme="minorHAnsi"/>
          <w:i/>
          <w:iCs/>
          <w:sz w:val="24"/>
          <w:szCs w:val="24"/>
        </w:rPr>
        <w:t>.</w:t>
      </w:r>
      <w:r w:rsidRPr="00191108">
        <w:rPr>
          <w:rFonts w:cstheme="minorHAnsi"/>
          <w:sz w:val="24"/>
          <w:szCs w:val="24"/>
        </w:rPr>
        <w:t xml:space="preserve"> </w:t>
      </w:r>
      <w:r w:rsidR="00245C27" w:rsidRPr="00191108">
        <w:rPr>
          <w:rFonts w:cstheme="minorHAnsi"/>
          <w:sz w:val="24"/>
          <w:szCs w:val="24"/>
        </w:rPr>
        <w:t>3</w:t>
      </w:r>
      <w:r w:rsidR="00245C27" w:rsidRPr="00191108">
        <w:rPr>
          <w:rFonts w:cstheme="minorHAnsi"/>
          <w:sz w:val="24"/>
          <w:szCs w:val="24"/>
          <w:vertAlign w:val="superscript"/>
        </w:rPr>
        <w:t>rd</w:t>
      </w:r>
      <w:r w:rsidR="00245C27" w:rsidRPr="00191108">
        <w:rPr>
          <w:rFonts w:cstheme="minorHAnsi"/>
          <w:sz w:val="24"/>
          <w:szCs w:val="24"/>
        </w:rPr>
        <w:t xml:space="preserve"> Ed. Oxford. Oxford University Press</w:t>
      </w:r>
    </w:p>
    <w:p w14:paraId="5E790DBD" w14:textId="55C5AA2B" w:rsidR="009D79EA" w:rsidRPr="00191108" w:rsidRDefault="009D79EA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Buth S, D’Cruz L (2012) Clinical audit – Process and outcome for improved clinical practice</w:t>
      </w:r>
      <w:r w:rsidR="00872625" w:rsidRPr="00191108">
        <w:rPr>
          <w:rFonts w:cstheme="minorHAnsi"/>
          <w:sz w:val="24"/>
          <w:szCs w:val="24"/>
        </w:rPr>
        <w:t>.</w:t>
      </w:r>
      <w:r w:rsidRPr="00191108">
        <w:rPr>
          <w:rFonts w:cstheme="minorHAnsi"/>
          <w:sz w:val="24"/>
          <w:szCs w:val="24"/>
        </w:rPr>
        <w:t xml:space="preserve"> </w:t>
      </w:r>
      <w:r w:rsidRPr="00191108">
        <w:rPr>
          <w:rFonts w:cstheme="minorHAnsi"/>
          <w:i/>
          <w:iCs/>
          <w:sz w:val="24"/>
          <w:szCs w:val="24"/>
        </w:rPr>
        <w:t>Dental Update</w:t>
      </w:r>
      <w:r w:rsidRPr="00191108">
        <w:rPr>
          <w:rFonts w:cstheme="minorHAnsi"/>
          <w:sz w:val="24"/>
          <w:szCs w:val="24"/>
        </w:rPr>
        <w:t xml:space="preserve"> December 2012 p710-714</w:t>
      </w:r>
    </w:p>
    <w:p w14:paraId="2CC68C19" w14:textId="1B1E06B8" w:rsidR="000F0667" w:rsidRPr="00191108" w:rsidRDefault="000F0667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Caldwell C, Twelvetree T, Cox D (2015) An evaluation of Therapy Outcome Measures (</w:t>
      </w:r>
      <w:r w:rsidR="0014247E" w:rsidRPr="00191108">
        <w:rPr>
          <w:rFonts w:cstheme="minorHAnsi"/>
          <w:sz w:val="24"/>
          <w:szCs w:val="24"/>
        </w:rPr>
        <w:t>TOM</w:t>
      </w:r>
      <w:r w:rsidRPr="00191108">
        <w:rPr>
          <w:rFonts w:cstheme="minorHAnsi"/>
          <w:sz w:val="24"/>
          <w:szCs w:val="24"/>
        </w:rPr>
        <w:t>) in community rehabilitation</w:t>
      </w:r>
      <w:r w:rsidR="00872625" w:rsidRPr="00191108">
        <w:rPr>
          <w:rFonts w:cstheme="minorHAnsi"/>
          <w:sz w:val="24"/>
          <w:szCs w:val="24"/>
        </w:rPr>
        <w:t>.</w:t>
      </w:r>
      <w:r w:rsidRPr="00191108">
        <w:rPr>
          <w:rFonts w:cstheme="minorHAnsi"/>
          <w:sz w:val="24"/>
          <w:szCs w:val="24"/>
        </w:rPr>
        <w:t xml:space="preserve"> </w:t>
      </w:r>
      <w:r w:rsidRPr="00191108">
        <w:rPr>
          <w:rFonts w:cstheme="minorHAnsi"/>
          <w:i/>
          <w:iCs/>
          <w:sz w:val="24"/>
          <w:szCs w:val="24"/>
        </w:rPr>
        <w:t>International Journal of Therapy and Rehabilitation</w:t>
      </w:r>
      <w:r w:rsidRPr="00191108">
        <w:rPr>
          <w:rFonts w:cstheme="minorHAnsi"/>
          <w:sz w:val="24"/>
          <w:szCs w:val="24"/>
        </w:rPr>
        <w:t xml:space="preserve"> 22 (7) 310-319</w:t>
      </w:r>
    </w:p>
    <w:p w14:paraId="1B9953C3" w14:textId="1267A800" w:rsidR="00B93573" w:rsidRPr="00191108" w:rsidRDefault="00B93573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Christiansen </w:t>
      </w:r>
      <w:r w:rsidR="00973132" w:rsidRPr="00191108">
        <w:rPr>
          <w:rFonts w:cstheme="minorHAnsi"/>
          <w:sz w:val="24"/>
          <w:szCs w:val="24"/>
        </w:rPr>
        <w:t xml:space="preserve">C, Baum CM (2005) The </w:t>
      </w:r>
      <w:r w:rsidR="007D690B" w:rsidRPr="00191108">
        <w:rPr>
          <w:rFonts w:cstheme="minorHAnsi"/>
          <w:sz w:val="24"/>
          <w:szCs w:val="24"/>
        </w:rPr>
        <w:t xml:space="preserve">complexity of human occupation. In Christiansen CH, </w:t>
      </w:r>
      <w:r w:rsidR="00FF38C4" w:rsidRPr="00191108">
        <w:rPr>
          <w:rFonts w:cstheme="minorHAnsi"/>
          <w:sz w:val="24"/>
          <w:szCs w:val="24"/>
        </w:rPr>
        <w:t xml:space="preserve">Baum CM, Bass-Haugen J (2005) </w:t>
      </w:r>
      <w:r w:rsidR="003122B1" w:rsidRPr="00191108">
        <w:rPr>
          <w:rFonts w:cstheme="minorHAnsi"/>
          <w:i/>
          <w:iCs/>
          <w:sz w:val="24"/>
          <w:szCs w:val="24"/>
        </w:rPr>
        <w:t>Occupational therapy: Performance, Participation and Well</w:t>
      </w:r>
      <w:r w:rsidR="007B467C" w:rsidRPr="00191108">
        <w:rPr>
          <w:rFonts w:cstheme="minorHAnsi"/>
          <w:i/>
          <w:iCs/>
          <w:sz w:val="24"/>
          <w:szCs w:val="24"/>
        </w:rPr>
        <w:t>-</w:t>
      </w:r>
      <w:r w:rsidR="003122B1" w:rsidRPr="00191108">
        <w:rPr>
          <w:rFonts w:cstheme="minorHAnsi"/>
          <w:i/>
          <w:iCs/>
          <w:sz w:val="24"/>
          <w:szCs w:val="24"/>
        </w:rPr>
        <w:t>being</w:t>
      </w:r>
      <w:r w:rsidR="007B467C" w:rsidRPr="00191108">
        <w:rPr>
          <w:rFonts w:cstheme="minorHAnsi"/>
          <w:i/>
          <w:iCs/>
          <w:sz w:val="24"/>
          <w:szCs w:val="24"/>
        </w:rPr>
        <w:t>.</w:t>
      </w:r>
      <w:r w:rsidR="007B467C" w:rsidRPr="00191108">
        <w:rPr>
          <w:rFonts w:cstheme="minorHAnsi"/>
          <w:sz w:val="24"/>
          <w:szCs w:val="24"/>
        </w:rPr>
        <w:t xml:space="preserve"> Thorofare NJ Slack</w:t>
      </w:r>
    </w:p>
    <w:p w14:paraId="182F6D59" w14:textId="27577768" w:rsidR="00A923AD" w:rsidRPr="00191108" w:rsidRDefault="00A923AD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Corr S, Siddons L (2005) </w:t>
      </w:r>
      <w:r w:rsidR="000E6729" w:rsidRPr="00191108">
        <w:rPr>
          <w:rFonts w:cstheme="minorHAnsi"/>
          <w:sz w:val="24"/>
          <w:szCs w:val="24"/>
        </w:rPr>
        <w:t>An introduction to the selection of outcome measures</w:t>
      </w:r>
      <w:r w:rsidR="00872625" w:rsidRPr="00191108">
        <w:rPr>
          <w:rFonts w:cstheme="minorHAnsi"/>
          <w:sz w:val="24"/>
          <w:szCs w:val="24"/>
        </w:rPr>
        <w:t>.</w:t>
      </w:r>
      <w:r w:rsidR="000E6729" w:rsidRPr="00191108">
        <w:rPr>
          <w:rFonts w:cstheme="minorHAnsi"/>
          <w:sz w:val="24"/>
          <w:szCs w:val="24"/>
        </w:rPr>
        <w:t xml:space="preserve"> </w:t>
      </w:r>
      <w:r w:rsidR="000E6729" w:rsidRPr="00191108">
        <w:rPr>
          <w:rFonts w:cstheme="minorHAnsi"/>
          <w:i/>
          <w:iCs/>
          <w:sz w:val="24"/>
          <w:szCs w:val="24"/>
        </w:rPr>
        <w:t xml:space="preserve">British Journal of Occupational Therapy </w:t>
      </w:r>
      <w:r w:rsidR="00863632" w:rsidRPr="00191108">
        <w:rPr>
          <w:rFonts w:cstheme="minorHAnsi"/>
          <w:sz w:val="24"/>
          <w:szCs w:val="24"/>
        </w:rPr>
        <w:t>68 (5) 202-206</w:t>
      </w:r>
    </w:p>
    <w:p w14:paraId="51FE357C" w14:textId="59F25FAC" w:rsidR="00755774" w:rsidRPr="00191108" w:rsidRDefault="00E454C3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CQC Care Quali</w:t>
      </w:r>
      <w:r w:rsidR="00230D85" w:rsidRPr="00191108">
        <w:rPr>
          <w:rFonts w:cstheme="minorHAnsi"/>
          <w:sz w:val="24"/>
          <w:szCs w:val="24"/>
        </w:rPr>
        <w:t xml:space="preserve">ty Commission Available at </w:t>
      </w:r>
      <w:hyperlink r:id="rId16" w:history="1">
        <w:r w:rsidR="00230D85" w:rsidRPr="00191108">
          <w:rPr>
            <w:rStyle w:val="Hyperlink"/>
            <w:rFonts w:cstheme="minorHAnsi"/>
            <w:color w:val="auto"/>
            <w:sz w:val="24"/>
            <w:szCs w:val="24"/>
          </w:rPr>
          <w:t>https://www.cqc.org.uk/</w:t>
        </w:r>
      </w:hyperlink>
      <w:r w:rsidR="00230D85" w:rsidRPr="00191108">
        <w:rPr>
          <w:rFonts w:cstheme="minorHAnsi"/>
          <w:sz w:val="24"/>
          <w:szCs w:val="24"/>
        </w:rPr>
        <w:t xml:space="preserve"> Accessed 14/04/2021</w:t>
      </w:r>
    </w:p>
    <w:p w14:paraId="424D2040" w14:textId="27774029" w:rsidR="00795C8A" w:rsidRPr="00191108" w:rsidRDefault="00795C8A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Coughlan C, </w:t>
      </w:r>
      <w:proofErr w:type="spellStart"/>
      <w:r w:rsidRPr="00191108">
        <w:rPr>
          <w:rFonts w:cstheme="minorHAnsi"/>
          <w:sz w:val="24"/>
          <w:szCs w:val="24"/>
        </w:rPr>
        <w:t>Manek</w:t>
      </w:r>
      <w:proofErr w:type="spellEnd"/>
      <w:r w:rsidRPr="00191108">
        <w:rPr>
          <w:rFonts w:cstheme="minorHAnsi"/>
          <w:sz w:val="24"/>
          <w:szCs w:val="24"/>
        </w:rPr>
        <w:t xml:space="preserve"> N, Razak Y, </w:t>
      </w:r>
      <w:proofErr w:type="spellStart"/>
      <w:r w:rsidRPr="00191108">
        <w:rPr>
          <w:rFonts w:cstheme="minorHAnsi"/>
          <w:sz w:val="24"/>
          <w:szCs w:val="24"/>
        </w:rPr>
        <w:t>Klaber</w:t>
      </w:r>
      <w:proofErr w:type="spellEnd"/>
      <w:r w:rsidRPr="00191108">
        <w:rPr>
          <w:rFonts w:cstheme="minorHAnsi"/>
          <w:sz w:val="24"/>
          <w:szCs w:val="24"/>
        </w:rPr>
        <w:t xml:space="preserve"> RE (2020) How to improve care across boundaries. </w:t>
      </w:r>
      <w:r w:rsidRPr="00191108">
        <w:rPr>
          <w:rFonts w:cstheme="minorHAnsi"/>
          <w:i/>
          <w:iCs/>
          <w:sz w:val="24"/>
          <w:szCs w:val="24"/>
        </w:rPr>
        <w:t>The BMJ</w:t>
      </w:r>
      <w:r w:rsidRPr="00191108">
        <w:rPr>
          <w:rFonts w:cstheme="minorHAnsi"/>
          <w:sz w:val="24"/>
          <w:szCs w:val="24"/>
        </w:rPr>
        <w:t xml:space="preserve"> doi:1136/bmj.m1045</w:t>
      </w:r>
    </w:p>
    <w:p w14:paraId="24E53FB6" w14:textId="3FCB3022" w:rsidR="00DC3009" w:rsidRPr="00191108" w:rsidRDefault="00DC3009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Crocker H, Kelly</w:t>
      </w:r>
      <w:r w:rsidR="00C5065E" w:rsidRPr="00191108">
        <w:rPr>
          <w:rFonts w:cstheme="minorHAnsi"/>
          <w:sz w:val="24"/>
          <w:szCs w:val="24"/>
        </w:rPr>
        <w:t xml:space="preserve"> L, </w:t>
      </w:r>
      <w:proofErr w:type="spellStart"/>
      <w:r w:rsidR="00C5065E" w:rsidRPr="00191108">
        <w:rPr>
          <w:rFonts w:cstheme="minorHAnsi"/>
          <w:sz w:val="24"/>
          <w:szCs w:val="24"/>
        </w:rPr>
        <w:t>Harlock</w:t>
      </w:r>
      <w:proofErr w:type="spellEnd"/>
      <w:r w:rsidR="00C5065E" w:rsidRPr="00191108">
        <w:rPr>
          <w:rFonts w:cstheme="minorHAnsi"/>
          <w:sz w:val="24"/>
          <w:szCs w:val="24"/>
        </w:rPr>
        <w:t xml:space="preserve"> J, Fitzpatrick R, Peters M (2020) Measuring the benefits of the integration of health and social care: qualitative interviews with professional stakeholders and patient representatives</w:t>
      </w:r>
      <w:r w:rsidR="008349ED" w:rsidRPr="00191108">
        <w:rPr>
          <w:rFonts w:cstheme="minorHAnsi"/>
          <w:sz w:val="24"/>
          <w:szCs w:val="24"/>
        </w:rPr>
        <w:t xml:space="preserve"> BMC Health Services Research </w:t>
      </w:r>
      <w:hyperlink r:id="rId17" w:history="1">
        <w:r w:rsidR="00C668D6" w:rsidRPr="00191108">
          <w:rPr>
            <w:rStyle w:val="Hyperlink"/>
            <w:rFonts w:cstheme="minorHAnsi"/>
            <w:color w:val="auto"/>
            <w:sz w:val="24"/>
            <w:szCs w:val="24"/>
          </w:rPr>
          <w:t>https://doi.org/10.1186/s12913-020-05374-4</w:t>
        </w:r>
      </w:hyperlink>
      <w:r w:rsidR="00C668D6" w:rsidRPr="00191108">
        <w:rPr>
          <w:rFonts w:cstheme="minorHAnsi"/>
          <w:sz w:val="24"/>
          <w:szCs w:val="24"/>
        </w:rPr>
        <w:t xml:space="preserve"> Accessed 6/7/21</w:t>
      </w:r>
    </w:p>
    <w:p w14:paraId="5427FC9A" w14:textId="43B08210" w:rsidR="008D04B1" w:rsidRPr="00191108" w:rsidRDefault="008D04B1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Department of Health (2008</w:t>
      </w:r>
      <w:r w:rsidR="00FD11EE" w:rsidRPr="00191108">
        <w:rPr>
          <w:rFonts w:cstheme="minorHAnsi"/>
          <w:sz w:val="24"/>
          <w:szCs w:val="24"/>
        </w:rPr>
        <w:t>)</w:t>
      </w:r>
      <w:r w:rsidRPr="00191108">
        <w:rPr>
          <w:rFonts w:cstheme="minorHAnsi"/>
          <w:sz w:val="24"/>
          <w:szCs w:val="24"/>
        </w:rPr>
        <w:t xml:space="preserve"> High Quality Care for All</w:t>
      </w:r>
      <w:r w:rsidR="00CD25B9" w:rsidRPr="00191108">
        <w:rPr>
          <w:rFonts w:cstheme="minorHAnsi"/>
          <w:sz w:val="24"/>
          <w:szCs w:val="24"/>
        </w:rPr>
        <w:t>. NHS Next Stage Review Final Report</w:t>
      </w:r>
      <w:r w:rsidRPr="00191108">
        <w:rPr>
          <w:rFonts w:cstheme="minorHAnsi"/>
          <w:sz w:val="24"/>
          <w:szCs w:val="24"/>
        </w:rPr>
        <w:t xml:space="preserve"> </w:t>
      </w:r>
      <w:r w:rsidR="00CD25B9" w:rsidRPr="00191108">
        <w:rPr>
          <w:rFonts w:cstheme="minorHAnsi"/>
          <w:sz w:val="24"/>
          <w:szCs w:val="24"/>
        </w:rPr>
        <w:t xml:space="preserve">Available at </w:t>
      </w:r>
      <w:hyperlink r:id="rId18" w:history="1">
        <w:r w:rsidR="00CD25B9" w:rsidRPr="00191108">
          <w:rPr>
            <w:rStyle w:val="Hyperlink"/>
            <w:rFonts w:cstheme="minorHAnsi"/>
            <w:color w:val="auto"/>
            <w:sz w:val="24"/>
            <w:szCs w:val="24"/>
          </w:rPr>
          <w:t>https://assets.publishing.service.gov.uk/government/uploads/system/uploads/attachment_data/file/228836/7432.pdf</w:t>
        </w:r>
      </w:hyperlink>
      <w:r w:rsidR="00CD25B9" w:rsidRPr="00191108">
        <w:rPr>
          <w:rFonts w:cstheme="minorHAnsi"/>
          <w:sz w:val="24"/>
          <w:szCs w:val="24"/>
        </w:rPr>
        <w:t xml:space="preserve"> Accessed 2</w:t>
      </w:r>
      <w:r w:rsidR="006D2CFF" w:rsidRPr="00191108">
        <w:rPr>
          <w:rFonts w:cstheme="minorHAnsi"/>
          <w:sz w:val="24"/>
          <w:szCs w:val="24"/>
        </w:rPr>
        <w:t>1</w:t>
      </w:r>
      <w:r w:rsidR="00CD25B9" w:rsidRPr="00191108">
        <w:rPr>
          <w:rFonts w:cstheme="minorHAnsi"/>
          <w:sz w:val="24"/>
          <w:szCs w:val="24"/>
        </w:rPr>
        <w:t>/</w:t>
      </w:r>
      <w:r w:rsidR="006D2CFF" w:rsidRPr="00191108">
        <w:rPr>
          <w:rFonts w:cstheme="minorHAnsi"/>
          <w:sz w:val="24"/>
          <w:szCs w:val="24"/>
        </w:rPr>
        <w:t>4</w:t>
      </w:r>
      <w:r w:rsidR="00CD25B9" w:rsidRPr="00191108">
        <w:rPr>
          <w:rFonts w:cstheme="minorHAnsi"/>
          <w:sz w:val="24"/>
          <w:szCs w:val="24"/>
        </w:rPr>
        <w:t>/2021</w:t>
      </w:r>
    </w:p>
    <w:p w14:paraId="523386B3" w14:textId="07EA2666" w:rsidR="00813093" w:rsidRPr="00191108" w:rsidRDefault="00813093" w:rsidP="00872625">
      <w:pPr>
        <w:spacing w:line="360" w:lineRule="auto"/>
        <w:jc w:val="both"/>
        <w:rPr>
          <w:rStyle w:val="Hyperlink"/>
          <w:rFonts w:cstheme="minorHAnsi"/>
          <w:color w:val="auto"/>
          <w:sz w:val="24"/>
          <w:szCs w:val="24"/>
        </w:rPr>
      </w:pPr>
      <w:r w:rsidRPr="00191108">
        <w:rPr>
          <w:rFonts w:cstheme="minorHAnsi"/>
          <w:sz w:val="24"/>
          <w:szCs w:val="24"/>
        </w:rPr>
        <w:lastRenderedPageBreak/>
        <w:t xml:space="preserve">Dept of Health and Social Care (2012) Health and Social Care Act Available at </w:t>
      </w:r>
      <w:hyperlink r:id="rId19" w:history="1">
        <w:r w:rsidR="00440228" w:rsidRPr="00191108">
          <w:rPr>
            <w:rStyle w:val="Hyperlink"/>
            <w:rFonts w:cstheme="minorHAnsi"/>
            <w:color w:val="auto"/>
            <w:sz w:val="24"/>
            <w:szCs w:val="24"/>
          </w:rPr>
          <w:t>https://www.legislation.gov.uk/ukpga/2012/7/contents/enacted</w:t>
        </w:r>
      </w:hyperlink>
      <w:r w:rsidR="00440228" w:rsidRPr="00191108">
        <w:rPr>
          <w:rFonts w:cstheme="minorHAnsi"/>
          <w:sz w:val="24"/>
          <w:szCs w:val="24"/>
        </w:rPr>
        <w:t xml:space="preserve"> Accessed </w:t>
      </w:r>
      <w:r w:rsidR="006D2CFF" w:rsidRPr="00191108">
        <w:rPr>
          <w:rFonts w:cstheme="minorHAnsi"/>
          <w:sz w:val="24"/>
          <w:szCs w:val="24"/>
        </w:rPr>
        <w:t>21/4/21</w:t>
      </w:r>
    </w:p>
    <w:p w14:paraId="5D376125" w14:textId="5B90ACD4" w:rsidR="00EE593F" w:rsidRPr="00191108" w:rsidRDefault="00EE593F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Style w:val="Hyperlink"/>
          <w:rFonts w:cstheme="minorHAnsi"/>
          <w:color w:val="auto"/>
          <w:sz w:val="24"/>
          <w:szCs w:val="24"/>
          <w:u w:val="none"/>
        </w:rPr>
        <w:t>Department of Health and Social Care (2014) Care Act Available at</w:t>
      </w:r>
      <w:r w:rsidRPr="00191108">
        <w:rPr>
          <w:rStyle w:val="Hyperlink"/>
          <w:rFonts w:cstheme="minorHAnsi"/>
          <w:color w:val="auto"/>
          <w:sz w:val="24"/>
          <w:szCs w:val="24"/>
        </w:rPr>
        <w:t xml:space="preserve"> </w:t>
      </w:r>
      <w:hyperlink r:id="rId20" w:history="1">
        <w:r w:rsidR="007B6729" w:rsidRPr="00191108">
          <w:rPr>
            <w:rStyle w:val="Hyperlink"/>
            <w:rFonts w:cstheme="minorHAnsi"/>
            <w:color w:val="auto"/>
            <w:sz w:val="24"/>
            <w:szCs w:val="24"/>
          </w:rPr>
          <w:t>https://www.legislation.gov.uk/ukpga/2014/23/contents/enacted Accessed 09/04/2021</w:t>
        </w:r>
      </w:hyperlink>
    </w:p>
    <w:p w14:paraId="020304D6" w14:textId="16FCCED4" w:rsidR="003B5E8E" w:rsidRPr="00191108" w:rsidRDefault="008F0F56" w:rsidP="00872625">
      <w:pPr>
        <w:spacing w:line="36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110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Dickinson H, </w:t>
      </w:r>
      <w:proofErr w:type="spellStart"/>
      <w:r w:rsidRPr="00191108">
        <w:rPr>
          <w:rStyle w:val="Hyperlink"/>
          <w:rFonts w:cstheme="minorHAnsi"/>
          <w:color w:val="auto"/>
          <w:sz w:val="24"/>
          <w:szCs w:val="24"/>
          <w:u w:val="none"/>
        </w:rPr>
        <w:t>O’Flynn</w:t>
      </w:r>
      <w:proofErr w:type="spellEnd"/>
      <w:r w:rsidRPr="0019110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J (2016) </w:t>
      </w:r>
      <w:r w:rsidR="000053FC" w:rsidRPr="00191108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Evaluating Outcomes in Health and Social Care</w:t>
      </w:r>
      <w:r w:rsidR="000053FC" w:rsidRPr="0019110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524B9E" w:rsidRPr="00191108">
        <w:rPr>
          <w:rStyle w:val="Hyperlink"/>
          <w:rFonts w:cstheme="minorHAnsi"/>
          <w:color w:val="auto"/>
          <w:sz w:val="24"/>
          <w:szCs w:val="24"/>
          <w:u w:val="none"/>
        </w:rPr>
        <w:t>2</w:t>
      </w:r>
      <w:r w:rsidR="00524B9E" w:rsidRPr="00191108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nd</w:t>
      </w:r>
      <w:r w:rsidR="00524B9E" w:rsidRPr="0019110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Edition Bristol Policy Press</w:t>
      </w:r>
    </w:p>
    <w:p w14:paraId="40F5A003" w14:textId="5FC41FC0" w:rsidR="00667420" w:rsidRPr="00191108" w:rsidRDefault="00667420" w:rsidP="00872625">
      <w:pPr>
        <w:spacing w:line="36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1108">
        <w:rPr>
          <w:rStyle w:val="Hyperlink"/>
          <w:rFonts w:cstheme="minorHAnsi"/>
          <w:color w:val="auto"/>
          <w:sz w:val="24"/>
          <w:szCs w:val="24"/>
          <w:u w:val="none"/>
        </w:rPr>
        <w:t>Duncan EAS, Murray J (</w:t>
      </w:r>
      <w:r w:rsidR="00565B53" w:rsidRPr="00191108">
        <w:rPr>
          <w:rStyle w:val="Hyperlink"/>
          <w:rFonts w:cstheme="minorHAnsi"/>
          <w:color w:val="auto"/>
          <w:sz w:val="24"/>
          <w:szCs w:val="24"/>
          <w:u w:val="none"/>
        </w:rPr>
        <w:t>2012) The barriers and facilitators to routine outcome measurement by allied health professionals in practice: a systematic review</w:t>
      </w:r>
      <w:r w:rsidR="00872625" w:rsidRPr="00191108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="00565B53" w:rsidRPr="0019110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7D170B" w:rsidRPr="00191108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BMC Health Services Research</w:t>
      </w:r>
      <w:r w:rsidR="007D170B" w:rsidRPr="0019110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2012 12:96</w:t>
      </w:r>
    </w:p>
    <w:p w14:paraId="56770C79" w14:textId="3643BD5B" w:rsidR="00EA5FC2" w:rsidRPr="00191108" w:rsidRDefault="00EA5FC2" w:rsidP="00872625">
      <w:pPr>
        <w:spacing w:line="36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191108">
        <w:rPr>
          <w:rStyle w:val="Hyperlink"/>
          <w:rFonts w:cstheme="minorHAnsi"/>
          <w:color w:val="auto"/>
          <w:sz w:val="24"/>
          <w:szCs w:val="24"/>
          <w:u w:val="none"/>
        </w:rPr>
        <w:t>Enderby</w:t>
      </w:r>
      <w:r w:rsidR="008C7706" w:rsidRPr="0019110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P, John A, Hughes A, </w:t>
      </w:r>
      <w:proofErr w:type="spellStart"/>
      <w:r w:rsidR="008C7706" w:rsidRPr="00191108">
        <w:rPr>
          <w:rStyle w:val="Hyperlink"/>
          <w:rFonts w:cstheme="minorHAnsi"/>
          <w:color w:val="auto"/>
          <w:sz w:val="24"/>
          <w:szCs w:val="24"/>
          <w:u w:val="none"/>
        </w:rPr>
        <w:t>Petheram</w:t>
      </w:r>
      <w:proofErr w:type="spellEnd"/>
      <w:r w:rsidR="008C7706" w:rsidRPr="0019110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B (2003) </w:t>
      </w:r>
      <w:r w:rsidR="000F7D8C" w:rsidRPr="00191108">
        <w:rPr>
          <w:rStyle w:val="Hyperlink"/>
          <w:rFonts w:cstheme="minorHAnsi"/>
          <w:color w:val="auto"/>
          <w:sz w:val="24"/>
          <w:szCs w:val="24"/>
          <w:u w:val="none"/>
        </w:rPr>
        <w:t>Using benchmarking data for assessing performance in occupational therapy</w:t>
      </w:r>
      <w:r w:rsidR="003B5E8E" w:rsidRPr="00191108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  <w:r w:rsidR="003B5E8E" w:rsidRPr="00191108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Clinical Governance: An International Journal</w:t>
      </w:r>
      <w:r w:rsidR="003B5E8E" w:rsidRPr="00191108">
        <w:rPr>
          <w:rStyle w:val="Hyperlink"/>
          <w:rFonts w:cstheme="minorHAnsi"/>
          <w:color w:val="auto"/>
          <w:sz w:val="24"/>
          <w:szCs w:val="24"/>
          <w:u w:val="none"/>
        </w:rPr>
        <w:t>. 8 (4) 290-295</w:t>
      </w:r>
    </w:p>
    <w:p w14:paraId="525EBE73" w14:textId="4FB57CA8" w:rsidR="00CD0E83" w:rsidRPr="00191108" w:rsidRDefault="00CD0E83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Enderby P, John A (2015) </w:t>
      </w:r>
      <w:r w:rsidRPr="00191108">
        <w:rPr>
          <w:rFonts w:cstheme="minorHAnsi"/>
          <w:i/>
          <w:iCs/>
          <w:sz w:val="24"/>
          <w:szCs w:val="24"/>
        </w:rPr>
        <w:t>Therapy Outcome Measures for Rehabilitation Professionals</w:t>
      </w:r>
      <w:r w:rsidR="00872625" w:rsidRPr="00191108">
        <w:rPr>
          <w:rFonts w:cstheme="minorHAnsi"/>
          <w:i/>
          <w:iCs/>
          <w:sz w:val="24"/>
          <w:szCs w:val="24"/>
        </w:rPr>
        <w:t>.</w:t>
      </w:r>
      <w:r w:rsidRPr="00191108">
        <w:rPr>
          <w:rFonts w:cstheme="minorHAnsi"/>
          <w:sz w:val="24"/>
          <w:szCs w:val="24"/>
        </w:rPr>
        <w:t xml:space="preserve"> 3</w:t>
      </w:r>
      <w:r w:rsidRPr="00191108">
        <w:rPr>
          <w:rFonts w:cstheme="minorHAnsi"/>
          <w:sz w:val="24"/>
          <w:szCs w:val="24"/>
          <w:vertAlign w:val="superscript"/>
        </w:rPr>
        <w:t>rd</w:t>
      </w:r>
      <w:r w:rsidRPr="00191108">
        <w:rPr>
          <w:rFonts w:cstheme="minorHAnsi"/>
          <w:sz w:val="24"/>
          <w:szCs w:val="24"/>
        </w:rPr>
        <w:t xml:space="preserve"> Edition</w:t>
      </w:r>
      <w:r w:rsidR="00EE593F" w:rsidRPr="00191108">
        <w:rPr>
          <w:rFonts w:cstheme="minorHAnsi"/>
          <w:sz w:val="24"/>
          <w:szCs w:val="24"/>
        </w:rPr>
        <w:t xml:space="preserve"> Guildford</w:t>
      </w:r>
      <w:r w:rsidRPr="00191108">
        <w:rPr>
          <w:rFonts w:cstheme="minorHAnsi"/>
          <w:sz w:val="24"/>
          <w:szCs w:val="24"/>
        </w:rPr>
        <w:t xml:space="preserve"> J&amp;R Press </w:t>
      </w:r>
      <w:r w:rsidR="00EE593F" w:rsidRPr="00191108">
        <w:rPr>
          <w:rFonts w:cstheme="minorHAnsi"/>
          <w:sz w:val="24"/>
          <w:szCs w:val="24"/>
        </w:rPr>
        <w:t>Ltd</w:t>
      </w:r>
    </w:p>
    <w:p w14:paraId="552C4601" w14:textId="007C0ED4" w:rsidR="00EE593F" w:rsidRPr="00191108" w:rsidRDefault="00EE593F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Enderby P, John A (201</w:t>
      </w:r>
      <w:r w:rsidR="00406074" w:rsidRPr="00191108">
        <w:rPr>
          <w:rFonts w:cstheme="minorHAnsi"/>
          <w:sz w:val="24"/>
          <w:szCs w:val="24"/>
        </w:rPr>
        <w:t>9</w:t>
      </w:r>
      <w:r w:rsidRPr="00191108">
        <w:rPr>
          <w:rFonts w:cstheme="minorHAnsi"/>
          <w:sz w:val="24"/>
          <w:szCs w:val="24"/>
        </w:rPr>
        <w:t xml:space="preserve">) </w:t>
      </w:r>
      <w:r w:rsidRPr="00191108">
        <w:rPr>
          <w:rFonts w:cstheme="minorHAnsi"/>
          <w:i/>
          <w:iCs/>
          <w:sz w:val="24"/>
          <w:szCs w:val="24"/>
        </w:rPr>
        <w:t>Therapy Outcome Measure User Guide and Scales</w:t>
      </w:r>
      <w:r w:rsidR="00872625" w:rsidRPr="00191108">
        <w:rPr>
          <w:rFonts w:cstheme="minorHAnsi"/>
          <w:i/>
          <w:iCs/>
          <w:sz w:val="24"/>
          <w:szCs w:val="24"/>
        </w:rPr>
        <w:t>.</w:t>
      </w:r>
      <w:r w:rsidRPr="00191108">
        <w:rPr>
          <w:rFonts w:cstheme="minorHAnsi"/>
          <w:sz w:val="24"/>
          <w:szCs w:val="24"/>
        </w:rPr>
        <w:t xml:space="preserve"> Guildford J&amp;R Press Ltd</w:t>
      </w:r>
    </w:p>
    <w:p w14:paraId="1CCD9DEA" w14:textId="32518DAB" w:rsidR="00B876F3" w:rsidRPr="00191108" w:rsidRDefault="00B876F3" w:rsidP="00872625">
      <w:pPr>
        <w:spacing w:line="48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Finlay L (2001) Holism in Occupational Therapy: Elusive Fiction and ambivalent struggle</w:t>
      </w:r>
      <w:r w:rsidR="00872625" w:rsidRPr="00191108">
        <w:rPr>
          <w:rFonts w:cstheme="minorHAnsi"/>
          <w:sz w:val="24"/>
          <w:szCs w:val="24"/>
        </w:rPr>
        <w:t>.</w:t>
      </w:r>
      <w:r w:rsidRPr="00191108">
        <w:rPr>
          <w:rFonts w:cstheme="minorHAnsi"/>
          <w:sz w:val="24"/>
          <w:szCs w:val="24"/>
        </w:rPr>
        <w:t xml:space="preserve"> </w:t>
      </w:r>
      <w:r w:rsidRPr="00191108">
        <w:rPr>
          <w:rFonts w:cstheme="minorHAnsi"/>
          <w:i/>
          <w:iCs/>
          <w:sz w:val="24"/>
          <w:szCs w:val="24"/>
        </w:rPr>
        <w:t>American Journal of Occupational Therapy</w:t>
      </w:r>
      <w:r w:rsidRPr="00191108">
        <w:rPr>
          <w:rFonts w:cstheme="minorHAnsi"/>
          <w:sz w:val="24"/>
          <w:szCs w:val="24"/>
        </w:rPr>
        <w:t xml:space="preserve"> 55 (3) 268-276</w:t>
      </w:r>
    </w:p>
    <w:p w14:paraId="096109B1" w14:textId="267F58B8" w:rsidR="00406074" w:rsidRPr="00191108" w:rsidRDefault="00406074" w:rsidP="00872625">
      <w:pPr>
        <w:spacing w:line="48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Forsyth K, Hamilton E (2008) Social Services occupational therapists’ views of practice and integration with health: a survey</w:t>
      </w:r>
      <w:r w:rsidR="00872625" w:rsidRPr="00191108">
        <w:rPr>
          <w:rFonts w:cstheme="minorHAnsi"/>
          <w:sz w:val="24"/>
          <w:szCs w:val="24"/>
        </w:rPr>
        <w:t>.</w:t>
      </w:r>
      <w:r w:rsidRPr="00191108">
        <w:rPr>
          <w:rFonts w:cstheme="minorHAnsi"/>
          <w:sz w:val="24"/>
          <w:szCs w:val="24"/>
        </w:rPr>
        <w:t xml:space="preserve"> </w:t>
      </w:r>
      <w:r w:rsidRPr="00191108">
        <w:rPr>
          <w:rFonts w:cstheme="minorHAnsi"/>
          <w:i/>
          <w:iCs/>
          <w:sz w:val="24"/>
          <w:szCs w:val="24"/>
        </w:rPr>
        <w:t>British Journal of Occupational Therapy</w:t>
      </w:r>
      <w:r w:rsidRPr="00191108">
        <w:rPr>
          <w:rFonts w:cstheme="minorHAnsi"/>
          <w:sz w:val="24"/>
          <w:szCs w:val="24"/>
        </w:rPr>
        <w:t xml:space="preserve"> 71 (2) 64-71</w:t>
      </w:r>
    </w:p>
    <w:p w14:paraId="7E7B54DF" w14:textId="5FACD1E9" w:rsidR="001C3C01" w:rsidRPr="00191108" w:rsidRDefault="001C3C01" w:rsidP="00872625">
      <w:pPr>
        <w:spacing w:line="48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Francis J, Fisher M, Rutter D (2011) Reablement: a cost-effective route to better outcomes. </w:t>
      </w:r>
      <w:r w:rsidRPr="00191108">
        <w:rPr>
          <w:rFonts w:cstheme="minorHAnsi"/>
          <w:i/>
          <w:iCs/>
          <w:sz w:val="24"/>
          <w:szCs w:val="24"/>
        </w:rPr>
        <w:t>Research Briefing 36</w:t>
      </w:r>
      <w:r w:rsidRPr="00191108">
        <w:rPr>
          <w:rFonts w:cstheme="minorHAnsi"/>
          <w:sz w:val="24"/>
          <w:szCs w:val="24"/>
        </w:rPr>
        <w:t xml:space="preserve"> London Social Care Institute for Excellence </w:t>
      </w:r>
    </w:p>
    <w:p w14:paraId="42CDC5F7" w14:textId="7F216C63" w:rsidR="00455661" w:rsidRPr="00191108" w:rsidRDefault="00455661" w:rsidP="00872625">
      <w:pPr>
        <w:spacing w:line="360" w:lineRule="auto"/>
        <w:jc w:val="both"/>
        <w:rPr>
          <w:rStyle w:val="Hyperlink"/>
          <w:color w:val="auto"/>
          <w:sz w:val="24"/>
          <w:szCs w:val="24"/>
        </w:rPr>
      </w:pPr>
      <w:r w:rsidRPr="00191108">
        <w:rPr>
          <w:sz w:val="24"/>
          <w:szCs w:val="24"/>
        </w:rPr>
        <w:t xml:space="preserve">Francis R (2013) Report of the Mid Staffordshire NHS Foundation Trust Public Inquiry. The Stationary Office Available at </w:t>
      </w:r>
      <w:hyperlink r:id="rId21" w:history="1">
        <w:r w:rsidR="00755774" w:rsidRPr="00191108">
          <w:rPr>
            <w:rStyle w:val="Hyperlink"/>
            <w:color w:val="auto"/>
            <w:sz w:val="24"/>
            <w:szCs w:val="24"/>
          </w:rPr>
          <w:t>https://www.gov.uk/government/publications/report-of-the-mid-staffordshire-nhs-foundation-trust-public-inquiry Accessed 26/11/2020</w:t>
        </w:r>
      </w:hyperlink>
    </w:p>
    <w:p w14:paraId="4047FBD7" w14:textId="19194035" w:rsidR="002F1929" w:rsidRPr="00191108" w:rsidRDefault="002F1929" w:rsidP="00872625">
      <w:pPr>
        <w:spacing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191108">
        <w:rPr>
          <w:rStyle w:val="Hyperlink"/>
          <w:color w:val="auto"/>
          <w:sz w:val="24"/>
          <w:szCs w:val="24"/>
          <w:u w:val="none"/>
        </w:rPr>
        <w:lastRenderedPageBreak/>
        <w:t>Glasby J (</w:t>
      </w:r>
      <w:r w:rsidR="008446E3" w:rsidRPr="00191108">
        <w:rPr>
          <w:rStyle w:val="Hyperlink"/>
          <w:color w:val="auto"/>
          <w:sz w:val="24"/>
          <w:szCs w:val="24"/>
          <w:u w:val="none"/>
        </w:rPr>
        <w:t>2017) The holy grail of health and social care integration. The British Medical Journal</w:t>
      </w:r>
      <w:r w:rsidR="003218D8" w:rsidRPr="00191108">
        <w:rPr>
          <w:rStyle w:val="Hyperlink"/>
          <w:color w:val="auto"/>
          <w:sz w:val="24"/>
          <w:szCs w:val="24"/>
          <w:u w:val="none"/>
        </w:rPr>
        <w:t xml:space="preserve"> </w:t>
      </w:r>
      <w:r w:rsidR="00CE4239" w:rsidRPr="00191108">
        <w:rPr>
          <w:rStyle w:val="Hyperlink"/>
          <w:color w:val="auto"/>
          <w:sz w:val="24"/>
          <w:szCs w:val="24"/>
          <w:u w:val="none"/>
        </w:rPr>
        <w:t>16 Feb 2017</w:t>
      </w:r>
    </w:p>
    <w:p w14:paraId="0118458A" w14:textId="50C4908F" w:rsidR="002871BB" w:rsidRPr="00191108" w:rsidRDefault="002871BB" w:rsidP="00872625">
      <w:pPr>
        <w:spacing w:line="360" w:lineRule="auto"/>
        <w:jc w:val="both"/>
        <w:rPr>
          <w:sz w:val="24"/>
          <w:szCs w:val="24"/>
        </w:rPr>
      </w:pPr>
      <w:r w:rsidRPr="00191108">
        <w:rPr>
          <w:sz w:val="24"/>
          <w:szCs w:val="24"/>
        </w:rPr>
        <w:t>Heaton J, Bamfor</w:t>
      </w:r>
      <w:r w:rsidR="009E1D0E" w:rsidRPr="00191108">
        <w:rPr>
          <w:sz w:val="24"/>
          <w:szCs w:val="24"/>
        </w:rPr>
        <w:t>d C (2001) Assessing the outcomes of equipment and adaptations: issues and approaches</w:t>
      </w:r>
      <w:r w:rsidR="00451D0A" w:rsidRPr="00191108">
        <w:rPr>
          <w:sz w:val="24"/>
          <w:szCs w:val="24"/>
        </w:rPr>
        <w:t xml:space="preserve"> </w:t>
      </w:r>
      <w:r w:rsidR="00451D0A" w:rsidRPr="00191108">
        <w:rPr>
          <w:i/>
          <w:iCs/>
          <w:sz w:val="24"/>
          <w:szCs w:val="24"/>
        </w:rPr>
        <w:t>British Journal of Occupational Therapy</w:t>
      </w:r>
      <w:r w:rsidR="00451D0A" w:rsidRPr="00191108">
        <w:rPr>
          <w:sz w:val="24"/>
          <w:szCs w:val="24"/>
        </w:rPr>
        <w:t xml:space="preserve"> 64 (7) 346-356</w:t>
      </w:r>
    </w:p>
    <w:p w14:paraId="3BDE521F" w14:textId="3899C2BC" w:rsidR="00455661" w:rsidRPr="00191108" w:rsidRDefault="00455661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Health and Care Professions Council Standards of Proficiency Occupational Therapists (2018) Available at </w:t>
      </w:r>
      <w:hyperlink r:id="rId22" w:history="1">
        <w:r w:rsidRPr="00191108">
          <w:rPr>
            <w:rStyle w:val="Hyperlink"/>
            <w:rFonts w:cstheme="minorHAnsi"/>
            <w:color w:val="auto"/>
            <w:sz w:val="24"/>
            <w:szCs w:val="24"/>
          </w:rPr>
          <w:t>https://www.hcpc-uk.org/standards/standards-of-proficiency/occupational-therapists/</w:t>
        </w:r>
      </w:hyperlink>
      <w:r w:rsidRPr="00191108">
        <w:rPr>
          <w:rFonts w:cstheme="minorHAnsi"/>
          <w:sz w:val="24"/>
          <w:szCs w:val="24"/>
          <w:u w:val="single"/>
        </w:rPr>
        <w:t xml:space="preserve"> </w:t>
      </w:r>
      <w:r w:rsidRPr="00191108">
        <w:rPr>
          <w:rFonts w:cstheme="minorHAnsi"/>
          <w:sz w:val="24"/>
          <w:szCs w:val="24"/>
        </w:rPr>
        <w:t>Accessed 09/04/2021</w:t>
      </w:r>
    </w:p>
    <w:p w14:paraId="7DD06EC0" w14:textId="0E94502A" w:rsidR="00854B12" w:rsidRPr="00191108" w:rsidRDefault="00854B12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Kelly L, </w:t>
      </w:r>
      <w:proofErr w:type="spellStart"/>
      <w:r w:rsidRPr="00191108">
        <w:rPr>
          <w:rFonts w:cstheme="minorHAnsi"/>
          <w:sz w:val="24"/>
          <w:szCs w:val="24"/>
        </w:rPr>
        <w:t>Harlock</w:t>
      </w:r>
      <w:proofErr w:type="spellEnd"/>
      <w:r w:rsidRPr="00191108">
        <w:rPr>
          <w:rFonts w:cstheme="minorHAnsi"/>
          <w:sz w:val="24"/>
          <w:szCs w:val="24"/>
        </w:rPr>
        <w:t xml:space="preserve"> J, Peters M, Fitzpatrick R</w:t>
      </w:r>
      <w:r w:rsidR="009C3D9F" w:rsidRPr="00191108">
        <w:rPr>
          <w:rFonts w:cstheme="minorHAnsi"/>
          <w:sz w:val="24"/>
          <w:szCs w:val="24"/>
        </w:rPr>
        <w:t>, Crocker H (2020) Measures for the integration of health and social care services for long-term health conditions</w:t>
      </w:r>
      <w:r w:rsidR="000F4AA0" w:rsidRPr="00191108">
        <w:rPr>
          <w:rFonts w:cstheme="minorHAnsi"/>
          <w:sz w:val="24"/>
          <w:szCs w:val="24"/>
        </w:rPr>
        <w:t xml:space="preserve">: a systematic review of reviews. BMC Health Services Research </w:t>
      </w:r>
      <w:hyperlink r:id="rId23" w:history="1">
        <w:r w:rsidR="00D551A0" w:rsidRPr="00191108">
          <w:rPr>
            <w:rStyle w:val="Hyperlink"/>
            <w:rFonts w:cstheme="minorHAnsi"/>
            <w:color w:val="auto"/>
            <w:sz w:val="24"/>
            <w:szCs w:val="24"/>
          </w:rPr>
          <w:t>https://doi.org/10.1186/s12913-020-05206-5</w:t>
        </w:r>
      </w:hyperlink>
      <w:r w:rsidR="00D551A0" w:rsidRPr="00191108">
        <w:rPr>
          <w:rFonts w:cstheme="minorHAnsi"/>
          <w:sz w:val="24"/>
          <w:szCs w:val="24"/>
        </w:rPr>
        <w:t xml:space="preserve"> Accessed 6/7/21</w:t>
      </w:r>
    </w:p>
    <w:p w14:paraId="4F2343BF" w14:textId="4DDF71BB" w:rsidR="00316CBA" w:rsidRPr="00191108" w:rsidRDefault="00EC440A" w:rsidP="00872625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191108">
        <w:rPr>
          <w:rFonts w:cstheme="minorHAnsi"/>
          <w:sz w:val="24"/>
          <w:szCs w:val="24"/>
        </w:rPr>
        <w:t>Klinga</w:t>
      </w:r>
      <w:proofErr w:type="spellEnd"/>
      <w:r w:rsidRPr="00191108">
        <w:rPr>
          <w:rFonts w:cstheme="minorHAnsi"/>
          <w:sz w:val="24"/>
          <w:szCs w:val="24"/>
        </w:rPr>
        <w:t xml:space="preserve"> C, Hasson H, Sachs MA, Hansson J (</w:t>
      </w:r>
      <w:r w:rsidR="002E47CB" w:rsidRPr="00191108">
        <w:rPr>
          <w:rFonts w:cstheme="minorHAnsi"/>
          <w:sz w:val="24"/>
          <w:szCs w:val="24"/>
        </w:rPr>
        <w:t>2018) Understanding the dynamics of sustainable change: A 20-year case stu</w:t>
      </w:r>
      <w:r w:rsidR="00A40413" w:rsidRPr="00191108">
        <w:rPr>
          <w:rFonts w:cstheme="minorHAnsi"/>
          <w:sz w:val="24"/>
          <w:szCs w:val="24"/>
        </w:rPr>
        <w:t>dy of integrated health and social care. BMC Health Servi</w:t>
      </w:r>
      <w:r w:rsidR="00A453B1" w:rsidRPr="00191108">
        <w:rPr>
          <w:rFonts w:cstheme="minorHAnsi"/>
          <w:sz w:val="24"/>
          <w:szCs w:val="24"/>
        </w:rPr>
        <w:t xml:space="preserve">ces Research </w:t>
      </w:r>
      <w:hyperlink r:id="rId24" w:history="1">
        <w:r w:rsidR="00E86A3C" w:rsidRPr="00191108">
          <w:rPr>
            <w:rStyle w:val="Hyperlink"/>
            <w:rFonts w:cstheme="minorHAnsi"/>
            <w:color w:val="auto"/>
            <w:sz w:val="24"/>
            <w:szCs w:val="24"/>
          </w:rPr>
          <w:t>https://doi.org/10.1186/s12913-018-3061-6</w:t>
        </w:r>
      </w:hyperlink>
      <w:r w:rsidR="00E86A3C" w:rsidRPr="00191108">
        <w:rPr>
          <w:rFonts w:cstheme="minorHAnsi"/>
          <w:sz w:val="24"/>
          <w:szCs w:val="24"/>
        </w:rPr>
        <w:t xml:space="preserve"> </w:t>
      </w:r>
      <w:r w:rsidR="00106BE1" w:rsidRPr="00191108">
        <w:rPr>
          <w:rFonts w:cstheme="minorHAnsi"/>
          <w:sz w:val="24"/>
          <w:szCs w:val="24"/>
        </w:rPr>
        <w:t>Accessed 6/7/2021</w:t>
      </w:r>
    </w:p>
    <w:p w14:paraId="60DF8D71" w14:textId="173D6A67" w:rsidR="000F0667" w:rsidRPr="00191108" w:rsidRDefault="000F0667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Laver Fawcett AJ (2007</w:t>
      </w:r>
      <w:r w:rsidRPr="00191108">
        <w:rPr>
          <w:rFonts w:cstheme="minorHAnsi"/>
          <w:i/>
          <w:iCs/>
          <w:sz w:val="24"/>
          <w:szCs w:val="24"/>
        </w:rPr>
        <w:t>) Principles of Assessment for Occupational Therapists and Physiotherapists</w:t>
      </w:r>
      <w:r w:rsidR="00872625" w:rsidRPr="00191108">
        <w:rPr>
          <w:rFonts w:cstheme="minorHAnsi"/>
          <w:i/>
          <w:iCs/>
          <w:sz w:val="24"/>
          <w:szCs w:val="24"/>
        </w:rPr>
        <w:t>.</w:t>
      </w:r>
      <w:r w:rsidRPr="00191108">
        <w:rPr>
          <w:rFonts w:cstheme="minorHAnsi"/>
          <w:i/>
          <w:iCs/>
          <w:sz w:val="24"/>
          <w:szCs w:val="24"/>
        </w:rPr>
        <w:t xml:space="preserve"> </w:t>
      </w:r>
      <w:r w:rsidRPr="00191108">
        <w:rPr>
          <w:rFonts w:cstheme="minorHAnsi"/>
          <w:sz w:val="24"/>
          <w:szCs w:val="24"/>
        </w:rPr>
        <w:t>Chichester Wiley</w:t>
      </w:r>
    </w:p>
    <w:p w14:paraId="2A27B6A7" w14:textId="4026AB1D" w:rsidR="001C3C01" w:rsidRPr="00191108" w:rsidRDefault="001C3C01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Littlechild R, Bowl R, </w:t>
      </w:r>
      <w:proofErr w:type="spellStart"/>
      <w:r w:rsidRPr="00191108">
        <w:rPr>
          <w:rFonts w:cstheme="minorHAnsi"/>
          <w:sz w:val="24"/>
          <w:szCs w:val="24"/>
        </w:rPr>
        <w:t>Matka</w:t>
      </w:r>
      <w:proofErr w:type="spellEnd"/>
      <w:r w:rsidRPr="00191108">
        <w:rPr>
          <w:rFonts w:cstheme="minorHAnsi"/>
          <w:sz w:val="24"/>
          <w:szCs w:val="24"/>
        </w:rPr>
        <w:t xml:space="preserve"> E (2010) An independence at home service: the potential and pitfalls for occupational therapy services. </w:t>
      </w:r>
      <w:r w:rsidRPr="00191108">
        <w:rPr>
          <w:rFonts w:cstheme="minorHAnsi"/>
          <w:i/>
          <w:iCs/>
          <w:sz w:val="24"/>
          <w:szCs w:val="24"/>
        </w:rPr>
        <w:t>British Journal of Occupational Therapy</w:t>
      </w:r>
      <w:r w:rsidRPr="00191108">
        <w:rPr>
          <w:rFonts w:cstheme="minorHAnsi"/>
          <w:sz w:val="24"/>
          <w:szCs w:val="24"/>
        </w:rPr>
        <w:t xml:space="preserve"> 73 (6) 242-250.</w:t>
      </w:r>
    </w:p>
    <w:p w14:paraId="66121572" w14:textId="670265E0" w:rsidR="00035689" w:rsidRPr="00191108" w:rsidRDefault="00664634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Liquid Logic available at </w:t>
      </w:r>
      <w:hyperlink r:id="rId25" w:history="1">
        <w:r w:rsidRPr="00191108">
          <w:rPr>
            <w:rStyle w:val="Hyperlink"/>
            <w:rFonts w:cstheme="minorHAnsi"/>
            <w:color w:val="auto"/>
            <w:sz w:val="24"/>
            <w:szCs w:val="24"/>
          </w:rPr>
          <w:t>https://www.liquidlogic.co.uk/</w:t>
        </w:r>
      </w:hyperlink>
      <w:r w:rsidRPr="00191108">
        <w:rPr>
          <w:rFonts w:cstheme="minorHAnsi"/>
          <w:sz w:val="24"/>
          <w:szCs w:val="24"/>
        </w:rPr>
        <w:t xml:space="preserve"> accessed 6/7/21</w:t>
      </w:r>
    </w:p>
    <w:p w14:paraId="062FBD32" w14:textId="76F3124D" w:rsidR="00406074" w:rsidRPr="00191108" w:rsidRDefault="00406074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>Mountain G</w:t>
      </w:r>
      <w:r w:rsidR="00872625" w:rsidRPr="00191108">
        <w:rPr>
          <w:rFonts w:cstheme="minorHAnsi"/>
          <w:sz w:val="24"/>
          <w:szCs w:val="24"/>
        </w:rPr>
        <w:t xml:space="preserve"> (2004) Using the evidence to develop quality assistive technology services. </w:t>
      </w:r>
      <w:r w:rsidR="00872625" w:rsidRPr="00191108">
        <w:rPr>
          <w:rFonts w:cstheme="minorHAnsi"/>
          <w:i/>
          <w:iCs/>
          <w:sz w:val="24"/>
          <w:szCs w:val="24"/>
        </w:rPr>
        <w:t>Journal of Integrated Care</w:t>
      </w:r>
      <w:r w:rsidR="00872625" w:rsidRPr="00191108">
        <w:rPr>
          <w:rFonts w:cstheme="minorHAnsi"/>
          <w:sz w:val="24"/>
          <w:szCs w:val="24"/>
        </w:rPr>
        <w:t xml:space="preserve"> 12 (1) 19-26</w:t>
      </w:r>
    </w:p>
    <w:p w14:paraId="07215769" w14:textId="32934EFD" w:rsidR="00C719F0" w:rsidRPr="00191108" w:rsidRDefault="00C719F0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NICE (National Institute for Clinical Excellence) pathway (2021) Peoples experience in adult social care services Available at </w:t>
      </w:r>
      <w:hyperlink r:id="rId26" w:history="1">
        <w:r w:rsidRPr="00191108">
          <w:rPr>
            <w:rStyle w:val="Hyperlink"/>
            <w:rFonts w:cstheme="minorHAnsi"/>
            <w:color w:val="auto"/>
            <w:sz w:val="24"/>
            <w:szCs w:val="24"/>
          </w:rPr>
          <w:t>https://pathways.nice.org.uk/pathways/peoples-experience-in-adult-social-care-services</w:t>
        </w:r>
      </w:hyperlink>
      <w:r w:rsidRPr="00191108">
        <w:rPr>
          <w:rFonts w:cstheme="minorHAnsi"/>
          <w:sz w:val="24"/>
          <w:szCs w:val="24"/>
        </w:rPr>
        <w:t xml:space="preserve"> Accessed 14 /04/2021</w:t>
      </w:r>
    </w:p>
    <w:p w14:paraId="43671457" w14:textId="4E316E8C" w:rsidR="00455661" w:rsidRPr="00191108" w:rsidRDefault="00455661" w:rsidP="0087262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91108">
        <w:rPr>
          <w:rFonts w:cstheme="minorHAnsi"/>
          <w:bCs/>
          <w:sz w:val="24"/>
          <w:szCs w:val="24"/>
        </w:rPr>
        <w:t>Pearson, B (2017) The clinical governance of multi-disciplinary care</w:t>
      </w:r>
      <w:r w:rsidR="00872625" w:rsidRPr="00191108">
        <w:rPr>
          <w:rFonts w:cstheme="minorHAnsi"/>
          <w:bCs/>
          <w:sz w:val="24"/>
          <w:szCs w:val="24"/>
        </w:rPr>
        <w:t>.</w:t>
      </w:r>
      <w:r w:rsidRPr="00191108">
        <w:rPr>
          <w:rFonts w:cstheme="minorHAnsi"/>
          <w:bCs/>
          <w:i/>
          <w:iCs/>
          <w:sz w:val="24"/>
          <w:szCs w:val="24"/>
        </w:rPr>
        <w:t xml:space="preserve"> International Journal of Health Governance </w:t>
      </w:r>
      <w:r w:rsidRPr="00191108">
        <w:rPr>
          <w:rFonts w:cstheme="minorHAnsi"/>
          <w:bCs/>
          <w:sz w:val="24"/>
          <w:szCs w:val="24"/>
        </w:rPr>
        <w:t>22 (4) 246-250</w:t>
      </w:r>
    </w:p>
    <w:p w14:paraId="596AD5C9" w14:textId="254FAB1B" w:rsidR="00795C8A" w:rsidRPr="00191108" w:rsidRDefault="00795C8A" w:rsidP="0087262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91108">
        <w:rPr>
          <w:rFonts w:cstheme="minorHAnsi"/>
          <w:bCs/>
          <w:sz w:val="24"/>
          <w:szCs w:val="24"/>
        </w:rPr>
        <w:lastRenderedPageBreak/>
        <w:t xml:space="preserve">Peck E, </w:t>
      </w:r>
      <w:proofErr w:type="spellStart"/>
      <w:r w:rsidRPr="00191108">
        <w:rPr>
          <w:rFonts w:cstheme="minorHAnsi"/>
          <w:bCs/>
          <w:sz w:val="24"/>
          <w:szCs w:val="24"/>
        </w:rPr>
        <w:t>Towell</w:t>
      </w:r>
      <w:proofErr w:type="spellEnd"/>
      <w:r w:rsidRPr="00191108">
        <w:rPr>
          <w:rFonts w:cstheme="minorHAnsi"/>
          <w:bCs/>
          <w:sz w:val="24"/>
          <w:szCs w:val="24"/>
        </w:rPr>
        <w:t xml:space="preserve"> D, </w:t>
      </w:r>
      <w:r w:rsidR="00DD4F05" w:rsidRPr="00191108">
        <w:rPr>
          <w:rFonts w:cstheme="minorHAnsi"/>
          <w:bCs/>
          <w:sz w:val="24"/>
          <w:szCs w:val="24"/>
        </w:rPr>
        <w:t>Gulliver</w:t>
      </w:r>
      <w:r w:rsidRPr="00191108">
        <w:rPr>
          <w:rFonts w:cstheme="minorHAnsi"/>
          <w:bCs/>
          <w:sz w:val="24"/>
          <w:szCs w:val="24"/>
        </w:rPr>
        <w:t xml:space="preserve"> P (2001) The meaning of culture in health and social care: a case study of the combined trust in Somerset. </w:t>
      </w:r>
      <w:r w:rsidRPr="00191108">
        <w:rPr>
          <w:rFonts w:cstheme="minorHAnsi"/>
          <w:bCs/>
          <w:i/>
          <w:iCs/>
          <w:sz w:val="24"/>
          <w:szCs w:val="24"/>
        </w:rPr>
        <w:t>Journal of Interprofessional Care</w:t>
      </w:r>
      <w:r w:rsidRPr="00191108">
        <w:rPr>
          <w:rFonts w:cstheme="minorHAnsi"/>
          <w:bCs/>
          <w:sz w:val="24"/>
          <w:szCs w:val="24"/>
        </w:rPr>
        <w:t xml:space="preserve"> 15 (4) 319-327</w:t>
      </w:r>
    </w:p>
    <w:p w14:paraId="4E1734FF" w14:textId="2A30DB6B" w:rsidR="00455661" w:rsidRPr="00191108" w:rsidRDefault="00455661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Royal College of Occupational Therapists (2015) Measuring Outcomes Research Briefing. London RCOT Available at </w:t>
      </w:r>
      <w:hyperlink r:id="rId27" w:history="1">
        <w:r w:rsidR="009447DE" w:rsidRPr="00191108">
          <w:rPr>
            <w:rStyle w:val="Hyperlink"/>
            <w:rFonts w:cstheme="minorHAnsi"/>
            <w:color w:val="auto"/>
            <w:sz w:val="24"/>
            <w:szCs w:val="24"/>
          </w:rPr>
          <w:t>https://www.rcot.co.uk/sites/default/files/Research-Briefing-Measuring-Outcomes-Nov2015.pdf Accessed 09/04/2021</w:t>
        </w:r>
      </w:hyperlink>
    </w:p>
    <w:p w14:paraId="70ED5217" w14:textId="36DB5E61" w:rsidR="009447DE" w:rsidRPr="00191108" w:rsidRDefault="009447DE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RCOT (2016) Care Act 2014 Guidance for Occupational Therapists Wellbeing London RCOT Available at </w:t>
      </w:r>
      <w:hyperlink r:id="rId28" w:history="1">
        <w:r w:rsidRPr="00191108">
          <w:rPr>
            <w:rStyle w:val="Hyperlink"/>
            <w:rFonts w:cstheme="minorHAnsi"/>
            <w:color w:val="auto"/>
            <w:sz w:val="24"/>
            <w:szCs w:val="24"/>
          </w:rPr>
          <w:t>https://www.rcot.co.uk/practice-resources/rcot-publications/downloads/care-act-2014-wellbeing</w:t>
        </w:r>
      </w:hyperlink>
      <w:r w:rsidRPr="00191108">
        <w:rPr>
          <w:rFonts w:cstheme="minorHAnsi"/>
          <w:sz w:val="24"/>
          <w:szCs w:val="24"/>
        </w:rPr>
        <w:t xml:space="preserve"> Accessed 23/4/2021</w:t>
      </w:r>
    </w:p>
    <w:p w14:paraId="6B58EBC8" w14:textId="663EE402" w:rsidR="00455661" w:rsidRPr="00191108" w:rsidRDefault="00455661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Royal College of Occupational Therapists (2021) Professional standards for occupational therapy practice, conduct and ethics. London RCOT Available at </w:t>
      </w:r>
      <w:hyperlink r:id="rId29" w:history="1">
        <w:r w:rsidRPr="00191108">
          <w:rPr>
            <w:rStyle w:val="Hyperlink"/>
            <w:rFonts w:cstheme="minorHAnsi"/>
            <w:color w:val="auto"/>
            <w:sz w:val="24"/>
            <w:szCs w:val="24"/>
          </w:rPr>
          <w:t>https://www.rcot.co.uk/publications/professional-standards-occupational-therapy-practice-conduct-and-ethics Accessed 09/04/2021</w:t>
        </w:r>
      </w:hyperlink>
    </w:p>
    <w:p w14:paraId="67AF341D" w14:textId="3F91B3D0" w:rsidR="00622261" w:rsidRPr="00191108" w:rsidRDefault="00622261" w:rsidP="00872625">
      <w:pPr>
        <w:spacing w:line="360" w:lineRule="auto"/>
        <w:jc w:val="both"/>
        <w:rPr>
          <w:sz w:val="24"/>
          <w:szCs w:val="24"/>
        </w:rPr>
      </w:pPr>
      <w:r w:rsidRPr="00191108">
        <w:rPr>
          <w:sz w:val="24"/>
          <w:szCs w:val="24"/>
        </w:rPr>
        <w:t>Shand J, T</w:t>
      </w:r>
      <w:r w:rsidR="00005257" w:rsidRPr="00191108">
        <w:rPr>
          <w:sz w:val="24"/>
          <w:szCs w:val="24"/>
        </w:rPr>
        <w:t>urner S (2019) System Wide Collaboration? Health and social care leaders’ perspectives on working across boundaries. Journal of Integrated Care</w:t>
      </w:r>
      <w:r w:rsidR="0013476D" w:rsidRPr="00191108">
        <w:rPr>
          <w:sz w:val="24"/>
          <w:szCs w:val="24"/>
        </w:rPr>
        <w:t xml:space="preserve"> 27 (1) 83-94</w:t>
      </w:r>
    </w:p>
    <w:p w14:paraId="15BE20EF" w14:textId="08A61CE5" w:rsidR="00455661" w:rsidRPr="00191108" w:rsidRDefault="00455661" w:rsidP="00872625">
      <w:pPr>
        <w:spacing w:line="360" w:lineRule="auto"/>
        <w:jc w:val="both"/>
        <w:rPr>
          <w:sz w:val="24"/>
          <w:szCs w:val="24"/>
        </w:rPr>
      </w:pPr>
      <w:r w:rsidRPr="00191108">
        <w:rPr>
          <w:sz w:val="24"/>
          <w:szCs w:val="24"/>
        </w:rPr>
        <w:t>Unsworth C (2000) Measuring the outcome of occupational therapy: Tools and resources</w:t>
      </w:r>
      <w:r w:rsidR="00872625" w:rsidRPr="00191108">
        <w:rPr>
          <w:sz w:val="24"/>
          <w:szCs w:val="24"/>
        </w:rPr>
        <w:t>.</w:t>
      </w:r>
      <w:r w:rsidRPr="00191108">
        <w:rPr>
          <w:sz w:val="24"/>
          <w:szCs w:val="24"/>
        </w:rPr>
        <w:t xml:space="preserve"> </w:t>
      </w:r>
      <w:r w:rsidRPr="00191108">
        <w:rPr>
          <w:i/>
          <w:iCs/>
          <w:sz w:val="24"/>
          <w:szCs w:val="24"/>
        </w:rPr>
        <w:t>Australian Occupational Therapy Journal</w:t>
      </w:r>
      <w:r w:rsidRPr="00191108">
        <w:rPr>
          <w:sz w:val="24"/>
          <w:szCs w:val="24"/>
        </w:rPr>
        <w:t xml:space="preserve"> 47 147-158</w:t>
      </w:r>
    </w:p>
    <w:p w14:paraId="014B5620" w14:textId="0CE5BD1E" w:rsidR="00D71C3B" w:rsidRPr="00191108" w:rsidRDefault="00D71C3B" w:rsidP="00872625">
      <w:pPr>
        <w:spacing w:line="360" w:lineRule="auto"/>
        <w:jc w:val="both"/>
        <w:rPr>
          <w:sz w:val="24"/>
          <w:szCs w:val="24"/>
        </w:rPr>
      </w:pPr>
      <w:r w:rsidRPr="00191108">
        <w:rPr>
          <w:sz w:val="24"/>
          <w:szCs w:val="24"/>
        </w:rPr>
        <w:t xml:space="preserve">Wade </w:t>
      </w:r>
      <w:r w:rsidR="0054431E" w:rsidRPr="00191108">
        <w:rPr>
          <w:sz w:val="24"/>
          <w:szCs w:val="24"/>
        </w:rPr>
        <w:t>D (2009) Generic or global outcome measures in rehabilitation:</w:t>
      </w:r>
      <w:r w:rsidR="00154144" w:rsidRPr="00191108">
        <w:rPr>
          <w:sz w:val="24"/>
          <w:szCs w:val="24"/>
        </w:rPr>
        <w:t xml:space="preserve"> </w:t>
      </w:r>
      <w:r w:rsidR="0054431E" w:rsidRPr="00191108">
        <w:rPr>
          <w:sz w:val="24"/>
          <w:szCs w:val="24"/>
        </w:rPr>
        <w:t>are they appropriate for measuring and improving s</w:t>
      </w:r>
      <w:r w:rsidR="00154144" w:rsidRPr="00191108">
        <w:rPr>
          <w:sz w:val="24"/>
          <w:szCs w:val="24"/>
        </w:rPr>
        <w:t xml:space="preserve">ervice quality? </w:t>
      </w:r>
      <w:r w:rsidR="00154144" w:rsidRPr="00191108">
        <w:rPr>
          <w:i/>
          <w:iCs/>
          <w:sz w:val="24"/>
          <w:szCs w:val="24"/>
        </w:rPr>
        <w:t>Clinical Rehabilitation</w:t>
      </w:r>
      <w:r w:rsidR="00154144" w:rsidRPr="00191108">
        <w:rPr>
          <w:sz w:val="24"/>
          <w:szCs w:val="24"/>
        </w:rPr>
        <w:t xml:space="preserve"> 23:867-872</w:t>
      </w:r>
    </w:p>
    <w:p w14:paraId="6494E6E9" w14:textId="3F4B6EFF" w:rsidR="00F34360" w:rsidRPr="00191108" w:rsidRDefault="00F34360" w:rsidP="00872625">
      <w:pPr>
        <w:spacing w:line="360" w:lineRule="auto"/>
        <w:jc w:val="both"/>
        <w:rPr>
          <w:sz w:val="24"/>
          <w:szCs w:val="24"/>
        </w:rPr>
      </w:pPr>
      <w:r w:rsidRPr="00191108">
        <w:rPr>
          <w:sz w:val="24"/>
          <w:szCs w:val="24"/>
        </w:rPr>
        <w:t xml:space="preserve">Whiteford G (2000) </w:t>
      </w:r>
      <w:r w:rsidR="006D1C0A" w:rsidRPr="00191108">
        <w:rPr>
          <w:sz w:val="24"/>
          <w:szCs w:val="24"/>
        </w:rPr>
        <w:t xml:space="preserve">Occupational </w:t>
      </w:r>
      <w:r w:rsidR="004C70B2" w:rsidRPr="00191108">
        <w:rPr>
          <w:sz w:val="24"/>
          <w:szCs w:val="24"/>
        </w:rPr>
        <w:t xml:space="preserve">deprivation: Global challenge in the new millennium </w:t>
      </w:r>
      <w:r w:rsidR="004C70B2" w:rsidRPr="00191108">
        <w:rPr>
          <w:i/>
          <w:iCs/>
          <w:sz w:val="24"/>
          <w:szCs w:val="24"/>
        </w:rPr>
        <w:t xml:space="preserve">British Journal of Occupational Therapy </w:t>
      </w:r>
      <w:r w:rsidR="004C70B2" w:rsidRPr="00191108">
        <w:rPr>
          <w:sz w:val="24"/>
          <w:szCs w:val="24"/>
        </w:rPr>
        <w:t>63 (5) 200-204</w:t>
      </w:r>
    </w:p>
    <w:p w14:paraId="2BEC7DCF" w14:textId="0425D3C2" w:rsidR="00F139E6" w:rsidRPr="00191108" w:rsidRDefault="00F139E6" w:rsidP="00872625">
      <w:pPr>
        <w:spacing w:line="360" w:lineRule="auto"/>
        <w:jc w:val="both"/>
        <w:rPr>
          <w:sz w:val="24"/>
          <w:szCs w:val="24"/>
        </w:rPr>
      </w:pPr>
      <w:r w:rsidRPr="00191108">
        <w:rPr>
          <w:sz w:val="24"/>
          <w:szCs w:val="24"/>
        </w:rPr>
        <w:t>Whittaker A, Williamson</w:t>
      </w:r>
      <w:r w:rsidR="008D64FA" w:rsidRPr="00191108">
        <w:rPr>
          <w:sz w:val="24"/>
          <w:szCs w:val="24"/>
        </w:rPr>
        <w:t xml:space="preserve"> GR (2011) </w:t>
      </w:r>
      <w:r w:rsidR="008D64FA" w:rsidRPr="00191108">
        <w:rPr>
          <w:i/>
          <w:iCs/>
          <w:sz w:val="24"/>
          <w:szCs w:val="24"/>
        </w:rPr>
        <w:t>Succeeding in Research P</w:t>
      </w:r>
      <w:r w:rsidR="002C6DF6" w:rsidRPr="00191108">
        <w:rPr>
          <w:i/>
          <w:iCs/>
          <w:sz w:val="24"/>
          <w:szCs w:val="24"/>
        </w:rPr>
        <w:t>roject Plans and Literature Reviews for Nursing Students</w:t>
      </w:r>
      <w:r w:rsidR="00872625" w:rsidRPr="00191108">
        <w:rPr>
          <w:i/>
          <w:iCs/>
          <w:sz w:val="24"/>
          <w:szCs w:val="24"/>
        </w:rPr>
        <w:t>.</w:t>
      </w:r>
      <w:r w:rsidR="002C6DF6" w:rsidRPr="00191108">
        <w:rPr>
          <w:i/>
          <w:iCs/>
          <w:sz w:val="24"/>
          <w:szCs w:val="24"/>
        </w:rPr>
        <w:t xml:space="preserve"> </w:t>
      </w:r>
      <w:r w:rsidR="008D64FA" w:rsidRPr="00191108">
        <w:rPr>
          <w:sz w:val="24"/>
          <w:szCs w:val="24"/>
        </w:rPr>
        <w:t xml:space="preserve">Exeter Learning Matters </w:t>
      </w:r>
    </w:p>
    <w:p w14:paraId="4D5A4CFE" w14:textId="77777777" w:rsidR="00455661" w:rsidRPr="00191108" w:rsidRDefault="00455661" w:rsidP="00872625">
      <w:pPr>
        <w:spacing w:line="360" w:lineRule="auto"/>
        <w:jc w:val="both"/>
        <w:rPr>
          <w:rFonts w:cstheme="minorHAnsi"/>
          <w:sz w:val="24"/>
          <w:szCs w:val="24"/>
        </w:rPr>
      </w:pPr>
      <w:r w:rsidRPr="00191108">
        <w:rPr>
          <w:rFonts w:cstheme="minorHAnsi"/>
          <w:sz w:val="24"/>
          <w:szCs w:val="24"/>
        </w:rPr>
        <w:t xml:space="preserve">World Health Organisation (2001) International Classification of Functioning, Disability and Health Available at </w:t>
      </w:r>
      <w:hyperlink r:id="rId30" w:history="1">
        <w:r w:rsidRPr="00191108">
          <w:rPr>
            <w:rStyle w:val="Hyperlink"/>
            <w:rFonts w:cstheme="minorHAnsi"/>
            <w:color w:val="auto"/>
            <w:sz w:val="24"/>
            <w:szCs w:val="24"/>
          </w:rPr>
          <w:t>https://www.who.int/standards/classifications/international-classification-of-functioning-disability-and-health</w:t>
        </w:r>
      </w:hyperlink>
      <w:r w:rsidRPr="00191108">
        <w:rPr>
          <w:rFonts w:cstheme="minorHAnsi"/>
          <w:sz w:val="24"/>
          <w:szCs w:val="24"/>
        </w:rPr>
        <w:t xml:space="preserve"> Accessed 09/04/2021</w:t>
      </w:r>
    </w:p>
    <w:p w14:paraId="57DF35FD" w14:textId="77777777" w:rsidR="00CD0E83" w:rsidRPr="00191108" w:rsidRDefault="00CD0E83" w:rsidP="008726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908AEB" w14:textId="77777777" w:rsidR="00CD0E83" w:rsidRPr="00191108" w:rsidRDefault="00CD0E83" w:rsidP="0087262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65940DE" w14:textId="1F9977F2" w:rsidR="00820D64" w:rsidRPr="00191108" w:rsidRDefault="00820D64" w:rsidP="00872625">
      <w:pPr>
        <w:spacing w:line="360" w:lineRule="auto"/>
        <w:jc w:val="both"/>
        <w:rPr>
          <w:sz w:val="24"/>
          <w:szCs w:val="24"/>
        </w:rPr>
      </w:pPr>
    </w:p>
    <w:p w14:paraId="09C78A49" w14:textId="77777777" w:rsidR="00820D64" w:rsidRPr="00191108" w:rsidRDefault="00820D64" w:rsidP="00872625">
      <w:pPr>
        <w:spacing w:line="360" w:lineRule="auto"/>
        <w:jc w:val="both"/>
        <w:rPr>
          <w:b/>
          <w:bCs/>
          <w:sz w:val="24"/>
          <w:szCs w:val="24"/>
        </w:rPr>
      </w:pPr>
    </w:p>
    <w:p w14:paraId="7DD51770" w14:textId="77777777" w:rsidR="00292915" w:rsidRPr="00191108" w:rsidRDefault="00292915" w:rsidP="00872625">
      <w:pPr>
        <w:spacing w:line="360" w:lineRule="auto"/>
        <w:jc w:val="both"/>
        <w:rPr>
          <w:sz w:val="24"/>
          <w:szCs w:val="24"/>
        </w:rPr>
      </w:pPr>
    </w:p>
    <w:sectPr w:rsidR="00292915" w:rsidRPr="00191108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8217" w14:textId="77777777" w:rsidR="00DC3C6F" w:rsidRDefault="00DC3C6F" w:rsidP="00E851CC">
      <w:pPr>
        <w:spacing w:after="0" w:line="240" w:lineRule="auto"/>
      </w:pPr>
      <w:r>
        <w:separator/>
      </w:r>
    </w:p>
  </w:endnote>
  <w:endnote w:type="continuationSeparator" w:id="0">
    <w:p w14:paraId="4CF2CB17" w14:textId="77777777" w:rsidR="00DC3C6F" w:rsidRDefault="00DC3C6F" w:rsidP="00E8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708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0A461" w14:textId="175F9679" w:rsidR="00701B03" w:rsidRDefault="00701B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45316" w14:textId="77777777" w:rsidR="00701B03" w:rsidRDefault="0070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5AB5" w14:textId="77777777" w:rsidR="00DC3C6F" w:rsidRDefault="00DC3C6F" w:rsidP="00E851CC">
      <w:pPr>
        <w:spacing w:after="0" w:line="240" w:lineRule="auto"/>
      </w:pPr>
      <w:r>
        <w:separator/>
      </w:r>
    </w:p>
  </w:footnote>
  <w:footnote w:type="continuationSeparator" w:id="0">
    <w:p w14:paraId="3E98AE86" w14:textId="77777777" w:rsidR="00DC3C6F" w:rsidRDefault="00DC3C6F" w:rsidP="00E8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E91"/>
    <w:multiLevelType w:val="hybridMultilevel"/>
    <w:tmpl w:val="6EFC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15"/>
    <w:rsid w:val="00005257"/>
    <w:rsid w:val="000053FC"/>
    <w:rsid w:val="00006770"/>
    <w:rsid w:val="000079F3"/>
    <w:rsid w:val="00007D59"/>
    <w:rsid w:val="00014A43"/>
    <w:rsid w:val="000235DC"/>
    <w:rsid w:val="000268F8"/>
    <w:rsid w:val="00035689"/>
    <w:rsid w:val="000356BE"/>
    <w:rsid w:val="00037EDE"/>
    <w:rsid w:val="00042695"/>
    <w:rsid w:val="00043AAE"/>
    <w:rsid w:val="00043AEF"/>
    <w:rsid w:val="0004422C"/>
    <w:rsid w:val="00065632"/>
    <w:rsid w:val="00070B26"/>
    <w:rsid w:val="00081CE4"/>
    <w:rsid w:val="000821CA"/>
    <w:rsid w:val="00082A6A"/>
    <w:rsid w:val="00085C6A"/>
    <w:rsid w:val="00087E0D"/>
    <w:rsid w:val="0009294C"/>
    <w:rsid w:val="000937FA"/>
    <w:rsid w:val="00096CA4"/>
    <w:rsid w:val="000A37F1"/>
    <w:rsid w:val="000B0CDE"/>
    <w:rsid w:val="000B689E"/>
    <w:rsid w:val="000B6F29"/>
    <w:rsid w:val="000C0B85"/>
    <w:rsid w:val="000C0C33"/>
    <w:rsid w:val="000C2107"/>
    <w:rsid w:val="000C63B2"/>
    <w:rsid w:val="000C6E38"/>
    <w:rsid w:val="000E2E5F"/>
    <w:rsid w:val="000E6729"/>
    <w:rsid w:val="000E7D68"/>
    <w:rsid w:val="000F0550"/>
    <w:rsid w:val="000F0667"/>
    <w:rsid w:val="000F3A69"/>
    <w:rsid w:val="000F4AA0"/>
    <w:rsid w:val="000F7383"/>
    <w:rsid w:val="000F7D8C"/>
    <w:rsid w:val="000F7FC8"/>
    <w:rsid w:val="00105B06"/>
    <w:rsid w:val="00106BE1"/>
    <w:rsid w:val="00114AC3"/>
    <w:rsid w:val="001173F3"/>
    <w:rsid w:val="00121290"/>
    <w:rsid w:val="0013476D"/>
    <w:rsid w:val="00134DD1"/>
    <w:rsid w:val="001360A2"/>
    <w:rsid w:val="0014247E"/>
    <w:rsid w:val="001450A1"/>
    <w:rsid w:val="0014634A"/>
    <w:rsid w:val="00150D1C"/>
    <w:rsid w:val="00152186"/>
    <w:rsid w:val="00152EBF"/>
    <w:rsid w:val="001539AF"/>
    <w:rsid w:val="00154144"/>
    <w:rsid w:val="00167B98"/>
    <w:rsid w:val="001720A4"/>
    <w:rsid w:val="00174AB2"/>
    <w:rsid w:val="00177972"/>
    <w:rsid w:val="001779F2"/>
    <w:rsid w:val="00183827"/>
    <w:rsid w:val="00190B4A"/>
    <w:rsid w:val="00191108"/>
    <w:rsid w:val="00192C97"/>
    <w:rsid w:val="001A0BE9"/>
    <w:rsid w:val="001A6EDF"/>
    <w:rsid w:val="001B124B"/>
    <w:rsid w:val="001B3BDF"/>
    <w:rsid w:val="001B6249"/>
    <w:rsid w:val="001C3C01"/>
    <w:rsid w:val="001D6369"/>
    <w:rsid w:val="001D64F8"/>
    <w:rsid w:val="001E707E"/>
    <w:rsid w:val="001F3389"/>
    <w:rsid w:val="001F4A22"/>
    <w:rsid w:val="001F6658"/>
    <w:rsid w:val="001F6D90"/>
    <w:rsid w:val="001F798C"/>
    <w:rsid w:val="00206559"/>
    <w:rsid w:val="00212C34"/>
    <w:rsid w:val="002138B3"/>
    <w:rsid w:val="00215A35"/>
    <w:rsid w:val="00227270"/>
    <w:rsid w:val="00227510"/>
    <w:rsid w:val="00230D85"/>
    <w:rsid w:val="0023440C"/>
    <w:rsid w:val="00235173"/>
    <w:rsid w:val="00237DC4"/>
    <w:rsid w:val="00240190"/>
    <w:rsid w:val="002428F9"/>
    <w:rsid w:val="002442E9"/>
    <w:rsid w:val="00245C27"/>
    <w:rsid w:val="00246A40"/>
    <w:rsid w:val="00246BB8"/>
    <w:rsid w:val="00257F45"/>
    <w:rsid w:val="0026148B"/>
    <w:rsid w:val="002633A4"/>
    <w:rsid w:val="00267DEC"/>
    <w:rsid w:val="00270C52"/>
    <w:rsid w:val="00271FD9"/>
    <w:rsid w:val="00276796"/>
    <w:rsid w:val="00281C65"/>
    <w:rsid w:val="002834B8"/>
    <w:rsid w:val="00284198"/>
    <w:rsid w:val="002871BB"/>
    <w:rsid w:val="00292915"/>
    <w:rsid w:val="00294177"/>
    <w:rsid w:val="002A2A8F"/>
    <w:rsid w:val="002A5A6E"/>
    <w:rsid w:val="002B32B1"/>
    <w:rsid w:val="002B3322"/>
    <w:rsid w:val="002B6403"/>
    <w:rsid w:val="002C3CEA"/>
    <w:rsid w:val="002C6DF6"/>
    <w:rsid w:val="002D12B2"/>
    <w:rsid w:val="002D4807"/>
    <w:rsid w:val="002D5848"/>
    <w:rsid w:val="002E47CB"/>
    <w:rsid w:val="002E6001"/>
    <w:rsid w:val="002F1929"/>
    <w:rsid w:val="002F248B"/>
    <w:rsid w:val="002F533A"/>
    <w:rsid w:val="00304BA5"/>
    <w:rsid w:val="003122B1"/>
    <w:rsid w:val="00316248"/>
    <w:rsid w:val="00316CBA"/>
    <w:rsid w:val="003218D8"/>
    <w:rsid w:val="0032194E"/>
    <w:rsid w:val="00324EF7"/>
    <w:rsid w:val="0032647B"/>
    <w:rsid w:val="00335F6E"/>
    <w:rsid w:val="00344151"/>
    <w:rsid w:val="00350375"/>
    <w:rsid w:val="00353DB8"/>
    <w:rsid w:val="0035736F"/>
    <w:rsid w:val="00387ABA"/>
    <w:rsid w:val="003A382E"/>
    <w:rsid w:val="003A6C71"/>
    <w:rsid w:val="003B10F9"/>
    <w:rsid w:val="003B5E8E"/>
    <w:rsid w:val="003D5724"/>
    <w:rsid w:val="003D7F6B"/>
    <w:rsid w:val="003E0B1C"/>
    <w:rsid w:val="003E4227"/>
    <w:rsid w:val="003E4CF0"/>
    <w:rsid w:val="003E7BAE"/>
    <w:rsid w:val="003F441B"/>
    <w:rsid w:val="00403D80"/>
    <w:rsid w:val="00406074"/>
    <w:rsid w:val="00413217"/>
    <w:rsid w:val="00421580"/>
    <w:rsid w:val="00433FBA"/>
    <w:rsid w:val="00440228"/>
    <w:rsid w:val="004414B9"/>
    <w:rsid w:val="004418A8"/>
    <w:rsid w:val="0044324E"/>
    <w:rsid w:val="00451D0A"/>
    <w:rsid w:val="00454D8D"/>
    <w:rsid w:val="00455661"/>
    <w:rsid w:val="0046133B"/>
    <w:rsid w:val="00466AA1"/>
    <w:rsid w:val="00472786"/>
    <w:rsid w:val="00474DC8"/>
    <w:rsid w:val="00476FFA"/>
    <w:rsid w:val="00481998"/>
    <w:rsid w:val="00482B38"/>
    <w:rsid w:val="00484E53"/>
    <w:rsid w:val="00486D88"/>
    <w:rsid w:val="00487DA4"/>
    <w:rsid w:val="004900A9"/>
    <w:rsid w:val="00491F0A"/>
    <w:rsid w:val="00497993"/>
    <w:rsid w:val="004A02BB"/>
    <w:rsid w:val="004A47B5"/>
    <w:rsid w:val="004A7514"/>
    <w:rsid w:val="004B5B6A"/>
    <w:rsid w:val="004C0FC6"/>
    <w:rsid w:val="004C70B2"/>
    <w:rsid w:val="004C7A8D"/>
    <w:rsid w:val="004D00C5"/>
    <w:rsid w:val="004D01A0"/>
    <w:rsid w:val="004D1645"/>
    <w:rsid w:val="004E39DC"/>
    <w:rsid w:val="004E620B"/>
    <w:rsid w:val="004F041E"/>
    <w:rsid w:val="004F07AD"/>
    <w:rsid w:val="004F0BEB"/>
    <w:rsid w:val="004F798A"/>
    <w:rsid w:val="0051355D"/>
    <w:rsid w:val="00513F53"/>
    <w:rsid w:val="005152E6"/>
    <w:rsid w:val="00516819"/>
    <w:rsid w:val="00520B27"/>
    <w:rsid w:val="005220A8"/>
    <w:rsid w:val="00524B9E"/>
    <w:rsid w:val="00526ACD"/>
    <w:rsid w:val="00536651"/>
    <w:rsid w:val="00537E76"/>
    <w:rsid w:val="005422AA"/>
    <w:rsid w:val="0054431E"/>
    <w:rsid w:val="005467EF"/>
    <w:rsid w:val="00555F98"/>
    <w:rsid w:val="00560414"/>
    <w:rsid w:val="00565473"/>
    <w:rsid w:val="00565B53"/>
    <w:rsid w:val="00575B00"/>
    <w:rsid w:val="0058045A"/>
    <w:rsid w:val="005846DD"/>
    <w:rsid w:val="005B3581"/>
    <w:rsid w:val="005B4E1F"/>
    <w:rsid w:val="005B7176"/>
    <w:rsid w:val="005C0A23"/>
    <w:rsid w:val="005C239A"/>
    <w:rsid w:val="005C3239"/>
    <w:rsid w:val="005C356C"/>
    <w:rsid w:val="005D493D"/>
    <w:rsid w:val="005E51C7"/>
    <w:rsid w:val="005F1B79"/>
    <w:rsid w:val="005F59EF"/>
    <w:rsid w:val="00602033"/>
    <w:rsid w:val="006034BD"/>
    <w:rsid w:val="00603644"/>
    <w:rsid w:val="00610ECE"/>
    <w:rsid w:val="00613997"/>
    <w:rsid w:val="00622261"/>
    <w:rsid w:val="0062374C"/>
    <w:rsid w:val="006314B5"/>
    <w:rsid w:val="00632174"/>
    <w:rsid w:val="00635054"/>
    <w:rsid w:val="006424C3"/>
    <w:rsid w:val="00645865"/>
    <w:rsid w:val="00650C23"/>
    <w:rsid w:val="00652BD7"/>
    <w:rsid w:val="006541BC"/>
    <w:rsid w:val="006602D9"/>
    <w:rsid w:val="00661F95"/>
    <w:rsid w:val="006631DC"/>
    <w:rsid w:val="00664634"/>
    <w:rsid w:val="006647E8"/>
    <w:rsid w:val="00667420"/>
    <w:rsid w:val="00670533"/>
    <w:rsid w:val="00670F58"/>
    <w:rsid w:val="00676B2D"/>
    <w:rsid w:val="00691AB0"/>
    <w:rsid w:val="00693BEB"/>
    <w:rsid w:val="006A5E0F"/>
    <w:rsid w:val="006B0B02"/>
    <w:rsid w:val="006B499C"/>
    <w:rsid w:val="006B7B53"/>
    <w:rsid w:val="006C4FC0"/>
    <w:rsid w:val="006C7DF7"/>
    <w:rsid w:val="006D1469"/>
    <w:rsid w:val="006D1C0A"/>
    <w:rsid w:val="006D2CFF"/>
    <w:rsid w:val="006D3606"/>
    <w:rsid w:val="006D6F4D"/>
    <w:rsid w:val="006E20DE"/>
    <w:rsid w:val="006E335F"/>
    <w:rsid w:val="006F09D6"/>
    <w:rsid w:val="006F1251"/>
    <w:rsid w:val="006F4358"/>
    <w:rsid w:val="006F677F"/>
    <w:rsid w:val="00701B03"/>
    <w:rsid w:val="0070470F"/>
    <w:rsid w:val="00706ED5"/>
    <w:rsid w:val="007073AA"/>
    <w:rsid w:val="007132A4"/>
    <w:rsid w:val="007156A8"/>
    <w:rsid w:val="00723FAF"/>
    <w:rsid w:val="007274AD"/>
    <w:rsid w:val="00730575"/>
    <w:rsid w:val="007324E6"/>
    <w:rsid w:val="00734DA3"/>
    <w:rsid w:val="00734F0E"/>
    <w:rsid w:val="0074606C"/>
    <w:rsid w:val="00751790"/>
    <w:rsid w:val="007542CA"/>
    <w:rsid w:val="00755774"/>
    <w:rsid w:val="0076047B"/>
    <w:rsid w:val="007725C6"/>
    <w:rsid w:val="00775733"/>
    <w:rsid w:val="007765B3"/>
    <w:rsid w:val="00791901"/>
    <w:rsid w:val="00795C8A"/>
    <w:rsid w:val="007A4820"/>
    <w:rsid w:val="007A6840"/>
    <w:rsid w:val="007B1FDB"/>
    <w:rsid w:val="007B467C"/>
    <w:rsid w:val="007B5E79"/>
    <w:rsid w:val="007B6729"/>
    <w:rsid w:val="007B7BA0"/>
    <w:rsid w:val="007B7F5A"/>
    <w:rsid w:val="007C0C3F"/>
    <w:rsid w:val="007C1371"/>
    <w:rsid w:val="007C2175"/>
    <w:rsid w:val="007C3D89"/>
    <w:rsid w:val="007C570C"/>
    <w:rsid w:val="007C5A62"/>
    <w:rsid w:val="007C5AC4"/>
    <w:rsid w:val="007D0F15"/>
    <w:rsid w:val="007D170B"/>
    <w:rsid w:val="007D690B"/>
    <w:rsid w:val="007F17CD"/>
    <w:rsid w:val="007F613D"/>
    <w:rsid w:val="007F6FFA"/>
    <w:rsid w:val="007F7E93"/>
    <w:rsid w:val="008056DA"/>
    <w:rsid w:val="008068BF"/>
    <w:rsid w:val="00812823"/>
    <w:rsid w:val="00813093"/>
    <w:rsid w:val="008174F4"/>
    <w:rsid w:val="00820C00"/>
    <w:rsid w:val="00820D64"/>
    <w:rsid w:val="008228AE"/>
    <w:rsid w:val="00822F99"/>
    <w:rsid w:val="008253A6"/>
    <w:rsid w:val="0082563E"/>
    <w:rsid w:val="008349ED"/>
    <w:rsid w:val="00834B3F"/>
    <w:rsid w:val="00841D54"/>
    <w:rsid w:val="008446E3"/>
    <w:rsid w:val="008465DA"/>
    <w:rsid w:val="0085163C"/>
    <w:rsid w:val="0085205F"/>
    <w:rsid w:val="00854B12"/>
    <w:rsid w:val="00860CC0"/>
    <w:rsid w:val="00863632"/>
    <w:rsid w:val="00867966"/>
    <w:rsid w:val="00867E53"/>
    <w:rsid w:val="008706CA"/>
    <w:rsid w:val="00872625"/>
    <w:rsid w:val="00874C9A"/>
    <w:rsid w:val="00877C2D"/>
    <w:rsid w:val="00882775"/>
    <w:rsid w:val="008872F0"/>
    <w:rsid w:val="008A6E34"/>
    <w:rsid w:val="008B4C91"/>
    <w:rsid w:val="008B73E3"/>
    <w:rsid w:val="008C137B"/>
    <w:rsid w:val="008C3910"/>
    <w:rsid w:val="008C46C0"/>
    <w:rsid w:val="008C7047"/>
    <w:rsid w:val="008C7706"/>
    <w:rsid w:val="008D0094"/>
    <w:rsid w:val="008D04B1"/>
    <w:rsid w:val="008D5122"/>
    <w:rsid w:val="008D64FA"/>
    <w:rsid w:val="008D785D"/>
    <w:rsid w:val="008E0A55"/>
    <w:rsid w:val="008E2499"/>
    <w:rsid w:val="008E26F2"/>
    <w:rsid w:val="008E4146"/>
    <w:rsid w:val="008E57CA"/>
    <w:rsid w:val="008E689B"/>
    <w:rsid w:val="008E7E68"/>
    <w:rsid w:val="008F0F56"/>
    <w:rsid w:val="0090246C"/>
    <w:rsid w:val="00906502"/>
    <w:rsid w:val="00913CBB"/>
    <w:rsid w:val="00914499"/>
    <w:rsid w:val="00916D25"/>
    <w:rsid w:val="00917B32"/>
    <w:rsid w:val="009204E9"/>
    <w:rsid w:val="009243C6"/>
    <w:rsid w:val="00930AFB"/>
    <w:rsid w:val="009375BF"/>
    <w:rsid w:val="009404B2"/>
    <w:rsid w:val="00942E80"/>
    <w:rsid w:val="009447DE"/>
    <w:rsid w:val="00952A48"/>
    <w:rsid w:val="009551EA"/>
    <w:rsid w:val="00965CDF"/>
    <w:rsid w:val="009664D5"/>
    <w:rsid w:val="00973132"/>
    <w:rsid w:val="00992CE2"/>
    <w:rsid w:val="009975DA"/>
    <w:rsid w:val="009A4274"/>
    <w:rsid w:val="009A608F"/>
    <w:rsid w:val="009B12CF"/>
    <w:rsid w:val="009B157E"/>
    <w:rsid w:val="009B229B"/>
    <w:rsid w:val="009B59E6"/>
    <w:rsid w:val="009B69E3"/>
    <w:rsid w:val="009C04E1"/>
    <w:rsid w:val="009C1CEC"/>
    <w:rsid w:val="009C3D9F"/>
    <w:rsid w:val="009D1362"/>
    <w:rsid w:val="009D1701"/>
    <w:rsid w:val="009D1B80"/>
    <w:rsid w:val="009D2495"/>
    <w:rsid w:val="009D2E4E"/>
    <w:rsid w:val="009D36B9"/>
    <w:rsid w:val="009D4DD8"/>
    <w:rsid w:val="009D79EA"/>
    <w:rsid w:val="009E1913"/>
    <w:rsid w:val="009E1D0E"/>
    <w:rsid w:val="009E514A"/>
    <w:rsid w:val="00A02EDA"/>
    <w:rsid w:val="00A1737C"/>
    <w:rsid w:val="00A21B03"/>
    <w:rsid w:val="00A25B82"/>
    <w:rsid w:val="00A267A2"/>
    <w:rsid w:val="00A368D9"/>
    <w:rsid w:val="00A40413"/>
    <w:rsid w:val="00A453B1"/>
    <w:rsid w:val="00A47CCF"/>
    <w:rsid w:val="00A5627F"/>
    <w:rsid w:val="00A60B6B"/>
    <w:rsid w:val="00A62653"/>
    <w:rsid w:val="00A63260"/>
    <w:rsid w:val="00A649B7"/>
    <w:rsid w:val="00A65909"/>
    <w:rsid w:val="00A67023"/>
    <w:rsid w:val="00A714BB"/>
    <w:rsid w:val="00A7266C"/>
    <w:rsid w:val="00A81251"/>
    <w:rsid w:val="00A82D2A"/>
    <w:rsid w:val="00A82FEC"/>
    <w:rsid w:val="00A843DB"/>
    <w:rsid w:val="00A84D16"/>
    <w:rsid w:val="00A923AD"/>
    <w:rsid w:val="00A93883"/>
    <w:rsid w:val="00A942BD"/>
    <w:rsid w:val="00AA023C"/>
    <w:rsid w:val="00AA4A22"/>
    <w:rsid w:val="00AB04D6"/>
    <w:rsid w:val="00AB3581"/>
    <w:rsid w:val="00AB45A8"/>
    <w:rsid w:val="00AB6FAF"/>
    <w:rsid w:val="00AC2F18"/>
    <w:rsid w:val="00AC3297"/>
    <w:rsid w:val="00AC5866"/>
    <w:rsid w:val="00AC5FBF"/>
    <w:rsid w:val="00AD5BDC"/>
    <w:rsid w:val="00AD5D3F"/>
    <w:rsid w:val="00AE7B19"/>
    <w:rsid w:val="00AF41C4"/>
    <w:rsid w:val="00AF4DB5"/>
    <w:rsid w:val="00AF55D4"/>
    <w:rsid w:val="00AF6114"/>
    <w:rsid w:val="00B0037B"/>
    <w:rsid w:val="00B13875"/>
    <w:rsid w:val="00B1490F"/>
    <w:rsid w:val="00B15EB1"/>
    <w:rsid w:val="00B161A3"/>
    <w:rsid w:val="00B22BE6"/>
    <w:rsid w:val="00B24D9B"/>
    <w:rsid w:val="00B31ADF"/>
    <w:rsid w:val="00B31F82"/>
    <w:rsid w:val="00B32AD8"/>
    <w:rsid w:val="00B43807"/>
    <w:rsid w:val="00B44B77"/>
    <w:rsid w:val="00B5747F"/>
    <w:rsid w:val="00B621C0"/>
    <w:rsid w:val="00B6704C"/>
    <w:rsid w:val="00B73414"/>
    <w:rsid w:val="00B77D7D"/>
    <w:rsid w:val="00B822B1"/>
    <w:rsid w:val="00B842D6"/>
    <w:rsid w:val="00B876F3"/>
    <w:rsid w:val="00B93573"/>
    <w:rsid w:val="00BA0A94"/>
    <w:rsid w:val="00BB297A"/>
    <w:rsid w:val="00BB35FF"/>
    <w:rsid w:val="00BC597A"/>
    <w:rsid w:val="00BC5B89"/>
    <w:rsid w:val="00BC5CB4"/>
    <w:rsid w:val="00BC5E24"/>
    <w:rsid w:val="00BD4D2C"/>
    <w:rsid w:val="00BE05FF"/>
    <w:rsid w:val="00BF6247"/>
    <w:rsid w:val="00C01F06"/>
    <w:rsid w:val="00C037AA"/>
    <w:rsid w:val="00C1643C"/>
    <w:rsid w:val="00C205F1"/>
    <w:rsid w:val="00C2595C"/>
    <w:rsid w:val="00C25A37"/>
    <w:rsid w:val="00C26F72"/>
    <w:rsid w:val="00C332C9"/>
    <w:rsid w:val="00C351A3"/>
    <w:rsid w:val="00C3656A"/>
    <w:rsid w:val="00C37FB1"/>
    <w:rsid w:val="00C42357"/>
    <w:rsid w:val="00C4725E"/>
    <w:rsid w:val="00C50428"/>
    <w:rsid w:val="00C5065E"/>
    <w:rsid w:val="00C52F24"/>
    <w:rsid w:val="00C553B4"/>
    <w:rsid w:val="00C554B2"/>
    <w:rsid w:val="00C6139D"/>
    <w:rsid w:val="00C63DCD"/>
    <w:rsid w:val="00C644A2"/>
    <w:rsid w:val="00C668D6"/>
    <w:rsid w:val="00C719F0"/>
    <w:rsid w:val="00C75BCF"/>
    <w:rsid w:val="00C8161E"/>
    <w:rsid w:val="00C819D0"/>
    <w:rsid w:val="00C852F3"/>
    <w:rsid w:val="00C91501"/>
    <w:rsid w:val="00C924E1"/>
    <w:rsid w:val="00C979B9"/>
    <w:rsid w:val="00CA1F53"/>
    <w:rsid w:val="00CA7E13"/>
    <w:rsid w:val="00CB13D7"/>
    <w:rsid w:val="00CB1668"/>
    <w:rsid w:val="00CB1D62"/>
    <w:rsid w:val="00CC1736"/>
    <w:rsid w:val="00CC1DB8"/>
    <w:rsid w:val="00CC3E7C"/>
    <w:rsid w:val="00CC50E2"/>
    <w:rsid w:val="00CD0E83"/>
    <w:rsid w:val="00CD25B9"/>
    <w:rsid w:val="00CD4185"/>
    <w:rsid w:val="00CE4239"/>
    <w:rsid w:val="00CF2678"/>
    <w:rsid w:val="00CF2CC7"/>
    <w:rsid w:val="00CF3534"/>
    <w:rsid w:val="00CF385F"/>
    <w:rsid w:val="00D033CD"/>
    <w:rsid w:val="00D06247"/>
    <w:rsid w:val="00D10B73"/>
    <w:rsid w:val="00D12A08"/>
    <w:rsid w:val="00D164B1"/>
    <w:rsid w:val="00D2481C"/>
    <w:rsid w:val="00D249F8"/>
    <w:rsid w:val="00D2519A"/>
    <w:rsid w:val="00D27105"/>
    <w:rsid w:val="00D33F28"/>
    <w:rsid w:val="00D408F7"/>
    <w:rsid w:val="00D40C55"/>
    <w:rsid w:val="00D40F78"/>
    <w:rsid w:val="00D42594"/>
    <w:rsid w:val="00D45C9D"/>
    <w:rsid w:val="00D4661D"/>
    <w:rsid w:val="00D54C0F"/>
    <w:rsid w:val="00D551A0"/>
    <w:rsid w:val="00D56603"/>
    <w:rsid w:val="00D63DFD"/>
    <w:rsid w:val="00D70C47"/>
    <w:rsid w:val="00D71A47"/>
    <w:rsid w:val="00D71C3B"/>
    <w:rsid w:val="00D77424"/>
    <w:rsid w:val="00D82F0F"/>
    <w:rsid w:val="00D868BF"/>
    <w:rsid w:val="00D90BB6"/>
    <w:rsid w:val="00D92362"/>
    <w:rsid w:val="00D970BA"/>
    <w:rsid w:val="00DA53B7"/>
    <w:rsid w:val="00DB00F3"/>
    <w:rsid w:val="00DC00B5"/>
    <w:rsid w:val="00DC0CF5"/>
    <w:rsid w:val="00DC10B9"/>
    <w:rsid w:val="00DC2BB5"/>
    <w:rsid w:val="00DC3009"/>
    <w:rsid w:val="00DC3C6F"/>
    <w:rsid w:val="00DC5BD8"/>
    <w:rsid w:val="00DC6682"/>
    <w:rsid w:val="00DC7764"/>
    <w:rsid w:val="00DD4F05"/>
    <w:rsid w:val="00DE1B9B"/>
    <w:rsid w:val="00DF0A5D"/>
    <w:rsid w:val="00DF0EEE"/>
    <w:rsid w:val="00DF4FE0"/>
    <w:rsid w:val="00DF526F"/>
    <w:rsid w:val="00DF5426"/>
    <w:rsid w:val="00DF7672"/>
    <w:rsid w:val="00E01F6C"/>
    <w:rsid w:val="00E065AC"/>
    <w:rsid w:val="00E1379F"/>
    <w:rsid w:val="00E1431E"/>
    <w:rsid w:val="00E23F2B"/>
    <w:rsid w:val="00E24CA9"/>
    <w:rsid w:val="00E251FD"/>
    <w:rsid w:val="00E25893"/>
    <w:rsid w:val="00E2791A"/>
    <w:rsid w:val="00E42CF6"/>
    <w:rsid w:val="00E454C3"/>
    <w:rsid w:val="00E5032E"/>
    <w:rsid w:val="00E53E03"/>
    <w:rsid w:val="00E5682F"/>
    <w:rsid w:val="00E62BB7"/>
    <w:rsid w:val="00E71FA1"/>
    <w:rsid w:val="00E72552"/>
    <w:rsid w:val="00E851CC"/>
    <w:rsid w:val="00E86A3C"/>
    <w:rsid w:val="00E927A9"/>
    <w:rsid w:val="00E958EA"/>
    <w:rsid w:val="00EA0BD2"/>
    <w:rsid w:val="00EA5AB0"/>
    <w:rsid w:val="00EA5B51"/>
    <w:rsid w:val="00EA5FC2"/>
    <w:rsid w:val="00EA6A8B"/>
    <w:rsid w:val="00EA6FEB"/>
    <w:rsid w:val="00EB077F"/>
    <w:rsid w:val="00EB15D0"/>
    <w:rsid w:val="00EB23AA"/>
    <w:rsid w:val="00EB3178"/>
    <w:rsid w:val="00EB7B2E"/>
    <w:rsid w:val="00EC11F0"/>
    <w:rsid w:val="00EC4409"/>
    <w:rsid w:val="00EC440A"/>
    <w:rsid w:val="00EC5CEA"/>
    <w:rsid w:val="00ED0A77"/>
    <w:rsid w:val="00EE41D1"/>
    <w:rsid w:val="00EE4423"/>
    <w:rsid w:val="00EE45F8"/>
    <w:rsid w:val="00EE593F"/>
    <w:rsid w:val="00EF5481"/>
    <w:rsid w:val="00F07F18"/>
    <w:rsid w:val="00F139E6"/>
    <w:rsid w:val="00F1520F"/>
    <w:rsid w:val="00F23794"/>
    <w:rsid w:val="00F34360"/>
    <w:rsid w:val="00F42BBA"/>
    <w:rsid w:val="00F47199"/>
    <w:rsid w:val="00F50016"/>
    <w:rsid w:val="00F51264"/>
    <w:rsid w:val="00F5156D"/>
    <w:rsid w:val="00F533C6"/>
    <w:rsid w:val="00F538BD"/>
    <w:rsid w:val="00F57219"/>
    <w:rsid w:val="00F66D51"/>
    <w:rsid w:val="00F74000"/>
    <w:rsid w:val="00F80BA3"/>
    <w:rsid w:val="00F8362A"/>
    <w:rsid w:val="00F92535"/>
    <w:rsid w:val="00F948D6"/>
    <w:rsid w:val="00F968B8"/>
    <w:rsid w:val="00FA1B6D"/>
    <w:rsid w:val="00FA373F"/>
    <w:rsid w:val="00FA7495"/>
    <w:rsid w:val="00FB0CE4"/>
    <w:rsid w:val="00FB20E8"/>
    <w:rsid w:val="00FB2242"/>
    <w:rsid w:val="00FB25E8"/>
    <w:rsid w:val="00FB3E45"/>
    <w:rsid w:val="00FB4B36"/>
    <w:rsid w:val="00FB6101"/>
    <w:rsid w:val="00FC3AA4"/>
    <w:rsid w:val="00FC3C54"/>
    <w:rsid w:val="00FC429C"/>
    <w:rsid w:val="00FC5EA3"/>
    <w:rsid w:val="00FD0E7E"/>
    <w:rsid w:val="00FD11EE"/>
    <w:rsid w:val="00FD4316"/>
    <w:rsid w:val="00FD5186"/>
    <w:rsid w:val="00FD57C6"/>
    <w:rsid w:val="00FD6406"/>
    <w:rsid w:val="00FE45E0"/>
    <w:rsid w:val="00FE4C48"/>
    <w:rsid w:val="00FE4CE8"/>
    <w:rsid w:val="00FF38C4"/>
    <w:rsid w:val="00FF6F3B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253D"/>
  <w15:chartTrackingRefBased/>
  <w15:docId w15:val="{A3CE29BA-0A13-467E-A3DE-65A6F3CE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6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04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CC"/>
  </w:style>
  <w:style w:type="paragraph" w:styleId="Footer">
    <w:name w:val="footer"/>
    <w:basedOn w:val="Normal"/>
    <w:link w:val="FooterChar"/>
    <w:uiPriority w:val="99"/>
    <w:unhideWhenUsed/>
    <w:rsid w:val="00E8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CC"/>
  </w:style>
  <w:style w:type="paragraph" w:customStyle="1" w:styleId="Default">
    <w:name w:val="Default"/>
    <w:rsid w:val="00851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1911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assets.publishing.service.gov.uk/government/uploads/system/uploads/attachment_data/file/228836/7432.pdf" TargetMode="External"/><Relationship Id="rId26" Type="http://schemas.openxmlformats.org/officeDocument/2006/relationships/hyperlink" Target="https://pathways.nice.org.uk/pathways/peoples-experience-in-adult-social-care-servi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report-of-the-mid-staffordshire-nhs-foundation-trust-public-inquiry%20Accessed%2026/11/20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quidlogic.co.uk/" TargetMode="External"/><Relationship Id="rId17" Type="http://schemas.openxmlformats.org/officeDocument/2006/relationships/hyperlink" Target="https://doi.org/10.1186/s12913-020-05374-4" TargetMode="External"/><Relationship Id="rId25" Type="http://schemas.openxmlformats.org/officeDocument/2006/relationships/hyperlink" Target="https://www.liquidlogic.co.uk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qc.org.uk/" TargetMode="External"/><Relationship Id="rId20" Type="http://schemas.openxmlformats.org/officeDocument/2006/relationships/hyperlink" Target="https://www.legislation.gov.uk/ukpga/2014/23/contents/enacted%20Accessed%2009/04/2021" TargetMode="External"/><Relationship Id="rId29" Type="http://schemas.openxmlformats.org/officeDocument/2006/relationships/hyperlink" Target="https://www.rcot.co.uk/publications/professional-standards-occupational-therapy-practice-conduct-and-ethics%20Accessed%2009/04/202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s://doi.org/10.1186/s12913-018-3061-6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doi.org/10.1186/s12913-020-05206-5" TargetMode="External"/><Relationship Id="rId28" Type="http://schemas.openxmlformats.org/officeDocument/2006/relationships/hyperlink" Target="https://www.rcot.co.uk/practice-resources/rcot-publications/downloads/care-act-2014-wellbeing" TargetMode="External"/><Relationship Id="rId10" Type="http://schemas.openxmlformats.org/officeDocument/2006/relationships/hyperlink" Target="https://www.emerald.com/insight/content/doi/10.1108/JICA-04-2021-0020/full/html" TargetMode="External"/><Relationship Id="rId19" Type="http://schemas.openxmlformats.org/officeDocument/2006/relationships/hyperlink" Target="https://www.legislation.gov.uk/ukpga/2012/7/contents/enacted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4/relationships/chartEx" Target="charts/chartEx1.xml"/><Relationship Id="rId22" Type="http://schemas.openxmlformats.org/officeDocument/2006/relationships/hyperlink" Target="https://www.hcpc-uk.org/standards/standards-of-proficiency/occupational-therapists/" TargetMode="External"/><Relationship Id="rId27" Type="http://schemas.openxmlformats.org/officeDocument/2006/relationships/hyperlink" Target="https://www.rcot.co.uk/sites/default/files/Research-Briefing-Measuring-Outcomes-Nov2015.pdf%20Accessed%2009/04/2021" TargetMode="External"/><Relationship Id="rId30" Type="http://schemas.openxmlformats.org/officeDocument/2006/relationships/hyperlink" Target="https://www.who.int/standards/classifications/international-classification-of-functioning-disability-and-health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sdave\OneDrive\Documents\TOMS%20article%20redraft\Adult%20social%20OT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[Adult social OT results TOMs 2020.xlsx]Sheet2!PivotTable5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Therapy</a:t>
            </a:r>
            <a:r>
              <a:rPr lang="en-GB" baseline="0"/>
              <a:t> Outcome Measure</a:t>
            </a:r>
            <a:r>
              <a:rPr lang="en-GB"/>
              <a:t> </a:t>
            </a:r>
          </a:p>
          <a:p>
            <a:pPr>
              <a:defRPr/>
            </a:pPr>
            <a:r>
              <a:rPr lang="en-GB"/>
              <a:t>Adapted Scales Used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Sheet2!$A$4:$A$12</c:f>
              <c:strCache>
                <c:ptCount val="9"/>
                <c:pt idx="0">
                  <c:v>Autistic Spectrum Disorder</c:v>
                </c:pt>
                <c:pt idx="1">
                  <c:v>Chronic Pain</c:v>
                </c:pt>
                <c:pt idx="2">
                  <c:v>Core</c:v>
                </c:pt>
                <c:pt idx="3">
                  <c:v>Dementia</c:v>
                </c:pt>
                <c:pt idx="4">
                  <c:v>Multifactorial Conditions</c:v>
                </c:pt>
                <c:pt idx="5">
                  <c:v>Musculoskeletal</c:v>
                </c:pt>
                <c:pt idx="6">
                  <c:v>Neurological Disorders</c:v>
                </c:pt>
                <c:pt idx="7">
                  <c:v>Respiratory Care - COPD</c:v>
                </c:pt>
                <c:pt idx="8">
                  <c:v>Stroke</c:v>
                </c:pt>
              </c:strCache>
            </c:strRef>
          </c:cat>
          <c:val>
            <c:numRef>
              <c:f>Sheet2!$B$4:$B$12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3</c:v>
                </c:pt>
                <c:pt idx="4">
                  <c:v>30</c:v>
                </c:pt>
                <c:pt idx="5">
                  <c:v>11</c:v>
                </c:pt>
                <c:pt idx="6">
                  <c:v>8</c:v>
                </c:pt>
                <c:pt idx="7">
                  <c:v>1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8-4484-A59D-0DB66CB35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9330920"/>
        <c:axId val="469336824"/>
      </c:barChart>
      <c:catAx>
        <c:axId val="469330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336824"/>
        <c:crosses val="autoZero"/>
        <c:auto val="1"/>
        <c:lblAlgn val="ctr"/>
        <c:lblOffset val="100"/>
        <c:noMultiLvlLbl val="0"/>
      </c:catAx>
      <c:valAx>
        <c:axId val="469336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330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Sheet1!$A$2:$A$71</cx:f>
        <cx:lvl ptCount="70" formatCode="General">
          <cx:pt idx="0">5</cx:pt>
          <cx:pt idx="1">5</cx:pt>
          <cx:pt idx="2">5</cx:pt>
          <cx:pt idx="3">5</cx:pt>
          <cx:pt idx="4">4</cx:pt>
          <cx:pt idx="5">3.5</cx:pt>
          <cx:pt idx="6">4</cx:pt>
          <cx:pt idx="7">4</cx:pt>
          <cx:pt idx="8">4</cx:pt>
          <cx:pt idx="9">3</cx:pt>
          <cx:pt idx="10">3</cx:pt>
          <cx:pt idx="11">4.5</cx:pt>
          <cx:pt idx="12">1.5</cx:pt>
          <cx:pt idx="13">1.5</cx:pt>
          <cx:pt idx="14">1.5</cx:pt>
          <cx:pt idx="15">3</cx:pt>
          <cx:pt idx="16">5</cx:pt>
          <cx:pt idx="17">3</cx:pt>
          <cx:pt idx="18">3</cx:pt>
          <cx:pt idx="19">2.5</cx:pt>
          <cx:pt idx="20">5</cx:pt>
          <cx:pt idx="21">3.5</cx:pt>
          <cx:pt idx="22">4.5</cx:pt>
          <cx:pt idx="23">1.5</cx:pt>
          <cx:pt idx="24">5</cx:pt>
          <cx:pt idx="25">4.5</cx:pt>
          <cx:pt idx="26">2.5</cx:pt>
          <cx:pt idx="27">4.5</cx:pt>
          <cx:pt idx="28">5</cx:pt>
          <cx:pt idx="29">5</cx:pt>
          <cx:pt idx="30">2.5</cx:pt>
          <cx:pt idx="31">3</cx:pt>
          <cx:pt idx="32">4</cx:pt>
          <cx:pt idx="33">5</cx:pt>
          <cx:pt idx="34">4.5</cx:pt>
          <cx:pt idx="35">2.5</cx:pt>
          <cx:pt idx="36">3</cx:pt>
          <cx:pt idx="37">2</cx:pt>
          <cx:pt idx="38">1.5</cx:pt>
          <cx:pt idx="39">3.5</cx:pt>
          <cx:pt idx="40">2</cx:pt>
          <cx:pt idx="41">4.5</cx:pt>
          <cx:pt idx="42">2</cx:pt>
          <cx:pt idx="43">2.5</cx:pt>
          <cx:pt idx="44">2.5</cx:pt>
          <cx:pt idx="45">4</cx:pt>
          <cx:pt idx="46">3.5</cx:pt>
          <cx:pt idx="47">3</cx:pt>
          <cx:pt idx="48">4</cx:pt>
          <cx:pt idx="49">2.5</cx:pt>
          <cx:pt idx="50">2.5</cx:pt>
          <cx:pt idx="51">2</cx:pt>
          <cx:pt idx="52">3.5</cx:pt>
          <cx:pt idx="53">4</cx:pt>
          <cx:pt idx="54">4</cx:pt>
          <cx:pt idx="55">3.5</cx:pt>
          <cx:pt idx="56">1</cx:pt>
          <cx:pt idx="57">3</cx:pt>
          <cx:pt idx="58">3</cx:pt>
          <cx:pt idx="59">3</cx:pt>
          <cx:pt idx="60">2</cx:pt>
          <cx:pt idx="61">3</cx:pt>
          <cx:pt idx="62">4.5</cx:pt>
          <cx:pt idx="63">5</cx:pt>
          <cx:pt idx="64">3.5</cx:pt>
          <cx:pt idx="65">2</cx:pt>
          <cx:pt idx="66">2.5</cx:pt>
          <cx:pt idx="67">5</cx:pt>
          <cx:pt idx="68">2</cx:pt>
          <cx:pt idx="69">4</cx:pt>
        </cx:lvl>
      </cx:numDim>
    </cx:data>
    <cx:data id="1">
      <cx:numDim type="val">
        <cx:f>Sheet1!$B$2:$B$71</cx:f>
        <cx:lvl ptCount="70" formatCode="General">
          <cx:pt idx="0">5</cx:pt>
          <cx:pt idx="1">5</cx:pt>
          <cx:pt idx="2">5</cx:pt>
          <cx:pt idx="3">5</cx:pt>
          <cx:pt idx="4">4</cx:pt>
          <cx:pt idx="5">3.5</cx:pt>
          <cx:pt idx="6">4</cx:pt>
          <cx:pt idx="7">4</cx:pt>
          <cx:pt idx="8">4</cx:pt>
          <cx:pt idx="9">3</cx:pt>
          <cx:pt idx="10">3</cx:pt>
          <cx:pt idx="11">4.5</cx:pt>
          <cx:pt idx="12">1.5</cx:pt>
          <cx:pt idx="13">1.5</cx:pt>
          <cx:pt idx="14">1.5</cx:pt>
          <cx:pt idx="15">3</cx:pt>
          <cx:pt idx="16">5</cx:pt>
          <cx:pt idx="17">3</cx:pt>
          <cx:pt idx="18">3</cx:pt>
          <cx:pt idx="19">2.5</cx:pt>
          <cx:pt idx="20">5</cx:pt>
          <cx:pt idx="21">3.5</cx:pt>
          <cx:pt idx="22">4.5</cx:pt>
          <cx:pt idx="23">1.5</cx:pt>
          <cx:pt idx="24">5</cx:pt>
          <cx:pt idx="25">4.5</cx:pt>
          <cx:pt idx="26">2.5</cx:pt>
          <cx:pt idx="27">4.5</cx:pt>
          <cx:pt idx="28">5</cx:pt>
          <cx:pt idx="29">5</cx:pt>
          <cx:pt idx="30">2.5</cx:pt>
          <cx:pt idx="31">3</cx:pt>
          <cx:pt idx="32">4</cx:pt>
          <cx:pt idx="33">5</cx:pt>
          <cx:pt idx="34">4.5</cx:pt>
          <cx:pt idx="35">2.5</cx:pt>
          <cx:pt idx="36">3</cx:pt>
          <cx:pt idx="37">2</cx:pt>
          <cx:pt idx="38">1.5</cx:pt>
          <cx:pt idx="39">3.5</cx:pt>
          <cx:pt idx="40">2</cx:pt>
          <cx:pt idx="41">4.5</cx:pt>
          <cx:pt idx="42">2</cx:pt>
          <cx:pt idx="43">2.5</cx:pt>
          <cx:pt idx="44">2.5</cx:pt>
          <cx:pt idx="45">4</cx:pt>
          <cx:pt idx="46">3.5</cx:pt>
          <cx:pt idx="47">3</cx:pt>
          <cx:pt idx="48">4.5</cx:pt>
          <cx:pt idx="49">2.5</cx:pt>
          <cx:pt idx="50">2.5</cx:pt>
          <cx:pt idx="51">2</cx:pt>
          <cx:pt idx="52">3.5</cx:pt>
          <cx:pt idx="53">4</cx:pt>
          <cx:pt idx="54">4</cx:pt>
          <cx:pt idx="55">3.5</cx:pt>
          <cx:pt idx="56">1</cx:pt>
          <cx:pt idx="57">3.5</cx:pt>
          <cx:pt idx="58">3</cx:pt>
          <cx:pt idx="59">3</cx:pt>
          <cx:pt idx="60">2</cx:pt>
          <cx:pt idx="61">3</cx:pt>
          <cx:pt idx="62">4.5</cx:pt>
          <cx:pt idx="63">5</cx:pt>
          <cx:pt idx="64">3.5</cx:pt>
          <cx:pt idx="65">2</cx:pt>
          <cx:pt idx="66">2.5</cx:pt>
          <cx:pt idx="67">5</cx:pt>
          <cx:pt idx="68">2</cx:pt>
          <cx:pt idx="69">4</cx:pt>
        </cx:lvl>
      </cx:numDim>
    </cx:data>
    <cx:data id="2">
      <cx:numDim type="val">
        <cx:f>Sheet1!$C$2:$C$71</cx:f>
        <cx:lvl ptCount="70" formatCode="General">
          <cx:pt idx="0">4</cx:pt>
          <cx:pt idx="1">4</cx:pt>
          <cx:pt idx="2">3</cx:pt>
          <cx:pt idx="3">4</cx:pt>
          <cx:pt idx="4">4</cx:pt>
          <cx:pt idx="5">4</cx:pt>
          <cx:pt idx="6">3.5</cx:pt>
          <cx:pt idx="7">3.5</cx:pt>
          <cx:pt idx="8">3</cx:pt>
          <cx:pt idx="9">3.5</cx:pt>
          <cx:pt idx="10">3</cx:pt>
          <cx:pt idx="11">4</cx:pt>
          <cx:pt idx="12">2</cx:pt>
          <cx:pt idx="13">1.5</cx:pt>
          <cx:pt idx="14">1.5</cx:pt>
          <cx:pt idx="15">4</cx:pt>
          <cx:pt idx="16">3.5</cx:pt>
          <cx:pt idx="17">3.5</cx:pt>
          <cx:pt idx="18">3.5</cx:pt>
          <cx:pt idx="19">2</cx:pt>
          <cx:pt idx="20">3.5</cx:pt>
          <cx:pt idx="21">3</cx:pt>
          <cx:pt idx="22">4</cx:pt>
          <cx:pt idx="23">2</cx:pt>
          <cx:pt idx="24">3.5</cx:pt>
          <cx:pt idx="25">4.5</cx:pt>
          <cx:pt idx="26">2.5</cx:pt>
          <cx:pt idx="27">4</cx:pt>
          <cx:pt idx="28">3</cx:pt>
          <cx:pt idx="29">3.5</cx:pt>
          <cx:pt idx="30">3</cx:pt>
          <cx:pt idx="31">3</cx:pt>
          <cx:pt idx="32">4</cx:pt>
          <cx:pt idx="33">3</cx:pt>
          <cx:pt idx="34">4</cx:pt>
          <cx:pt idx="35">2.5</cx:pt>
          <cx:pt idx="36">3</cx:pt>
          <cx:pt idx="37">3</cx:pt>
          <cx:pt idx="38">1.5</cx:pt>
          <cx:pt idx="39">3</cx:pt>
          <cx:pt idx="40">3</cx:pt>
          <cx:pt idx="41">4</cx:pt>
          <cx:pt idx="42">2</cx:pt>
          <cx:pt idx="43">2.5</cx:pt>
          <cx:pt idx="44">3</cx:pt>
          <cx:pt idx="45">4</cx:pt>
          <cx:pt idx="46">3.5</cx:pt>
          <cx:pt idx="47">3</cx:pt>
          <cx:pt idx="48">4</cx:pt>
          <cx:pt idx="49">2.5</cx:pt>
          <cx:pt idx="50">2.5</cx:pt>
          <cx:pt idx="51">2</cx:pt>
          <cx:pt idx="52">3</cx:pt>
          <cx:pt idx="53">3</cx:pt>
          <cx:pt idx="54">3.5</cx:pt>
          <cx:pt idx="55">3.5</cx:pt>
          <cx:pt idx="56">0</cx:pt>
          <cx:pt idx="57">3</cx:pt>
          <cx:pt idx="58">3.5</cx:pt>
          <cx:pt idx="59">3</cx:pt>
          <cx:pt idx="60">3</cx:pt>
          <cx:pt idx="61">4</cx:pt>
          <cx:pt idx="62">3</cx:pt>
          <cx:pt idx="63">4</cx:pt>
          <cx:pt idx="64">2</cx:pt>
          <cx:pt idx="65">1</cx:pt>
          <cx:pt idx="66">2.5</cx:pt>
          <cx:pt idx="67">3.5</cx:pt>
          <cx:pt idx="68">2</cx:pt>
          <cx:pt idx="69">3</cx:pt>
        </cx:lvl>
      </cx:numDim>
    </cx:data>
    <cx:data id="3">
      <cx:numDim type="val">
        <cx:f>Sheet1!$D$2:$D$71</cx:f>
        <cx:lvl ptCount="70" formatCode="General">
          <cx:pt idx="0">4.5</cx:pt>
          <cx:pt idx="1">4.5</cx:pt>
          <cx:pt idx="2">3.5</cx:pt>
          <cx:pt idx="3">4.5</cx:pt>
          <cx:pt idx="4">4.5</cx:pt>
          <cx:pt idx="5">4.5</cx:pt>
          <cx:pt idx="6">4.5</cx:pt>
          <cx:pt idx="7">4.5</cx:pt>
          <cx:pt idx="8">3.5</cx:pt>
          <cx:pt idx="9">4</cx:pt>
          <cx:pt idx="10">3.5</cx:pt>
          <cx:pt idx="11">4.5</cx:pt>
          <cx:pt idx="12">2.5</cx:pt>
          <cx:pt idx="13">1.5</cx:pt>
          <cx:pt idx="14">2</cx:pt>
          <cx:pt idx="15">4.5</cx:pt>
          <cx:pt idx="16">3</cx:pt>
          <cx:pt idx="17">4</cx:pt>
          <cx:pt idx="18">4</cx:pt>
          <cx:pt idx="19">2.5</cx:pt>
          <cx:pt idx="20">4</cx:pt>
          <cx:pt idx="21">3.5</cx:pt>
          <cx:pt idx="22">4</cx:pt>
          <cx:pt idx="23">2</cx:pt>
          <cx:pt idx="24">4</cx:pt>
          <cx:pt idx="25">4.5</cx:pt>
          <cx:pt idx="26">3</cx:pt>
          <cx:pt idx="27">4.5</cx:pt>
          <cx:pt idx="28">3.5</cx:pt>
          <cx:pt idx="29">4</cx:pt>
          <cx:pt idx="30">3.5</cx:pt>
          <cx:pt idx="31">3.5</cx:pt>
          <cx:pt idx="32">4.5</cx:pt>
          <cx:pt idx="33">3.5</cx:pt>
          <cx:pt idx="34">4.5</cx:pt>
          <cx:pt idx="35">3</cx:pt>
          <cx:pt idx="36">3.5</cx:pt>
          <cx:pt idx="37">3.5</cx:pt>
          <cx:pt idx="38">1.5</cx:pt>
          <cx:pt idx="39">3.5</cx:pt>
          <cx:pt idx="40">4</cx:pt>
          <cx:pt idx="41">4.5</cx:pt>
          <cx:pt idx="42">2</cx:pt>
          <cx:pt idx="43">3</cx:pt>
          <cx:pt idx="44">3.5</cx:pt>
          <cx:pt idx="45">4</cx:pt>
          <cx:pt idx="46">4</cx:pt>
          <cx:pt idx="47">3.5</cx:pt>
          <cx:pt idx="48">4</cx:pt>
          <cx:pt idx="49">3</cx:pt>
          <cx:pt idx="50">2</cx:pt>
          <cx:pt idx="51">2.5</cx:pt>
          <cx:pt idx="52">3.5</cx:pt>
          <cx:pt idx="53">4</cx:pt>
          <cx:pt idx="54">3.5</cx:pt>
          <cx:pt idx="55">4</cx:pt>
          <cx:pt idx="56">0</cx:pt>
          <cx:pt idx="57">3.5</cx:pt>
          <cx:pt idx="58">3</cx:pt>
          <cx:pt idx="59">4</cx:pt>
          <cx:pt idx="60">3.5</cx:pt>
          <cx:pt idx="61">4.5</cx:pt>
          <cx:pt idx="62">3.5</cx:pt>
          <cx:pt idx="63">4.5</cx:pt>
          <cx:pt idx="64">2.5</cx:pt>
          <cx:pt idx="65">1</cx:pt>
          <cx:pt idx="66">3</cx:pt>
          <cx:pt idx="67">4</cx:pt>
          <cx:pt idx="68">2</cx:pt>
          <cx:pt idx="69">4</cx:pt>
        </cx:lvl>
      </cx:numDim>
    </cx:data>
    <cx:data id="4">
      <cx:numDim type="val">
        <cx:f>Sheet1!$E$2:$E$71</cx:f>
        <cx:lvl ptCount="70" formatCode="General">
          <cx:pt idx="0">5</cx:pt>
          <cx:pt idx="1">4.5</cx:pt>
          <cx:pt idx="2">3.5</cx:pt>
          <cx:pt idx="3">4.5</cx:pt>
          <cx:pt idx="4">3.5</cx:pt>
          <cx:pt idx="5">4</cx:pt>
          <cx:pt idx="6">4</cx:pt>
          <cx:pt idx="7">4</cx:pt>
          <cx:pt idx="8">3.5</cx:pt>
          <cx:pt idx="9">3.5</cx:pt>
          <cx:pt idx="10">3</cx:pt>
          <cx:pt idx="11">5</cx:pt>
          <cx:pt idx="12">2</cx:pt>
          <cx:pt idx="13">1.5</cx:pt>
          <cx:pt idx="14">1.5</cx:pt>
          <cx:pt idx="15">3.5</cx:pt>
          <cx:pt idx="16">4.5</cx:pt>
          <cx:pt idx="17">4</cx:pt>
          <cx:pt idx="18">4</cx:pt>
          <cx:pt idx="19">3</cx:pt>
          <cx:pt idx="20">4.5</cx:pt>
          <cx:pt idx="21">3.5</cx:pt>
          <cx:pt idx="22">4.5</cx:pt>
          <cx:pt idx="23">3</cx:pt>
          <cx:pt idx="24">4.5</cx:pt>
          <cx:pt idx="25">4.5</cx:pt>
          <cx:pt idx="26">2.5</cx:pt>
          <cx:pt idx="27">4.5</cx:pt>
          <cx:pt idx="28">3.5</cx:pt>
          <cx:pt idx="29">4.5</cx:pt>
          <cx:pt idx="30">3</cx:pt>
          <cx:pt idx="31">3</cx:pt>
          <cx:pt idx="32">4.5</cx:pt>
          <cx:pt idx="33">4</cx:pt>
          <cx:pt idx="34">5</cx:pt>
          <cx:pt idx="35">2</cx:pt>
          <cx:pt idx="36">2.5</cx:pt>
          <cx:pt idx="37">3</cx:pt>
          <cx:pt idx="38">1.5</cx:pt>
          <cx:pt idx="39">2.5</cx:pt>
          <cx:pt idx="40">3</cx:pt>
          <cx:pt idx="41">4.5</cx:pt>
          <cx:pt idx="42">3</cx:pt>
          <cx:pt idx="43">2.5</cx:pt>
          <cx:pt idx="44">2.5</cx:pt>
          <cx:pt idx="45">3.5</cx:pt>
          <cx:pt idx="46">3.5</cx:pt>
          <cx:pt idx="47">4</cx:pt>
          <cx:pt idx="48">4</cx:pt>
          <cx:pt idx="49">2.5</cx:pt>
          <cx:pt idx="50">3.5</cx:pt>
          <cx:pt idx="51">2.5</cx:pt>
          <cx:pt idx="52">3.5</cx:pt>
          <cx:pt idx="53">4</cx:pt>
          <cx:pt idx="54">2.5</cx:pt>
          <cx:pt idx="55">4</cx:pt>
          <cx:pt idx="56">0.5</cx:pt>
          <cx:pt idx="57">3.5</cx:pt>
          <cx:pt idx="58">3.5</cx:pt>
          <cx:pt idx="59">2.5</cx:pt>
          <cx:pt idx="60">2</cx:pt>
          <cx:pt idx="61">4</cx:pt>
          <cx:pt idx="62">4.5</cx:pt>
          <cx:pt idx="63">4</cx:pt>
          <cx:pt idx="64">3.5</cx:pt>
          <cx:pt idx="65">0.5</cx:pt>
          <cx:pt idx="66">3.5</cx:pt>
          <cx:pt idx="67">4</cx:pt>
          <cx:pt idx="68">2</cx:pt>
          <cx:pt idx="69">4.5</cx:pt>
        </cx:lvl>
      </cx:numDim>
    </cx:data>
    <cx:data id="5">
      <cx:numDim type="val">
        <cx:f>Sheet1!$F$2:$F$71</cx:f>
        <cx:lvl ptCount="70" formatCode="General">
          <cx:pt idx="0">5</cx:pt>
          <cx:pt idx="1">4.5</cx:pt>
          <cx:pt idx="2">3.5</cx:pt>
          <cx:pt idx="3">4.5</cx:pt>
          <cx:pt idx="4">3.5</cx:pt>
          <cx:pt idx="5">4.5</cx:pt>
          <cx:pt idx="6">4.5</cx:pt>
          <cx:pt idx="7">4.5</cx:pt>
          <cx:pt idx="8">3.5</cx:pt>
          <cx:pt idx="9">4</cx:pt>
          <cx:pt idx="10">3.5</cx:pt>
          <cx:pt idx="11">5</cx:pt>
          <cx:pt idx="12">2</cx:pt>
          <cx:pt idx="13">1.5</cx:pt>
          <cx:pt idx="14">2</cx:pt>
          <cx:pt idx="15">3.5</cx:pt>
          <cx:pt idx="16">4.5</cx:pt>
          <cx:pt idx="17">4</cx:pt>
          <cx:pt idx="18">4</cx:pt>
          <cx:pt idx="19">3</cx:pt>
          <cx:pt idx="20">4.5</cx:pt>
          <cx:pt idx="21">3.5</cx:pt>
          <cx:pt idx="22">4.5</cx:pt>
          <cx:pt idx="23">3.5</cx:pt>
          <cx:pt idx="24">4.5</cx:pt>
          <cx:pt idx="25">4.5</cx:pt>
          <cx:pt idx="26">3</cx:pt>
          <cx:pt idx="27">4.5</cx:pt>
          <cx:pt idx="28">3.5</cx:pt>
          <cx:pt idx="29">4.5</cx:pt>
          <cx:pt idx="30">3</cx:pt>
          <cx:pt idx="31">3</cx:pt>
          <cx:pt idx="32">4.5</cx:pt>
          <cx:pt idx="33">4</cx:pt>
          <cx:pt idx="34">5</cx:pt>
          <cx:pt idx="35">2</cx:pt>
          <cx:pt idx="36">3.5</cx:pt>
          <cx:pt idx="37">3</cx:pt>
          <cx:pt idx="38">1.5</cx:pt>
          <cx:pt idx="39">2.5</cx:pt>
          <cx:pt idx="40">4</cx:pt>
          <cx:pt idx="41">4.5</cx:pt>
          <cx:pt idx="42">3.5</cx:pt>
          <cx:pt idx="43">3</cx:pt>
          <cx:pt idx="44">2.5</cx:pt>
          <cx:pt idx="45">3.5</cx:pt>
          <cx:pt idx="46">3.5</cx:pt>
          <cx:pt idx="47">4</cx:pt>
          <cx:pt idx="48">4</cx:pt>
          <cx:pt idx="49">2.5</cx:pt>
          <cx:pt idx="50">3.5</cx:pt>
          <cx:pt idx="51">3</cx:pt>
          <cx:pt idx="52">3.5</cx:pt>
          <cx:pt idx="53">4</cx:pt>
          <cx:pt idx="54">2.5</cx:pt>
          <cx:pt idx="55">4</cx:pt>
          <cx:pt idx="56">0.5</cx:pt>
          <cx:pt idx="57">4</cx:pt>
          <cx:pt idx="58">3.5</cx:pt>
          <cx:pt idx="59">2.5</cx:pt>
          <cx:pt idx="60">2</cx:pt>
          <cx:pt idx="61">4</cx:pt>
          <cx:pt idx="62">4.5</cx:pt>
          <cx:pt idx="63">4</cx:pt>
          <cx:pt idx="64">3.5</cx:pt>
          <cx:pt idx="65">0.5</cx:pt>
          <cx:pt idx="66">3.5</cx:pt>
          <cx:pt idx="67">4</cx:pt>
          <cx:pt idx="68">2</cx:pt>
          <cx:pt idx="69">4.5</cx:pt>
        </cx:lvl>
      </cx:numDim>
    </cx:data>
    <cx:data id="6">
      <cx:numDim type="val">
        <cx:f>Sheet1!$G$2:$G$71</cx:f>
        <cx:lvl ptCount="70" formatCode="General">
          <cx:pt idx="0">5</cx:pt>
          <cx:pt idx="1">5</cx:pt>
          <cx:pt idx="2">3.5</cx:pt>
          <cx:pt idx="3">4.5</cx:pt>
          <cx:pt idx="4">4</cx:pt>
          <cx:pt idx="5">4</cx:pt>
          <cx:pt idx="6">4</cx:pt>
          <cx:pt idx="7">4</cx:pt>
          <cx:pt idx="8">4</cx:pt>
          <cx:pt idx="9">3.5</cx:pt>
          <cx:pt idx="10">3</cx:pt>
          <cx:pt idx="11">5</cx:pt>
          <cx:pt idx="12">4</cx:pt>
          <cx:pt idx="13">1.5</cx:pt>
          <cx:pt idx="14">2.5</cx:pt>
          <cx:pt idx="15">3.5</cx:pt>
          <cx:pt idx="16">4.5</cx:pt>
          <cx:pt idx="17">2</cx:pt>
          <cx:pt idx="18">3.5</cx:pt>
          <cx:pt idx="19">2.5</cx:pt>
          <cx:pt idx="20">4</cx:pt>
          <cx:pt idx="21">4</cx:pt>
          <cx:pt idx="22">4</cx:pt>
          <cx:pt idx="23">3</cx:pt>
          <cx:pt idx="24">4.5</cx:pt>
          <cx:pt idx="25">4.5</cx:pt>
          <cx:pt idx="26">3.5</cx:pt>
          <cx:pt idx="27">4</cx:pt>
          <cx:pt idx="28">4</cx:pt>
          <cx:pt idx="29">4.5</cx:pt>
          <cx:pt idx="30">3</cx:pt>
          <cx:pt idx="31">3</cx:pt>
          <cx:pt idx="32">3.5</cx:pt>
          <cx:pt idx="33">4</cx:pt>
          <cx:pt idx="34">4.5</cx:pt>
          <cx:pt idx="35">3.5</cx:pt>
          <cx:pt idx="36">4</cx:pt>
          <cx:pt idx="37">3</cx:pt>
          <cx:pt idx="38">3</cx:pt>
          <cx:pt idx="39">3</cx:pt>
          <cx:pt idx="40">3</cx:pt>
          <cx:pt idx="41">4.5</cx:pt>
          <cx:pt idx="42">2</cx:pt>
          <cx:pt idx="43">2</cx:pt>
          <cx:pt idx="44">3.5</cx:pt>
          <cx:pt idx="45">4.5</cx:pt>
          <cx:pt idx="46">3.5</cx:pt>
          <cx:pt idx="47">3</cx:pt>
          <cx:pt idx="48">4</cx:pt>
          <cx:pt idx="49">2.5</cx:pt>
          <cx:pt idx="50">3</cx:pt>
          <cx:pt idx="51">2.5</cx:pt>
          <cx:pt idx="52">3.5</cx:pt>
          <cx:pt idx="53">2.5</cx:pt>
          <cx:pt idx="54">3</cx:pt>
          <cx:pt idx="55">2.5</cx:pt>
          <cx:pt idx="56">2</cx:pt>
          <cx:pt idx="57">2.5</cx:pt>
          <cx:pt idx="58">3.5</cx:pt>
          <cx:pt idx="59">4</cx:pt>
          <cx:pt idx="60">3</cx:pt>
          <cx:pt idx="61">4</cx:pt>
          <cx:pt idx="62">4.5</cx:pt>
          <cx:pt idx="63">4</cx:pt>
          <cx:pt idx="64">3</cx:pt>
          <cx:pt idx="65">2</cx:pt>
          <cx:pt idx="66">2.5</cx:pt>
          <cx:pt idx="67">4.5</cx:pt>
          <cx:pt idx="68">1</cx:pt>
          <cx:pt idx="69">3.5</cx:pt>
        </cx:lvl>
      </cx:numDim>
    </cx:data>
    <cx:data id="7">
      <cx:numDim type="val">
        <cx:f>Sheet1!$H$2:$H$71</cx:f>
        <cx:lvl ptCount="70" formatCode="General">
          <cx:pt idx="0">5</cx:pt>
          <cx:pt idx="1">5</cx:pt>
          <cx:pt idx="2">3.5</cx:pt>
          <cx:pt idx="3">4.5</cx:pt>
          <cx:pt idx="4">4</cx:pt>
          <cx:pt idx="5">4.5</cx:pt>
          <cx:pt idx="6">4.5</cx:pt>
          <cx:pt idx="7">4.5</cx:pt>
          <cx:pt idx="8">4</cx:pt>
          <cx:pt idx="9">4</cx:pt>
          <cx:pt idx="10">4</cx:pt>
          <cx:pt idx="11">5</cx:pt>
          <cx:pt idx="12">4</cx:pt>
          <cx:pt idx="13">2</cx:pt>
          <cx:pt idx="14">3</cx:pt>
          <cx:pt idx="15">3.5</cx:pt>
          <cx:pt idx="16">4.5</cx:pt>
          <cx:pt idx="17">2.5</cx:pt>
          <cx:pt idx="18">4</cx:pt>
          <cx:pt idx="19">2.5</cx:pt>
          <cx:pt idx="20">4</cx:pt>
          <cx:pt idx="21">4</cx:pt>
          <cx:pt idx="22">4.5</cx:pt>
          <cx:pt idx="23">4</cx:pt>
          <cx:pt idx="24">4.5</cx:pt>
          <cx:pt idx="25">5</cx:pt>
          <cx:pt idx="26">3.5</cx:pt>
          <cx:pt idx="27">4.5</cx:pt>
          <cx:pt idx="28">4</cx:pt>
          <cx:pt idx="29">4.5</cx:pt>
          <cx:pt idx="30">3.5</cx:pt>
          <cx:pt idx="31">3</cx:pt>
          <cx:pt idx="32">3.5</cx:pt>
          <cx:pt idx="33">4</cx:pt>
          <cx:pt idx="34">4.5</cx:pt>
          <cx:pt idx="35">3.5</cx:pt>
          <cx:pt idx="36">5</cx:pt>
          <cx:pt idx="37">3.5</cx:pt>
          <cx:pt idx="38">5</cx:pt>
          <cx:pt idx="39">3.5</cx:pt>
          <cx:pt idx="40">4</cx:pt>
          <cx:pt idx="41">5</cx:pt>
          <cx:pt idx="42">4.5</cx:pt>
          <cx:pt idx="43">3</cx:pt>
          <cx:pt idx="44">3.5</cx:pt>
          <cx:pt idx="45">4.5</cx:pt>
          <cx:pt idx="46">4</cx:pt>
          <cx:pt idx="47">3</cx:pt>
          <cx:pt idx="48">4.5</cx:pt>
          <cx:pt idx="49">3</cx:pt>
          <cx:pt idx="50">3.5</cx:pt>
          <cx:pt idx="51">3.5</cx:pt>
          <cx:pt idx="52">3.5</cx:pt>
          <cx:pt idx="53">3.5</cx:pt>
          <cx:pt idx="54">3.5</cx:pt>
          <cx:pt idx="55">3</cx:pt>
          <cx:pt idx="56">2</cx:pt>
          <cx:pt idx="57">3.5</cx:pt>
          <cx:pt idx="58">2.5</cx:pt>
          <cx:pt idx="59">4</cx:pt>
          <cx:pt idx="60">3</cx:pt>
          <cx:pt idx="61">4</cx:pt>
          <cx:pt idx="62">4.5</cx:pt>
          <cx:pt idx="63">4</cx:pt>
          <cx:pt idx="64">3.5</cx:pt>
          <cx:pt idx="65">2</cx:pt>
          <cx:pt idx="66">3</cx:pt>
          <cx:pt idx="67">4.5</cx:pt>
          <cx:pt idx="68">2</cx:pt>
          <cx:pt idx="69">4</cx:pt>
        </cx:lvl>
      </cx:numDim>
    </cx:data>
  </cx:chartData>
  <cx:chart>
    <cx:title pos="t" align="ctr" overlay="0">
      <cx:tx>
        <cx:txData>
          <cx:v>Figure 3 Box and whisker chart to show the spread of changes in paired TOM scores following intervention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en-US" sz="1400" b="0" i="0" u="none" strike="noStrike" baseline="0">
              <a:solidFill>
                <a:sysClr val="windowText" lastClr="000000"/>
              </a:solidFill>
              <a:latin typeface="Calibri" panose="020F0502020204030204"/>
            </a:rPr>
            <a:t>Figure 3 Box and whisker chart to show the spread of changes in paired TOM scores following intervention</a:t>
          </a:r>
        </a:p>
      </cx:txPr>
    </cx:title>
    <cx:plotArea>
      <cx:plotAreaRegion>
        <cx:series layoutId="boxWhisker" uniqueId="{8B60D04C-2D76-4A70-8738-DD44FCC2CEA7}">
          <cx:tx>
            <cx:txData>
              <cx:f>Sheet1!$A$1</cx:f>
              <cx:v>Initial Impairment</cx:v>
            </cx:txData>
          </cx:tx>
          <cx:dataId val="0"/>
          <cx:layoutPr>
            <cx:visibility meanLine="1" meanMarker="1" nonoutliers="0" outliers="1"/>
            <cx:statistics quartileMethod="inclusive"/>
          </cx:layoutPr>
        </cx:series>
        <cx:series layoutId="boxWhisker" uniqueId="{3EAB8930-7501-43CC-A88F-5443E8127FEB}">
          <cx:tx>
            <cx:txData>
              <cx:f>Sheet1!$B$1</cx:f>
              <cx:v>Final Impairment</cx:v>
            </cx:txData>
          </cx:tx>
          <cx:dataId val="1"/>
          <cx:layoutPr>
            <cx:visibility meanLine="1" meanMarker="1" nonoutliers="0" outliers="1"/>
            <cx:statistics quartileMethod="exclusive"/>
          </cx:layoutPr>
        </cx:series>
        <cx:series layoutId="boxWhisker" uniqueId="{5B172ADA-EDD9-4DA6-A566-03050BB177BD}">
          <cx:tx>
            <cx:txData>
              <cx:f>Sheet1!$C$1</cx:f>
              <cx:v>Initial Activity</cx:v>
            </cx:txData>
          </cx:tx>
          <cx:dataId val="2"/>
          <cx:layoutPr>
            <cx:visibility meanLine="1" meanMarker="1" nonoutliers="0" outliers="1"/>
            <cx:statistics quartileMethod="exclusive"/>
          </cx:layoutPr>
        </cx:series>
        <cx:series layoutId="boxWhisker" uniqueId="{E02943F0-CFA8-40F1-B26F-218FF60D819B}">
          <cx:tx>
            <cx:txData>
              <cx:f>Sheet1!$D$1</cx:f>
              <cx:v>Final Activity</cx:v>
            </cx:txData>
          </cx:tx>
          <cx:dataId val="3"/>
          <cx:layoutPr>
            <cx:visibility meanLine="1" meanMarker="1" nonoutliers="0" outliers="1"/>
            <cx:statistics quartileMethod="exclusive"/>
          </cx:layoutPr>
        </cx:series>
        <cx:series layoutId="boxWhisker" uniqueId="{B8E25235-7918-4FF0-AB0A-2E31B92CE98E}">
          <cx:tx>
            <cx:txData>
              <cx:f>Sheet1!$E$1</cx:f>
              <cx:v>Initial Soc Part</cx:v>
            </cx:txData>
          </cx:tx>
          <cx:dataId val="4"/>
          <cx:layoutPr>
            <cx:visibility meanLine="1" meanMarker="1" nonoutliers="0" outliers="1"/>
            <cx:statistics quartileMethod="exclusive"/>
          </cx:layoutPr>
        </cx:series>
        <cx:series layoutId="boxWhisker" uniqueId="{7969602D-F111-466F-B5BA-608FE5EABA53}">
          <cx:tx>
            <cx:txData>
              <cx:f>Sheet1!$F$1</cx:f>
              <cx:v>Final Soc Part</cx:v>
            </cx:txData>
          </cx:tx>
          <cx:dataId val="5"/>
          <cx:layoutPr>
            <cx:visibility meanLine="1" meanMarker="1" nonoutliers="0" outliers="1"/>
            <cx:statistics quartileMethod="exclusive"/>
          </cx:layoutPr>
        </cx:series>
        <cx:series layoutId="boxWhisker" uniqueId="{DE037B23-82EB-4D7B-8BF1-F05229AA7F24}">
          <cx:tx>
            <cx:txData>
              <cx:f>Sheet1!$G$1</cx:f>
              <cx:v>Initial Wellbeing</cx:v>
            </cx:txData>
          </cx:tx>
          <cx:dataId val="6"/>
          <cx:layoutPr>
            <cx:visibility meanLine="1" meanMarker="1" nonoutliers="0" outliers="1"/>
            <cx:statistics quartileMethod="exclusive"/>
          </cx:layoutPr>
        </cx:series>
        <cx:series layoutId="boxWhisker" uniqueId="{D8CCBAA0-B8FE-4316-81A7-86AB6E0A514B}">
          <cx:tx>
            <cx:txData>
              <cx:f>Sheet1!$H$1</cx:f>
              <cx:v>Final Wellbeing</cx:v>
            </cx:txData>
          </cx:tx>
          <cx:dataId val="7"/>
          <cx:layoutPr>
            <cx:visibility meanLine="1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</cx:axis>
    </cx:plotArea>
    <cx:legend pos="b" align="ctr" overlay="0"/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7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8A777EF15574D96C14C7BFEAE14BA" ma:contentTypeVersion="7" ma:contentTypeDescription="Create a new document." ma:contentTypeScope="" ma:versionID="27102b724b3a21056274253a91f1f34a">
  <xsd:schema xmlns:xsd="http://www.w3.org/2001/XMLSchema" xmlns:xs="http://www.w3.org/2001/XMLSchema" xmlns:p="http://schemas.microsoft.com/office/2006/metadata/properties" xmlns:ns3="0b909856-c8a3-4f8d-8041-005f0f243bc5" xmlns:ns4="c533c46d-5a67-4756-98cb-0d353a738a7b" targetNamespace="http://schemas.microsoft.com/office/2006/metadata/properties" ma:root="true" ma:fieldsID="0be1b48aa52d5297d210f7ab2fb7da21" ns3:_="" ns4:_="">
    <xsd:import namespace="0b909856-c8a3-4f8d-8041-005f0f243bc5"/>
    <xsd:import namespace="c533c46d-5a67-4756-98cb-0d353a738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09856-c8a3-4f8d-8041-005f0f243b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c46d-5a67-4756-98cb-0d353a738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6FF21-3FC5-4D04-AEC2-4A7ABD548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24BED-1BD0-4222-902B-7CE844C38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E2B5F-5907-42B7-9290-BF0B20EC0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09856-c8a3-4f8d-8041-005f0f243bc5"/>
    <ds:schemaRef ds:uri="c533c46d-5a67-4756-98cb-0d353a738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Davenport</dc:creator>
  <cp:keywords/>
  <dc:description/>
  <cp:lastModifiedBy>Sharon Davenport</cp:lastModifiedBy>
  <cp:revision>2</cp:revision>
  <cp:lastPrinted>2021-04-21T08:38:00Z</cp:lastPrinted>
  <dcterms:created xsi:type="dcterms:W3CDTF">2021-12-03T15:05:00Z</dcterms:created>
  <dcterms:modified xsi:type="dcterms:W3CDTF">2021-12-03T15:05:00Z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0x0101009388A777EF15574D96C14C7BFEAE14BA</vt:lpwstr>
  </property>
</Properties>
</file>